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北京市十三陵林场管理处2026年通用公用经费物业管理服务采购项目</w:t>
      </w:r>
      <w:r>
        <w:rPr>
          <w:b/>
          <w:sz w:val="36"/>
          <w:szCs w:val="36"/>
        </w:rPr>
        <w:t>采购需求</w:t>
      </w:r>
      <w:bookmarkStart w:id="19" w:name="_GoBack"/>
      <w:bookmarkEnd w:id="19"/>
    </w:p>
    <w:p>
      <w:pPr>
        <w:spacing w:line="5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</w:p>
    <w:p>
      <w:pPr>
        <w:spacing w:line="560" w:lineRule="exact"/>
        <w:ind w:firstLine="560" w:firstLineChars="200"/>
        <w:outlineLvl w:val="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一、物业面积及服务范围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需保障的物业管理服务总建筑面积18942.13㎡，预算金额为人民币227.30556万元。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（一）场部机关及附属用房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位于昌平区北郝庄村南。</w:t>
      </w:r>
    </w:p>
    <w:p>
      <w:pPr>
        <w:numPr>
          <w:ilvl w:val="0"/>
          <w:numId w:val="1"/>
        </w:numPr>
        <w:spacing w:line="560" w:lineRule="exact"/>
        <w:ind w:firstLine="560" w:firstLineChars="200"/>
        <w:outlineLvl w:val="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南口分场管理站办公区及附属用房</w:t>
      </w:r>
    </w:p>
    <w:p>
      <w:pPr>
        <w:spacing w:line="560" w:lineRule="exact"/>
        <w:ind w:firstLine="560" w:firstLineChars="200"/>
        <w:outlineLvl w:val="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位于昌平区南口镇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（三）龙山分场管理站办公区及附属用房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位于昌平区西关环岛500米路北。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（四）白皮松国家良种基地科研办公区（原北郝庄分场）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位于昌平区北郝庄村，机关办公楼北侧院内。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（五）蟒山分场管理站办公区及附属用房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位于昌平区十三陵水库大坝东侧。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（六）沟崖分场管理站办公区及附属用房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位于昌平区德胜口村。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（七）沙岭分场管理站办公区及附属用房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位于十三陵镇德陵村。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（八）上口分场管理站办公区及附属用房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位于十三陵镇泰陵村。</w:t>
      </w:r>
    </w:p>
    <w:p>
      <w:pPr>
        <w:numPr>
          <w:ilvl w:val="0"/>
          <w:numId w:val="2"/>
        </w:num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牛蹄岭分场管理站办公区及附属用房</w:t>
      </w:r>
    </w:p>
    <w:p>
      <w:pPr>
        <w:spacing w:line="560" w:lineRule="exact"/>
        <w:ind w:firstLine="840" w:firstLineChars="3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位于延寿镇秦城村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（十）四桥子分场管理站办公区及附属用房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昌平区南口镇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（十一）燕子口分场管理站办公区及附属用房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昌平区十三陵镇燕子口村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（十二）长陵分场管理站办公区及附属用房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昌平区十三陵镇老君堂村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（十三）</w:t>
      </w:r>
      <w:r>
        <w:rPr>
          <w:rFonts w:hint="eastAsia" w:ascii="宋体" w:hAnsi="宋体" w:cs="宋体"/>
          <w:sz w:val="28"/>
          <w:szCs w:val="28"/>
        </w:rPr>
        <w:t>瞭</w:t>
      </w:r>
      <w:r>
        <w:rPr>
          <w:rFonts w:hint="eastAsia" w:ascii="仿宋_GB2312" w:hAnsi="仿宋_GB2312" w:eastAsia="仿宋_GB2312" w:cs="仿宋_GB2312"/>
          <w:sz w:val="28"/>
          <w:szCs w:val="28"/>
        </w:rPr>
        <w:t>望塔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分别是沟崖塔、沟崖内塔、虎山塔、蟒山塔、四桥塔、牛蹄岭塔、居庸关塔、龙山塔、定陵塔、燕子口塔、老君堂塔等。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（十四）其他附属用房、管护用房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1.职工活动站，变配电室，收发室，水泵房，位于昌平区北郝庄村。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2.东园村内管护用房，东园山上管护用房，博览城西餐厅等管护、仓储、实验用房。</w:t>
      </w:r>
    </w:p>
    <w:p>
      <w:pPr>
        <w:spacing w:line="560" w:lineRule="exact"/>
        <w:ind w:firstLine="560" w:firstLineChars="200"/>
        <w:outlineLvl w:val="0"/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二、服务需求</w:t>
      </w:r>
    </w:p>
    <w:p>
      <w:pPr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为机关场部及各分场管理站提供安保、会服、保洁、司机、房屋及设备维修等各项服务，提供服务总人数不低于24人。</w:t>
      </w:r>
    </w:p>
    <w:p>
      <w:pPr>
        <w:snapToGrid/>
        <w:spacing w:line="560" w:lineRule="exact"/>
        <w:ind w:firstLine="560" w:firstLineChars="200"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1、项目经理1人，要求：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</w:rPr>
        <w:t>年龄在 4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</w:rPr>
        <w:t xml:space="preserve"> 周岁（含）以下，具有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</w:rPr>
        <w:t>科及以上学历，得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</w:rPr>
        <w:t>分；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  <w:lang w:val="en-US" w:eastAsia="zh-CN"/>
        </w:rPr>
        <w:t>所学专业为物业管理专业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</w:rPr>
        <w:t>。</w:t>
      </w:r>
    </w:p>
    <w:p>
      <w:pPr>
        <w:spacing w:line="560" w:lineRule="exact"/>
        <w:ind w:firstLine="560" w:firstLineChars="200"/>
        <w:contextualSpacing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2、项目技术主管1人，要求： 年龄在 45 周岁（含）以下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具有园林专业本科及以上学历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。</w:t>
      </w:r>
    </w:p>
    <w:p>
      <w:pPr>
        <w:spacing w:line="560" w:lineRule="exact"/>
        <w:ind w:firstLine="560" w:firstLineChars="200"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3、会议服务1人，要求：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年龄40岁（含）以下，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中专或中专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以上学历，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u w:val="none"/>
          <w:lang w:val="en-US" w:eastAsia="zh-CN"/>
        </w:rPr>
        <w:t>所学专业为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文秘相关专业，熟悉会议服务流程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4、保洁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人员6人，要求：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其中一人为保洁主管，需年龄在 45 周岁（含）以下；其余五名为保洁人员，要求：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年龄4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岁（含）以下，熟悉各种保洁用品的特性与使用，有较高的保洁服务专业技能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spacing w:line="560" w:lineRule="exact"/>
        <w:ind w:firstLine="560" w:firstLineChars="200"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5、工程人员3人：水、电、园林绿化工作人员。要求：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水工1人，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岁（含）以下，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提供中级或中级以上水暖工证书；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 w:bidi="ar-SA"/>
        </w:rPr>
        <w:t>电工1人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 w:bidi="ar-SA"/>
        </w:rPr>
        <w:t>年龄55岁（含）以下，提供中华人民共和国特种作业操作证高压电工作业证；园林绿化1人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 w:bidi="ar-SA"/>
        </w:rPr>
        <w:t>年龄55岁（含）以下，持花卉专业高级工程师专业技术资格证书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spacing w:line="560" w:lineRule="exact"/>
        <w:ind w:firstLine="560" w:firstLineChars="200"/>
        <w:contextualSpacing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6、门卫3人，要求：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岁（含）以下，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需提供安保证，身体健康、具有正常行为能力、认真负责。</w:t>
      </w:r>
    </w:p>
    <w:p>
      <w:pPr>
        <w:spacing w:line="560" w:lineRule="exact"/>
        <w:ind w:firstLine="560" w:firstLineChars="200"/>
        <w:contextualSpacing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7、司机4人，要求：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岁（含）以下，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A2及以上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机动车驾驶资格证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8、博览城配电室值班人员3人，要求：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岁（含）以下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；电工1人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持中华人民共和国特种作业操作证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高压电工作业证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设备维修工1人；消防设施操作员1人，持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中级及以上消防设施操作员或建（构）筑物消防员（四级）及以上证书。</w:t>
      </w:r>
    </w:p>
    <w:p>
      <w:pPr>
        <w:spacing w:line="560" w:lineRule="exact"/>
        <w:ind w:firstLine="560" w:firstLineChars="200"/>
        <w:contextualSpacing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9、房屋建筑结构安全管理员1人，要求取得相关专业中专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  <w:lang w:val="en-US" w:eastAsia="zh-CN"/>
        </w:rPr>
        <w:t>或中专</w:t>
      </w: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以上学历的，从事房屋建筑及设备管理相关工作满5年；取得相关专业大专学历的，从事房屋建筑及设备管理相关工作满3年；取得相关专业大学本科以上学历的，从事房屋建筑及设备管理相关工作满2年。</w:t>
      </w:r>
    </w:p>
    <w:p>
      <w:pPr>
        <w:spacing w:line="560" w:lineRule="exact"/>
        <w:ind w:firstLine="560" w:firstLineChars="200"/>
        <w:contextualSpacing/>
        <w:outlineLvl w:val="0"/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 w:val="28"/>
          <w:szCs w:val="28"/>
          <w:highlight w:val="none"/>
        </w:rPr>
        <w:t>10、房屋建筑设施设备安全管理员1人，要求取得相关专业中专以上学历的，从事房屋建筑及设备管理相关工作满5年；取得相关专业大专学历的，从事房屋建筑及设备管理相关工作满3年；取得相关专业大学本科以上学历的，从事房屋建筑及设备管理相关工作满2年。</w:t>
      </w:r>
    </w:p>
    <w:p>
      <w:pPr>
        <w:spacing w:line="560" w:lineRule="exact"/>
        <w:ind w:firstLine="560" w:firstLineChars="200"/>
        <w:outlineLvl w:val="0"/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三、 物业服务的主要内容及具体要求</w:t>
      </w:r>
    </w:p>
    <w:p>
      <w:pPr>
        <w:spacing w:line="560" w:lineRule="exact"/>
        <w:ind w:firstLine="562" w:firstLineChars="200"/>
        <w:outlineLvl w:val="0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（一）物业服务管理的主要内容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0" w:name="_Toc27983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1、会议服务及接待服务</w:t>
      </w:r>
      <w:bookmarkEnd w:id="0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（1）负责各类会议的会前准备、会中服务、会后清理。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（2）随时清理会议室内杂物、保持会议室清洁整齐。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（3）接待来访嘉宾，进行引路。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1" w:name="_Toc23821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2、保洁服务</w:t>
      </w:r>
      <w:bookmarkEnd w:id="1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（1）负责全场公共区域、办公楼外院落、绿地绿植维护、停车场的日常保洁。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（2）负责全场各办公区域办公房屋外玻璃的清洁清洗。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（3）负责全场各办公区域办公室内保洁。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2" w:name="_Toc2902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3、高压配电室值班服务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（1）负责高压配电室24小时运行值班。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（2）值班人员必须熟悉高低压配电设备的性能、结构、原理、运行方式和设备状况，坚守岗位，严格执行《电业安全工作规程》。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（3）值班人员根据批准的值班表依次进行交接班，应遵守交接班制度，未经领导批准不得私自调班。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4、房屋建筑物、服务区域设备设施维护维修服务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（1）负责房屋建筑共用部位的小型维修、养护和管理。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（2）共用设施设备（如上、下水管道；落水管；公用标志设施；公用照明；天线；暖气干线；公共智能化系统等）的日常维修、养护、运行和管理。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（3）市政公用设施和附属建筑物、构筑物（如道路、室外上下水管道、停车场等）的维修、养护和管理。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5、门岗执勤服务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各处门岗执勤、安全监控和日常巡查、车辆停放管理等。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司机服务</w:t>
      </w:r>
    </w:p>
    <w:p>
      <w:pPr>
        <w:spacing w:line="560" w:lineRule="exact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 xml:space="preserve">    为机关提供司机，保障机关用车服务的需求。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7、其他工作</w:t>
      </w:r>
      <w:bookmarkEnd w:id="2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（1）负责全场办公区域定期杀虫防虫（每年2次），在人接触不到的位置投放有效药物，保证无蟑螂、老鼠等。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（2）负责每季度进行各处食堂的烟道清洁清洗。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（3）定期对各办公区化粪池清掏及疏通；生活垃圾的清运。</w:t>
      </w:r>
    </w:p>
    <w:p>
      <w:pPr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（4）根据采购人要求，临时性安排的有关工作。</w:t>
      </w:r>
    </w:p>
    <w:p>
      <w:pPr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val="en-US" w:eastAsia="zh-CN"/>
        </w:rPr>
        <w:t>5）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eastAsia="zh-CN"/>
        </w:rPr>
        <w:t>需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在本项目中落实ESG理念的工作措施。</w:t>
      </w:r>
    </w:p>
    <w:p>
      <w:pPr>
        <w:spacing w:line="560" w:lineRule="exact"/>
        <w:ind w:firstLine="562" w:firstLineChars="200"/>
        <w:outlineLvl w:val="0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（二）物业服务质量要求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3" w:name="_Toc122496503"/>
      <w:bookmarkStart w:id="4" w:name="_Toc483996305"/>
      <w:bookmarkStart w:id="5" w:name="_Toc483996844"/>
      <w:bookmarkStart w:id="6" w:name="_Toc122596764"/>
      <w:bookmarkStart w:id="7" w:name="_Toc5130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1、会议和接待</w:t>
      </w:r>
      <w:bookmarkEnd w:id="3"/>
      <w:bookmarkEnd w:id="4"/>
      <w:bookmarkEnd w:id="5"/>
      <w:bookmarkEnd w:id="6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服务</w:t>
      </w:r>
      <w:bookmarkEnd w:id="7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负责对各类会议的会前准备、会中服务、会后清理，清洁会议室室内卫生。对来访嘉宾，进行引路。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8" w:name="_Toc15594"/>
      <w:bookmarkStart w:id="9" w:name="_Toc483996309"/>
      <w:bookmarkStart w:id="10" w:name="_Toc122496512"/>
      <w:bookmarkStart w:id="11" w:name="_Toc122596773"/>
      <w:bookmarkStart w:id="12" w:name="_Toc483996848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2、环境清洁维护服务</w:t>
      </w:r>
      <w:bookmarkEnd w:id="8"/>
      <w:bookmarkEnd w:id="9"/>
      <w:bookmarkEnd w:id="10"/>
      <w:bookmarkEnd w:id="11"/>
      <w:bookmarkEnd w:id="12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bookmarkStart w:id="13" w:name="_Toc483996311"/>
      <w:bookmarkStart w:id="14" w:name="_Toc483996850"/>
      <w:bookmarkStart w:id="15" w:name="_Toc122596776"/>
      <w:bookmarkStart w:id="16" w:name="_Toc122496515"/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保洁人员认真做好服务区域内的日常保洁工作，每日进行巡查，及时清洁清理污物、杂物。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3、门岗值班服务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门卫岗要认真做好和安全保卫工作，认真记录值班日志。</w:t>
      </w:r>
    </w:p>
    <w:p>
      <w:pPr>
        <w:spacing w:line="560" w:lineRule="exact"/>
        <w:ind w:firstLine="562" w:firstLineChars="200"/>
        <w:outlineLvl w:val="0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（三）综合维修维护服务</w:t>
      </w:r>
    </w:p>
    <w:p>
      <w:pPr>
        <w:spacing w:line="560" w:lineRule="exact"/>
        <w:ind w:firstLine="700" w:firstLineChars="25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1、每日巡查建筑整体的完好状况，负责上述建筑体的日常维护和管理，并注意做好巡视记录。雷电、强降水、大风等极端天气前后落实防范措施。</w:t>
      </w:r>
    </w:p>
    <w:p>
      <w:pPr>
        <w:spacing w:line="560" w:lineRule="exact"/>
        <w:ind w:firstLine="700" w:firstLineChars="25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2、房屋建筑整体公用设施设备（给排水系统、排污管、照明等）的日常报修、养护、管理和运行服务。</w:t>
      </w:r>
    </w:p>
    <w:p>
      <w:pPr>
        <w:spacing w:line="560" w:lineRule="exact"/>
        <w:ind w:firstLine="700" w:firstLineChars="25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3、高压配电室24小时运行及值守，认真做好各项记录，处理设备停电故障，保证设备无缺陷无误。定时巡检设备，及时消除隐患。</w:t>
      </w:r>
    </w:p>
    <w:p>
      <w:pPr>
        <w:spacing w:line="560" w:lineRule="exact"/>
        <w:ind w:firstLine="700" w:firstLineChars="25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4、负责服务区域线路、供水、照明、门禁、紧急疏散门、限电设施、门窗、家具、卫生间等一般故障排除及小型的维修工作，零星维修1000元以内的由投标人负责。</w:t>
      </w:r>
    </w:p>
    <w:bookmarkEnd w:id="13"/>
    <w:bookmarkEnd w:id="14"/>
    <w:bookmarkEnd w:id="15"/>
    <w:bookmarkEnd w:id="16"/>
    <w:p>
      <w:pPr>
        <w:spacing w:line="560" w:lineRule="exact"/>
        <w:ind w:firstLine="560" w:firstLineChars="200"/>
        <w:outlineLvl w:val="0"/>
        <w:rPr>
          <w:rFonts w:ascii="黑体" w:hAnsi="黑体" w:eastAsia="黑体" w:cs="黑体"/>
          <w:b/>
          <w:color w:val="000000"/>
          <w:sz w:val="28"/>
          <w:szCs w:val="28"/>
          <w:highlight w:val="none"/>
        </w:rPr>
      </w:pPr>
      <w:bookmarkStart w:id="17" w:name="_Toc10745"/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四、物业管理服务需达到的标准</w:t>
      </w:r>
      <w:bookmarkEnd w:id="17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1.设备设施完好率达到98%；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2.报修及时率达到98%，返修率小于1%；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3.卫生、清洁率达到95%；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4.有效投诉率小于2%，处理率100%；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5.所属服务部门对物业工作满意率达到80%以上。</w:t>
      </w:r>
    </w:p>
    <w:p>
      <w:pPr>
        <w:spacing w:line="560" w:lineRule="exact"/>
        <w:ind w:firstLine="560" w:firstLineChars="200"/>
        <w:outlineLvl w:val="0"/>
        <w:rPr>
          <w:rFonts w:ascii="黑体" w:hAnsi="黑体" w:eastAsia="黑体" w:cs="黑体"/>
          <w:b/>
          <w:color w:val="000000"/>
          <w:sz w:val="28"/>
          <w:szCs w:val="28"/>
          <w:highlight w:val="none"/>
        </w:rPr>
      </w:pPr>
      <w:bookmarkStart w:id="18" w:name="_Toc30831"/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五、其他说明：</w:t>
      </w:r>
      <w:bookmarkEnd w:id="18"/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1.采购人提供物业管理的值班及物料仓储等必要用房；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2.物业公司负责保管采购人提供的相关资料和设备，不得遗失，不得人为损坏；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3.投标人接受采购人的工作监督和检查。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4.物业服务期限：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val="en-US" w:eastAsia="zh-CN"/>
        </w:rPr>
        <w:t>2025年3月3日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起至2026年12月31日。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5.物业服务费：包含物业服务人员工资及社会保险费用、设施设备维修费用、衣着装备费、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  <w:lang w:eastAsia="zh-CN"/>
        </w:rPr>
        <w:t>垃圾清运、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化粪池清掏、食堂烟道清洁清洗、保洁工具、清洁用品、灭火器充气及年检、管理费、税费等。</w:t>
      </w:r>
    </w:p>
    <w:p>
      <w:pPr>
        <w:spacing w:line="560" w:lineRule="exact"/>
        <w:ind w:firstLine="560" w:firstLineChars="200"/>
        <w:rPr>
          <w:rFonts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highlight w:val="none"/>
        </w:rPr>
        <w:t>6. 物业服务费支付方式：签订合同之日起20个工作日内采购人预付物业服务单位合同价款的50%，第三季度结束前且中标人按照合同约定提供物业服务，经采购人验收合格后支付至合同价款的90%；年底前中标人按照合同约定提供物业服务的，经采购人验收合格后支付剩余10%合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尾款。最终支付进度以财政拨款进度为准。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76B33"/>
    <w:multiLevelType w:val="singleLevel"/>
    <w:tmpl w:val="98C76B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CBBF78"/>
    <w:multiLevelType w:val="singleLevel"/>
    <w:tmpl w:val="ADCBBF78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F4FCE14"/>
    <w:multiLevelType w:val="singleLevel"/>
    <w:tmpl w:val="AF4FCE1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2026-02-03T07:34:00Z</dcterms:created>
  <dc:creator>user</dc:creator>
  <cp:lastModifiedBy>11</cp:lastModifiedBy>
  <dcterms:modified xsi:type="dcterms:W3CDTF">2026-02-03T07:34:29Z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