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4F94F">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北京市园林绿化局</w:t>
      </w:r>
    </w:p>
    <w:p w14:paraId="0AA3FD0E">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2017年政府信息公开工作年度报告</w:t>
      </w:r>
    </w:p>
    <w:p w14:paraId="1719DD61">
      <w:pPr>
        <w:rPr>
          <w:rFonts w:ascii="仿宋_GB2312" w:eastAsia="仿宋_GB2312"/>
          <w:sz w:val="32"/>
          <w:szCs w:val="32"/>
        </w:rPr>
      </w:pPr>
    </w:p>
    <w:p w14:paraId="2AB831F9">
      <w:pPr>
        <w:spacing w:line="540" w:lineRule="exact"/>
        <w:ind w:firstLine="640" w:firstLineChars="200"/>
        <w:rPr>
          <w:rFonts w:ascii="仿宋_GB2312" w:eastAsia="仿宋_GB2312"/>
          <w:sz w:val="32"/>
          <w:szCs w:val="32"/>
        </w:rPr>
      </w:pPr>
      <w:r>
        <w:rPr>
          <w:rFonts w:hint="eastAsia" w:ascii="仿宋_GB2312" w:eastAsia="仿宋_GB2312"/>
          <w:sz w:val="32"/>
          <w:szCs w:val="32"/>
        </w:rPr>
        <w:t>2017年，我局政府信息和政务公开工作，积极贯彻落实《2017年政务公开工作要点》（国办发〔2017〕24号）、《北京市2017年政务公开工作要点》（京政办发〔2017〕21号）文件精神要求，牢固树立新发展理念，建立健全公开机制，狠抓制度落实，在政府信息和政务公开的深度、广度上取得了新突破；在政策解读、回应关切、提案建议公开、公众参与等环节都取得了新进展；在政务公开促进、规范局机关依法行政上取得了新成效。政务信息应公开、尽公开的理念进一步深入人心。在市政府政务和信息公开、政务网站建设等绩效考核，均取得了满分的成绩。</w:t>
      </w:r>
    </w:p>
    <w:p w14:paraId="6AF70555">
      <w:pPr>
        <w:spacing w:line="540" w:lineRule="exact"/>
        <w:ind w:firstLine="640" w:firstLineChars="200"/>
        <w:rPr>
          <w:rFonts w:ascii="黑体" w:hAnsi="黑体" w:eastAsia="黑体"/>
          <w:sz w:val="32"/>
          <w:szCs w:val="32"/>
        </w:rPr>
      </w:pPr>
      <w:r>
        <w:rPr>
          <w:rFonts w:hint="eastAsia" w:ascii="黑体" w:hAnsi="黑体" w:eastAsia="黑体"/>
          <w:sz w:val="32"/>
          <w:szCs w:val="32"/>
        </w:rPr>
        <w:t>一、基本情况</w:t>
      </w:r>
    </w:p>
    <w:p w14:paraId="61A81709">
      <w:pPr>
        <w:spacing w:line="540" w:lineRule="exact"/>
        <w:ind w:firstLine="640"/>
        <w:rPr>
          <w:rFonts w:ascii="楷体_GB2312" w:eastAsia="楷体_GB2312"/>
          <w:sz w:val="32"/>
          <w:szCs w:val="32"/>
        </w:rPr>
      </w:pPr>
      <w:r>
        <w:rPr>
          <w:rFonts w:hint="eastAsia" w:ascii="楷体_GB2312" w:eastAsia="楷体_GB2312"/>
          <w:sz w:val="32"/>
          <w:szCs w:val="32"/>
        </w:rPr>
        <w:t>（一）主动公开情况</w:t>
      </w:r>
    </w:p>
    <w:p w14:paraId="215FB0FB">
      <w:pPr>
        <w:spacing w:line="540" w:lineRule="exact"/>
        <w:ind w:firstLine="640"/>
        <w:rPr>
          <w:rFonts w:ascii="仿宋_GB2312" w:eastAsia="仿宋_GB2312"/>
          <w:sz w:val="32"/>
          <w:szCs w:val="32"/>
        </w:rPr>
      </w:pPr>
      <w:r>
        <w:rPr>
          <w:rFonts w:hint="eastAsia" w:ascii="仿宋_GB2312" w:eastAsia="仿宋_GB2312"/>
          <w:sz w:val="32"/>
          <w:szCs w:val="32"/>
        </w:rPr>
        <w:t>2017年，通过政府信息公开专栏主动公开各类政府信息共计1265条，规范性文件4条。主动公开重点领域政府信息190条。举办新闻发布会12次，政策解读稿件通过“首都园林绿化政务网”、《北京日报》、新华网、中青网等各大媒体发布数40余篇，并通过微信、微博、主流媒体主动回应杨柳飞絮、飞机撒药等公众关注热点和重大舆情。微信发布政府信息数860条，政务微博发布政府信息数2005条。</w:t>
      </w:r>
    </w:p>
    <w:p w14:paraId="7FC34D3A">
      <w:pPr>
        <w:spacing w:line="540" w:lineRule="exact"/>
        <w:ind w:firstLine="640"/>
        <w:rPr>
          <w:rFonts w:ascii="楷体_GB2312" w:hAnsi="黑体" w:eastAsia="楷体_GB2312"/>
          <w:sz w:val="32"/>
          <w:szCs w:val="32"/>
        </w:rPr>
      </w:pPr>
      <w:r>
        <w:rPr>
          <w:rFonts w:hint="eastAsia" w:ascii="楷体_GB2312" w:hAnsi="黑体" w:eastAsia="楷体_GB2312"/>
          <w:sz w:val="32"/>
          <w:szCs w:val="32"/>
        </w:rPr>
        <w:t>（二）依申请公开办理情况</w:t>
      </w:r>
    </w:p>
    <w:p w14:paraId="6BFADC4E">
      <w:pPr>
        <w:spacing w:line="540" w:lineRule="exact"/>
        <w:ind w:firstLine="640"/>
        <w:rPr>
          <w:rFonts w:ascii="仿宋_GB2312" w:hAnsi="黑体" w:eastAsia="仿宋_GB2312"/>
          <w:sz w:val="32"/>
          <w:szCs w:val="32"/>
        </w:rPr>
      </w:pPr>
      <w:r>
        <w:rPr>
          <w:rFonts w:hint="eastAsia" w:ascii="仿宋_GB2312" w:hAnsi="黑体" w:eastAsia="仿宋_GB2312"/>
          <w:sz w:val="32"/>
          <w:szCs w:val="32"/>
        </w:rPr>
        <w:t>市园林绿化局局通过当面申请、网上申请等途径全年共受理政府信息公开申请32件。其中：政府信息不存在的10件、依申请公开12件、部分公开1件、已主动公开5件、非本级机关政府信息７件、不予公开的２件。不予公开政府信息的原因是申请人申请的政府信息涉及</w:t>
      </w:r>
      <w:bookmarkStart w:id="3" w:name="_GoBack"/>
      <w:bookmarkEnd w:id="3"/>
      <w:r>
        <w:rPr>
          <w:rFonts w:hint="eastAsia" w:ascii="仿宋_GB2312" w:hAnsi="黑体" w:eastAsia="仿宋_GB2312"/>
          <w:sz w:val="32"/>
          <w:szCs w:val="32"/>
        </w:rPr>
        <w:t>当地驻京部队及国防建设地理信息，经局保密委员会审查确认该政府信息为涉密信息，不予对外公开。</w:t>
      </w:r>
    </w:p>
    <w:p w14:paraId="3F38EFC1">
      <w:pPr>
        <w:spacing w:line="540" w:lineRule="exact"/>
        <w:ind w:firstLine="640"/>
        <w:rPr>
          <w:rFonts w:ascii="仿宋_GB2312" w:hAnsi="黑体" w:eastAsia="仿宋_GB2312"/>
          <w:sz w:val="32"/>
          <w:szCs w:val="32"/>
        </w:rPr>
      </w:pPr>
      <w:r>
        <w:rPr>
          <w:rFonts w:hint="eastAsia" w:ascii="仿宋_GB2312" w:hAnsi="黑体" w:eastAsia="仿宋_GB2312"/>
          <w:sz w:val="32"/>
          <w:szCs w:val="32"/>
        </w:rPr>
        <w:t>通过在线咨询、电话咨询、现场答复共接受市民政府信息咨询144人次，均及时解答。收到群众感谢信纸质信1封、电子邮件5封。</w:t>
      </w:r>
    </w:p>
    <w:p w14:paraId="340E6651">
      <w:pPr>
        <w:spacing w:line="540" w:lineRule="exact"/>
        <w:ind w:firstLine="640" w:firstLineChars="200"/>
        <w:rPr>
          <w:rFonts w:ascii="仿宋_GB2312" w:hAnsi="黑体" w:eastAsia="仿宋_GB2312"/>
          <w:sz w:val="32"/>
          <w:szCs w:val="32"/>
        </w:rPr>
      </w:pPr>
      <w:r>
        <w:rPr>
          <w:rFonts w:hint="eastAsia" w:ascii="楷体_GB2312" w:eastAsia="楷体_GB2312"/>
          <w:sz w:val="32"/>
          <w:szCs w:val="32"/>
        </w:rPr>
        <w:t>（三）政府信息公开行政复议和行政诉讼情况</w:t>
      </w:r>
    </w:p>
    <w:p w14:paraId="03F18E6B">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2017年我局依申请公开政府信息工作全年无行政诉讼、无行政复议。</w:t>
      </w:r>
    </w:p>
    <w:p w14:paraId="51E686FC">
      <w:pPr>
        <w:spacing w:line="540" w:lineRule="exact"/>
        <w:ind w:firstLine="640" w:firstLineChars="200"/>
        <w:rPr>
          <w:rFonts w:ascii="楷体_GB2312" w:eastAsia="楷体_GB2312"/>
          <w:sz w:val="32"/>
          <w:szCs w:val="32"/>
        </w:rPr>
      </w:pPr>
      <w:r>
        <w:rPr>
          <w:rFonts w:hint="eastAsia" w:ascii="楷体_GB2312" w:eastAsia="楷体_GB2312"/>
          <w:sz w:val="32"/>
          <w:szCs w:val="32"/>
        </w:rPr>
        <w:t>（四）政府信息公开的收费以及免除费用的情况</w:t>
      </w:r>
    </w:p>
    <w:p w14:paraId="4ECBA30A">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政府信息公开全年无收费。</w:t>
      </w:r>
    </w:p>
    <w:p w14:paraId="5D6B8987">
      <w:pPr>
        <w:spacing w:line="540" w:lineRule="exact"/>
        <w:ind w:firstLine="640" w:firstLineChars="200"/>
        <w:rPr>
          <w:rFonts w:ascii="黑体" w:hAnsi="黑体" w:eastAsia="黑体"/>
          <w:sz w:val="32"/>
          <w:szCs w:val="32"/>
        </w:rPr>
      </w:pPr>
      <w:r>
        <w:rPr>
          <w:rFonts w:hint="eastAsia" w:ascii="黑体" w:hAnsi="黑体" w:eastAsia="黑体"/>
          <w:sz w:val="32"/>
          <w:szCs w:val="32"/>
        </w:rPr>
        <w:t>二、要点落实情况</w:t>
      </w:r>
    </w:p>
    <w:p w14:paraId="46313AC3">
      <w:pPr>
        <w:spacing w:line="540" w:lineRule="exact"/>
        <w:ind w:firstLine="640" w:firstLineChars="200"/>
        <w:rPr>
          <w:rFonts w:ascii="楷体_GB2312" w:eastAsia="楷体_GB2312"/>
          <w:sz w:val="32"/>
          <w:szCs w:val="32"/>
        </w:rPr>
      </w:pPr>
      <w:r>
        <w:rPr>
          <w:rFonts w:hint="eastAsia" w:ascii="楷体_GB2312" w:eastAsia="楷体_GB2312"/>
          <w:sz w:val="32"/>
          <w:szCs w:val="32"/>
        </w:rPr>
        <w:t>（一）重点领域信息公开</w:t>
      </w:r>
    </w:p>
    <w:p w14:paraId="060B50F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首都园林绿化政务网”设立“城市副中心建设”子目录，将有关城市副中心的园林绿化工程进展情况作为一项重要的政务信息进行公开，及时公开领导检查调研、工程建设进展、京冀交流、园林绿化维护等政府信息77条。针对区域生态环境保护工作，设立“平原造林”、“湿地保护”等专栏，实时更新工作动态。</w:t>
      </w:r>
    </w:p>
    <w:p w14:paraId="3B6AD653">
      <w:pPr>
        <w:spacing w:line="540" w:lineRule="exact"/>
        <w:ind w:firstLine="640"/>
        <w:rPr>
          <w:rFonts w:ascii="楷体_GB2312" w:eastAsia="楷体_GB2312"/>
          <w:sz w:val="32"/>
          <w:szCs w:val="32"/>
        </w:rPr>
      </w:pPr>
      <w:r>
        <w:rPr>
          <w:rFonts w:hint="eastAsia" w:ascii="楷体_GB2312" w:eastAsia="楷体_GB2312"/>
          <w:sz w:val="32"/>
          <w:szCs w:val="32"/>
        </w:rPr>
        <w:t>（二）全面落实“五公开”工作机制</w:t>
      </w:r>
    </w:p>
    <w:p w14:paraId="62DB5D4C">
      <w:pPr>
        <w:spacing w:line="540" w:lineRule="exact"/>
        <w:ind w:firstLine="640"/>
        <w:rPr>
          <w:rFonts w:ascii="仿宋_GB2312" w:eastAsia="仿宋_GB2312"/>
          <w:sz w:val="32"/>
          <w:szCs w:val="32"/>
        </w:rPr>
      </w:pPr>
      <w:r>
        <w:rPr>
          <w:rFonts w:hint="eastAsia" w:ascii="仿宋_GB2312" w:eastAsia="仿宋_GB2312"/>
          <w:sz w:val="32"/>
          <w:szCs w:val="32"/>
        </w:rPr>
        <w:t>大力推进决策公开。及时主动公开市园林绿化局（首都绿化委员会）办公室局长（主任）办公会议纪要4期，完善了会议公开制度，制定《北京市园林绿化局部门办公会议开放制度（试行）》；</w:t>
      </w:r>
    </w:p>
    <w:p w14:paraId="5F36DB6E">
      <w:pPr>
        <w:spacing w:line="540" w:lineRule="exact"/>
        <w:ind w:firstLine="640"/>
        <w:rPr>
          <w:rFonts w:ascii="仿宋_GB2312" w:eastAsia="仿宋_GB2312"/>
          <w:sz w:val="32"/>
          <w:szCs w:val="32"/>
        </w:rPr>
      </w:pPr>
      <w:r>
        <w:rPr>
          <w:rFonts w:hint="eastAsia" w:ascii="仿宋_GB2312" w:eastAsia="仿宋_GB2312"/>
          <w:sz w:val="32"/>
          <w:szCs w:val="32"/>
        </w:rPr>
        <w:t>积极做好执行公开。按照市政府统一规定时间公开年度预决算，在局政务网“督查事项”目录中，公开我局承担市政府为群众拟办重要实事、市园林绿化局重点绩效任务及进展情况、重要节点信息119条。积极推进财政预决算公开，公开局2017年预算、2016决算、“三公”经费等政府信息。</w:t>
      </w:r>
    </w:p>
    <w:p w14:paraId="1BDA2AAC">
      <w:pPr>
        <w:spacing w:line="540" w:lineRule="exact"/>
        <w:ind w:firstLine="640"/>
        <w:rPr>
          <w:rFonts w:ascii="仿宋_GB2312" w:eastAsia="仿宋_GB2312"/>
          <w:sz w:val="32"/>
          <w:szCs w:val="32"/>
        </w:rPr>
      </w:pPr>
      <w:r>
        <w:rPr>
          <w:rFonts w:hint="eastAsia" w:ascii="仿宋_GB2312" w:eastAsia="仿宋_GB2312"/>
          <w:sz w:val="32"/>
          <w:szCs w:val="32"/>
        </w:rPr>
        <w:t>落实管理公开。一是推进简政放权公开各类清单，对138项进行梳理，调整为112项。清理规范证明10项，中介服务事项确定保留2项，其它中介服务一律取消，并已公布了中介服务事项清单。二是创新事中事后监管，对6个已纳入的‘双随机、一公开’事项，组织各处室、单位开展按月开展检查，并公示检查结果。三是推进企业信用信息公开。先后3次召开专题会议、２次培训会议，逐项梳理行政许可、行政处罚事项，行政许可由2016年的52项减少为35项，并在局政务网站上公开937件行政许可。四是推进监管和执法信息公开。推进园林绿化安全生产监管信息公开，及时发布安全生产、检查、生产安全事故调查处理情况信息，完善生产安全事故应急处置信息公开机制，及时发布突发事故应急处置情况，公开相关信息97条。公开行政处罚案件名称、处罚种类、处罚依据、处罚结果等8件。</w:t>
      </w:r>
    </w:p>
    <w:p w14:paraId="05DBF388">
      <w:pPr>
        <w:spacing w:line="540" w:lineRule="exact"/>
        <w:ind w:firstLine="640"/>
        <w:rPr>
          <w:rFonts w:ascii="仿宋_GB2312" w:eastAsia="仿宋_GB2312"/>
          <w:sz w:val="32"/>
          <w:szCs w:val="32"/>
        </w:rPr>
      </w:pPr>
      <w:r>
        <w:rPr>
          <w:rFonts w:hint="eastAsia" w:ascii="仿宋_GB2312" w:eastAsia="仿宋_GB2312"/>
          <w:sz w:val="32"/>
          <w:szCs w:val="32"/>
        </w:rPr>
        <w:t>推进服务公开。公开了服务事项、办事指南，局驻政务服务大厅实现“一个窗口”受理、“一站式”办理，审批和服务事项实现网上信息发布、咨询、申报、受理、办理、反馈等服务流程。按照新版权力清单及时调整了已完成梳理的公共服务事项，并审核了各区公共服务事项，完成公共服务事项和权力清单的对接统一，梳理、录入和审核市区公共服务事项800余项。全面推行互联网+政务服务管理，实现所有事项均在市政务服务网上大厅办理，达到事项与人员的双集中，正在推进电子政务的三个集中办理。</w:t>
      </w:r>
    </w:p>
    <w:p w14:paraId="5FCC7EB6">
      <w:pPr>
        <w:spacing w:line="540" w:lineRule="exact"/>
        <w:ind w:firstLine="640" w:firstLineChars="200"/>
        <w:rPr>
          <w:rFonts w:ascii="仿宋_GB2312" w:eastAsia="仿宋_GB2312"/>
          <w:sz w:val="32"/>
          <w:szCs w:val="32"/>
        </w:rPr>
      </w:pPr>
      <w:r>
        <w:rPr>
          <w:rFonts w:hint="eastAsia" w:ascii="仿宋_GB2312" w:eastAsia="仿宋_GB2312"/>
          <w:sz w:val="32"/>
          <w:szCs w:val="32"/>
        </w:rPr>
        <w:t>结果公开。及时公开市政府工作报告园林绿化重点工作进展情况、市园林绿化局绩效任务等进展情况。建立落实公文公开属性源头管理制度，制定《北京市园林绿化局（首都绿化办）重大行政决策预公开制度》、市园林绿化局政务公开重点任务落实事项等相关制度。</w:t>
      </w:r>
    </w:p>
    <w:p w14:paraId="0059A1AE">
      <w:pPr>
        <w:spacing w:line="540" w:lineRule="exact"/>
        <w:ind w:firstLine="640"/>
        <w:rPr>
          <w:rFonts w:ascii="楷体_GB2312" w:eastAsia="楷体_GB2312"/>
          <w:sz w:val="32"/>
          <w:szCs w:val="32"/>
        </w:rPr>
      </w:pPr>
      <w:r>
        <w:rPr>
          <w:rFonts w:hint="eastAsia" w:ascii="楷体_GB2312" w:eastAsia="楷体_GB2312"/>
          <w:sz w:val="32"/>
          <w:szCs w:val="32"/>
        </w:rPr>
        <w:t>（三）加强平台建设</w:t>
      </w:r>
    </w:p>
    <w:p w14:paraId="57AE0210">
      <w:pPr>
        <w:spacing w:line="540" w:lineRule="exact"/>
        <w:ind w:firstLine="640"/>
        <w:rPr>
          <w:rFonts w:ascii="仿宋_GB2312" w:eastAsia="仿宋_GB2312"/>
          <w:sz w:val="32"/>
          <w:szCs w:val="32"/>
        </w:rPr>
      </w:pPr>
      <w:r>
        <w:rPr>
          <w:rFonts w:hint="eastAsia" w:ascii="仿宋_GB2312" w:hAnsi="黑体" w:eastAsia="仿宋_GB2312"/>
          <w:sz w:val="32"/>
          <w:szCs w:val="32"/>
        </w:rPr>
        <w:t>一是加强机制建设，认真落实《北京市园林绿化局关于进一步加强政务网站建设的意见》和《关于加强北京市园林绿化局政务网站内容保障工作的通知》，进一步强化政务网站信息公开第一平台作用，努力将其打造成更加全面的信息公开平台、更加权威的政策发布解读和舆论引导平台、更加及时的回应关切和便民服务平台。二是拓宽网站内容发布渠道。按照创新、协调、绿色、开放、共享的发展理念，加快推进“互联网＋政务”，着力构建基于互联网的一体化政务服务体系，充分利用新媒体信息传播快的特点，强化信息发布效果，拓宽发布渠道，有效地传递政府的声音。三是加强网站内容建设，局领导高度重视政务网站建设，主管领导针对宣传重点亲自把关；各业务部门积极参与政策解读、在线访谈和服务市民的内容策划与组织。2017年政务网站内容建设水平较以前年度有较大提升，围绕推动非首都功能疏解，着力扩大全市绿色生态空间建设成果开展宣传；围绕落实京津冀协同发展战略，着力宣传三地生态协同和城市副中心园林绿化建设成果；围绕服务保障首都核心功能，着力做好重大活动及重要节日景观环境服务保障宣传报道；围绕提高生态资源保护管理水平进行宣传报道；宣传介绍首都生态资源的多种功能，利用网站渠道扩大绿色增长新业态宣传覆盖面，加快推进林业产业转型升级提质增效；努力提升公园信息的网站服务影响力；宣传推广首都绿化美化科技创新成果等。2017年，在市级政府信息公开系统中公开数据</w:t>
      </w:r>
      <w:r>
        <w:rPr>
          <w:rFonts w:hint="eastAsia" w:ascii="仿宋" w:hAnsi="仿宋" w:eastAsia="仿宋" w:cs="仿宋"/>
          <w:sz w:val="30"/>
          <w:szCs w:val="30"/>
        </w:rPr>
        <w:t>719</w:t>
      </w:r>
      <w:r>
        <w:rPr>
          <w:rFonts w:hint="eastAsia" w:ascii="仿宋_GB2312" w:hAnsi="黑体" w:eastAsia="仿宋_GB2312"/>
          <w:sz w:val="32"/>
          <w:szCs w:val="32"/>
        </w:rPr>
        <w:t>条。</w:t>
      </w:r>
    </w:p>
    <w:p w14:paraId="6F06F41F">
      <w:pPr>
        <w:spacing w:line="540" w:lineRule="exact"/>
        <w:ind w:firstLine="640"/>
        <w:rPr>
          <w:rFonts w:ascii="楷体_GB2312" w:eastAsia="楷体_GB2312"/>
          <w:sz w:val="32"/>
          <w:szCs w:val="32"/>
        </w:rPr>
      </w:pPr>
      <w:r>
        <w:rPr>
          <w:rFonts w:hint="eastAsia" w:ascii="楷体_GB2312" w:eastAsia="楷体_GB2312"/>
          <w:sz w:val="32"/>
          <w:szCs w:val="32"/>
        </w:rPr>
        <w:t>（四）扩大公众参与</w:t>
      </w:r>
    </w:p>
    <w:p w14:paraId="1E813BFB">
      <w:pPr>
        <w:spacing w:line="540" w:lineRule="exact"/>
        <w:ind w:firstLine="640"/>
        <w:rPr>
          <w:rFonts w:ascii="仿宋_GB2312" w:eastAsia="仿宋_GB2312"/>
          <w:sz w:val="32"/>
          <w:szCs w:val="32"/>
        </w:rPr>
      </w:pPr>
      <w:r>
        <w:rPr>
          <w:rFonts w:hint="eastAsia" w:ascii="仿宋_GB2312" w:eastAsia="仿宋_GB2312"/>
          <w:sz w:val="32"/>
          <w:szCs w:val="32"/>
        </w:rPr>
        <w:t>在涉及重大公共利益和公众权益的重要决策过程中，通过多种方式广泛征求社会意见，扩大决策中的公众参与。针对我市完善集体林权制度工作，召开了二十多次座谈会，吸收包括行业专家、相关企业等社会各方面意见。针对新一轮百万亩造林工作，先行召开了院士专家、人大代表、政协委员座谈会，结合多个专业领域，从科学、专业的角度提出了建议，并计划通过微信公众平台、调查问卷等形式，吸引社会公众为新一轮百万亩造林绿化献计献策。</w:t>
      </w:r>
    </w:p>
    <w:p w14:paraId="73C9F2D4">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（五）加强组织领导，健全完善信息和政务公开工作机制</w:t>
      </w:r>
    </w:p>
    <w:p w14:paraId="6370CD3E">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一是加强和完善领导机制。充实和调整政务公开工作领导小组，成立由副巡视员周庆生同志任组长，相关主要业务处室所负责人参加的政务公开工作领导小组，统一负责局信息和政务公开工作的组织实施，局办公室负责牵头落实政务公开的各项要求，做到了领导、机构、人员“三到位”。二是建立健全各项制度。我局通过建立健全政务公开责任、审议、备案和监督等制度，促进政务公开工作走上制度化、规范化的轨道。三是定期召开信息公开领导小组专题会议进行难题会诊，研究对策，妥善处理依申请的答复问题，截至目前共召开依申请政府信息分析会7次，2次组织召开培训会，3次向主管局领导专题汇报政务公开工作。</w:t>
      </w:r>
    </w:p>
    <w:p w14:paraId="7236B292">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（六）注重制度建设，提高政务公开质量水平</w:t>
      </w:r>
    </w:p>
    <w:p w14:paraId="4C8F65A3">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市政府《关于全面推进政务公开工作的实施意见》相关精神，我局先后制定了《北京市园林绿化局全面推进政务公开实施方案》、《北京市园林绿化局关于印发〈北京市园林绿化局行政许可和行政处罚等信用信息公示工作实施方案〉的通知》、《北京市园林绿化局关于进一步做好重要政策解读工作的通知》（京绿办发〔2017〕7号）等相关文件，对信息和政务公开的范围、政务公开的内容、政务公开的形式、政务公开的制度等作了进一步的明确。公开的内容更加充实，积极推进一般事项公开向重点事项公开、结果公开向全过程公的转变，不断提高信息和政务公开的质量。</w:t>
      </w:r>
    </w:p>
    <w:p w14:paraId="4FD03EB3">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（七）探索创新方式，积极发挥新媒体在信息和政务公开公开中的作用</w:t>
      </w:r>
    </w:p>
    <w:p w14:paraId="20B656D3">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便利、实用、有效的原则，认真创新政府信息公开的新载体、新形式，使信息公开的形式呈现灵活多样。依托首都园林绿化政务网站、新浪官方微博、微信、手机APP客户端等方式，推进政府信息和政务公开，把网络列为公开信息、网上申请、审批的重要途径，将公开信息编制公开目录，逐一上网发布。在做好信息公开的同时，注意抓好宣传工作，结合法治宣传日、廉政教育等活动，加大宣传的广度和深度，向广大群众宣传各项政策法规，开展网上互动，提高群众对园林政务信息公开工作的知晓度。</w:t>
      </w:r>
    </w:p>
    <w:p w14:paraId="180BCFC4">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（八）强化监督责任，确保信息和政务公开落实</w:t>
      </w:r>
    </w:p>
    <w:p w14:paraId="352BDD9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将政务公开工作与党风廉政建设、行风建设综合进行检查、考评，考评结果纳入岗位目标责任制。采取多种形式，强化监督检查工作，实行定期检查与不定期检查相结合。同时，鼓励广大干部、群众积极参与监督，积极反映公开过程中存在的突出问题，使公开工作更加扎实、有序开展。积极认真办理人大、政协议案、提案，自觉接受人大代表、政协委员监督。</w:t>
      </w:r>
    </w:p>
    <w:p w14:paraId="65BD699D">
      <w:pPr>
        <w:spacing w:line="540" w:lineRule="exact"/>
        <w:ind w:firstLine="640" w:firstLineChars="200"/>
        <w:rPr>
          <w:rFonts w:ascii="黑体" w:hAnsi="黑体" w:eastAsia="黑体"/>
          <w:sz w:val="32"/>
          <w:szCs w:val="32"/>
        </w:rPr>
      </w:pPr>
      <w:r>
        <w:rPr>
          <w:rFonts w:hint="eastAsia" w:ascii="黑体" w:hAnsi="黑体" w:eastAsia="黑体"/>
          <w:sz w:val="32"/>
          <w:szCs w:val="32"/>
        </w:rPr>
        <w:t>三、存在的问题及下一步工作计划</w:t>
      </w:r>
    </w:p>
    <w:p w14:paraId="29AC4093">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2017年，我局政府信息和政务公开工作在深化政府信息公开内容、公开的深度、形式等方面取得了新的进展，但与市政府的要求还有不小的差距。一是在制度建设方面需进一步加大力度，构建完整的公开体系；二是工作规范化、公开形式多标准化、形象化有待加强；三是信息发布时效还较大的提升空间。下一步，我们将加大信息和政务公开工作力度，完善新的工作机制，查漏补缺，提高市民群众对政府信息和政务公开工作的满意率。</w:t>
      </w:r>
    </w:p>
    <w:p w14:paraId="03DDE16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一是加强体系建设。进一步加大公开制度体系建设，规范信息公开、新闻发布、在线答复、网上互动、微博、微信发布，拓展信息公开渠道。以群众需求为导向，努力打造成方便群众知情、便于群众监督、热情服务群众的信息公开平台。</w:t>
      </w:r>
    </w:p>
    <w:p w14:paraId="451235A5">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二是完善制度建设。进一步健全和完善信息和政务公开各项制度，加强内部沟通协调机制，明确责任分工，规范和完善信息和政务公开的内容、形式。在落实重大决策预公开、会议开放制度等方面有突破；在舆情应对方面做到快速有效；对涉及人民群众关心的重大问题、重大决策做到及时公开，提高信息发布数量质量和时效性。</w:t>
      </w:r>
    </w:p>
    <w:p w14:paraId="6B72014C">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三是加强学习培训。通过开展广泛的宣传教育，组织局机关认真学习国务院、市政府相关信息和政务公开文件精神，切实提高机关干部对做好信息和政务公开工作重要性的认识，细化措施，落实责任，把信息和政务公开工作纳入到干部培训体系中，不断推进我局信息公开工作有序开展。</w:t>
      </w:r>
    </w:p>
    <w:p w14:paraId="340614FE">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四是抓好保密安全。不断完善主动公开和依申请公开保密审查制度，加大对信息和政务公开工作的监督检查，防止发生失泄密现象。</w:t>
      </w:r>
    </w:p>
    <w:p w14:paraId="3D9E21A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附件：政府信息公开情况统计表（2017年度）</w:t>
      </w:r>
    </w:p>
    <w:p w14:paraId="124BB5CD">
      <w:pPr>
        <w:spacing w:line="540" w:lineRule="exact"/>
        <w:ind w:firstLine="640" w:firstLineChars="200"/>
        <w:rPr>
          <w:rFonts w:ascii="仿宋_GB2312" w:hAnsi="黑体" w:eastAsia="仿宋_GB2312"/>
          <w:sz w:val="32"/>
          <w:szCs w:val="32"/>
        </w:rPr>
      </w:pPr>
    </w:p>
    <w:p w14:paraId="7FB1A233">
      <w:pPr>
        <w:spacing w:line="540" w:lineRule="exact"/>
        <w:ind w:firstLine="640" w:firstLineChars="200"/>
        <w:rPr>
          <w:rFonts w:ascii="仿宋_GB2312" w:hAnsi="黑体" w:eastAsia="仿宋_GB2312"/>
          <w:sz w:val="32"/>
          <w:szCs w:val="32"/>
        </w:rPr>
      </w:pPr>
    </w:p>
    <w:p w14:paraId="70CABB99">
      <w:pPr>
        <w:wordWrap w:val="0"/>
        <w:spacing w:line="540" w:lineRule="exact"/>
        <w:ind w:firstLine="640" w:firstLineChars="200"/>
        <w:jc w:val="right"/>
        <w:rPr>
          <w:rFonts w:ascii="仿宋_GB2312" w:hAnsi="黑体" w:eastAsia="仿宋_GB2312"/>
          <w:sz w:val="32"/>
          <w:szCs w:val="32"/>
        </w:rPr>
      </w:pPr>
      <w:r>
        <w:rPr>
          <w:rFonts w:hint="eastAsia" w:ascii="仿宋_GB2312" w:hAnsi="黑体" w:eastAsia="仿宋_GB2312"/>
          <w:sz w:val="32"/>
          <w:szCs w:val="32"/>
        </w:rPr>
        <w:t xml:space="preserve">北京市园林绿化局    </w:t>
      </w:r>
    </w:p>
    <w:p w14:paraId="70480AF8">
      <w:pPr>
        <w:wordWrap w:val="0"/>
        <w:spacing w:line="540" w:lineRule="exact"/>
        <w:ind w:firstLine="640" w:firstLineChars="200"/>
        <w:jc w:val="right"/>
        <w:rPr>
          <w:rFonts w:hint="eastAsia" w:ascii="仿宋_GB2312" w:hAnsi="黑体" w:eastAsia="仿宋_GB2312"/>
          <w:sz w:val="32"/>
          <w:szCs w:val="32"/>
        </w:rPr>
      </w:pPr>
      <w:r>
        <w:rPr>
          <w:rFonts w:hint="eastAsia" w:ascii="仿宋_GB2312" w:hAnsi="黑体" w:eastAsia="仿宋_GB2312"/>
          <w:sz w:val="32"/>
          <w:szCs w:val="32"/>
        </w:rPr>
        <w:t xml:space="preserve">2018年3月      </w:t>
      </w:r>
    </w:p>
    <w:p w14:paraId="037CAEFB">
      <w:pPr>
        <w:widowControl/>
        <w:jc w:val="left"/>
        <w:rPr>
          <w:rFonts w:ascii="仿宋_GB2312" w:hAnsi="黑体" w:eastAsia="仿宋_GB2312"/>
          <w:sz w:val="32"/>
          <w:szCs w:val="32"/>
        </w:rPr>
      </w:pPr>
      <w:r>
        <w:rPr>
          <w:rFonts w:ascii="仿宋_GB2312" w:hAnsi="黑体" w:eastAsia="仿宋_GB2312"/>
          <w:sz w:val="32"/>
          <w:szCs w:val="32"/>
        </w:rPr>
        <w:br w:type="page"/>
      </w:r>
    </w:p>
    <w:p w14:paraId="0A3D7C8C">
      <w:pPr>
        <w:spacing w:line="560" w:lineRule="exact"/>
        <w:rPr>
          <w:rFonts w:hint="eastAsia" w:ascii="黑体" w:hAnsi="仿宋_GB2312" w:eastAsia="黑体"/>
          <w:color w:val="000000"/>
          <w:sz w:val="32"/>
          <w:szCs w:val="32"/>
        </w:rPr>
      </w:pPr>
      <w:bookmarkStart w:id="0" w:name="OLE_LINK4"/>
      <w:bookmarkStart w:id="1" w:name="OLE_LINK3"/>
      <w:r>
        <w:rPr>
          <w:rFonts w:hint="eastAsia" w:ascii="黑体" w:eastAsia="黑体" w:cs="仿宋_GB2312"/>
          <w:sz w:val="32"/>
          <w:szCs w:val="32"/>
        </w:rPr>
        <w:t>附表：</w:t>
      </w:r>
    </w:p>
    <w:tbl>
      <w:tblPr>
        <w:tblStyle w:val="5"/>
        <w:tblW w:w="9555" w:type="dxa"/>
        <w:jc w:val="center"/>
        <w:tblLayout w:type="autofit"/>
        <w:tblCellMar>
          <w:top w:w="0" w:type="dxa"/>
          <w:left w:w="108" w:type="dxa"/>
          <w:bottom w:w="0" w:type="dxa"/>
          <w:right w:w="108" w:type="dxa"/>
        </w:tblCellMar>
      </w:tblPr>
      <w:tblGrid>
        <w:gridCol w:w="7755"/>
        <w:gridCol w:w="720"/>
        <w:gridCol w:w="1080"/>
      </w:tblGrid>
      <w:tr w14:paraId="1CA1B355">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14:paraId="40A98FFD">
            <w:pPr>
              <w:widowControl/>
              <w:jc w:val="center"/>
              <w:rPr>
                <w:rFonts w:hint="eastAsia" w:ascii="方正小标宋简体" w:hAnsi="宋体" w:eastAsia="方正小标宋简体" w:cs="宋体"/>
                <w:color w:val="000000"/>
                <w:kern w:val="0"/>
                <w:sz w:val="44"/>
                <w:szCs w:val="44"/>
              </w:rPr>
            </w:pPr>
            <w:bookmarkStart w:id="2" w:name="OLE_LINK5"/>
            <w:r>
              <w:rPr>
                <w:rFonts w:hint="eastAsia" w:ascii="方正小标宋简体" w:hAnsi="宋体" w:eastAsia="方正小标宋简体" w:cs="宋体"/>
                <w:color w:val="000000"/>
                <w:kern w:val="0"/>
                <w:sz w:val="44"/>
                <w:szCs w:val="44"/>
              </w:rPr>
              <w:t>政府信息公开情况统计表</w:t>
            </w:r>
          </w:p>
        </w:tc>
      </w:tr>
      <w:tr w14:paraId="6809E268">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14:paraId="02D9B3E0">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（2017年度）</w:t>
            </w:r>
          </w:p>
        </w:tc>
      </w:tr>
      <w:tr w14:paraId="2C2FC5D9">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21790183">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45C868DF">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2421DFD1">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12C6395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E48741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7C5A6E3A">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bottom"/>
          </w:tcPr>
          <w:p w14:paraId="47237664">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14:paraId="21D6DC86">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88009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3A81556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73B4F9F7">
            <w:pPr>
              <w:widowControl/>
              <w:jc w:val="left"/>
              <w:rPr>
                <w:rFonts w:ascii="Arial" w:hAnsi="Arial" w:eastAsia="宋体" w:cs="Arial"/>
                <w:kern w:val="0"/>
                <w:sz w:val="20"/>
                <w:szCs w:val="20"/>
              </w:rPr>
            </w:pPr>
            <w:r>
              <w:rPr>
                <w:rFonts w:ascii="Arial" w:hAnsi="Arial" w:eastAsia="宋体" w:cs="Arial"/>
                <w:kern w:val="0"/>
                <w:sz w:val="20"/>
                <w:szCs w:val="20"/>
              </w:rPr>
              <w:t>1265</w:t>
            </w:r>
          </w:p>
        </w:tc>
      </w:tr>
      <w:tr w14:paraId="34EEEFC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C9BFB1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71DBEDB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6BC18BEE">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221C1C8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0EFC2AA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71E950C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04149AB7">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5F721DD1">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31672DA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467E0E4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26801F65">
            <w:pPr>
              <w:widowControl/>
              <w:jc w:val="left"/>
              <w:rPr>
                <w:rFonts w:ascii="Arial" w:hAnsi="Arial" w:eastAsia="宋体" w:cs="Arial"/>
                <w:kern w:val="0"/>
                <w:sz w:val="20"/>
                <w:szCs w:val="20"/>
              </w:rPr>
            </w:pPr>
            <w:r>
              <w:rPr>
                <w:rFonts w:hint="eastAsia" w:ascii="Arial" w:hAnsi="Arial" w:eastAsia="宋体" w:cs="Arial"/>
                <w:kern w:val="0"/>
                <w:sz w:val="20"/>
                <w:szCs w:val="20"/>
              </w:rPr>
              <w:t>190</w:t>
            </w:r>
          </w:p>
        </w:tc>
      </w:tr>
      <w:tr w14:paraId="657EEA71">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7616BE6">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58535A9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3CBA23D3">
            <w:pPr>
              <w:widowControl/>
              <w:jc w:val="left"/>
              <w:rPr>
                <w:rFonts w:ascii="Arial" w:hAnsi="Arial" w:eastAsia="宋体" w:cs="Arial"/>
                <w:kern w:val="0"/>
                <w:sz w:val="20"/>
                <w:szCs w:val="20"/>
              </w:rPr>
            </w:pPr>
            <w:r>
              <w:rPr>
                <w:rFonts w:ascii="Arial" w:hAnsi="Arial" w:eastAsia="宋体" w:cs="Arial"/>
                <w:kern w:val="0"/>
                <w:sz w:val="20"/>
                <w:szCs w:val="20"/>
              </w:rPr>
              <w:t>6</w:t>
            </w:r>
          </w:p>
        </w:tc>
      </w:tr>
      <w:tr w14:paraId="7CC0F493">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27AB72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1B6CE4C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4EC1A80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FA56A4D">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770B91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0E4ADB4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14:paraId="75D9BED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3DDDD56">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1FA12F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5BE5C22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14:paraId="2DF743F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FAC39DD">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837A5A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5CAF8C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14:paraId="184C7AEB">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14:paraId="76CB4550">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782E7A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808CB5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14:paraId="0F6E6C9E">
            <w:pPr>
              <w:widowControl/>
              <w:jc w:val="left"/>
              <w:rPr>
                <w:rFonts w:ascii="Arial" w:hAnsi="Arial" w:eastAsia="宋体" w:cs="Arial"/>
                <w:kern w:val="0"/>
                <w:sz w:val="20"/>
                <w:szCs w:val="20"/>
              </w:rPr>
            </w:pPr>
            <w:r>
              <w:rPr>
                <w:rFonts w:ascii="Arial" w:hAnsi="Arial" w:eastAsia="宋体" w:cs="Arial"/>
                <w:kern w:val="0"/>
                <w:sz w:val="20"/>
                <w:szCs w:val="20"/>
              </w:rPr>
              <w:t>183</w:t>
            </w:r>
          </w:p>
        </w:tc>
      </w:tr>
      <w:tr w14:paraId="08CD9290">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61A303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D3E09A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14:paraId="7FEB1C6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71DE2A3">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5EFE4E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5236101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14:paraId="200AFEE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F139A9D">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EB86D2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4C249F3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280090C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54DD296">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C91183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509EDD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14:paraId="68CFE0A1">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165A089D">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A1BEFA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27F36C9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bottom"/>
          </w:tcPr>
          <w:p w14:paraId="2555BB4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A20B443">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83DB61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347B8CE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14:paraId="1C35C50B">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14:paraId="7F8C858A">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CFBA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792EA773">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bottom"/>
          </w:tcPr>
          <w:p w14:paraId="27B24DC7">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14:paraId="00D97454">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4F1E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C9AD90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0B30660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662928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E438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84F331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452B9D5D">
            <w:pPr>
              <w:widowControl/>
              <w:jc w:val="left"/>
              <w:rPr>
                <w:rFonts w:ascii="Arial" w:hAnsi="Arial" w:eastAsia="宋体" w:cs="Arial"/>
                <w:kern w:val="0"/>
                <w:sz w:val="20"/>
                <w:szCs w:val="20"/>
              </w:rPr>
            </w:pPr>
            <w:r>
              <w:rPr>
                <w:rFonts w:ascii="Arial" w:hAnsi="Arial" w:eastAsia="宋体" w:cs="Arial"/>
                <w:kern w:val="0"/>
                <w:sz w:val="20"/>
                <w:szCs w:val="20"/>
              </w:rPr>
              <w:t>1739</w:t>
            </w:r>
          </w:p>
        </w:tc>
      </w:tr>
      <w:tr w14:paraId="4EDD0BB7">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5ACC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6271298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21C9FEE2">
            <w:pPr>
              <w:widowControl/>
              <w:jc w:val="left"/>
              <w:rPr>
                <w:rFonts w:ascii="Arial" w:hAnsi="Arial" w:eastAsia="宋体" w:cs="Arial"/>
                <w:kern w:val="0"/>
                <w:sz w:val="20"/>
                <w:szCs w:val="20"/>
              </w:rPr>
            </w:pPr>
            <w:r>
              <w:rPr>
                <w:rFonts w:ascii="Arial" w:hAnsi="Arial" w:eastAsia="宋体" w:cs="Arial"/>
                <w:kern w:val="0"/>
                <w:sz w:val="20"/>
                <w:szCs w:val="20"/>
              </w:rPr>
              <w:t>860</w:t>
            </w:r>
          </w:p>
        </w:tc>
      </w:tr>
      <w:tr w14:paraId="4152429C">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438D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B055E4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4CBC3A74">
            <w:pPr>
              <w:widowControl/>
              <w:jc w:val="left"/>
              <w:rPr>
                <w:rFonts w:ascii="Arial" w:hAnsi="Arial" w:eastAsia="宋体" w:cs="Arial"/>
                <w:kern w:val="0"/>
                <w:sz w:val="20"/>
                <w:szCs w:val="20"/>
              </w:rPr>
            </w:pPr>
            <w:r>
              <w:rPr>
                <w:rFonts w:ascii="Arial" w:hAnsi="Arial" w:eastAsia="宋体" w:cs="Arial"/>
                <w:kern w:val="0"/>
                <w:sz w:val="20"/>
                <w:szCs w:val="20"/>
              </w:rPr>
              <w:t>2005</w:t>
            </w:r>
          </w:p>
        </w:tc>
      </w:tr>
      <w:tr w14:paraId="7DB94CEF">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701C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7F99521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14:paraId="2A88FD6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9A3691E">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74C85">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29B2479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14:paraId="39A3450C">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14:paraId="171385A3">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A74F3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347C861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1A79CB75">
            <w:pPr>
              <w:widowControl/>
              <w:jc w:val="left"/>
              <w:rPr>
                <w:rFonts w:ascii="Arial" w:hAnsi="Arial" w:eastAsia="宋体" w:cs="Arial"/>
                <w:kern w:val="0"/>
                <w:sz w:val="20"/>
                <w:szCs w:val="20"/>
              </w:rPr>
            </w:pPr>
            <w:r>
              <w:rPr>
                <w:rFonts w:ascii="Arial" w:hAnsi="Arial" w:eastAsia="宋体" w:cs="Arial"/>
                <w:kern w:val="0"/>
                <w:sz w:val="20"/>
                <w:szCs w:val="20"/>
              </w:rPr>
              <w:t>8</w:t>
            </w:r>
          </w:p>
        </w:tc>
      </w:tr>
      <w:tr w14:paraId="6703295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0C40A2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00B483F5">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14:paraId="0E6468EC">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14:paraId="14ED62C5">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AA69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12C52C40">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00A0CABD">
            <w:pPr>
              <w:widowControl/>
              <w:jc w:val="left"/>
              <w:rPr>
                <w:rFonts w:ascii="Arial" w:hAnsi="Arial" w:eastAsia="宋体" w:cs="Arial"/>
                <w:kern w:val="0"/>
                <w:sz w:val="20"/>
                <w:szCs w:val="20"/>
              </w:rPr>
            </w:pPr>
            <w:r>
              <w:rPr>
                <w:rFonts w:ascii="Arial" w:hAnsi="Arial" w:eastAsia="宋体" w:cs="Arial"/>
                <w:kern w:val="0"/>
                <w:sz w:val="20"/>
                <w:szCs w:val="20"/>
              </w:rPr>
              <w:t>12</w:t>
            </w:r>
          </w:p>
        </w:tc>
      </w:tr>
      <w:tr w14:paraId="2BD40E5A">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243D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5C597DB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233535FB">
            <w:pPr>
              <w:widowControl/>
              <w:jc w:val="left"/>
              <w:rPr>
                <w:rFonts w:ascii="Arial" w:hAnsi="Arial" w:eastAsia="宋体" w:cs="Arial"/>
                <w:kern w:val="0"/>
                <w:sz w:val="20"/>
                <w:szCs w:val="20"/>
              </w:rPr>
            </w:pPr>
            <w:r>
              <w:rPr>
                <w:rFonts w:ascii="Arial" w:hAnsi="Arial" w:eastAsia="宋体" w:cs="Arial"/>
                <w:kern w:val="0"/>
                <w:sz w:val="20"/>
                <w:szCs w:val="20"/>
              </w:rPr>
              <w:t>10</w:t>
            </w:r>
          </w:p>
        </w:tc>
      </w:tr>
      <w:tr w14:paraId="7C61094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BD8A3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48AF0B4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4482DCE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EED762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8D9FB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52C1839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30BB52A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7F8D05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4586F6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311B1D69">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bottom"/>
          </w:tcPr>
          <w:p w14:paraId="22C6D8E2">
            <w:pPr>
              <w:widowControl/>
              <w:jc w:val="left"/>
              <w:rPr>
                <w:rFonts w:ascii="Arial" w:hAnsi="Arial" w:eastAsia="宋体" w:cs="Arial"/>
                <w:kern w:val="0"/>
                <w:sz w:val="20"/>
                <w:szCs w:val="20"/>
              </w:rPr>
            </w:pPr>
            <w:r>
              <w:rPr>
                <w:rFonts w:ascii="Arial" w:hAnsi="Arial" w:eastAsia="宋体" w:cs="Arial"/>
                <w:kern w:val="0"/>
                <w:sz w:val="20"/>
                <w:szCs w:val="20"/>
              </w:rPr>
              <w:t>40</w:t>
            </w:r>
          </w:p>
        </w:tc>
      </w:tr>
      <w:tr w14:paraId="0ED917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8F350B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0C0F8E1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12AD4861">
            <w:pPr>
              <w:widowControl/>
              <w:jc w:val="left"/>
              <w:rPr>
                <w:rFonts w:ascii="Arial" w:hAnsi="Arial" w:eastAsia="宋体" w:cs="Arial"/>
                <w:kern w:val="0"/>
                <w:sz w:val="20"/>
                <w:szCs w:val="20"/>
              </w:rPr>
            </w:pPr>
            <w:r>
              <w:rPr>
                <w:rFonts w:ascii="Arial" w:hAnsi="Arial" w:eastAsia="宋体" w:cs="Arial"/>
                <w:kern w:val="0"/>
                <w:sz w:val="20"/>
                <w:szCs w:val="20"/>
              </w:rPr>
              <w:t>7</w:t>
            </w:r>
          </w:p>
        </w:tc>
      </w:tr>
      <w:tr w14:paraId="7FBC40C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DFEBF0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26B535D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0656206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CFD469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2D019B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1AAFD22F">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14:paraId="7505D416">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14:paraId="6C2CA71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06A439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53F5A3F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57804DD">
            <w:pPr>
              <w:widowControl/>
              <w:jc w:val="left"/>
              <w:rPr>
                <w:rFonts w:ascii="Arial" w:hAnsi="Arial" w:eastAsia="宋体" w:cs="Arial"/>
                <w:kern w:val="0"/>
                <w:sz w:val="20"/>
                <w:szCs w:val="20"/>
              </w:rPr>
            </w:pPr>
            <w:r>
              <w:rPr>
                <w:rFonts w:ascii="Arial" w:hAnsi="Arial" w:eastAsia="宋体" w:cs="Arial"/>
                <w:kern w:val="0"/>
                <w:sz w:val="20"/>
                <w:szCs w:val="20"/>
              </w:rPr>
              <w:t>29</w:t>
            </w:r>
          </w:p>
        </w:tc>
      </w:tr>
      <w:tr w14:paraId="57B032D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83F95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776547D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5D5197BD">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1612AD3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C0D247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1CC4E06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3209B929">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6EDCB36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87B2FD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55E309F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5D7DD65">
            <w:pPr>
              <w:widowControl/>
              <w:jc w:val="left"/>
              <w:rPr>
                <w:rFonts w:ascii="Arial" w:hAnsi="Arial" w:eastAsia="宋体" w:cs="Arial"/>
                <w:kern w:val="0"/>
                <w:sz w:val="20"/>
                <w:szCs w:val="20"/>
              </w:rPr>
            </w:pPr>
            <w:r>
              <w:rPr>
                <w:rFonts w:ascii="Arial" w:hAnsi="Arial" w:eastAsia="宋体" w:cs="Arial"/>
                <w:kern w:val="0"/>
                <w:sz w:val="20"/>
                <w:szCs w:val="20"/>
              </w:rPr>
              <w:t>16</w:t>
            </w:r>
          </w:p>
        </w:tc>
      </w:tr>
      <w:tr w14:paraId="31EA45F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FBB625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39E2A57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4C8B8B39">
            <w:pPr>
              <w:widowControl/>
              <w:jc w:val="left"/>
              <w:rPr>
                <w:rFonts w:ascii="Arial" w:hAnsi="Arial" w:eastAsia="宋体" w:cs="Arial"/>
                <w:kern w:val="0"/>
                <w:sz w:val="20"/>
                <w:szCs w:val="20"/>
              </w:rPr>
            </w:pPr>
            <w:r>
              <w:rPr>
                <w:rFonts w:ascii="Arial" w:hAnsi="Arial" w:eastAsia="宋体" w:cs="Arial"/>
                <w:kern w:val="0"/>
                <w:sz w:val="20"/>
                <w:szCs w:val="20"/>
              </w:rPr>
              <w:t>8</w:t>
            </w:r>
          </w:p>
        </w:tc>
      </w:tr>
      <w:tr w14:paraId="622C4F7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89AE03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0114DF5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49A251AF">
            <w:pPr>
              <w:widowControl/>
              <w:jc w:val="left"/>
              <w:rPr>
                <w:rFonts w:ascii="Arial" w:hAnsi="Arial" w:eastAsia="宋体" w:cs="Arial"/>
                <w:kern w:val="0"/>
                <w:sz w:val="20"/>
                <w:szCs w:val="20"/>
              </w:rPr>
            </w:pPr>
            <w:r>
              <w:rPr>
                <w:rFonts w:ascii="Arial" w:hAnsi="Arial" w:eastAsia="宋体" w:cs="Arial"/>
                <w:kern w:val="0"/>
                <w:sz w:val="20"/>
                <w:szCs w:val="20"/>
              </w:rPr>
              <w:t>31</w:t>
            </w:r>
          </w:p>
        </w:tc>
      </w:tr>
      <w:tr w14:paraId="6859433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FC0A87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3A5BA21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069DE325">
            <w:pPr>
              <w:widowControl/>
              <w:jc w:val="left"/>
              <w:rPr>
                <w:rFonts w:ascii="Arial" w:hAnsi="Arial" w:eastAsia="宋体" w:cs="Arial"/>
                <w:kern w:val="0"/>
                <w:sz w:val="20"/>
                <w:szCs w:val="20"/>
              </w:rPr>
            </w:pPr>
            <w:r>
              <w:rPr>
                <w:rFonts w:ascii="Arial" w:hAnsi="Arial" w:eastAsia="宋体" w:cs="Arial"/>
                <w:kern w:val="0"/>
                <w:sz w:val="20"/>
                <w:szCs w:val="20"/>
              </w:rPr>
              <w:t>30</w:t>
            </w:r>
          </w:p>
        </w:tc>
      </w:tr>
      <w:tr w14:paraId="1014144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F5D60C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3E0956B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3236DA67">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6BD75C6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A8C148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04597C9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4BE82D1E">
            <w:pPr>
              <w:widowControl/>
              <w:jc w:val="left"/>
              <w:rPr>
                <w:rFonts w:ascii="Arial" w:hAnsi="Arial" w:eastAsia="宋体" w:cs="Arial"/>
                <w:kern w:val="0"/>
                <w:sz w:val="20"/>
                <w:szCs w:val="20"/>
              </w:rPr>
            </w:pPr>
            <w:r>
              <w:rPr>
                <w:rFonts w:ascii="Arial" w:hAnsi="Arial" w:eastAsia="宋体" w:cs="Arial"/>
                <w:kern w:val="0"/>
                <w:sz w:val="20"/>
                <w:szCs w:val="20"/>
              </w:rPr>
              <w:t>31</w:t>
            </w:r>
          </w:p>
        </w:tc>
      </w:tr>
      <w:tr w14:paraId="44D4A33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E24EB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3D3ECFA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47443C63">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696C4AF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278C42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3D09CAF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561DB30F">
            <w:pPr>
              <w:widowControl/>
              <w:jc w:val="left"/>
              <w:rPr>
                <w:rFonts w:ascii="Arial" w:hAnsi="Arial" w:eastAsia="宋体" w:cs="Arial"/>
                <w:kern w:val="0"/>
                <w:sz w:val="20"/>
                <w:szCs w:val="20"/>
              </w:rPr>
            </w:pPr>
            <w:r>
              <w:rPr>
                <w:rFonts w:ascii="Arial" w:hAnsi="Arial" w:eastAsia="宋体" w:cs="Arial"/>
                <w:kern w:val="0"/>
                <w:sz w:val="20"/>
                <w:szCs w:val="20"/>
              </w:rPr>
              <w:t>10</w:t>
            </w:r>
          </w:p>
        </w:tc>
      </w:tr>
      <w:tr w14:paraId="3881544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47840A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4197946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66602FBC">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2C69D4C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7D16E0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49694E8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8D00FFB">
            <w:pPr>
              <w:widowControl/>
              <w:jc w:val="left"/>
              <w:rPr>
                <w:rFonts w:ascii="Arial" w:hAnsi="Arial" w:eastAsia="宋体" w:cs="Arial"/>
                <w:kern w:val="0"/>
                <w:sz w:val="20"/>
                <w:szCs w:val="20"/>
              </w:rPr>
            </w:pPr>
            <w:r>
              <w:rPr>
                <w:rFonts w:ascii="Arial" w:hAnsi="Arial" w:eastAsia="宋体" w:cs="Arial"/>
                <w:kern w:val="0"/>
                <w:sz w:val="20"/>
                <w:szCs w:val="20"/>
              </w:rPr>
              <w:t>3</w:t>
            </w:r>
          </w:p>
        </w:tc>
      </w:tr>
      <w:tr w14:paraId="549EE8E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0DA48E1">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4BBE8C3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0ED0B298">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75D5279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802DBA1">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38BC056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0A252B0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1DE5C7D">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E8E0F">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84C3E6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14:paraId="11BB81F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039F56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FCCF9CD">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1A45EEB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421826BA">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36E4367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FC7CA88">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1CC9777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13FE629">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5D1F78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DB494E0">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7BAE33C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7862159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B153DF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45C90F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5318956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5BDED5B5">
            <w:pPr>
              <w:widowControl/>
              <w:jc w:val="left"/>
              <w:rPr>
                <w:rFonts w:ascii="Arial" w:hAnsi="Arial" w:eastAsia="宋体" w:cs="Arial"/>
                <w:kern w:val="0"/>
                <w:sz w:val="20"/>
                <w:szCs w:val="20"/>
              </w:rPr>
            </w:pPr>
            <w:r>
              <w:rPr>
                <w:rFonts w:ascii="Arial" w:hAnsi="Arial" w:eastAsia="宋体" w:cs="Arial"/>
                <w:kern w:val="0"/>
                <w:sz w:val="20"/>
                <w:szCs w:val="20"/>
              </w:rPr>
              <w:t>6</w:t>
            </w:r>
          </w:p>
        </w:tc>
      </w:tr>
      <w:tr w14:paraId="47CB5F3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71496C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3D63B4B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51797150">
            <w:pPr>
              <w:widowControl/>
              <w:jc w:val="left"/>
              <w:rPr>
                <w:rFonts w:ascii="Arial" w:hAnsi="Arial" w:eastAsia="宋体" w:cs="Arial"/>
                <w:kern w:val="0"/>
                <w:sz w:val="20"/>
                <w:szCs w:val="20"/>
              </w:rPr>
            </w:pPr>
            <w:r>
              <w:rPr>
                <w:rFonts w:ascii="Arial" w:hAnsi="Arial" w:eastAsia="宋体" w:cs="Arial"/>
                <w:kern w:val="0"/>
                <w:sz w:val="20"/>
                <w:szCs w:val="20"/>
              </w:rPr>
              <w:t>7</w:t>
            </w:r>
          </w:p>
        </w:tc>
      </w:tr>
      <w:tr w14:paraId="157812C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B1917D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1F81D3F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33DD759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B15023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6D624B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0657BBA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54E096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074E8D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1AA9B7C">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52C08FEC">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34D8573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8D8C36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35797A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7086710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10BCDED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28F458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3A1FF8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41DA2F6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3EFA83D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549222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460F37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（三）其他情形数（含未审结162件）</w:t>
            </w:r>
          </w:p>
        </w:tc>
        <w:tc>
          <w:tcPr>
            <w:tcW w:w="720" w:type="dxa"/>
            <w:tcBorders>
              <w:top w:val="nil"/>
              <w:left w:val="nil"/>
              <w:bottom w:val="single" w:color="auto" w:sz="4" w:space="0"/>
              <w:right w:val="single" w:color="auto" w:sz="4" w:space="0"/>
            </w:tcBorders>
            <w:shd w:val="clear" w:color="auto" w:fill="auto"/>
            <w:noWrap/>
            <w:vAlign w:val="center"/>
          </w:tcPr>
          <w:p w14:paraId="1540289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00B6559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B706D3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C78096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6CE861EF">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3237CE5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A30A0C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CE7F6A4">
            <w:pPr>
              <w:widowControl/>
              <w:jc w:val="left"/>
              <w:rPr>
                <w:rFonts w:hint="eastAsia" w:ascii="仿宋" w:hAnsi="仿宋" w:eastAsia="仿宋" w:cs="宋体"/>
                <w:color w:val="000000"/>
                <w:kern w:val="0"/>
                <w:sz w:val="24"/>
              </w:rPr>
            </w:pPr>
            <w:r>
              <w:rPr>
                <w:rFonts w:hint="eastAsia" w:ascii="黑体" w:hAnsi="宋体" w:eastAsia="黑体" w:cs="宋体"/>
                <w:color w:val="000000"/>
                <w:kern w:val="0"/>
                <w:sz w:val="24"/>
              </w:rPr>
              <w:t xml:space="preserve">  </w:t>
            </w:r>
            <w:r>
              <w:rPr>
                <w:rFonts w:hint="eastAsia" w:ascii="仿宋" w:hAnsi="仿宋" w:eastAsia="仿宋" w:cs="宋体"/>
                <w:color w:val="000000"/>
                <w:kern w:val="0"/>
                <w:sz w:val="24"/>
              </w:rPr>
              <w:t>（一）一审案件数量</w:t>
            </w:r>
          </w:p>
        </w:tc>
        <w:tc>
          <w:tcPr>
            <w:tcW w:w="720" w:type="dxa"/>
            <w:tcBorders>
              <w:top w:val="nil"/>
              <w:left w:val="nil"/>
              <w:bottom w:val="single" w:color="auto" w:sz="4" w:space="0"/>
              <w:right w:val="single" w:color="auto" w:sz="4" w:space="0"/>
            </w:tcBorders>
            <w:shd w:val="clear" w:color="auto" w:fill="auto"/>
            <w:noWrap/>
            <w:vAlign w:val="center"/>
          </w:tcPr>
          <w:p w14:paraId="22D32CD5">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65F927E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A28A03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4CA21F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6A25037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B47BB6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5CD993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7EAE59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2．被依法纠错数</w:t>
            </w:r>
          </w:p>
        </w:tc>
        <w:tc>
          <w:tcPr>
            <w:tcW w:w="720" w:type="dxa"/>
            <w:tcBorders>
              <w:top w:val="nil"/>
              <w:left w:val="nil"/>
              <w:bottom w:val="single" w:color="auto" w:sz="4" w:space="0"/>
              <w:right w:val="single" w:color="auto" w:sz="4" w:space="0"/>
            </w:tcBorders>
            <w:shd w:val="clear" w:color="auto" w:fill="auto"/>
            <w:noWrap/>
            <w:vAlign w:val="center"/>
          </w:tcPr>
          <w:p w14:paraId="0ADCD24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ACA3B9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8BFAB2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72133B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3．其他情形数（含未审结113件）</w:t>
            </w:r>
          </w:p>
        </w:tc>
        <w:tc>
          <w:tcPr>
            <w:tcW w:w="720" w:type="dxa"/>
            <w:tcBorders>
              <w:top w:val="nil"/>
              <w:left w:val="nil"/>
              <w:bottom w:val="single" w:color="auto" w:sz="4" w:space="0"/>
              <w:right w:val="single" w:color="auto" w:sz="4" w:space="0"/>
            </w:tcBorders>
            <w:shd w:val="clear" w:color="auto" w:fill="auto"/>
            <w:noWrap/>
            <w:vAlign w:val="center"/>
          </w:tcPr>
          <w:p w14:paraId="069E4C4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2746C0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2E8725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EED89B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（二）二审案件数量 </w:t>
            </w:r>
          </w:p>
        </w:tc>
        <w:tc>
          <w:tcPr>
            <w:tcW w:w="720" w:type="dxa"/>
            <w:tcBorders>
              <w:top w:val="nil"/>
              <w:left w:val="nil"/>
              <w:bottom w:val="single" w:color="auto" w:sz="4" w:space="0"/>
              <w:right w:val="single" w:color="auto" w:sz="4" w:space="0"/>
            </w:tcBorders>
            <w:shd w:val="clear" w:color="auto" w:fill="auto"/>
            <w:noWrap/>
            <w:vAlign w:val="center"/>
          </w:tcPr>
          <w:p w14:paraId="7C3DD08C">
            <w:pPr>
              <w:widowControl/>
              <w:jc w:val="center"/>
              <w:rPr>
                <w:rFonts w:hint="eastAsia" w:ascii="仿宋_GB2312" w:hAnsi="宋体" w:eastAsia="仿宋_GB2312" w:cs="宋体"/>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25124BFF">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14:paraId="595AE1C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EFE5CDC">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59AAF5F5">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14:paraId="65C2A7BD">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14:paraId="27E84F4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6C805B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2A14B6D6">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bottom"/>
          </w:tcPr>
          <w:p w14:paraId="2C01CE86">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14:paraId="6A8DBDD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5E9503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159584D">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14:paraId="3B748D2E">
            <w:pPr>
              <w:widowControl/>
              <w:jc w:val="left"/>
              <w:rPr>
                <w:rFonts w:ascii="Arial" w:hAnsi="Arial" w:eastAsia="宋体" w:cs="Arial"/>
                <w:kern w:val="0"/>
                <w:sz w:val="20"/>
                <w:szCs w:val="20"/>
              </w:rPr>
            </w:pPr>
          </w:p>
        </w:tc>
      </w:tr>
      <w:tr w14:paraId="57F9690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89F1B8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07834499">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bottom"/>
          </w:tcPr>
          <w:p w14:paraId="6F9FB666">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1ADA163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FF0F83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1C2FBA3A">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bottom"/>
          </w:tcPr>
          <w:p w14:paraId="00F0FC1F">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2AEB0FB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7172C3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07635A1B">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14:paraId="5AFBE3F9">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3762714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42466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572B15D4">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14:paraId="2CD5275F">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A6690F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F56464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1FF12B0D">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14:paraId="5E17CFD1">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3F821967">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0CBE34A">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65027274">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bottom"/>
          </w:tcPr>
          <w:p w14:paraId="788E6B4F">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14:paraId="6457A0A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00FE5D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0C94597F">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bottom"/>
          </w:tcPr>
          <w:p w14:paraId="4C5CD969">
            <w:pPr>
              <w:widowControl/>
              <w:jc w:val="left"/>
              <w:rPr>
                <w:rFonts w:ascii="Arial" w:hAnsi="Arial" w:eastAsia="宋体" w:cs="Arial"/>
                <w:kern w:val="0"/>
                <w:sz w:val="20"/>
                <w:szCs w:val="20"/>
              </w:rPr>
            </w:pPr>
          </w:p>
        </w:tc>
      </w:tr>
      <w:tr w14:paraId="31EEA62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D809C7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06BEA858">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617DA66F">
            <w:pPr>
              <w:widowControl/>
              <w:jc w:val="left"/>
              <w:rPr>
                <w:rFonts w:ascii="Arial" w:hAnsi="Arial" w:eastAsia="宋体" w:cs="Arial"/>
                <w:kern w:val="0"/>
                <w:sz w:val="20"/>
                <w:szCs w:val="20"/>
              </w:rPr>
            </w:pPr>
            <w:r>
              <w:rPr>
                <w:rFonts w:ascii="Arial" w:hAnsi="Arial" w:eastAsia="宋体" w:cs="Arial"/>
                <w:kern w:val="0"/>
                <w:sz w:val="20"/>
                <w:szCs w:val="20"/>
              </w:rPr>
              <w:t>10</w:t>
            </w:r>
          </w:p>
        </w:tc>
      </w:tr>
      <w:tr w14:paraId="61B7C9B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F24232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6A0AAC8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14:paraId="540673CB">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7BFD883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480D4A8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656E3989">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bottom"/>
          </w:tcPr>
          <w:p w14:paraId="41EE7B16">
            <w:pPr>
              <w:widowControl/>
              <w:jc w:val="left"/>
              <w:rPr>
                <w:rFonts w:ascii="Arial" w:hAnsi="Arial" w:eastAsia="宋体" w:cs="Arial"/>
                <w:kern w:val="0"/>
                <w:sz w:val="20"/>
                <w:szCs w:val="20"/>
              </w:rPr>
            </w:pPr>
            <w:r>
              <w:rPr>
                <w:rFonts w:ascii="Arial" w:hAnsi="Arial" w:eastAsia="宋体" w:cs="Arial"/>
                <w:kern w:val="0"/>
                <w:sz w:val="20"/>
                <w:szCs w:val="20"/>
              </w:rPr>
              <w:t>67</w:t>
            </w:r>
          </w:p>
        </w:tc>
      </w:tr>
      <w:bookmarkEnd w:id="0"/>
      <w:bookmarkEnd w:id="1"/>
      <w:bookmarkEnd w:id="2"/>
    </w:tbl>
    <w:p w14:paraId="0B8D088F">
      <w:pPr>
        <w:adjustRightInd w:val="0"/>
        <w:snapToGrid w:val="0"/>
        <w:spacing w:line="560" w:lineRule="exact"/>
        <w:rPr>
          <w:rFonts w:ascii="仿宋_GB2312" w:hAnsi="Calibri" w:eastAsia="仿宋_GB2312"/>
          <w:sz w:val="32"/>
          <w:szCs w:val="32"/>
        </w:rPr>
      </w:pPr>
    </w:p>
    <w:p w14:paraId="0DBEF30F">
      <w:pPr>
        <w:spacing w:line="560" w:lineRule="exact"/>
        <w:ind w:firstLine="640" w:firstLineChars="200"/>
        <w:rPr>
          <w:rFonts w:hint="eastAsia" w:ascii="仿宋_GB2312" w:hAnsi="楷体" w:eastAsia="仿宋_GB2312"/>
          <w:sz w:val="32"/>
          <w:szCs w:val="32"/>
        </w:rPr>
      </w:pPr>
    </w:p>
    <w:p w14:paraId="0FD8227E">
      <w:pPr>
        <w:spacing w:line="540" w:lineRule="exact"/>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14"/>
    <w:rsid w:val="00013617"/>
    <w:rsid w:val="00043163"/>
    <w:rsid w:val="0006198C"/>
    <w:rsid w:val="00080B7E"/>
    <w:rsid w:val="00080F8F"/>
    <w:rsid w:val="00097345"/>
    <w:rsid w:val="000C4832"/>
    <w:rsid w:val="000F2214"/>
    <w:rsid w:val="00121A3B"/>
    <w:rsid w:val="00147AF5"/>
    <w:rsid w:val="001560BB"/>
    <w:rsid w:val="00182B10"/>
    <w:rsid w:val="00230C5F"/>
    <w:rsid w:val="0024420B"/>
    <w:rsid w:val="002552CA"/>
    <w:rsid w:val="002D3051"/>
    <w:rsid w:val="002D6774"/>
    <w:rsid w:val="002E2A24"/>
    <w:rsid w:val="00310CBE"/>
    <w:rsid w:val="00316233"/>
    <w:rsid w:val="00323ECE"/>
    <w:rsid w:val="003412A6"/>
    <w:rsid w:val="00341580"/>
    <w:rsid w:val="003501C2"/>
    <w:rsid w:val="00361731"/>
    <w:rsid w:val="00383583"/>
    <w:rsid w:val="003D1BC2"/>
    <w:rsid w:val="003D1CB3"/>
    <w:rsid w:val="003E1C8B"/>
    <w:rsid w:val="00441688"/>
    <w:rsid w:val="00451FAE"/>
    <w:rsid w:val="00453B50"/>
    <w:rsid w:val="00471447"/>
    <w:rsid w:val="00496CB6"/>
    <w:rsid w:val="004B03AA"/>
    <w:rsid w:val="004D193E"/>
    <w:rsid w:val="004F1281"/>
    <w:rsid w:val="004F508C"/>
    <w:rsid w:val="00500A85"/>
    <w:rsid w:val="00521EE9"/>
    <w:rsid w:val="00525423"/>
    <w:rsid w:val="00582448"/>
    <w:rsid w:val="0058616F"/>
    <w:rsid w:val="005966F3"/>
    <w:rsid w:val="005E53D5"/>
    <w:rsid w:val="00643447"/>
    <w:rsid w:val="006526A3"/>
    <w:rsid w:val="0066419B"/>
    <w:rsid w:val="006651DD"/>
    <w:rsid w:val="00683D14"/>
    <w:rsid w:val="006850BA"/>
    <w:rsid w:val="00693495"/>
    <w:rsid w:val="006C083A"/>
    <w:rsid w:val="006C61C1"/>
    <w:rsid w:val="006D34F4"/>
    <w:rsid w:val="006F41B9"/>
    <w:rsid w:val="0071364D"/>
    <w:rsid w:val="00761841"/>
    <w:rsid w:val="007660D2"/>
    <w:rsid w:val="007A5DAC"/>
    <w:rsid w:val="007B59C3"/>
    <w:rsid w:val="007C7BAA"/>
    <w:rsid w:val="008552C6"/>
    <w:rsid w:val="00872C21"/>
    <w:rsid w:val="0087647D"/>
    <w:rsid w:val="008D38AF"/>
    <w:rsid w:val="00904DB2"/>
    <w:rsid w:val="00974FD8"/>
    <w:rsid w:val="009A62E0"/>
    <w:rsid w:val="009B7403"/>
    <w:rsid w:val="009E0130"/>
    <w:rsid w:val="00A11A08"/>
    <w:rsid w:val="00A14C25"/>
    <w:rsid w:val="00A54949"/>
    <w:rsid w:val="00A71E27"/>
    <w:rsid w:val="00A855F7"/>
    <w:rsid w:val="00A91509"/>
    <w:rsid w:val="00AA51CD"/>
    <w:rsid w:val="00AD0D48"/>
    <w:rsid w:val="00AD5CDF"/>
    <w:rsid w:val="00AE74BC"/>
    <w:rsid w:val="00B54CC4"/>
    <w:rsid w:val="00B85620"/>
    <w:rsid w:val="00B905AC"/>
    <w:rsid w:val="00BA6EE6"/>
    <w:rsid w:val="00BC23D8"/>
    <w:rsid w:val="00C36C33"/>
    <w:rsid w:val="00C57F38"/>
    <w:rsid w:val="00CE3813"/>
    <w:rsid w:val="00CF033F"/>
    <w:rsid w:val="00D062AB"/>
    <w:rsid w:val="00D10149"/>
    <w:rsid w:val="00D245F9"/>
    <w:rsid w:val="00D707FA"/>
    <w:rsid w:val="00D72399"/>
    <w:rsid w:val="00DA025E"/>
    <w:rsid w:val="00DC040E"/>
    <w:rsid w:val="00DD1C51"/>
    <w:rsid w:val="00DD7132"/>
    <w:rsid w:val="00DE0796"/>
    <w:rsid w:val="00E35860"/>
    <w:rsid w:val="00EE7F56"/>
    <w:rsid w:val="00EF074A"/>
    <w:rsid w:val="00F0410F"/>
    <w:rsid w:val="00F20D10"/>
    <w:rsid w:val="00F90E57"/>
    <w:rsid w:val="00FA7886"/>
    <w:rsid w:val="56FF3103"/>
    <w:rsid w:val="7FDD8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3420</Words>
  <Characters>3557</Characters>
  <Lines>711</Lines>
  <Paragraphs>996</Paragraphs>
  <TotalTime>0</TotalTime>
  <ScaleCrop>false</ScaleCrop>
  <LinksUpToDate>false</LinksUpToDate>
  <CharactersWithSpaces>5981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2018-03-19T22:55:00Z</dcterms:created>
  <dc:creator>马严彦</dc:creator>
  <cp:lastModifiedBy>uos</cp:lastModifiedBy>
  <dcterms:modified xsi:type="dcterms:W3CDTF">2025-06-10T16:08:07Z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86E455C2B25E9167E7E747689091FD1C_42</vt:lpwstr>
  </property>
</Properties>
</file>