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b w:val="0"/>
          <w:bCs w:val="0"/>
          <w:i w:val="0"/>
          <w:iCs w:val="0"/>
          <w:caps w:val="0"/>
          <w:color w:val="404040"/>
          <w:spacing w:val="0"/>
          <w:sz w:val="42"/>
          <w:szCs w:val="4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b w:val="0"/>
          <w:bCs w:val="0"/>
          <w:i w:val="0"/>
          <w:iCs w:val="0"/>
          <w:caps w:val="0"/>
          <w:color w:val="404040"/>
          <w:spacing w:val="0"/>
          <w:sz w:val="42"/>
          <w:szCs w:val="4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jc w:val="center"/>
        <w:rPr>
          <w:b w:val="0"/>
          <w:bCs w:val="0"/>
          <w:i w:val="0"/>
          <w:iCs w:val="0"/>
          <w:caps w:val="0"/>
          <w:color w:val="404040"/>
          <w:spacing w:val="0"/>
          <w:sz w:val="42"/>
          <w:szCs w:val="42"/>
          <w:shd w:val="clear" w:fill="FFFFFF"/>
        </w:rPr>
      </w:pPr>
    </w:p>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北京市园林绿化局关于</w:t>
      </w:r>
    </w:p>
    <w:p>
      <w:pPr>
        <w:keepNext w:val="0"/>
        <w:keepLines w:val="0"/>
        <w:pageBreakBefore w:val="0"/>
        <w:widowControl w:val="0"/>
        <w:suppressAutoHyphens/>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废止行政规范性文件的公告</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为推进</w:t>
      </w:r>
      <w:r>
        <w:rPr>
          <w:rFonts w:hint="eastAsia" w:ascii="仿宋_GB2312" w:hAnsi="仿宋_GB2312" w:eastAsia="仿宋_GB2312" w:cs="仿宋_GB2312"/>
          <w:color w:val="auto"/>
          <w:sz w:val="32"/>
          <w:szCs w:val="32"/>
          <w:lang w:val="en-US" w:eastAsia="zh-CN"/>
        </w:rPr>
        <w:t>园林绿化法治</w:t>
      </w:r>
      <w:r>
        <w:rPr>
          <w:rFonts w:hint="default"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lang w:val="en-US" w:eastAsia="zh-CN"/>
        </w:rPr>
        <w:t>根据《北京市园林绿化局行政规范性文件合法性审核管理办法》的规定，我局对截止2024年1月31日前发布的行政规范性文件进行了清理。现将废止的行政规范性文件目录予以公布</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特此</w:t>
      </w:r>
      <w:r>
        <w:rPr>
          <w:rFonts w:hint="eastAsia" w:ascii="仿宋_GB2312" w:hAnsi="仿宋_GB2312" w:eastAsia="仿宋_GB2312" w:cs="仿宋_GB2312"/>
          <w:color w:val="auto"/>
          <w:sz w:val="32"/>
          <w:szCs w:val="32"/>
          <w:lang w:val="en-US" w:eastAsia="zh-CN"/>
        </w:rPr>
        <w:t>公告</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bookmarkStart w:id="0" w:name="_GoBack"/>
      <w:r>
        <w:rPr>
          <w:rFonts w:hint="default" w:ascii="仿宋_GB2312" w:hAnsi="仿宋_GB2312" w:eastAsia="仿宋_GB2312" w:cs="仿宋_GB2312"/>
          <w:color w:val="auto"/>
          <w:sz w:val="32"/>
          <w:szCs w:val="32"/>
          <w:lang w:val="en-US" w:eastAsia="zh-CN"/>
        </w:rPr>
        <w:t>附件：废止的</w:t>
      </w:r>
      <w:r>
        <w:rPr>
          <w:rFonts w:hint="eastAsia" w:ascii="仿宋_GB2312" w:hAnsi="仿宋_GB2312" w:eastAsia="仿宋_GB2312" w:cs="仿宋_GB2312"/>
          <w:color w:val="auto"/>
          <w:sz w:val="32"/>
          <w:szCs w:val="32"/>
          <w:lang w:val="en-US" w:eastAsia="zh-CN"/>
        </w:rPr>
        <w:t>行政规范性</w:t>
      </w:r>
      <w:r>
        <w:rPr>
          <w:rFonts w:hint="default" w:ascii="仿宋_GB2312" w:hAnsi="仿宋_GB2312" w:eastAsia="仿宋_GB2312" w:cs="仿宋_GB2312"/>
          <w:color w:val="auto"/>
          <w:sz w:val="32"/>
          <w:szCs w:val="32"/>
          <w:lang w:val="en-US" w:eastAsia="zh-CN"/>
        </w:rPr>
        <w:t>文件目录</w:t>
      </w:r>
      <w:bookmarkEnd w:id="0"/>
    </w:p>
    <w:p>
      <w:pPr>
        <w:keepNext w:val="0"/>
        <w:keepLines w:val="0"/>
        <w:pageBreakBefore w:val="0"/>
        <w:widowControl w:val="0"/>
        <w:suppressAutoHyphens/>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suppressAutoHyphens/>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北京市</w:t>
      </w:r>
      <w:r>
        <w:rPr>
          <w:rFonts w:hint="eastAsia" w:ascii="仿宋_GB2312" w:hAnsi="仿宋_GB2312" w:eastAsia="仿宋_GB2312" w:cs="仿宋_GB2312"/>
          <w:color w:val="auto"/>
          <w:sz w:val="32"/>
          <w:szCs w:val="32"/>
          <w:lang w:val="en-US" w:eastAsia="zh-CN"/>
        </w:rPr>
        <w:t>园林绿化</w:t>
      </w:r>
      <w:r>
        <w:rPr>
          <w:rFonts w:hint="default"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suppressAutoHyphens/>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lang w:val="en-US" w:eastAsia="zh-CN"/>
        </w:rPr>
        <w:t xml:space="preserve">     </w:t>
      </w:r>
    </w:p>
    <w:p>
      <w:pPr>
        <w:rPr>
          <w:rFonts w:hint="default" w:ascii="仿宋_GB2312" w:hAnsi="仿宋_GB2312" w:eastAsia="仿宋_GB2312" w:cs="仿宋_GB2312"/>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仿宋_GB2312" w:hAnsi="仿宋_GB2312" w:eastAsia="仿宋_GB2312" w:cs="仿宋_GB2312"/>
          <w:color w:val="auto"/>
          <w:sz w:val="32"/>
          <w:szCs w:val="32"/>
          <w:lang w:val="en-US" w:eastAsia="zh-CN"/>
        </w:rPr>
        <w:br w:type="page"/>
      </w:r>
    </w:p>
    <w:p>
      <w:pPr>
        <w:keepNext w:val="0"/>
        <w:keepLines w:val="0"/>
        <w:pageBreakBefore w:val="0"/>
        <w:widowControl w:val="0"/>
        <w:suppressAutoHyphens/>
        <w:kinsoku/>
        <w:wordWrap/>
        <w:overflowPunct/>
        <w:topLinePunct w:val="0"/>
        <w:autoSpaceDE/>
        <w:autoSpaceDN/>
        <w:bidi w:val="0"/>
        <w:adjustRightInd w:val="0"/>
        <w:snapToGrid w:val="0"/>
        <w:spacing w:line="560" w:lineRule="exact"/>
        <w:jc w:val="both"/>
        <w:textAlignment w:val="auto"/>
        <w:rPr>
          <w:rFonts w:hint="eastAsia" w:ascii="国标黑体" w:hAnsi="国标黑体" w:eastAsia="国标黑体" w:cs="国标黑体"/>
          <w:color w:val="auto"/>
          <w:sz w:val="22"/>
          <w:szCs w:val="22"/>
          <w:lang w:val="en-US" w:eastAsia="zh-CN"/>
        </w:rPr>
      </w:pPr>
      <w:r>
        <w:rPr>
          <w:rFonts w:hint="eastAsia" w:ascii="国标黑体" w:hAnsi="国标黑体" w:eastAsia="国标黑体" w:cs="国标黑体"/>
          <w:color w:val="auto"/>
          <w:sz w:val="22"/>
          <w:szCs w:val="22"/>
          <w:lang w:val="en-US" w:eastAsia="zh-CN"/>
        </w:rPr>
        <w:t>附件</w:t>
      </w:r>
    </w:p>
    <w:tbl>
      <w:tblPr>
        <w:tblStyle w:val="4"/>
        <w:tblW w:w="503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4"/>
        <w:gridCol w:w="2500"/>
        <w:gridCol w:w="7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000" w:type="pct"/>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444444"/>
                <w:sz w:val="21"/>
                <w:szCs w:val="21"/>
                <w:u w:val="none"/>
              </w:rPr>
            </w:pPr>
            <w:r>
              <w:rPr>
                <w:rFonts w:hint="eastAsia" w:ascii="方正小标宋简体" w:hAnsi="方正小标宋简体" w:eastAsia="方正小标宋简体" w:cs="方正小标宋简体"/>
                <w:b w:val="0"/>
                <w:bCs w:val="0"/>
                <w:i w:val="0"/>
                <w:iCs w:val="0"/>
                <w:color w:val="444444"/>
                <w:kern w:val="0"/>
                <w:sz w:val="32"/>
                <w:szCs w:val="32"/>
                <w:u w:val="none"/>
                <w:lang w:val="en-US" w:eastAsia="zh-CN" w:bidi="ar"/>
              </w:rPr>
              <w:t>废止的规范性文件目录（共25件）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1"/>
                <w:szCs w:val="21"/>
                <w:u w:val="none"/>
              </w:rPr>
            </w:pPr>
            <w:r>
              <w:rPr>
                <w:rFonts w:hint="default" w:ascii="微软雅黑" w:hAnsi="微软雅黑" w:eastAsia="微软雅黑" w:cs="微软雅黑"/>
                <w:b/>
                <w:bCs/>
                <w:i w:val="0"/>
                <w:iCs w:val="0"/>
                <w:color w:val="000000"/>
                <w:kern w:val="0"/>
                <w:sz w:val="21"/>
                <w:szCs w:val="21"/>
                <w:u w:val="none"/>
                <w:lang w:val="en-US" w:eastAsia="zh-CN" w:bidi="ar"/>
              </w:rPr>
              <w:t>序号</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sz w:val="21"/>
                <w:szCs w:val="21"/>
                <w:u w:val="none"/>
              </w:rPr>
            </w:pPr>
            <w:r>
              <w:rPr>
                <w:rFonts w:hint="default" w:ascii="微软雅黑" w:hAnsi="微软雅黑" w:eastAsia="微软雅黑" w:cs="微软雅黑"/>
                <w:b/>
                <w:bCs/>
                <w:i w:val="0"/>
                <w:iCs w:val="0"/>
                <w:color w:val="000000"/>
                <w:kern w:val="0"/>
                <w:sz w:val="21"/>
                <w:szCs w:val="21"/>
                <w:u w:val="none"/>
                <w:lang w:val="en-US" w:eastAsia="zh-CN" w:bidi="ar"/>
              </w:rPr>
              <w:t>文件号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000000"/>
                <w:sz w:val="21"/>
                <w:szCs w:val="21"/>
                <w:u w:val="none"/>
              </w:rPr>
            </w:pPr>
            <w:r>
              <w:rPr>
                <w:rFonts w:hint="default" w:ascii="微软雅黑" w:hAnsi="微软雅黑" w:eastAsia="微软雅黑" w:cs="微软雅黑"/>
                <w:b/>
                <w:bCs/>
                <w:i w:val="0"/>
                <w:iCs w:val="0"/>
                <w:color w:val="000000"/>
                <w:kern w:val="0"/>
                <w:sz w:val="21"/>
                <w:szCs w:val="21"/>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（91）京林（动）字第11号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北京市林业局关于印发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《北京市核发野生动物驯养繁殖许可证管理办法》的通知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京绿资发〔2006〕7号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北京市园林绿化局关于实施北京市绿化资源动态监测管理办法的通知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2007年第1号公告</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北京市园林绿化局2007年第1号公告</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（《北京市一级保护野生动物名录》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2007年第2号公告</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北京市园林绿化局2007年第2号公告</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（《北京市二级保护野生动物名录》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京绿保发〔2007〕7号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北京市园林绿化局关于调整北京市重点保护野生动物名录的通知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 w:eastAsia="zh-CN" w:bidi="ar"/>
              </w:rPr>
            </w:pPr>
            <w:r>
              <w:rPr>
                <w:rFonts w:hint="default" w:ascii="仿宋_GB2312" w:hAnsi="宋体" w:eastAsia="仿宋_GB2312" w:cs="仿宋_GB2312"/>
                <w:i w:val="0"/>
                <w:iCs w:val="0"/>
                <w:color w:val="000000"/>
                <w:kern w:val="0"/>
                <w:sz w:val="21"/>
                <w:szCs w:val="21"/>
                <w:u w:val="none"/>
                <w:lang w:val="en" w:eastAsia="zh-CN" w:bidi="ar"/>
              </w:rPr>
              <w:t>6</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京绿保发〔2008〕1号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北京市园林绿化局关于发布《北京市陆生野生动物救护工作管理办法》的通知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7</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京绿造发〔2008〕2号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北京市园林绿化局关于印发北京市山区</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关停废弃矿山植被恢复工程管理和检查验收两个试行办法的通知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8</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北京市园林绿化局公告</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2008年第2号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北京市园林绿化局北京市农业局关于北京市重点保护野生植物名录公告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9</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京绿造发〔2009〕4号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北京市园林绿化局关于进一步推动林下经济发展的意见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10</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京绿保发〔2009〕2号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北京市园林绿化局关于依法加强林业自然保护区管理的通知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11</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京绿资发〔2009〕9号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北京市园林绿化局关于印发《北京市森林采伐消耗全额管理办法》的通知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12</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京绿园发〔2009〕6号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《北京市公园风景名胜区安全管理规范（试行）》的通知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13</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京绿法文〔2009〕5号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北京市园林绿化局关于贯彻实施</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《中华人民共和国农村土地承包经营纠纷调解仲裁法》的通知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14</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京绿资发〔2010〕4号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《北京市树木移植砍伐许可管理办法》（试行）的通知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15</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京绿造发〔2010〕14号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北京市园林绿化局关于加强城市绿化隔离地区郊野公园养护管理工作的通知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16</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京绿城发〔2010〕16号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北京市园林绿化局关于印发《北京市绿化工程质量监督实施办法》的通知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17</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京绿资发〔2011〕16号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北京市园林绿化局关于进一步加强树木移植砍伐许可监督检查工作的通知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1</w:t>
            </w:r>
            <w:r>
              <w:rPr>
                <w:rFonts w:hint="eastAsia" w:ascii="仿宋_GB2312" w:hAnsi="宋体" w:eastAsia="仿宋_GB2312" w:cs="仿宋_GB2312"/>
                <w:i w:val="0"/>
                <w:iCs w:val="0"/>
                <w:color w:val="000000"/>
                <w:kern w:val="0"/>
                <w:sz w:val="21"/>
                <w:szCs w:val="21"/>
                <w:u w:val="none"/>
                <w:lang w:val="en-US" w:eastAsia="zh-CN" w:bidi="ar"/>
              </w:rPr>
              <w:t>8</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京绿法发〔2011〕14号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《北京市园林绿化资源损失鉴定工作管理暂行办法》的通知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19</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京绿法发〔2013〕2号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《北京市园林绿化局行政复议工作管理办法》的通知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CN" w:bidi="ar"/>
              </w:rPr>
              <w:t>0</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京绿园发〔2016〕1号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北京市园林绿化局关于印发《北京市公园分类分级管理办法》的通知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CN" w:bidi="ar"/>
              </w:rPr>
              <w:t>1</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京绿城发〔2016〕10号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北京市园林绿化局关于印发北京市城镇绿地分级分类办法的通知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CN" w:bidi="ar"/>
              </w:rPr>
              <w:t>2</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京绿办发〔2018〕206号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北京市园林绿化局关于印发</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《北京市平原生态林保护管理办法（试行）》的通知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CN" w:bidi="ar"/>
              </w:rPr>
              <w:t>3</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京绿办发〔2019〕137号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北京市园林绿化施工企业信用管理办法（试行）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2</w:t>
            </w:r>
            <w:r>
              <w:rPr>
                <w:rFonts w:hint="eastAsia" w:ascii="仿宋_GB2312" w:hAnsi="宋体" w:eastAsia="仿宋_GB2312" w:cs="仿宋_GB2312"/>
                <w:i w:val="0"/>
                <w:iCs w:val="0"/>
                <w:color w:val="000000"/>
                <w:kern w:val="0"/>
                <w:sz w:val="21"/>
                <w:szCs w:val="21"/>
                <w:u w:val="none"/>
                <w:lang w:val="en-US" w:eastAsia="zh-CN" w:bidi="ar"/>
              </w:rPr>
              <w:t>4</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北京市园林绿化局公告</w:t>
            </w:r>
          </w:p>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2020年第4号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北京市园林绿化局关于北京市林木品种审定的公告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lang w:val="en"/>
              </w:rPr>
            </w:pPr>
            <w:r>
              <w:rPr>
                <w:rFonts w:hint="default" w:ascii="仿宋_GB2312" w:hAnsi="宋体" w:eastAsia="仿宋_GB2312" w:cs="仿宋_GB2312"/>
                <w:i w:val="0"/>
                <w:iCs w:val="0"/>
                <w:color w:val="000000"/>
                <w:sz w:val="21"/>
                <w:szCs w:val="21"/>
                <w:u w:val="none"/>
                <w:lang w:val="en"/>
              </w:rPr>
              <w:t>25</w:t>
            </w:r>
          </w:p>
        </w:tc>
        <w:tc>
          <w:tcPr>
            <w:tcW w:w="11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京绿办发〔2022〕286号</w:t>
            </w:r>
          </w:p>
        </w:tc>
        <w:tc>
          <w:tcPr>
            <w:tcW w:w="3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北京市园林绿化局关于印发园林绿化行政处罚自由裁量权基准的通知</w:t>
            </w:r>
          </w:p>
        </w:tc>
      </w:tr>
    </w:tbl>
    <w:p>
      <w:pPr>
        <w:keepNext w:val="0"/>
        <w:keepLines w:val="0"/>
        <w:pageBreakBefore w:val="0"/>
        <w:widowControl w:val="0"/>
        <w:suppressAutoHyphens/>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auto"/>
          <w:sz w:val="28"/>
          <w:szCs w:val="28"/>
          <w:lang w:val="en-US" w:eastAsia="zh-CN"/>
        </w:rPr>
      </w:pPr>
    </w:p>
    <w:sectPr>
      <w:pgSz w:w="11906" w:h="16838"/>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国标黑体">
    <w:panose1 w:val="020005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FB96D0"/>
    <w:rsid w:val="2FDF18F9"/>
    <w:rsid w:val="3AFF0BE3"/>
    <w:rsid w:val="4FBD6DA2"/>
    <w:rsid w:val="5BEF355F"/>
    <w:rsid w:val="67FFBB49"/>
    <w:rsid w:val="6FFBA1A1"/>
    <w:rsid w:val="7BE7089C"/>
    <w:rsid w:val="7ED33B44"/>
    <w:rsid w:val="8FDB6D17"/>
    <w:rsid w:val="B2D3B2C1"/>
    <w:rsid w:val="BFEEA751"/>
    <w:rsid w:val="BFF77604"/>
    <w:rsid w:val="C9D7AD06"/>
    <w:rsid w:val="CFDE5932"/>
    <w:rsid w:val="D7F7F66B"/>
    <w:rsid w:val="DAFB96D0"/>
    <w:rsid w:val="EBFBF35A"/>
    <w:rsid w:val="ED5D3D36"/>
    <w:rsid w:val="EF3FD468"/>
    <w:rsid w:val="EFA5B98E"/>
    <w:rsid w:val="FCF9769E"/>
    <w:rsid w:val="FDB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2024-01-15T00:38:00Z</dcterms:created>
  <dc:creator>uos</dc:creator>
  <cp:lastModifiedBy>uos</cp:lastModifiedBy>
  <dcterms:modified xsi:type="dcterms:W3CDTF">2024-03-07T09:53:30Z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124BD3253224CB1173579E659F8296AB</vt:lpwstr>
  </property>
</Properties>
</file>