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DDA5">
      <w:pPr>
        <w:pStyle w:val="8"/>
        <w:snapToGrid w:val="0"/>
        <w:spacing w:after="0" w:line="240" w:lineRule="auto"/>
        <w:ind w:left="0" w:leftChars="0"/>
        <w:jc w:val="center"/>
        <w:rPr>
          <w:rFonts w:hint="eastAsia" w:ascii="宋体" w:hAnsi="宋体"/>
          <w:b/>
          <w:bCs/>
          <w:color w:val="auto"/>
          <w:sz w:val="44"/>
          <w:szCs w:val="44"/>
        </w:rPr>
      </w:pPr>
      <w:bookmarkStart w:id="0" w:name="_Toc12515"/>
      <w:r>
        <w:rPr>
          <w:rFonts w:hint="eastAsia" w:ascii="宋体" w:hAnsi="宋体"/>
          <w:b/>
          <w:bCs/>
          <w:color w:val="auto"/>
          <w:sz w:val="44"/>
          <w:szCs w:val="44"/>
        </w:rPr>
        <w:t>北京市园林绿化规划和资源监测中心（北京市林业碳汇与国际合作事务中心）林长制实施运行与森林资源一体化管理项目</w:t>
      </w:r>
    </w:p>
    <w:p w14:paraId="5D791550">
      <w:pPr>
        <w:pStyle w:val="8"/>
        <w:snapToGrid w:val="0"/>
        <w:spacing w:after="0" w:line="240" w:lineRule="auto"/>
        <w:ind w:left="0" w:leftChars="0"/>
        <w:jc w:val="center"/>
        <w:rPr>
          <w:rFonts w:ascii="宋体" w:hAnsi="宋体"/>
          <w:b/>
          <w:bCs/>
          <w:color w:val="auto"/>
          <w:sz w:val="44"/>
          <w:szCs w:val="44"/>
        </w:rPr>
      </w:pPr>
      <w:r>
        <w:rPr>
          <w:rFonts w:hint="eastAsia" w:ascii="宋体" w:hAnsi="宋体"/>
          <w:b/>
          <w:bCs/>
          <w:color w:val="auto"/>
          <w:sz w:val="44"/>
          <w:szCs w:val="44"/>
        </w:rPr>
        <w:t>绩效评价报告</w:t>
      </w:r>
      <w:bookmarkEnd w:id="0"/>
    </w:p>
    <w:p w14:paraId="271EB26F">
      <w:pPr>
        <w:snapToGrid w:val="0"/>
        <w:spacing w:line="360" w:lineRule="auto"/>
        <w:ind w:firstLine="640" w:firstLineChars="200"/>
        <w:rPr>
          <w:rFonts w:ascii="仿宋_GB2312" w:eastAsia="仿宋_GB2312"/>
          <w:color w:val="auto"/>
          <w:sz w:val="32"/>
          <w:szCs w:val="32"/>
        </w:rPr>
      </w:pPr>
    </w:p>
    <w:p w14:paraId="49B286BE">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为深入贯彻落实《中共北京市委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京财绩效〔2020〕2146号）、《北京市财政局关于2025年预算绩效管理工作的通知》等文件要求，北京市园林绿化局（以下简称“市园林绿化局”）成立绩效评价工作组，对北京市园林绿化规划和资源监测中心（北京市林业碳汇与国际合作事务中心）（以下简称“</w:t>
      </w:r>
      <w:r>
        <w:rPr>
          <w:rFonts w:hint="eastAsia" w:ascii="仿宋_GB2312" w:eastAsia="仿宋_GB2312"/>
          <w:color w:val="auto"/>
          <w:sz w:val="32"/>
          <w:szCs w:val="32"/>
          <w:lang w:val="en-US" w:eastAsia="zh-CN"/>
        </w:rPr>
        <w:t>规划和资源监测中心</w:t>
      </w:r>
      <w:r>
        <w:rPr>
          <w:rFonts w:hint="eastAsia" w:ascii="仿宋_GB2312" w:eastAsia="仿宋_GB2312"/>
          <w:color w:val="auto"/>
          <w:sz w:val="32"/>
          <w:szCs w:val="32"/>
        </w:rPr>
        <w:t>”）“林长制实施运行与森林资源一体化管理”实施绩效评价，形成本绩效评价报告。</w:t>
      </w:r>
    </w:p>
    <w:p w14:paraId="032B18AF">
      <w:pPr>
        <w:pStyle w:val="2"/>
        <w:pageBreakBefore w:val="0"/>
        <w:kinsoku/>
        <w:wordWrap/>
        <w:overflowPunct/>
        <w:topLinePunct w:val="0"/>
        <w:autoSpaceDE/>
        <w:autoSpaceDN/>
        <w:bidi w:val="0"/>
        <w:adjustRightInd w:val="0"/>
        <w:snapToGrid w:val="0"/>
        <w:spacing w:line="560" w:lineRule="exact"/>
        <w:textAlignment w:val="auto"/>
        <w:rPr>
          <w:rFonts w:ascii="黑体" w:hAnsi="黑体" w:eastAsia="黑体" w:cs="黑体"/>
          <w:b w:val="0"/>
          <w:bCs w:val="0"/>
          <w:color w:val="auto"/>
          <w:szCs w:val="32"/>
        </w:rPr>
      </w:pPr>
      <w:bookmarkStart w:id="1" w:name="_Toc169183181"/>
      <w:bookmarkStart w:id="2" w:name="_Toc6921"/>
      <w:r>
        <w:rPr>
          <w:rFonts w:hint="eastAsia" w:ascii="黑体" w:hAnsi="黑体" w:eastAsia="黑体" w:cs="黑体"/>
          <w:b w:val="0"/>
          <w:bCs w:val="0"/>
          <w:color w:val="auto"/>
          <w:szCs w:val="32"/>
        </w:rPr>
        <w:t>一、</w:t>
      </w:r>
      <w:bookmarkEnd w:id="1"/>
      <w:r>
        <w:rPr>
          <w:rFonts w:hint="eastAsia" w:ascii="黑体" w:hAnsi="黑体" w:eastAsia="黑体" w:cs="黑体"/>
          <w:b w:val="0"/>
          <w:bCs w:val="0"/>
          <w:color w:val="auto"/>
          <w:szCs w:val="32"/>
        </w:rPr>
        <w:t>基本情况</w:t>
      </w:r>
      <w:bookmarkEnd w:id="2"/>
    </w:p>
    <w:p w14:paraId="7A2F873A">
      <w:pPr>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highlight w:val="none"/>
        </w:rPr>
      </w:pPr>
      <w:bookmarkStart w:id="3" w:name="_Toc8579"/>
      <w:r>
        <w:rPr>
          <w:rFonts w:hint="eastAsia" w:ascii="楷体" w:hAnsi="楷体" w:eastAsia="楷体" w:cs="楷体"/>
          <w:b w:val="0"/>
          <w:bCs w:val="0"/>
          <w:color w:val="auto"/>
          <w:sz w:val="32"/>
          <w:szCs w:val="32"/>
          <w:highlight w:val="none"/>
        </w:rPr>
        <w:t>（一）项目概况</w:t>
      </w:r>
      <w:bookmarkEnd w:id="3"/>
    </w:p>
    <w:p w14:paraId="625A0949">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1.项目立项背景</w:t>
      </w:r>
    </w:p>
    <w:p w14:paraId="57AC6A1F">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园林绿化资源涵盖森林、草地、湿地和绿地，在维护北京市生态安全、推进生态文明建设进程中占据着基础性、战略性地位。林长制、森林经营以及园林绿化统筹管控，作为园林绿化资源管理、保护、优化与提升的关键政策机制和重要手段，对于保障园林绿化资源数量稳步增长、质量持续提升意义重大。而园林绿化领域的生态产品价值核算、产权制度改革以及有偿使用机制构建，能够有力地促进园林绿化资源的生态产品价值实现，为生态文明建设发展注入强劲动力。</w:t>
      </w:r>
    </w:p>
    <w:p w14:paraId="3DDD2CB7">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为深入贯彻落实《</w:t>
      </w:r>
      <w:r>
        <w:rPr>
          <w:rFonts w:hint="eastAsia" w:ascii="仿宋_GB2312" w:hAnsi="仿宋_GB2312" w:eastAsia="仿宋_GB2312" w:cs="仿宋_GB2312"/>
          <w:color w:val="auto"/>
          <w:kern w:val="2"/>
          <w:sz w:val="32"/>
          <w:szCs w:val="32"/>
          <w:lang w:eastAsia="zh-CN"/>
        </w:rPr>
        <w:t>中华人民共和国森林法</w:t>
      </w:r>
      <w:r>
        <w:rPr>
          <w:rFonts w:hint="eastAsia" w:ascii="仿宋_GB2312" w:hAnsi="仿宋_GB2312" w:eastAsia="仿宋_GB2312" w:cs="仿宋_GB2312"/>
          <w:color w:val="auto"/>
          <w:kern w:val="2"/>
          <w:sz w:val="32"/>
          <w:szCs w:val="32"/>
        </w:rPr>
        <w:t>》《关于建立林长制的实施意见》《北京市林地保护利用规划（2021-2035年）》《北京市建立健全生态产品价值实现机制的实施方案》等一系列政策法规与指导文件要求，紧密结合北京市林长制实施运行和森林资源一体化管理工作实际需要，开展北京市林长制实施效果动态评估与宣传、目标责任体系构建及评估、网格化管理体系建设等工作。同时，对森林经营方案质量与实施成效进行评估，整合园林绿化资源数据，实施园林绿化资源统筹管控，形成园林绿化资源管控项目清单，更新维护林地保护利用规划数据，建立园林绿化领域生态产品价值评价体系，开展园林绿化资源资产价值核算，构建国有森林资源产权结构，积极探索国有森林资源产权改革与有偿使用的机制和途径，进而推动全市园林绿化资源的保护、提升和价值实现，助力全市生态文明建设迈向新高度。</w:t>
      </w:r>
    </w:p>
    <w:p w14:paraId="423834EF">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rPr>
        <w:t>2.项目主要内容及实施情况</w:t>
      </w:r>
      <w:bookmarkStart w:id="4" w:name="_Toc29964"/>
      <w:bookmarkStart w:id="5" w:name="_Toc9928"/>
    </w:p>
    <w:p w14:paraId="62642BDD">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项目由规划和资源监测中心具体组织实施。主要内容包括北京市林长制实施效果动态评估及目标责任体系构建、森林经营方案质量和成效评估、北京市园林绿化资源统筹管控研究、北京市园林绿化领域生态产品价值评价体系研究和园林绿化资源产权制度改革与有偿使</w:t>
      </w:r>
      <w:r>
        <w:rPr>
          <w:rFonts w:hint="eastAsia" w:ascii="仿宋_GB2312" w:hAnsi="仿宋_GB2312" w:eastAsia="仿宋_GB2312" w:cs="仿宋_GB2312"/>
          <w:color w:val="auto"/>
          <w:kern w:val="2"/>
          <w:sz w:val="32"/>
          <w:szCs w:val="32"/>
        </w:rPr>
        <w:t>用方式途径构建</w:t>
      </w:r>
      <w:r>
        <w:rPr>
          <w:rFonts w:hint="eastAsia" w:ascii="仿宋_GB2312" w:hAnsi="仿宋_GB2312" w:eastAsia="仿宋_GB2312" w:cs="仿宋_GB2312"/>
          <w:color w:val="auto"/>
          <w:kern w:val="2"/>
          <w:sz w:val="32"/>
          <w:szCs w:val="32"/>
          <w:lang w:val="en-US" w:eastAsia="zh-CN"/>
        </w:rPr>
        <w:t>五项内容。其中：</w:t>
      </w:r>
    </w:p>
    <w:p w14:paraId="4B0C2E60">
      <w:pPr>
        <w:keepNext/>
        <w:keepLines/>
        <w:pageBreakBefore w:val="0"/>
        <w:kinsoku/>
        <w:wordWrap/>
        <w:overflowPunct/>
        <w:topLinePunct w:val="0"/>
        <w:autoSpaceDE/>
        <w:autoSpaceDN/>
        <w:bidi w:val="0"/>
        <w:adjustRightInd w:val="0"/>
        <w:snapToGrid w:val="0"/>
        <w:spacing w:before="0" w:after="0" w:line="560" w:lineRule="exact"/>
        <w:ind w:left="0" w:firstLine="640" w:firstLineChars="200"/>
        <w:textAlignment w:val="auto"/>
        <w:outlineLvl w:val="9"/>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北京市林长制实施效果动态评估及目标责任体系构建包括：</w:t>
      </w:r>
      <w:r>
        <w:rPr>
          <w:rFonts w:hint="eastAsia" w:ascii="仿宋_GB2312" w:hAnsi="宋体" w:eastAsia="仿宋_GB2312"/>
          <w:color w:val="auto"/>
          <w:sz w:val="32"/>
          <w:szCs w:val="32"/>
          <w:highlight w:val="none"/>
          <w:lang w:val="en-US" w:eastAsia="zh-CN"/>
        </w:rPr>
        <w:t>林长制实施成效动态评估、林长制目标责任体系构建和网格化管理建设；北京市园林绿化资源统筹管控研究包括</w:t>
      </w:r>
      <w:r>
        <w:rPr>
          <w:rFonts w:hint="eastAsia" w:ascii="仿宋_GB2312" w:hAnsi="宋体" w:eastAsia="仿宋_GB2312"/>
          <w:color w:val="auto"/>
          <w:sz w:val="32"/>
          <w:szCs w:val="32"/>
          <w:highlight w:val="none"/>
        </w:rPr>
        <w:t>园林绿化数据资源底图整合</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新增建设项目占用现有园林绿化资源管控研究</w:t>
      </w:r>
      <w:r>
        <w:rPr>
          <w:rFonts w:hint="eastAsia" w:ascii="仿宋_GB2312" w:hAnsi="宋体" w:eastAsia="仿宋_GB2312"/>
          <w:color w:val="auto"/>
          <w:sz w:val="32"/>
          <w:szCs w:val="32"/>
          <w:highlight w:val="none"/>
          <w:lang w:val="en-US" w:eastAsia="zh-CN"/>
        </w:rPr>
        <w:t>和</w:t>
      </w:r>
      <w:r>
        <w:rPr>
          <w:rFonts w:hint="eastAsia" w:ascii="仿宋_GB2312" w:hAnsi="宋体" w:eastAsia="仿宋_GB2312"/>
          <w:color w:val="auto"/>
          <w:sz w:val="32"/>
          <w:szCs w:val="32"/>
          <w:highlight w:val="none"/>
        </w:rPr>
        <w:t>林地保护规划成果更新维护</w:t>
      </w:r>
      <w:r>
        <w:rPr>
          <w:rFonts w:hint="eastAsia" w:ascii="仿宋_GB2312" w:hAnsi="宋体" w:eastAsia="仿宋_GB2312"/>
          <w:color w:val="auto"/>
          <w:sz w:val="32"/>
          <w:szCs w:val="32"/>
          <w:highlight w:val="none"/>
          <w:lang w:val="en-US" w:eastAsia="zh-CN"/>
        </w:rPr>
        <w:t>；</w:t>
      </w:r>
      <w:r>
        <w:rPr>
          <w:rFonts w:hint="eastAsia" w:ascii="仿宋_GB2312" w:hAnsi="宋体" w:eastAsia="仿宋_GB2312"/>
          <w:sz w:val="32"/>
          <w:szCs w:val="32"/>
          <w:highlight w:val="none"/>
        </w:rPr>
        <w:t>园林绿化资源产权制度改革与有偿使用</w:t>
      </w:r>
      <w:r>
        <w:rPr>
          <w:rFonts w:hint="eastAsia" w:ascii="仿宋_GB2312" w:hAnsi="宋体" w:eastAsia="仿宋_GB2312"/>
          <w:sz w:val="32"/>
          <w:szCs w:val="32"/>
          <w:highlight w:val="none"/>
          <w:lang w:val="en-US" w:eastAsia="zh-CN"/>
        </w:rPr>
        <w:t>包括</w:t>
      </w:r>
      <w:r>
        <w:rPr>
          <w:rFonts w:hint="eastAsia" w:ascii="仿宋_GB2312" w:hAnsi="宋体" w:eastAsia="仿宋_GB2312"/>
          <w:sz w:val="32"/>
          <w:szCs w:val="32"/>
          <w:highlight w:val="none"/>
        </w:rPr>
        <w:t>国有森林资源权属特征分析与产权权能结构构建</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国有森林资源资产有偿使用方式与途径构建</w:t>
      </w:r>
      <w:r>
        <w:rPr>
          <w:rFonts w:hint="eastAsia" w:ascii="仿宋_GB2312" w:hAnsi="宋体" w:eastAsia="仿宋_GB2312"/>
          <w:sz w:val="32"/>
          <w:szCs w:val="32"/>
          <w:highlight w:val="none"/>
          <w:lang w:val="en-US" w:eastAsia="zh-CN"/>
        </w:rPr>
        <w:t>和</w:t>
      </w:r>
      <w:r>
        <w:rPr>
          <w:rFonts w:hint="eastAsia" w:ascii="仿宋_GB2312" w:hAnsi="宋体" w:eastAsia="仿宋_GB2312"/>
          <w:sz w:val="32"/>
          <w:szCs w:val="32"/>
          <w:highlight w:val="none"/>
        </w:rPr>
        <w:t>园林绿化资源资产价值核算</w:t>
      </w:r>
      <w:r>
        <w:rPr>
          <w:rFonts w:hint="eastAsia" w:ascii="仿宋_GB2312" w:hAnsi="宋体" w:eastAsia="仿宋_GB2312"/>
          <w:sz w:val="32"/>
          <w:szCs w:val="32"/>
          <w:highlight w:val="none"/>
          <w:lang w:eastAsia="zh-CN"/>
        </w:rPr>
        <w:t>。</w:t>
      </w:r>
    </w:p>
    <w:p w14:paraId="3AA6A31F">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3.</w:t>
      </w:r>
      <w:bookmarkEnd w:id="4"/>
      <w:bookmarkEnd w:id="5"/>
      <w:r>
        <w:rPr>
          <w:rFonts w:hint="eastAsia" w:ascii="仿宋_GB2312" w:hAnsi="Times New Roman" w:eastAsia="仿宋_GB2312" w:cs="Times New Roman"/>
          <w:sz w:val="32"/>
          <w:szCs w:val="32"/>
          <w:highlight w:val="none"/>
          <w:lang w:val="en-US" w:eastAsia="zh-CN"/>
        </w:rPr>
        <w:t>资金投入和使用情况</w:t>
      </w:r>
    </w:p>
    <w:p w14:paraId="6D661920">
      <w:pPr>
        <w:pStyle w:val="6"/>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该项目年初申报预算712.31万元，资金来源为单位资金，项目批复预算金额617.451万元，资金到位率100%，全年支出金额616</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252万元，预算执行率99.8</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p>
    <w:p w14:paraId="2E632738">
      <w:pPr>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rPr>
      </w:pPr>
      <w:bookmarkStart w:id="6" w:name="_Toc19778"/>
      <w:r>
        <w:rPr>
          <w:rFonts w:hint="eastAsia" w:ascii="楷体" w:hAnsi="楷体" w:eastAsia="楷体" w:cs="楷体"/>
          <w:b w:val="0"/>
          <w:bCs w:val="0"/>
          <w:color w:val="auto"/>
          <w:sz w:val="32"/>
          <w:szCs w:val="32"/>
        </w:rPr>
        <w:t>（二）项目绩效目标</w:t>
      </w:r>
      <w:bookmarkEnd w:id="6"/>
    </w:p>
    <w:p w14:paraId="436B8B95">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rPr>
        <w:t>1.总体目标</w:t>
      </w:r>
    </w:p>
    <w:p w14:paraId="7957FE0C">
      <w:pPr>
        <w:pStyle w:val="6"/>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度目标：开展北京市林长制实施效果动态评估与宣传、目标责任体系构建及评估、网格化管理体系建设，开展森林经营方案质量与实施成效评估，整合园林绿化资源数据，实施园林绿化资源统筹管控，形成园林绿化资源管控项目清单，更新维护林地保护利用规划数据，建立园林绿化领域生态产品价值评价体系，开展园林绿化资源资产价值核算，构建国有森林资源产权结构，提出国有森林资源产权改革与有偿使用机制与途径，促进全市森林资源保护、提升与价值实现，推动全市生态文明建设的发展。</w:t>
      </w:r>
    </w:p>
    <w:p w14:paraId="300558BF">
      <w:pPr>
        <w:pStyle w:val="6"/>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研究成果可为林长制调整优化、森林经营方案制订与分类经营、园林绿化用地统筹管控、园林绿化领域生态产品核算以及国有森林资源产权改革与有偿使用提供科学依据，为北京市园林绿化资源管理、保护、优化和提升提供科学支撑，促进园林绿化资源可持续利用与价值实现，推动全市生态文明建设。</w:t>
      </w:r>
    </w:p>
    <w:p w14:paraId="2D29B659">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rPr>
        <w:t>2.项目绩效阶段性目标</w:t>
      </w:r>
    </w:p>
    <w:p w14:paraId="5127B960">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（1）数量指标。形成</w:t>
      </w:r>
      <w:r>
        <w:rPr>
          <w:rFonts w:hint="default" w:ascii="仿宋_GB2312" w:hAnsi="仿宋_GB2312" w:eastAsia="仿宋_GB2312" w:cs="仿宋_GB2312"/>
          <w:color w:val="auto"/>
          <w:kern w:val="2"/>
          <w:sz w:val="32"/>
          <w:szCs w:val="32"/>
          <w:lang w:val="en-US" w:eastAsia="zh-CN" w:bidi="ar-SA"/>
        </w:rPr>
        <w:t>《北京市林长制实施成效年度调研报告》《森林经营方案成效评估》等共计9份研究报告、1份咨询报告、1份管理办法以及1份数据成果</w:t>
      </w:r>
      <w:r>
        <w:rPr>
          <w:rFonts w:hint="eastAsia" w:ascii="仿宋_GB2312" w:hAnsi="仿宋_GB2312" w:eastAsia="仿宋_GB2312" w:cs="仿宋_GB2312"/>
          <w:color w:val="auto"/>
          <w:kern w:val="2"/>
          <w:sz w:val="32"/>
          <w:szCs w:val="32"/>
          <w:lang w:val="en-US" w:eastAsia="zh-CN" w:bidi="ar-SA"/>
        </w:rPr>
        <w:t>。</w:t>
      </w:r>
    </w:p>
    <w:p w14:paraId="1FC907AB">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（2）质量指标。</w:t>
      </w:r>
      <w:r>
        <w:rPr>
          <w:rFonts w:hint="eastAsia" w:ascii="仿宋_GB2312" w:hAnsi="仿宋_GB2312" w:eastAsia="仿宋_GB2312" w:cs="仿宋_GB2312"/>
          <w:color w:val="auto"/>
          <w:sz w:val="32"/>
          <w:szCs w:val="32"/>
          <w:lang w:val="en-US" w:eastAsia="zh-CN"/>
        </w:rPr>
        <w:t>各项成果报告</w:t>
      </w:r>
      <w:r>
        <w:rPr>
          <w:rFonts w:hint="eastAsia" w:ascii="仿宋_GB2312" w:hAnsi="仿宋_GB2312" w:eastAsia="仿宋_GB2312" w:cs="仿宋_GB2312"/>
          <w:color w:val="auto"/>
          <w:sz w:val="32"/>
          <w:szCs w:val="32"/>
        </w:rPr>
        <w:t>评审专家通过率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14:paraId="3F8A8914">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（3）时效指标。数据搜集整理时间≤2月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实地调查时间≤2月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模拟计算分析时间≤4月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报告撰写时间≤2月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全部成果完成时间≤12月</w:t>
      </w:r>
      <w:r>
        <w:rPr>
          <w:rFonts w:hint="eastAsia" w:ascii="仿宋_GB2312" w:hAnsi="仿宋_GB2312" w:eastAsia="仿宋_GB2312" w:cs="仿宋_GB2312"/>
          <w:color w:val="auto"/>
          <w:sz w:val="32"/>
          <w:szCs w:val="32"/>
          <w:lang w:eastAsia="zh-CN"/>
        </w:rPr>
        <w:t>。</w:t>
      </w:r>
    </w:p>
    <w:p w14:paraId="0B4526DC">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（4）经济成本指标。北京市园林绿化领域生态产品价值评价体系研究≤79.292万元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园林绿化资源产权制度改革与有偿使用≤114.4万元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森林经营方案质量和成效评估≤125.443万元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北京市园林绿化资源统筹管控研究≤125.5万元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北京市林长制实施效果动态评估及目标责任体系构建≤172.816万元</w:t>
      </w:r>
      <w:r>
        <w:rPr>
          <w:rFonts w:hint="eastAsia" w:ascii="仿宋_GB2312" w:hAnsi="仿宋_GB2312" w:eastAsia="仿宋_GB2312" w:cs="仿宋_GB2312"/>
          <w:color w:val="auto"/>
          <w:sz w:val="32"/>
          <w:szCs w:val="32"/>
          <w:lang w:eastAsia="zh-CN"/>
        </w:rPr>
        <w:t>。</w:t>
      </w:r>
    </w:p>
    <w:p w14:paraId="30DB9702">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en-US" w:eastAsia="zh-CN"/>
        </w:rPr>
        <w:t>生态</w:t>
      </w:r>
      <w:r>
        <w:rPr>
          <w:rFonts w:hint="eastAsia" w:ascii="仿宋_GB2312" w:hAnsi="仿宋_GB2312" w:eastAsia="仿宋_GB2312" w:cs="仿宋_GB2312"/>
          <w:color w:val="auto"/>
          <w:sz w:val="32"/>
          <w:szCs w:val="32"/>
        </w:rPr>
        <w:t>效益指标。林长制动态评估与优化、森林经营方案质量与成效评估、园林绿化资源统筹调控以及园林绿化生态产品价值核算、产权改革和有偿使用机制构建等，为园林绿化资源管理、保护、优化和提升提供科学指导，引导园林部门、当地政府以及相关公司与个人积极保护与建设园林绿化资源，确保森林资源数量与质量持续提升。</w:t>
      </w:r>
    </w:p>
    <w:p w14:paraId="242F56DF">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社会效益指标。林长制动态评估资源保护与惠民成效；森林经营方案质量与成效评估促进各个经营单位科学经营；园林绿化资源统筹管控提高林业用地保护规划的权威性和时效性；园林绿化领域生态产品价值核算、国有森林资源产权结构与有偿使用机制构建促进生态涵养区绿色发展</w:t>
      </w:r>
      <w:r>
        <w:rPr>
          <w:rFonts w:hint="eastAsia" w:ascii="仿宋_GB2312" w:hAnsi="仿宋_GB2312" w:eastAsia="仿宋_GB2312" w:cs="仿宋_GB2312"/>
          <w:color w:val="auto"/>
          <w:sz w:val="32"/>
          <w:szCs w:val="32"/>
          <w:lang w:eastAsia="zh-CN"/>
        </w:rPr>
        <w:t>。</w:t>
      </w:r>
    </w:p>
    <w:p w14:paraId="3B2484B3">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可持续影响指标。林长制动态评估与优化、森林经营方案与经营类型确定以及园林绿化资源统筹调控与林保规划的更新维护，为园林绿化资源管理、保护、优化和提升提供科学基础与指导，促进园林绿化资源可持续发展；园林绿化生态产品价值核算、国有森林资源产权结构与有偿使用机制构建，有助于国有森林资源保护、管理及价值实现</w:t>
      </w:r>
      <w:r>
        <w:rPr>
          <w:rFonts w:hint="eastAsia" w:ascii="仿宋_GB2312" w:hAnsi="仿宋_GB2312" w:eastAsia="仿宋_GB2312" w:cs="仿宋_GB2312"/>
          <w:color w:val="auto"/>
          <w:sz w:val="32"/>
          <w:szCs w:val="32"/>
          <w:lang w:eastAsia="zh-CN"/>
        </w:rPr>
        <w:t>。</w:t>
      </w:r>
    </w:p>
    <w:p w14:paraId="19DF65F7">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（8）满意度指标。园林绿化相关部门满意度≥9</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14:paraId="34152DE6">
      <w:pPr>
        <w:pStyle w:val="2"/>
        <w:pageBreakBefore w:val="0"/>
        <w:kinsoku/>
        <w:wordWrap/>
        <w:overflowPunct/>
        <w:topLinePunct w:val="0"/>
        <w:autoSpaceDE/>
        <w:autoSpaceDN/>
        <w:bidi w:val="0"/>
        <w:adjustRightInd w:val="0"/>
        <w:snapToGrid w:val="0"/>
        <w:spacing w:line="560" w:lineRule="exact"/>
        <w:textAlignment w:val="auto"/>
        <w:rPr>
          <w:rFonts w:ascii="黑体" w:hAnsi="黑体" w:eastAsia="黑体" w:cs="黑体"/>
          <w:b w:val="0"/>
          <w:bCs w:val="0"/>
          <w:color w:val="auto"/>
          <w:szCs w:val="32"/>
        </w:rPr>
      </w:pPr>
      <w:bookmarkStart w:id="7" w:name="_Toc169183188"/>
      <w:bookmarkStart w:id="8" w:name="_Toc19504"/>
      <w:r>
        <w:rPr>
          <w:rFonts w:hint="eastAsia" w:ascii="黑体" w:hAnsi="黑体" w:eastAsia="黑体" w:cs="黑体"/>
          <w:b w:val="0"/>
          <w:bCs w:val="0"/>
          <w:color w:val="auto"/>
          <w:szCs w:val="32"/>
        </w:rPr>
        <w:t>二、</w:t>
      </w:r>
      <w:bookmarkEnd w:id="7"/>
      <w:r>
        <w:rPr>
          <w:rFonts w:hint="eastAsia" w:ascii="黑体" w:hAnsi="黑体" w:eastAsia="黑体" w:cs="黑体"/>
          <w:b w:val="0"/>
          <w:bCs w:val="0"/>
          <w:color w:val="auto"/>
          <w:szCs w:val="32"/>
        </w:rPr>
        <w:t>绩效评价工作开展情况</w:t>
      </w:r>
      <w:bookmarkEnd w:id="8"/>
    </w:p>
    <w:p w14:paraId="4C61694E">
      <w:pPr>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rPr>
      </w:pPr>
      <w:bookmarkStart w:id="9" w:name="_Toc18900"/>
      <w:r>
        <w:rPr>
          <w:rFonts w:hint="eastAsia" w:ascii="楷体" w:hAnsi="楷体" w:eastAsia="楷体" w:cs="楷体"/>
          <w:b w:val="0"/>
          <w:bCs w:val="0"/>
          <w:color w:val="auto"/>
          <w:sz w:val="32"/>
          <w:szCs w:val="32"/>
        </w:rPr>
        <w:t>（一）绩效评价目的、对象和范围</w:t>
      </w:r>
      <w:bookmarkEnd w:id="9"/>
    </w:p>
    <w:p w14:paraId="5733A293">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1.绩效评价目的</w:t>
      </w:r>
    </w:p>
    <w:p w14:paraId="12DB48EC">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通过绩效评价，衡量和考核项目资金管理、决策和绩效情况，分析项目资金使用是否达到预期目标、管理是否规范、使用是否有效，提出专业评价意见，进一步改进和加强项目资金管理，提高财政资金使用效益。</w:t>
      </w:r>
    </w:p>
    <w:p w14:paraId="25E0BFB7">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2.绩效评价对象和范围</w:t>
      </w:r>
    </w:p>
    <w:p w14:paraId="7FEBECE9">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本次绩效评价对象为林长制实施运行与森林资源一体化管理</w:t>
      </w:r>
      <w:r>
        <w:rPr>
          <w:rFonts w:hint="eastAsia" w:ascii="仿宋_GB2312" w:hAnsi="仿宋_GB2312" w:eastAsia="仿宋_GB2312" w:cs="仿宋_GB2312"/>
          <w:color w:val="auto"/>
          <w:kern w:val="2"/>
          <w:sz w:val="32"/>
          <w:szCs w:val="32"/>
          <w:lang w:val="en-US" w:eastAsia="zh-CN"/>
        </w:rPr>
        <w:t>项目</w:t>
      </w:r>
      <w:r>
        <w:rPr>
          <w:rFonts w:hint="eastAsia" w:ascii="仿宋_GB2312" w:hAnsi="仿宋_GB2312" w:eastAsia="仿宋_GB2312" w:cs="仿宋_GB2312"/>
          <w:color w:val="auto"/>
          <w:kern w:val="2"/>
          <w:sz w:val="32"/>
          <w:szCs w:val="32"/>
        </w:rPr>
        <w:t>，评价范围涵盖202</w:t>
      </w:r>
      <w:r>
        <w:rPr>
          <w:rFonts w:hint="eastAsia" w:ascii="仿宋_GB2312" w:hAnsi="仿宋_GB2312" w:eastAsia="仿宋_GB2312" w:cs="仿宋_GB2312"/>
          <w:color w:val="auto"/>
          <w:kern w:val="2"/>
          <w:sz w:val="32"/>
          <w:szCs w:val="32"/>
          <w:lang w:val="en-US" w:eastAsia="zh-CN"/>
        </w:rPr>
        <w:t>4</w:t>
      </w:r>
      <w:r>
        <w:rPr>
          <w:rFonts w:hint="eastAsia" w:ascii="仿宋_GB2312" w:hAnsi="Times New Roman" w:eastAsia="仿宋_GB2312" w:cs="Times New Roman"/>
          <w:color w:val="auto"/>
          <w:sz w:val="32"/>
          <w:szCs w:val="32"/>
        </w:rPr>
        <w:t>年项目执行情况，</w:t>
      </w:r>
      <w:r>
        <w:rPr>
          <w:rFonts w:hint="eastAsia" w:ascii="仿宋_GB2312" w:hAnsi="仿宋_GB2312" w:eastAsia="仿宋_GB2312" w:cs="仿宋_GB2312"/>
          <w:color w:val="auto"/>
          <w:kern w:val="2"/>
          <w:sz w:val="32"/>
          <w:szCs w:val="32"/>
        </w:rPr>
        <w:t>预算资金617.451万元。</w:t>
      </w:r>
    </w:p>
    <w:p w14:paraId="2A394FD8">
      <w:pPr>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rPr>
      </w:pPr>
      <w:bookmarkStart w:id="10" w:name="_Toc7887"/>
      <w:r>
        <w:rPr>
          <w:rFonts w:hint="eastAsia" w:ascii="楷体" w:hAnsi="楷体" w:eastAsia="楷体" w:cs="楷体"/>
          <w:b w:val="0"/>
          <w:bCs w:val="0"/>
          <w:color w:val="auto"/>
          <w:sz w:val="32"/>
          <w:szCs w:val="32"/>
        </w:rPr>
        <w:t>（二）绩效评价原则和方法</w:t>
      </w:r>
      <w:bookmarkEnd w:id="10"/>
    </w:p>
    <w:p w14:paraId="5EC4B74D">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b/>
          <w:bCs/>
          <w:color w:val="auto"/>
          <w:kern w:val="2"/>
          <w:sz w:val="32"/>
          <w:szCs w:val="32"/>
        </w:rPr>
      </w:pPr>
      <w:r>
        <w:rPr>
          <w:rFonts w:hint="eastAsia" w:ascii="仿宋_GB2312" w:hAnsi="Times New Roman" w:eastAsia="仿宋_GB2312" w:cs="Times New Roman"/>
          <w:color w:val="auto"/>
          <w:sz w:val="32"/>
          <w:szCs w:val="32"/>
        </w:rPr>
        <w:t>本项目绩效评价遵循“客观、公正、科学、规范”的原则，采取定性与定量相结合的方式，结合项目的特点，采用案卷研究法、目标预定与实施效果比较法、专家评议法等方法，定性与定量相结合，从项目决策、项目过程、项目产出、项目效益4个方面对本项目开展绩效评价。评价基准日为202</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rPr>
        <w:t>年12月31日。</w:t>
      </w:r>
    </w:p>
    <w:p w14:paraId="61867E77">
      <w:pPr>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rPr>
      </w:pPr>
      <w:bookmarkStart w:id="11" w:name="_Toc16025"/>
      <w:r>
        <w:rPr>
          <w:rFonts w:hint="eastAsia" w:ascii="楷体" w:hAnsi="楷体" w:eastAsia="楷体" w:cs="楷体"/>
          <w:b w:val="0"/>
          <w:bCs w:val="0"/>
          <w:color w:val="auto"/>
          <w:sz w:val="32"/>
          <w:szCs w:val="32"/>
        </w:rPr>
        <w:t>（三）绩效评价指标体系和评价标准</w:t>
      </w:r>
      <w:bookmarkEnd w:id="11"/>
    </w:p>
    <w:p w14:paraId="6B61A7E0">
      <w:pPr>
        <w:pStyle w:val="16"/>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根据《北京市项目支出绩效评价管理办法》，评价工作组结合项目资金使用的具体情况，以资金使用结果为导向，设定了本次评价指标内容和权重，重点对项目决策、过程、产出及效益进行综合评价，详见表1。</w:t>
      </w:r>
    </w:p>
    <w:p w14:paraId="0EC87C38">
      <w:pPr>
        <w:pStyle w:val="8"/>
        <w:keepNext w:val="0"/>
        <w:keepLines w:val="0"/>
        <w:pageBreakBefore w:val="0"/>
        <w:widowControl w:val="0"/>
        <w:kinsoku/>
        <w:wordWrap/>
        <w:overflowPunct/>
        <w:topLinePunct w:val="0"/>
        <w:autoSpaceDE/>
        <w:autoSpaceDN/>
        <w:bidi w:val="0"/>
        <w:adjustRightInd/>
        <w:snapToGrid w:val="0"/>
        <w:spacing w:before="157" w:beforeLines="50" w:after="0" w:line="240" w:lineRule="auto"/>
        <w:ind w:left="0" w:leftChars="0"/>
        <w:jc w:val="center"/>
        <w:textAlignment w:val="auto"/>
        <w:rPr>
          <w:rFonts w:hint="eastAsia" w:ascii="宋体" w:hAnsi="宋体" w:cs="宋体"/>
          <w:b/>
          <w:bCs/>
          <w:color w:val="auto"/>
          <w:sz w:val="28"/>
          <w:szCs w:val="28"/>
        </w:rPr>
      </w:pPr>
      <w:r>
        <w:rPr>
          <w:rFonts w:hint="eastAsia" w:ascii="宋体" w:hAnsi="宋体" w:cs="宋体"/>
          <w:b/>
          <w:bCs/>
          <w:color w:val="auto"/>
          <w:sz w:val="28"/>
          <w:szCs w:val="28"/>
        </w:rPr>
        <w:t>表1：林长制实施运行与森林资源一体化管理项目</w:t>
      </w:r>
    </w:p>
    <w:p w14:paraId="627CE8D5">
      <w:pPr>
        <w:pStyle w:val="8"/>
        <w:keepNext w:val="0"/>
        <w:keepLines w:val="0"/>
        <w:pageBreakBefore w:val="0"/>
        <w:widowControl w:val="0"/>
        <w:kinsoku/>
        <w:wordWrap/>
        <w:overflowPunct/>
        <w:topLinePunct w:val="0"/>
        <w:autoSpaceDE/>
        <w:autoSpaceDN/>
        <w:bidi w:val="0"/>
        <w:adjustRightInd/>
        <w:snapToGrid w:val="0"/>
        <w:spacing w:after="157" w:afterLines="50" w:line="240" w:lineRule="auto"/>
        <w:ind w:left="0" w:leftChars="0"/>
        <w:jc w:val="center"/>
        <w:textAlignment w:val="auto"/>
        <w:rPr>
          <w:rFonts w:ascii="宋体" w:hAnsi="宋体" w:cs="宋体"/>
          <w:b/>
          <w:bCs/>
          <w:color w:val="auto"/>
          <w:sz w:val="28"/>
          <w:szCs w:val="28"/>
        </w:rPr>
      </w:pPr>
      <w:r>
        <w:rPr>
          <w:rFonts w:hint="eastAsia" w:ascii="宋体" w:hAnsi="宋体" w:cs="宋体"/>
          <w:b/>
          <w:bCs/>
          <w:color w:val="auto"/>
          <w:sz w:val="28"/>
          <w:szCs w:val="28"/>
        </w:rPr>
        <w:t>绩效评价指标体系</w:t>
      </w:r>
    </w:p>
    <w:tbl>
      <w:tblPr>
        <w:tblStyle w:val="19"/>
        <w:tblW w:w="8202" w:type="dxa"/>
        <w:jc w:val="center"/>
        <w:tblLayout w:type="fixed"/>
        <w:tblCellMar>
          <w:top w:w="0" w:type="dxa"/>
          <w:left w:w="108" w:type="dxa"/>
          <w:bottom w:w="0" w:type="dxa"/>
          <w:right w:w="108" w:type="dxa"/>
        </w:tblCellMar>
      </w:tblPr>
      <w:tblGrid>
        <w:gridCol w:w="1256"/>
        <w:gridCol w:w="1579"/>
        <w:gridCol w:w="851"/>
        <w:gridCol w:w="3778"/>
        <w:gridCol w:w="738"/>
      </w:tblGrid>
      <w:tr w14:paraId="42F977CB">
        <w:tblPrEx>
          <w:tblCellMar>
            <w:top w:w="0" w:type="dxa"/>
            <w:left w:w="108" w:type="dxa"/>
            <w:bottom w:w="0" w:type="dxa"/>
            <w:right w:w="108" w:type="dxa"/>
          </w:tblCellMar>
        </w:tblPrEx>
        <w:trPr>
          <w:trHeight w:val="386" w:hRule="atLeast"/>
          <w:tblHeader/>
          <w:jc w:val="center"/>
        </w:trPr>
        <w:tc>
          <w:tcPr>
            <w:tcW w:w="1256" w:type="dxa"/>
            <w:tcBorders>
              <w:top w:val="single" w:color="auto" w:sz="4" w:space="0"/>
              <w:left w:val="single" w:color="auto" w:sz="4" w:space="0"/>
              <w:bottom w:val="single" w:color="auto" w:sz="4" w:space="0"/>
              <w:right w:val="single" w:color="auto" w:sz="4" w:space="0"/>
            </w:tcBorders>
            <w:noWrap/>
            <w:vAlign w:val="center"/>
          </w:tcPr>
          <w:p w14:paraId="3D01AC98">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一级指标</w:t>
            </w:r>
          </w:p>
        </w:tc>
        <w:tc>
          <w:tcPr>
            <w:tcW w:w="1579" w:type="dxa"/>
            <w:tcBorders>
              <w:top w:val="single" w:color="auto" w:sz="4" w:space="0"/>
              <w:left w:val="nil"/>
              <w:bottom w:val="single" w:color="auto" w:sz="4" w:space="0"/>
              <w:right w:val="single" w:color="auto" w:sz="4" w:space="0"/>
            </w:tcBorders>
            <w:noWrap/>
            <w:vAlign w:val="center"/>
          </w:tcPr>
          <w:p w14:paraId="2BCBF2FC">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二级指标</w:t>
            </w:r>
          </w:p>
        </w:tc>
        <w:tc>
          <w:tcPr>
            <w:tcW w:w="851" w:type="dxa"/>
            <w:tcBorders>
              <w:top w:val="single" w:color="auto" w:sz="4" w:space="0"/>
              <w:left w:val="nil"/>
              <w:bottom w:val="single" w:color="auto" w:sz="4" w:space="0"/>
              <w:right w:val="single" w:color="auto" w:sz="4" w:space="0"/>
            </w:tcBorders>
            <w:noWrap/>
            <w:vAlign w:val="center"/>
          </w:tcPr>
          <w:p w14:paraId="61AE1C50">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分值</w:t>
            </w:r>
          </w:p>
        </w:tc>
        <w:tc>
          <w:tcPr>
            <w:tcW w:w="3778" w:type="dxa"/>
            <w:tcBorders>
              <w:top w:val="single" w:color="auto" w:sz="4" w:space="0"/>
              <w:left w:val="nil"/>
              <w:bottom w:val="single" w:color="auto" w:sz="4" w:space="0"/>
              <w:right w:val="single" w:color="auto" w:sz="4" w:space="0"/>
            </w:tcBorders>
            <w:noWrap/>
            <w:vAlign w:val="center"/>
          </w:tcPr>
          <w:p w14:paraId="11D89395">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三级指标</w:t>
            </w:r>
          </w:p>
        </w:tc>
        <w:tc>
          <w:tcPr>
            <w:tcW w:w="738" w:type="dxa"/>
            <w:tcBorders>
              <w:top w:val="single" w:color="auto" w:sz="4" w:space="0"/>
              <w:left w:val="nil"/>
              <w:bottom w:val="single" w:color="auto" w:sz="4" w:space="0"/>
              <w:right w:val="single" w:color="auto" w:sz="4" w:space="0"/>
            </w:tcBorders>
            <w:noWrap/>
            <w:vAlign w:val="center"/>
          </w:tcPr>
          <w:p w14:paraId="69D8B40E">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分值</w:t>
            </w:r>
          </w:p>
        </w:tc>
      </w:tr>
      <w:tr w14:paraId="2E823D16">
        <w:tblPrEx>
          <w:tblCellMar>
            <w:top w:w="0" w:type="dxa"/>
            <w:left w:w="108" w:type="dxa"/>
            <w:bottom w:w="0" w:type="dxa"/>
            <w:right w:w="108" w:type="dxa"/>
          </w:tblCellMar>
        </w:tblPrEx>
        <w:trPr>
          <w:trHeight w:val="397"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14:paraId="23F49AAC">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决策</w:t>
            </w:r>
          </w:p>
          <w:p w14:paraId="40EEDFC9">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（10分）</w:t>
            </w: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14:paraId="0803B037">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项目立项</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14:paraId="6E736F54">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3</w:t>
            </w:r>
          </w:p>
        </w:tc>
        <w:tc>
          <w:tcPr>
            <w:tcW w:w="3778" w:type="dxa"/>
            <w:tcBorders>
              <w:top w:val="single" w:color="auto" w:sz="4" w:space="0"/>
              <w:left w:val="single" w:color="auto" w:sz="4" w:space="0"/>
              <w:bottom w:val="single" w:color="auto" w:sz="4" w:space="0"/>
              <w:right w:val="single" w:color="auto" w:sz="4" w:space="0"/>
            </w:tcBorders>
            <w:noWrap/>
            <w:vAlign w:val="center"/>
          </w:tcPr>
          <w:p w14:paraId="2D9F8FEB">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立项依据充分性</w:t>
            </w:r>
          </w:p>
        </w:tc>
        <w:tc>
          <w:tcPr>
            <w:tcW w:w="738" w:type="dxa"/>
            <w:tcBorders>
              <w:top w:val="single" w:color="auto" w:sz="4" w:space="0"/>
              <w:left w:val="single" w:color="auto" w:sz="4" w:space="0"/>
              <w:bottom w:val="single" w:color="auto" w:sz="4" w:space="0"/>
              <w:right w:val="single" w:color="auto" w:sz="4" w:space="0"/>
            </w:tcBorders>
            <w:noWrap/>
            <w:vAlign w:val="center"/>
          </w:tcPr>
          <w:p w14:paraId="43255677">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1.5</w:t>
            </w:r>
          </w:p>
        </w:tc>
      </w:tr>
      <w:tr w14:paraId="08DB1D6B">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03238651">
            <w:pPr>
              <w:widowControl/>
              <w:adjustRightInd w:val="0"/>
              <w:snapToGrid w:val="0"/>
              <w:jc w:val="left"/>
              <w:rPr>
                <w:rFonts w:ascii="宋体" w:hAnsi="宋体" w:cs="宋体"/>
                <w:color w:val="auto"/>
                <w:kern w:val="0"/>
                <w:szCs w:val="21"/>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14:paraId="267C255A">
            <w:pPr>
              <w:widowControl/>
              <w:adjustRightInd w:val="0"/>
              <w:snapToGrid w:val="0"/>
              <w:jc w:val="left"/>
              <w:rPr>
                <w:rFonts w:ascii="宋体" w:hAnsi="宋体" w:cs="宋体"/>
                <w:color w:val="auto"/>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14:paraId="561D0E1A">
            <w:pPr>
              <w:widowControl/>
              <w:adjustRightInd w:val="0"/>
              <w:snapToGrid w:val="0"/>
              <w:jc w:val="left"/>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6497A8B2">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立项程序规范性</w:t>
            </w:r>
          </w:p>
        </w:tc>
        <w:tc>
          <w:tcPr>
            <w:tcW w:w="738" w:type="dxa"/>
            <w:tcBorders>
              <w:top w:val="single" w:color="auto" w:sz="4" w:space="0"/>
              <w:left w:val="single" w:color="auto" w:sz="4" w:space="0"/>
              <w:bottom w:val="single" w:color="auto" w:sz="4" w:space="0"/>
              <w:right w:val="single" w:color="auto" w:sz="4" w:space="0"/>
            </w:tcBorders>
            <w:noWrap/>
            <w:vAlign w:val="center"/>
          </w:tcPr>
          <w:p w14:paraId="4DCAB78A">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1.5</w:t>
            </w:r>
          </w:p>
        </w:tc>
      </w:tr>
      <w:tr w14:paraId="2DEE75F1">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109F8198">
            <w:pPr>
              <w:widowControl/>
              <w:adjustRightInd w:val="0"/>
              <w:snapToGrid w:val="0"/>
              <w:jc w:val="left"/>
              <w:rPr>
                <w:rFonts w:ascii="宋体" w:hAnsi="宋体" w:cs="宋体"/>
                <w:color w:val="auto"/>
                <w:kern w:val="0"/>
                <w:szCs w:val="21"/>
                <w:highlight w:val="yellow"/>
              </w:rPr>
            </w:pP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14:paraId="30C36452">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绩效目标</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14:paraId="43AE4002">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3</w:t>
            </w:r>
          </w:p>
        </w:tc>
        <w:tc>
          <w:tcPr>
            <w:tcW w:w="3778" w:type="dxa"/>
            <w:tcBorders>
              <w:top w:val="single" w:color="auto" w:sz="4" w:space="0"/>
              <w:left w:val="single" w:color="auto" w:sz="4" w:space="0"/>
              <w:bottom w:val="single" w:color="auto" w:sz="4" w:space="0"/>
              <w:right w:val="single" w:color="auto" w:sz="4" w:space="0"/>
            </w:tcBorders>
            <w:noWrap/>
            <w:vAlign w:val="center"/>
          </w:tcPr>
          <w:p w14:paraId="04804759">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绩效目标合理性</w:t>
            </w:r>
          </w:p>
        </w:tc>
        <w:tc>
          <w:tcPr>
            <w:tcW w:w="738" w:type="dxa"/>
            <w:tcBorders>
              <w:top w:val="single" w:color="auto" w:sz="4" w:space="0"/>
              <w:left w:val="single" w:color="auto" w:sz="4" w:space="0"/>
              <w:bottom w:val="single" w:color="auto" w:sz="4" w:space="0"/>
              <w:right w:val="single" w:color="auto" w:sz="4" w:space="0"/>
            </w:tcBorders>
            <w:noWrap/>
            <w:vAlign w:val="center"/>
          </w:tcPr>
          <w:p w14:paraId="1BD9BD9A">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1.5</w:t>
            </w:r>
          </w:p>
        </w:tc>
      </w:tr>
      <w:tr w14:paraId="6F18447A">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3BE33238">
            <w:pPr>
              <w:widowControl/>
              <w:adjustRightInd w:val="0"/>
              <w:snapToGrid w:val="0"/>
              <w:jc w:val="left"/>
              <w:rPr>
                <w:rFonts w:ascii="宋体" w:hAnsi="宋体" w:cs="宋体"/>
                <w:color w:val="auto"/>
                <w:kern w:val="0"/>
                <w:szCs w:val="21"/>
                <w:highlight w:val="yellow"/>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14:paraId="31D04176">
            <w:pPr>
              <w:widowControl/>
              <w:adjustRightInd w:val="0"/>
              <w:snapToGrid w:val="0"/>
              <w:jc w:val="left"/>
              <w:rPr>
                <w:rFonts w:ascii="宋体" w:hAnsi="宋体" w:cs="宋体"/>
                <w:color w:val="auto"/>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14:paraId="760CD27C">
            <w:pPr>
              <w:widowControl/>
              <w:adjustRightInd w:val="0"/>
              <w:snapToGrid w:val="0"/>
              <w:jc w:val="left"/>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5914F717">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绩效指标明确性</w:t>
            </w:r>
          </w:p>
        </w:tc>
        <w:tc>
          <w:tcPr>
            <w:tcW w:w="738" w:type="dxa"/>
            <w:tcBorders>
              <w:top w:val="single" w:color="auto" w:sz="4" w:space="0"/>
              <w:left w:val="single" w:color="auto" w:sz="4" w:space="0"/>
              <w:bottom w:val="single" w:color="auto" w:sz="4" w:space="0"/>
              <w:right w:val="single" w:color="auto" w:sz="4" w:space="0"/>
            </w:tcBorders>
            <w:noWrap/>
            <w:vAlign w:val="center"/>
          </w:tcPr>
          <w:p w14:paraId="2FC04242">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1.5</w:t>
            </w:r>
          </w:p>
        </w:tc>
      </w:tr>
      <w:tr w14:paraId="3D6ABC59">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39C18A9C">
            <w:pPr>
              <w:widowControl/>
              <w:adjustRightInd w:val="0"/>
              <w:snapToGrid w:val="0"/>
              <w:jc w:val="left"/>
              <w:rPr>
                <w:rFonts w:ascii="宋体" w:hAnsi="宋体" w:cs="宋体"/>
                <w:color w:val="auto"/>
                <w:kern w:val="0"/>
                <w:szCs w:val="21"/>
                <w:highlight w:val="yellow"/>
              </w:rPr>
            </w:pP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14:paraId="4F5DAB51">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资金投入</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14:paraId="3A0C0968">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4</w:t>
            </w:r>
          </w:p>
        </w:tc>
        <w:tc>
          <w:tcPr>
            <w:tcW w:w="3778" w:type="dxa"/>
            <w:tcBorders>
              <w:top w:val="single" w:color="auto" w:sz="4" w:space="0"/>
              <w:left w:val="single" w:color="auto" w:sz="4" w:space="0"/>
              <w:bottom w:val="single" w:color="auto" w:sz="4" w:space="0"/>
              <w:right w:val="single" w:color="auto" w:sz="4" w:space="0"/>
            </w:tcBorders>
            <w:noWrap/>
            <w:vAlign w:val="center"/>
          </w:tcPr>
          <w:p w14:paraId="306435C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预算编制科学性</w:t>
            </w:r>
          </w:p>
        </w:tc>
        <w:tc>
          <w:tcPr>
            <w:tcW w:w="738" w:type="dxa"/>
            <w:tcBorders>
              <w:top w:val="single" w:color="auto" w:sz="4" w:space="0"/>
              <w:left w:val="single" w:color="auto" w:sz="4" w:space="0"/>
              <w:bottom w:val="single" w:color="auto" w:sz="4" w:space="0"/>
              <w:right w:val="single" w:color="auto" w:sz="4" w:space="0"/>
            </w:tcBorders>
            <w:noWrap/>
            <w:vAlign w:val="center"/>
          </w:tcPr>
          <w:p w14:paraId="5DDCB81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2</w:t>
            </w:r>
          </w:p>
        </w:tc>
      </w:tr>
      <w:tr w14:paraId="004611A5">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74786080">
            <w:pPr>
              <w:widowControl/>
              <w:adjustRightInd w:val="0"/>
              <w:snapToGrid w:val="0"/>
              <w:jc w:val="left"/>
              <w:rPr>
                <w:rFonts w:ascii="宋体" w:hAnsi="宋体" w:cs="宋体"/>
                <w:color w:val="auto"/>
                <w:kern w:val="0"/>
                <w:szCs w:val="21"/>
                <w:highlight w:val="yellow"/>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14:paraId="4C32D1B3">
            <w:pPr>
              <w:widowControl/>
              <w:adjustRightInd w:val="0"/>
              <w:snapToGrid w:val="0"/>
              <w:jc w:val="left"/>
              <w:rPr>
                <w:rFonts w:ascii="宋体" w:hAnsi="宋体" w:cs="宋体"/>
                <w:color w:val="auto"/>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14:paraId="2D6BDA77">
            <w:pPr>
              <w:widowControl/>
              <w:adjustRightInd w:val="0"/>
              <w:snapToGrid w:val="0"/>
              <w:jc w:val="left"/>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6DB91B34">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资金分配合理性</w:t>
            </w:r>
          </w:p>
        </w:tc>
        <w:tc>
          <w:tcPr>
            <w:tcW w:w="738" w:type="dxa"/>
            <w:tcBorders>
              <w:top w:val="single" w:color="auto" w:sz="4" w:space="0"/>
              <w:left w:val="single" w:color="auto" w:sz="4" w:space="0"/>
              <w:bottom w:val="single" w:color="auto" w:sz="4" w:space="0"/>
              <w:right w:val="single" w:color="auto" w:sz="4" w:space="0"/>
            </w:tcBorders>
            <w:noWrap/>
            <w:vAlign w:val="center"/>
          </w:tcPr>
          <w:p w14:paraId="120FFFBB">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2</w:t>
            </w:r>
          </w:p>
        </w:tc>
      </w:tr>
      <w:tr w14:paraId="05B3DDBD">
        <w:tblPrEx>
          <w:tblCellMar>
            <w:top w:w="0" w:type="dxa"/>
            <w:left w:w="108" w:type="dxa"/>
            <w:bottom w:w="0" w:type="dxa"/>
            <w:right w:w="108" w:type="dxa"/>
          </w:tblCellMar>
        </w:tblPrEx>
        <w:trPr>
          <w:trHeight w:val="397"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14:paraId="32EB472E">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过程</w:t>
            </w:r>
          </w:p>
          <w:p w14:paraId="6483119E">
            <w:pPr>
              <w:widowControl/>
              <w:adjustRightInd w:val="0"/>
              <w:snapToGrid w:val="0"/>
              <w:jc w:val="center"/>
              <w:rPr>
                <w:rFonts w:ascii="宋体" w:hAnsi="宋体" w:cs="宋体"/>
                <w:color w:val="auto"/>
                <w:kern w:val="0"/>
                <w:szCs w:val="21"/>
                <w:highlight w:val="yellow"/>
              </w:rPr>
            </w:pPr>
            <w:r>
              <w:rPr>
                <w:rFonts w:hint="eastAsia" w:ascii="宋体" w:hAnsi="宋体" w:cs="宋体"/>
                <w:color w:val="auto"/>
                <w:kern w:val="0"/>
                <w:szCs w:val="21"/>
              </w:rPr>
              <w:t>（20分）</w:t>
            </w: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14:paraId="47F291B4">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资金管理</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14:paraId="6828CE55">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12</w:t>
            </w:r>
          </w:p>
        </w:tc>
        <w:tc>
          <w:tcPr>
            <w:tcW w:w="3778" w:type="dxa"/>
            <w:tcBorders>
              <w:top w:val="single" w:color="auto" w:sz="4" w:space="0"/>
              <w:left w:val="single" w:color="auto" w:sz="4" w:space="0"/>
              <w:bottom w:val="single" w:color="auto" w:sz="4" w:space="0"/>
              <w:right w:val="single" w:color="auto" w:sz="4" w:space="0"/>
            </w:tcBorders>
            <w:noWrap/>
            <w:vAlign w:val="center"/>
          </w:tcPr>
          <w:p w14:paraId="096A662C">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资金到位率</w:t>
            </w:r>
          </w:p>
        </w:tc>
        <w:tc>
          <w:tcPr>
            <w:tcW w:w="738" w:type="dxa"/>
            <w:tcBorders>
              <w:top w:val="single" w:color="auto" w:sz="4" w:space="0"/>
              <w:left w:val="single" w:color="auto" w:sz="4" w:space="0"/>
              <w:bottom w:val="single" w:color="auto" w:sz="4" w:space="0"/>
              <w:right w:val="single" w:color="auto" w:sz="4" w:space="0"/>
            </w:tcBorders>
            <w:noWrap/>
            <w:vAlign w:val="center"/>
          </w:tcPr>
          <w:p w14:paraId="3E7B113D">
            <w:pPr>
              <w:widowControl/>
              <w:adjustRightInd w:val="0"/>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r>
      <w:tr w14:paraId="3BE035AE">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6BB64685">
            <w:pPr>
              <w:widowControl/>
              <w:adjustRightInd w:val="0"/>
              <w:snapToGrid w:val="0"/>
              <w:jc w:val="left"/>
              <w:rPr>
                <w:rFonts w:ascii="宋体" w:hAnsi="宋体" w:cs="宋体"/>
                <w:color w:val="auto"/>
                <w:kern w:val="0"/>
                <w:szCs w:val="21"/>
                <w:highlight w:val="yellow"/>
              </w:rPr>
            </w:pPr>
          </w:p>
        </w:tc>
        <w:tc>
          <w:tcPr>
            <w:tcW w:w="1579" w:type="dxa"/>
            <w:vMerge w:val="continue"/>
            <w:tcBorders>
              <w:top w:val="single" w:color="auto" w:sz="4" w:space="0"/>
              <w:left w:val="single" w:color="auto" w:sz="4" w:space="0"/>
              <w:right w:val="single" w:color="auto" w:sz="4" w:space="0"/>
            </w:tcBorders>
            <w:noWrap/>
            <w:vAlign w:val="center"/>
          </w:tcPr>
          <w:p w14:paraId="14FDAABE">
            <w:pPr>
              <w:widowControl/>
              <w:adjustRightInd w:val="0"/>
              <w:snapToGrid w:val="0"/>
              <w:jc w:val="left"/>
              <w:rPr>
                <w:rFonts w:ascii="宋体" w:hAnsi="宋体" w:cs="宋体"/>
                <w:color w:val="auto"/>
                <w:kern w:val="0"/>
                <w:szCs w:val="21"/>
              </w:rPr>
            </w:pPr>
          </w:p>
        </w:tc>
        <w:tc>
          <w:tcPr>
            <w:tcW w:w="851" w:type="dxa"/>
            <w:vMerge w:val="continue"/>
            <w:tcBorders>
              <w:top w:val="single" w:color="auto" w:sz="4" w:space="0"/>
              <w:left w:val="single" w:color="auto" w:sz="4" w:space="0"/>
              <w:right w:val="single" w:color="auto" w:sz="4" w:space="0"/>
            </w:tcBorders>
            <w:noWrap/>
            <w:vAlign w:val="center"/>
          </w:tcPr>
          <w:p w14:paraId="1AAE03E5">
            <w:pPr>
              <w:widowControl/>
              <w:adjustRightInd w:val="0"/>
              <w:snapToGrid w:val="0"/>
              <w:jc w:val="left"/>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66678186">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预算执行率</w:t>
            </w:r>
          </w:p>
        </w:tc>
        <w:tc>
          <w:tcPr>
            <w:tcW w:w="738" w:type="dxa"/>
            <w:tcBorders>
              <w:top w:val="single" w:color="auto" w:sz="4" w:space="0"/>
              <w:left w:val="single" w:color="auto" w:sz="4" w:space="0"/>
              <w:bottom w:val="single" w:color="auto" w:sz="4" w:space="0"/>
              <w:right w:val="single" w:color="auto" w:sz="4" w:space="0"/>
            </w:tcBorders>
            <w:noWrap/>
            <w:vAlign w:val="center"/>
          </w:tcPr>
          <w:p w14:paraId="33F7E9D5">
            <w:pPr>
              <w:widowControl/>
              <w:adjustRightInd w:val="0"/>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r>
      <w:tr w14:paraId="0B8D1025">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36D3105A">
            <w:pPr>
              <w:widowControl/>
              <w:adjustRightInd w:val="0"/>
              <w:snapToGrid w:val="0"/>
              <w:jc w:val="left"/>
              <w:rPr>
                <w:rFonts w:ascii="宋体" w:hAnsi="宋体" w:cs="宋体"/>
                <w:color w:val="auto"/>
                <w:kern w:val="0"/>
                <w:szCs w:val="21"/>
                <w:highlight w:val="yellow"/>
              </w:rPr>
            </w:pPr>
          </w:p>
        </w:tc>
        <w:tc>
          <w:tcPr>
            <w:tcW w:w="1579" w:type="dxa"/>
            <w:vMerge w:val="continue"/>
            <w:tcBorders>
              <w:left w:val="single" w:color="auto" w:sz="4" w:space="0"/>
              <w:right w:val="single" w:color="auto" w:sz="4" w:space="0"/>
            </w:tcBorders>
            <w:noWrap/>
            <w:vAlign w:val="center"/>
          </w:tcPr>
          <w:p w14:paraId="618B652C">
            <w:pPr>
              <w:widowControl/>
              <w:adjustRightInd w:val="0"/>
              <w:snapToGrid w:val="0"/>
              <w:jc w:val="center"/>
              <w:rPr>
                <w:rFonts w:ascii="宋体" w:hAnsi="宋体" w:cs="宋体"/>
                <w:color w:val="auto"/>
                <w:kern w:val="0"/>
                <w:szCs w:val="21"/>
              </w:rPr>
            </w:pPr>
          </w:p>
        </w:tc>
        <w:tc>
          <w:tcPr>
            <w:tcW w:w="851" w:type="dxa"/>
            <w:vMerge w:val="continue"/>
            <w:tcBorders>
              <w:left w:val="single" w:color="auto" w:sz="4" w:space="0"/>
              <w:right w:val="single" w:color="auto" w:sz="4" w:space="0"/>
            </w:tcBorders>
            <w:noWrap/>
            <w:vAlign w:val="center"/>
          </w:tcPr>
          <w:p w14:paraId="014FBF4B">
            <w:pPr>
              <w:widowControl/>
              <w:adjustRightInd w:val="0"/>
              <w:snapToGrid w:val="0"/>
              <w:jc w:val="center"/>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63579610">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资金使用合规性</w:t>
            </w:r>
          </w:p>
        </w:tc>
        <w:tc>
          <w:tcPr>
            <w:tcW w:w="738" w:type="dxa"/>
            <w:tcBorders>
              <w:top w:val="single" w:color="auto" w:sz="4" w:space="0"/>
              <w:left w:val="single" w:color="auto" w:sz="4" w:space="0"/>
              <w:bottom w:val="single" w:color="auto" w:sz="4" w:space="0"/>
              <w:right w:val="single" w:color="auto" w:sz="4" w:space="0"/>
            </w:tcBorders>
            <w:noWrap/>
            <w:vAlign w:val="center"/>
          </w:tcPr>
          <w:p w14:paraId="6D596EB2">
            <w:pPr>
              <w:widowControl/>
              <w:adjustRightInd w:val="0"/>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r>
      <w:tr w14:paraId="4AD7BDC2">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41A94C1C">
            <w:pPr>
              <w:widowControl/>
              <w:adjustRightInd w:val="0"/>
              <w:snapToGrid w:val="0"/>
              <w:jc w:val="left"/>
              <w:rPr>
                <w:rFonts w:ascii="宋体" w:hAnsi="宋体" w:cs="宋体"/>
                <w:color w:val="auto"/>
                <w:kern w:val="0"/>
                <w:szCs w:val="21"/>
                <w:highlight w:val="yellow"/>
              </w:rPr>
            </w:pP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14:paraId="77490AFE">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组织实施</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14:paraId="5A2F92C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8</w:t>
            </w:r>
          </w:p>
        </w:tc>
        <w:tc>
          <w:tcPr>
            <w:tcW w:w="3778" w:type="dxa"/>
            <w:tcBorders>
              <w:top w:val="single" w:color="auto" w:sz="4" w:space="0"/>
              <w:left w:val="single" w:color="auto" w:sz="4" w:space="0"/>
              <w:bottom w:val="single" w:color="auto" w:sz="4" w:space="0"/>
              <w:right w:val="single" w:color="auto" w:sz="4" w:space="0"/>
            </w:tcBorders>
            <w:noWrap/>
            <w:vAlign w:val="center"/>
          </w:tcPr>
          <w:p w14:paraId="568FBABB">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管理制度健全性</w:t>
            </w:r>
          </w:p>
        </w:tc>
        <w:tc>
          <w:tcPr>
            <w:tcW w:w="738" w:type="dxa"/>
            <w:tcBorders>
              <w:top w:val="single" w:color="auto" w:sz="4" w:space="0"/>
              <w:left w:val="single" w:color="auto" w:sz="4" w:space="0"/>
              <w:bottom w:val="single" w:color="auto" w:sz="4" w:space="0"/>
              <w:right w:val="single" w:color="auto" w:sz="4" w:space="0"/>
            </w:tcBorders>
            <w:noWrap/>
            <w:vAlign w:val="center"/>
          </w:tcPr>
          <w:p w14:paraId="04C79545">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2</w:t>
            </w:r>
          </w:p>
        </w:tc>
      </w:tr>
      <w:tr w14:paraId="7F939601">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1B3F4393">
            <w:pPr>
              <w:widowControl/>
              <w:adjustRightInd w:val="0"/>
              <w:snapToGrid w:val="0"/>
              <w:jc w:val="left"/>
              <w:rPr>
                <w:rFonts w:ascii="宋体" w:hAnsi="宋体" w:cs="宋体"/>
                <w:color w:val="auto"/>
                <w:kern w:val="0"/>
                <w:szCs w:val="21"/>
                <w:highlight w:val="yellow"/>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14:paraId="3B834725">
            <w:pPr>
              <w:widowControl/>
              <w:adjustRightInd w:val="0"/>
              <w:snapToGrid w:val="0"/>
              <w:jc w:val="left"/>
              <w:rPr>
                <w:rFonts w:ascii="宋体" w:hAnsi="宋体" w:cs="宋体"/>
                <w:color w:val="auto"/>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14:paraId="2275433C">
            <w:pPr>
              <w:widowControl/>
              <w:adjustRightInd w:val="0"/>
              <w:snapToGrid w:val="0"/>
              <w:jc w:val="center"/>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01598D1D">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制度执行有效性</w:t>
            </w:r>
          </w:p>
        </w:tc>
        <w:tc>
          <w:tcPr>
            <w:tcW w:w="738" w:type="dxa"/>
            <w:tcBorders>
              <w:top w:val="single" w:color="auto" w:sz="4" w:space="0"/>
              <w:left w:val="single" w:color="auto" w:sz="4" w:space="0"/>
              <w:bottom w:val="single" w:color="auto" w:sz="4" w:space="0"/>
              <w:right w:val="single" w:color="auto" w:sz="4" w:space="0"/>
            </w:tcBorders>
            <w:noWrap/>
            <w:vAlign w:val="center"/>
          </w:tcPr>
          <w:p w14:paraId="71416ABD">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6</w:t>
            </w:r>
          </w:p>
        </w:tc>
      </w:tr>
      <w:tr w14:paraId="5165FB16">
        <w:tblPrEx>
          <w:tblCellMar>
            <w:top w:w="0" w:type="dxa"/>
            <w:left w:w="108" w:type="dxa"/>
            <w:bottom w:w="0" w:type="dxa"/>
            <w:right w:w="108" w:type="dxa"/>
          </w:tblCellMar>
        </w:tblPrEx>
        <w:trPr>
          <w:trHeight w:val="366"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14:paraId="5B52D1EC">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产出</w:t>
            </w:r>
          </w:p>
          <w:p w14:paraId="7EFCF342">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（40分）</w:t>
            </w:r>
          </w:p>
        </w:tc>
        <w:tc>
          <w:tcPr>
            <w:tcW w:w="1579" w:type="dxa"/>
            <w:tcBorders>
              <w:top w:val="single" w:color="auto" w:sz="4" w:space="0"/>
              <w:left w:val="single" w:color="auto" w:sz="4" w:space="0"/>
              <w:bottom w:val="single" w:color="auto" w:sz="4" w:space="0"/>
              <w:right w:val="single" w:color="auto" w:sz="4" w:space="0"/>
            </w:tcBorders>
            <w:noWrap/>
            <w:vAlign w:val="center"/>
          </w:tcPr>
          <w:p w14:paraId="467C7494">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产出数量</w:t>
            </w:r>
          </w:p>
        </w:tc>
        <w:tc>
          <w:tcPr>
            <w:tcW w:w="851" w:type="dxa"/>
            <w:tcBorders>
              <w:top w:val="single" w:color="auto" w:sz="4" w:space="0"/>
              <w:left w:val="single" w:color="auto" w:sz="4" w:space="0"/>
              <w:bottom w:val="single" w:color="auto" w:sz="4" w:space="0"/>
              <w:right w:val="single" w:color="auto" w:sz="4" w:space="0"/>
            </w:tcBorders>
            <w:noWrap/>
            <w:vAlign w:val="center"/>
          </w:tcPr>
          <w:p w14:paraId="5ADE65A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c>
          <w:tcPr>
            <w:tcW w:w="3778" w:type="dxa"/>
            <w:tcBorders>
              <w:top w:val="single" w:color="auto" w:sz="4" w:space="0"/>
              <w:left w:val="single" w:color="auto" w:sz="4" w:space="0"/>
              <w:bottom w:val="single" w:color="auto" w:sz="4" w:space="0"/>
              <w:right w:val="single" w:color="auto" w:sz="4" w:space="0"/>
            </w:tcBorders>
            <w:noWrap/>
            <w:vAlign w:val="center"/>
          </w:tcPr>
          <w:p w14:paraId="7A1DB9D8">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实际完成率</w:t>
            </w:r>
          </w:p>
        </w:tc>
        <w:tc>
          <w:tcPr>
            <w:tcW w:w="738" w:type="dxa"/>
            <w:tcBorders>
              <w:top w:val="single" w:color="auto" w:sz="4" w:space="0"/>
              <w:left w:val="single" w:color="auto" w:sz="4" w:space="0"/>
              <w:bottom w:val="single" w:color="auto" w:sz="4" w:space="0"/>
              <w:right w:val="single" w:color="auto" w:sz="4" w:space="0"/>
            </w:tcBorders>
            <w:noWrap/>
            <w:vAlign w:val="center"/>
          </w:tcPr>
          <w:p w14:paraId="5B17A16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r>
      <w:tr w14:paraId="3BFE3618">
        <w:tblPrEx>
          <w:tblCellMar>
            <w:top w:w="0" w:type="dxa"/>
            <w:left w:w="108" w:type="dxa"/>
            <w:bottom w:w="0" w:type="dxa"/>
            <w:right w:w="108" w:type="dxa"/>
          </w:tblCellMar>
        </w:tblPrEx>
        <w:trPr>
          <w:trHeight w:val="352"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0F607672">
            <w:pPr>
              <w:widowControl/>
              <w:adjustRightInd w:val="0"/>
              <w:snapToGrid w:val="0"/>
              <w:jc w:val="left"/>
              <w:rPr>
                <w:rFonts w:ascii="宋体" w:hAnsi="宋体" w:cs="宋体"/>
                <w:color w:val="auto"/>
                <w:kern w:val="0"/>
                <w:szCs w:val="21"/>
              </w:rPr>
            </w:pPr>
          </w:p>
        </w:tc>
        <w:tc>
          <w:tcPr>
            <w:tcW w:w="1579" w:type="dxa"/>
            <w:tcBorders>
              <w:top w:val="single" w:color="auto" w:sz="4" w:space="0"/>
              <w:left w:val="single" w:color="auto" w:sz="4" w:space="0"/>
              <w:bottom w:val="single" w:color="auto" w:sz="4" w:space="0"/>
              <w:right w:val="single" w:color="auto" w:sz="4" w:space="0"/>
            </w:tcBorders>
            <w:noWrap/>
            <w:vAlign w:val="center"/>
          </w:tcPr>
          <w:p w14:paraId="5304CC65">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产出质量</w:t>
            </w:r>
          </w:p>
        </w:tc>
        <w:tc>
          <w:tcPr>
            <w:tcW w:w="851" w:type="dxa"/>
            <w:tcBorders>
              <w:top w:val="single" w:color="auto" w:sz="4" w:space="0"/>
              <w:left w:val="single" w:color="auto" w:sz="4" w:space="0"/>
              <w:bottom w:val="single" w:color="auto" w:sz="4" w:space="0"/>
              <w:right w:val="single" w:color="auto" w:sz="4" w:space="0"/>
            </w:tcBorders>
            <w:noWrap/>
            <w:vAlign w:val="center"/>
          </w:tcPr>
          <w:p w14:paraId="1A645042">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c>
          <w:tcPr>
            <w:tcW w:w="3778" w:type="dxa"/>
            <w:tcBorders>
              <w:top w:val="single" w:color="auto" w:sz="4" w:space="0"/>
              <w:left w:val="single" w:color="auto" w:sz="4" w:space="0"/>
              <w:bottom w:val="single" w:color="auto" w:sz="4" w:space="0"/>
              <w:right w:val="single" w:color="auto" w:sz="4" w:space="0"/>
            </w:tcBorders>
            <w:noWrap/>
            <w:vAlign w:val="center"/>
          </w:tcPr>
          <w:p w14:paraId="33885589">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质量达标率</w:t>
            </w:r>
          </w:p>
        </w:tc>
        <w:tc>
          <w:tcPr>
            <w:tcW w:w="738" w:type="dxa"/>
            <w:tcBorders>
              <w:top w:val="single" w:color="auto" w:sz="4" w:space="0"/>
              <w:left w:val="single" w:color="auto" w:sz="4" w:space="0"/>
              <w:bottom w:val="single" w:color="auto" w:sz="4" w:space="0"/>
              <w:right w:val="single" w:color="auto" w:sz="4" w:space="0"/>
            </w:tcBorders>
            <w:noWrap/>
            <w:vAlign w:val="center"/>
          </w:tcPr>
          <w:p w14:paraId="1EA3D64E">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r>
      <w:tr w14:paraId="2FB47209">
        <w:tblPrEx>
          <w:tblCellMar>
            <w:top w:w="0" w:type="dxa"/>
            <w:left w:w="108" w:type="dxa"/>
            <w:bottom w:w="0" w:type="dxa"/>
            <w:right w:w="108" w:type="dxa"/>
          </w:tblCellMar>
        </w:tblPrEx>
        <w:trPr>
          <w:trHeight w:val="34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6692C8F5">
            <w:pPr>
              <w:widowControl/>
              <w:adjustRightInd w:val="0"/>
              <w:snapToGrid w:val="0"/>
              <w:jc w:val="left"/>
              <w:rPr>
                <w:rFonts w:ascii="宋体" w:hAnsi="宋体" w:cs="宋体"/>
                <w:color w:val="auto"/>
                <w:kern w:val="0"/>
                <w:szCs w:val="21"/>
              </w:rPr>
            </w:pPr>
          </w:p>
        </w:tc>
        <w:tc>
          <w:tcPr>
            <w:tcW w:w="1579" w:type="dxa"/>
            <w:tcBorders>
              <w:top w:val="single" w:color="auto" w:sz="4" w:space="0"/>
              <w:left w:val="single" w:color="auto" w:sz="4" w:space="0"/>
              <w:bottom w:val="single" w:color="auto" w:sz="4" w:space="0"/>
              <w:right w:val="single" w:color="auto" w:sz="4" w:space="0"/>
            </w:tcBorders>
            <w:noWrap/>
            <w:vAlign w:val="center"/>
          </w:tcPr>
          <w:p w14:paraId="115823BD">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产出时效</w:t>
            </w:r>
          </w:p>
        </w:tc>
        <w:tc>
          <w:tcPr>
            <w:tcW w:w="851" w:type="dxa"/>
            <w:tcBorders>
              <w:top w:val="single" w:color="auto" w:sz="4" w:space="0"/>
              <w:left w:val="single" w:color="auto" w:sz="4" w:space="0"/>
              <w:bottom w:val="single" w:color="auto" w:sz="4" w:space="0"/>
              <w:right w:val="single" w:color="auto" w:sz="4" w:space="0"/>
            </w:tcBorders>
            <w:noWrap/>
            <w:vAlign w:val="center"/>
          </w:tcPr>
          <w:p w14:paraId="778B3154">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c>
          <w:tcPr>
            <w:tcW w:w="3778" w:type="dxa"/>
            <w:tcBorders>
              <w:top w:val="single" w:color="auto" w:sz="4" w:space="0"/>
              <w:left w:val="single" w:color="auto" w:sz="4" w:space="0"/>
              <w:bottom w:val="single" w:color="auto" w:sz="4" w:space="0"/>
              <w:right w:val="single" w:color="auto" w:sz="4" w:space="0"/>
            </w:tcBorders>
            <w:noWrap/>
            <w:vAlign w:val="center"/>
          </w:tcPr>
          <w:p w14:paraId="08E0517E">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完成及时性</w:t>
            </w:r>
          </w:p>
        </w:tc>
        <w:tc>
          <w:tcPr>
            <w:tcW w:w="738" w:type="dxa"/>
            <w:tcBorders>
              <w:top w:val="single" w:color="auto" w:sz="4" w:space="0"/>
              <w:left w:val="single" w:color="auto" w:sz="4" w:space="0"/>
              <w:bottom w:val="single" w:color="auto" w:sz="4" w:space="0"/>
              <w:right w:val="single" w:color="auto" w:sz="4" w:space="0"/>
            </w:tcBorders>
            <w:noWrap/>
            <w:vAlign w:val="center"/>
          </w:tcPr>
          <w:p w14:paraId="7FBC2B53">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r>
      <w:tr w14:paraId="79559A0E">
        <w:tblPrEx>
          <w:tblCellMar>
            <w:top w:w="0" w:type="dxa"/>
            <w:left w:w="108" w:type="dxa"/>
            <w:bottom w:w="0" w:type="dxa"/>
            <w:right w:w="108" w:type="dxa"/>
          </w:tblCellMar>
        </w:tblPrEx>
        <w:trPr>
          <w:trHeight w:val="340"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3D27CCA5">
            <w:pPr>
              <w:widowControl/>
              <w:adjustRightInd w:val="0"/>
              <w:snapToGrid w:val="0"/>
              <w:jc w:val="left"/>
              <w:rPr>
                <w:rFonts w:ascii="宋体" w:hAnsi="宋体" w:cs="宋体"/>
                <w:color w:val="auto"/>
                <w:kern w:val="0"/>
                <w:szCs w:val="21"/>
              </w:rPr>
            </w:pPr>
          </w:p>
        </w:tc>
        <w:tc>
          <w:tcPr>
            <w:tcW w:w="1579" w:type="dxa"/>
            <w:tcBorders>
              <w:top w:val="single" w:color="auto" w:sz="4" w:space="0"/>
              <w:left w:val="single" w:color="auto" w:sz="4" w:space="0"/>
              <w:bottom w:val="single" w:color="auto" w:sz="4" w:space="0"/>
              <w:right w:val="single" w:color="auto" w:sz="4" w:space="0"/>
            </w:tcBorders>
            <w:noWrap/>
            <w:vAlign w:val="center"/>
          </w:tcPr>
          <w:p w14:paraId="72829E20">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产出成本</w:t>
            </w:r>
          </w:p>
        </w:tc>
        <w:tc>
          <w:tcPr>
            <w:tcW w:w="851" w:type="dxa"/>
            <w:tcBorders>
              <w:top w:val="single" w:color="auto" w:sz="4" w:space="0"/>
              <w:left w:val="single" w:color="auto" w:sz="4" w:space="0"/>
              <w:bottom w:val="single" w:color="auto" w:sz="4" w:space="0"/>
              <w:right w:val="single" w:color="auto" w:sz="4" w:space="0"/>
            </w:tcBorders>
            <w:noWrap/>
            <w:vAlign w:val="center"/>
          </w:tcPr>
          <w:p w14:paraId="59AA1FF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c>
          <w:tcPr>
            <w:tcW w:w="3778" w:type="dxa"/>
            <w:tcBorders>
              <w:top w:val="single" w:color="auto" w:sz="4" w:space="0"/>
              <w:left w:val="single" w:color="auto" w:sz="4" w:space="0"/>
              <w:bottom w:val="single" w:color="auto" w:sz="4" w:space="0"/>
              <w:right w:val="single" w:color="auto" w:sz="4" w:space="0"/>
            </w:tcBorders>
            <w:noWrap/>
            <w:vAlign w:val="center"/>
          </w:tcPr>
          <w:p w14:paraId="3933C524">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成本节约率</w:t>
            </w:r>
          </w:p>
        </w:tc>
        <w:tc>
          <w:tcPr>
            <w:tcW w:w="738" w:type="dxa"/>
            <w:tcBorders>
              <w:top w:val="single" w:color="auto" w:sz="4" w:space="0"/>
              <w:left w:val="single" w:color="auto" w:sz="4" w:space="0"/>
              <w:bottom w:val="single" w:color="auto" w:sz="4" w:space="0"/>
              <w:right w:val="single" w:color="auto" w:sz="4" w:space="0"/>
            </w:tcBorders>
            <w:noWrap/>
            <w:vAlign w:val="center"/>
          </w:tcPr>
          <w:p w14:paraId="54B81DA9">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r>
      <w:tr w14:paraId="6E123B0E">
        <w:tblPrEx>
          <w:tblCellMar>
            <w:top w:w="0" w:type="dxa"/>
            <w:left w:w="108" w:type="dxa"/>
            <w:bottom w:w="0" w:type="dxa"/>
            <w:right w:w="108" w:type="dxa"/>
          </w:tblCellMar>
        </w:tblPrEx>
        <w:trPr>
          <w:trHeight w:val="382"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14:paraId="41F7DDA9">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效益</w:t>
            </w:r>
          </w:p>
          <w:p w14:paraId="4AEA1A60">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（30分）</w:t>
            </w: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14:paraId="4A42305A">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项目效益</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14:paraId="25B462A5">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30</w:t>
            </w:r>
          </w:p>
        </w:tc>
        <w:tc>
          <w:tcPr>
            <w:tcW w:w="3778" w:type="dxa"/>
            <w:tcBorders>
              <w:top w:val="single" w:color="auto" w:sz="4" w:space="0"/>
              <w:left w:val="single" w:color="auto" w:sz="4" w:space="0"/>
              <w:right w:val="single" w:color="auto" w:sz="4" w:space="0"/>
            </w:tcBorders>
            <w:noWrap/>
            <w:vAlign w:val="center"/>
          </w:tcPr>
          <w:p w14:paraId="40F1D701">
            <w:pPr>
              <w:widowControl/>
              <w:adjustRightInd w:val="0"/>
              <w:snapToGrid w:val="0"/>
              <w:jc w:val="center"/>
              <w:rPr>
                <w:rFonts w:hint="eastAsia" w:ascii="宋体" w:hAnsi="宋体" w:cs="宋体"/>
                <w:color w:val="auto"/>
                <w:kern w:val="0"/>
                <w:szCs w:val="21"/>
              </w:rPr>
            </w:pPr>
            <w:r>
              <w:rPr>
                <w:rFonts w:hint="eastAsia" w:ascii="宋体" w:hAnsi="宋体" w:cs="宋体"/>
                <w:color w:val="auto"/>
                <w:kern w:val="0"/>
                <w:szCs w:val="21"/>
                <w:lang w:val="en-US" w:eastAsia="zh-CN"/>
              </w:rPr>
              <w:t>生态效益</w:t>
            </w:r>
          </w:p>
        </w:tc>
        <w:tc>
          <w:tcPr>
            <w:tcW w:w="738" w:type="dxa"/>
            <w:tcBorders>
              <w:top w:val="single" w:color="auto" w:sz="4" w:space="0"/>
              <w:left w:val="single" w:color="auto" w:sz="4" w:space="0"/>
              <w:bottom w:val="single" w:color="auto" w:sz="4" w:space="0"/>
              <w:right w:val="single" w:color="auto" w:sz="4" w:space="0"/>
            </w:tcBorders>
            <w:noWrap/>
            <w:vAlign w:val="center"/>
          </w:tcPr>
          <w:p w14:paraId="57DEE319">
            <w:pPr>
              <w:keepNext w:val="0"/>
              <w:keepLines w:val="0"/>
              <w:widowControl/>
              <w:suppressLineNumbers w:val="0"/>
              <w:jc w:val="center"/>
              <w:textAlignment w:val="center"/>
              <w:rPr>
                <w:rFonts w:ascii="宋体" w:hAnsi="宋体" w:cs="宋体"/>
                <w:color w:val="auto"/>
                <w:kern w:val="0"/>
                <w:szCs w:val="21"/>
              </w:rPr>
            </w:pPr>
            <w:r>
              <w:rPr>
                <w:rFonts w:hint="eastAsia" w:ascii="宋体" w:hAnsi="宋体" w:cs="宋体"/>
                <w:i w:val="0"/>
                <w:iCs w:val="0"/>
                <w:color w:val="000000"/>
                <w:kern w:val="0"/>
                <w:sz w:val="21"/>
                <w:szCs w:val="21"/>
                <w:u w:val="none"/>
                <w:lang w:val="en-US" w:eastAsia="zh-CN" w:bidi="ar"/>
              </w:rPr>
              <w:t>7</w:t>
            </w:r>
          </w:p>
        </w:tc>
      </w:tr>
      <w:tr w14:paraId="60B5AF67">
        <w:tblPrEx>
          <w:tblCellMar>
            <w:top w:w="0" w:type="dxa"/>
            <w:left w:w="108" w:type="dxa"/>
            <w:bottom w:w="0" w:type="dxa"/>
            <w:right w:w="108" w:type="dxa"/>
          </w:tblCellMar>
        </w:tblPrEx>
        <w:trPr>
          <w:trHeight w:val="90" w:hRule="atLeast"/>
          <w:jc w:val="center"/>
        </w:trPr>
        <w:tc>
          <w:tcPr>
            <w:tcW w:w="1256" w:type="dxa"/>
            <w:vMerge w:val="continue"/>
            <w:tcBorders>
              <w:left w:val="single" w:color="auto" w:sz="4" w:space="0"/>
              <w:right w:val="single" w:color="auto" w:sz="4" w:space="0"/>
            </w:tcBorders>
            <w:noWrap/>
            <w:vAlign w:val="center"/>
          </w:tcPr>
          <w:p w14:paraId="0A6A2252">
            <w:pPr>
              <w:widowControl/>
              <w:adjustRightInd w:val="0"/>
              <w:snapToGrid w:val="0"/>
              <w:jc w:val="center"/>
              <w:rPr>
                <w:rFonts w:hint="eastAsia" w:ascii="宋体" w:hAnsi="宋体" w:cs="宋体"/>
                <w:color w:val="auto"/>
                <w:kern w:val="0"/>
                <w:szCs w:val="21"/>
              </w:rPr>
            </w:pPr>
          </w:p>
        </w:tc>
        <w:tc>
          <w:tcPr>
            <w:tcW w:w="1579" w:type="dxa"/>
            <w:vMerge w:val="continue"/>
            <w:tcBorders>
              <w:left w:val="single" w:color="auto" w:sz="4" w:space="0"/>
              <w:right w:val="single" w:color="auto" w:sz="4" w:space="0"/>
            </w:tcBorders>
            <w:noWrap/>
            <w:vAlign w:val="center"/>
          </w:tcPr>
          <w:p w14:paraId="31901A48">
            <w:pPr>
              <w:widowControl/>
              <w:adjustRightInd w:val="0"/>
              <w:snapToGrid w:val="0"/>
              <w:jc w:val="center"/>
              <w:rPr>
                <w:rFonts w:hint="eastAsia" w:ascii="宋体" w:hAnsi="宋体" w:cs="宋体"/>
                <w:color w:val="auto"/>
                <w:kern w:val="0"/>
                <w:szCs w:val="21"/>
              </w:rPr>
            </w:pPr>
          </w:p>
        </w:tc>
        <w:tc>
          <w:tcPr>
            <w:tcW w:w="851" w:type="dxa"/>
            <w:vMerge w:val="continue"/>
            <w:tcBorders>
              <w:left w:val="single" w:color="auto" w:sz="4" w:space="0"/>
              <w:right w:val="single" w:color="auto" w:sz="4" w:space="0"/>
            </w:tcBorders>
            <w:noWrap/>
            <w:vAlign w:val="center"/>
          </w:tcPr>
          <w:p w14:paraId="071BF765">
            <w:pPr>
              <w:widowControl/>
              <w:adjustRightInd w:val="0"/>
              <w:snapToGrid w:val="0"/>
              <w:jc w:val="center"/>
              <w:rPr>
                <w:rFonts w:hint="eastAsia" w:ascii="宋体" w:hAnsi="宋体" w:cs="宋体"/>
                <w:color w:val="auto"/>
                <w:kern w:val="0"/>
                <w:szCs w:val="21"/>
              </w:rPr>
            </w:pPr>
          </w:p>
        </w:tc>
        <w:tc>
          <w:tcPr>
            <w:tcW w:w="3778" w:type="dxa"/>
            <w:tcBorders>
              <w:top w:val="single" w:color="auto" w:sz="4" w:space="0"/>
              <w:left w:val="single" w:color="auto" w:sz="4" w:space="0"/>
              <w:right w:val="single" w:color="auto" w:sz="4" w:space="0"/>
            </w:tcBorders>
            <w:noWrap/>
            <w:vAlign w:val="center"/>
          </w:tcPr>
          <w:p w14:paraId="28526ABB">
            <w:pPr>
              <w:widowControl/>
              <w:adjustRightInd w:val="0"/>
              <w:snapToGrid w:val="0"/>
              <w:jc w:val="center"/>
              <w:rPr>
                <w:rFonts w:hint="eastAsia" w:ascii="宋体" w:hAnsi="宋体" w:cs="宋体"/>
                <w:color w:val="auto"/>
                <w:kern w:val="0"/>
                <w:szCs w:val="21"/>
              </w:rPr>
            </w:pPr>
            <w:r>
              <w:rPr>
                <w:rFonts w:hint="eastAsia" w:ascii="宋体" w:hAnsi="宋体" w:cs="宋体"/>
                <w:color w:val="auto"/>
                <w:kern w:val="0"/>
                <w:szCs w:val="21"/>
                <w:lang w:val="en-US" w:eastAsia="zh-CN"/>
              </w:rPr>
              <w:t>社会效益</w:t>
            </w:r>
          </w:p>
        </w:tc>
        <w:tc>
          <w:tcPr>
            <w:tcW w:w="738" w:type="dxa"/>
            <w:tcBorders>
              <w:top w:val="single" w:color="auto" w:sz="4" w:space="0"/>
              <w:left w:val="single" w:color="auto" w:sz="4" w:space="0"/>
              <w:bottom w:val="single" w:color="auto" w:sz="4" w:space="0"/>
              <w:right w:val="single" w:color="auto" w:sz="4" w:space="0"/>
            </w:tcBorders>
            <w:noWrap/>
            <w:vAlign w:val="center"/>
          </w:tcPr>
          <w:p w14:paraId="53368C27">
            <w:pPr>
              <w:keepNext w:val="0"/>
              <w:keepLines w:val="0"/>
              <w:widowControl/>
              <w:suppressLineNumbers w:val="0"/>
              <w:jc w:val="center"/>
              <w:textAlignment w:val="center"/>
              <w:rPr>
                <w:rFonts w:hint="eastAsia" w:ascii="宋体" w:hAnsi="宋体" w:cs="宋体"/>
                <w:color w:val="auto"/>
                <w:kern w:val="0"/>
                <w:szCs w:val="21"/>
              </w:rPr>
            </w:pPr>
            <w:r>
              <w:rPr>
                <w:rFonts w:hint="eastAsia" w:ascii="宋体" w:hAnsi="宋体" w:cs="宋体"/>
                <w:i w:val="0"/>
                <w:iCs w:val="0"/>
                <w:color w:val="000000"/>
                <w:kern w:val="0"/>
                <w:sz w:val="21"/>
                <w:szCs w:val="21"/>
                <w:u w:val="none"/>
                <w:lang w:val="en-US" w:eastAsia="zh-CN" w:bidi="ar"/>
              </w:rPr>
              <w:t>7</w:t>
            </w:r>
          </w:p>
        </w:tc>
      </w:tr>
      <w:tr w14:paraId="020E1E3A">
        <w:tblPrEx>
          <w:tblCellMar>
            <w:top w:w="0" w:type="dxa"/>
            <w:left w:w="108" w:type="dxa"/>
            <w:bottom w:w="0" w:type="dxa"/>
            <w:right w:w="108" w:type="dxa"/>
          </w:tblCellMar>
        </w:tblPrEx>
        <w:trPr>
          <w:trHeight w:val="365" w:hRule="atLeast"/>
          <w:jc w:val="center"/>
        </w:trPr>
        <w:tc>
          <w:tcPr>
            <w:tcW w:w="1256" w:type="dxa"/>
            <w:vMerge w:val="continue"/>
            <w:tcBorders>
              <w:left w:val="single" w:color="auto" w:sz="4" w:space="0"/>
              <w:right w:val="single" w:color="auto" w:sz="4" w:space="0"/>
            </w:tcBorders>
            <w:noWrap/>
            <w:vAlign w:val="center"/>
          </w:tcPr>
          <w:p w14:paraId="5DBD71C9">
            <w:pPr>
              <w:widowControl/>
              <w:adjustRightInd w:val="0"/>
              <w:snapToGrid w:val="0"/>
              <w:jc w:val="center"/>
              <w:rPr>
                <w:rFonts w:hint="eastAsia" w:ascii="宋体" w:hAnsi="宋体" w:cs="宋体"/>
                <w:color w:val="auto"/>
                <w:kern w:val="0"/>
                <w:szCs w:val="21"/>
              </w:rPr>
            </w:pPr>
          </w:p>
        </w:tc>
        <w:tc>
          <w:tcPr>
            <w:tcW w:w="1579" w:type="dxa"/>
            <w:vMerge w:val="continue"/>
            <w:tcBorders>
              <w:left w:val="single" w:color="auto" w:sz="4" w:space="0"/>
              <w:right w:val="single" w:color="auto" w:sz="4" w:space="0"/>
            </w:tcBorders>
            <w:noWrap/>
            <w:vAlign w:val="center"/>
          </w:tcPr>
          <w:p w14:paraId="37CA87A3">
            <w:pPr>
              <w:widowControl/>
              <w:adjustRightInd w:val="0"/>
              <w:snapToGrid w:val="0"/>
              <w:jc w:val="center"/>
              <w:rPr>
                <w:rFonts w:hint="eastAsia" w:ascii="宋体" w:hAnsi="宋体" w:cs="宋体"/>
                <w:color w:val="auto"/>
                <w:kern w:val="0"/>
                <w:szCs w:val="21"/>
              </w:rPr>
            </w:pPr>
          </w:p>
        </w:tc>
        <w:tc>
          <w:tcPr>
            <w:tcW w:w="851" w:type="dxa"/>
            <w:vMerge w:val="continue"/>
            <w:tcBorders>
              <w:left w:val="single" w:color="auto" w:sz="4" w:space="0"/>
              <w:right w:val="single" w:color="auto" w:sz="4" w:space="0"/>
            </w:tcBorders>
            <w:noWrap/>
            <w:vAlign w:val="center"/>
          </w:tcPr>
          <w:p w14:paraId="6974ED1B">
            <w:pPr>
              <w:widowControl/>
              <w:adjustRightInd w:val="0"/>
              <w:snapToGrid w:val="0"/>
              <w:jc w:val="center"/>
              <w:rPr>
                <w:rFonts w:hint="eastAsia" w:ascii="宋体" w:hAnsi="宋体" w:cs="宋体"/>
                <w:color w:val="auto"/>
                <w:kern w:val="0"/>
                <w:szCs w:val="21"/>
              </w:rPr>
            </w:pPr>
          </w:p>
        </w:tc>
        <w:tc>
          <w:tcPr>
            <w:tcW w:w="3778" w:type="dxa"/>
            <w:tcBorders>
              <w:top w:val="single" w:color="auto" w:sz="4" w:space="0"/>
              <w:left w:val="single" w:color="auto" w:sz="4" w:space="0"/>
              <w:right w:val="single" w:color="auto" w:sz="4" w:space="0"/>
            </w:tcBorders>
            <w:noWrap/>
            <w:vAlign w:val="center"/>
          </w:tcPr>
          <w:p w14:paraId="0B273D22">
            <w:pPr>
              <w:widowControl/>
              <w:adjustRightInd w:val="0"/>
              <w:snapToGrid w:val="0"/>
              <w:jc w:val="center"/>
              <w:rPr>
                <w:rFonts w:hint="default" w:ascii="宋体" w:hAnsi="宋体" w:cs="宋体"/>
                <w:color w:val="auto"/>
                <w:kern w:val="0"/>
                <w:szCs w:val="21"/>
                <w:lang w:val="en-US"/>
              </w:rPr>
            </w:pPr>
            <w:r>
              <w:rPr>
                <w:rFonts w:hint="eastAsia" w:ascii="宋体" w:hAnsi="宋体" w:cs="宋体"/>
                <w:color w:val="auto"/>
                <w:kern w:val="0"/>
                <w:szCs w:val="21"/>
                <w:lang w:val="en-US" w:eastAsia="zh-CN"/>
              </w:rPr>
              <w:t>可持续影响</w:t>
            </w:r>
          </w:p>
        </w:tc>
        <w:tc>
          <w:tcPr>
            <w:tcW w:w="738" w:type="dxa"/>
            <w:tcBorders>
              <w:top w:val="single" w:color="auto" w:sz="4" w:space="0"/>
              <w:left w:val="single" w:color="auto" w:sz="4" w:space="0"/>
              <w:bottom w:val="single" w:color="auto" w:sz="4" w:space="0"/>
              <w:right w:val="single" w:color="auto" w:sz="4" w:space="0"/>
            </w:tcBorders>
            <w:noWrap/>
            <w:vAlign w:val="center"/>
          </w:tcPr>
          <w:p w14:paraId="12A76CC5">
            <w:pPr>
              <w:keepNext w:val="0"/>
              <w:keepLines w:val="0"/>
              <w:widowControl/>
              <w:suppressLineNumbers w:val="0"/>
              <w:jc w:val="center"/>
              <w:textAlignment w:val="center"/>
              <w:rPr>
                <w:rFonts w:hint="eastAsia" w:ascii="宋体" w:hAnsi="宋体" w:cs="宋体"/>
                <w:color w:val="auto"/>
                <w:kern w:val="0"/>
                <w:szCs w:val="21"/>
              </w:rPr>
            </w:pPr>
            <w:r>
              <w:rPr>
                <w:rFonts w:hint="eastAsia" w:ascii="宋体" w:hAnsi="宋体" w:cs="宋体"/>
                <w:i w:val="0"/>
                <w:iCs w:val="0"/>
                <w:color w:val="000000"/>
                <w:kern w:val="0"/>
                <w:sz w:val="21"/>
                <w:szCs w:val="21"/>
                <w:u w:val="none"/>
                <w:lang w:val="en-US" w:eastAsia="zh-CN" w:bidi="ar"/>
              </w:rPr>
              <w:t>6</w:t>
            </w:r>
          </w:p>
        </w:tc>
      </w:tr>
      <w:tr w14:paraId="46EF7ABB">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14:paraId="2369E297">
            <w:pPr>
              <w:widowControl/>
              <w:adjustRightInd w:val="0"/>
              <w:snapToGrid w:val="0"/>
              <w:jc w:val="left"/>
              <w:rPr>
                <w:rFonts w:ascii="宋体" w:hAnsi="宋体" w:cs="宋体"/>
                <w:color w:val="auto"/>
                <w:kern w:val="0"/>
                <w:szCs w:val="21"/>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14:paraId="09B85811">
            <w:pPr>
              <w:widowControl/>
              <w:adjustRightInd w:val="0"/>
              <w:snapToGrid w:val="0"/>
              <w:jc w:val="left"/>
              <w:rPr>
                <w:rFonts w:ascii="宋体" w:hAnsi="宋体" w:cs="宋体"/>
                <w:color w:val="auto"/>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14:paraId="7CE01D9F">
            <w:pPr>
              <w:widowControl/>
              <w:adjustRightInd w:val="0"/>
              <w:snapToGrid w:val="0"/>
              <w:jc w:val="center"/>
              <w:rPr>
                <w:rFonts w:ascii="宋体" w:hAnsi="宋体" w:cs="宋体"/>
                <w:color w:val="auto"/>
                <w:kern w:val="0"/>
                <w:szCs w:val="21"/>
              </w:rPr>
            </w:pPr>
          </w:p>
        </w:tc>
        <w:tc>
          <w:tcPr>
            <w:tcW w:w="3778" w:type="dxa"/>
            <w:tcBorders>
              <w:top w:val="single" w:color="auto" w:sz="4" w:space="0"/>
              <w:left w:val="single" w:color="auto" w:sz="4" w:space="0"/>
              <w:bottom w:val="single" w:color="auto" w:sz="4" w:space="0"/>
              <w:right w:val="single" w:color="auto" w:sz="4" w:space="0"/>
            </w:tcBorders>
            <w:noWrap/>
            <w:vAlign w:val="center"/>
          </w:tcPr>
          <w:p w14:paraId="0EEFAD8F">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服务对象满意度</w:t>
            </w:r>
          </w:p>
        </w:tc>
        <w:tc>
          <w:tcPr>
            <w:tcW w:w="738" w:type="dxa"/>
            <w:tcBorders>
              <w:top w:val="single" w:color="auto" w:sz="4" w:space="0"/>
              <w:left w:val="single" w:color="auto" w:sz="4" w:space="0"/>
              <w:bottom w:val="single" w:color="auto" w:sz="4" w:space="0"/>
              <w:right w:val="single" w:color="auto" w:sz="4" w:space="0"/>
            </w:tcBorders>
            <w:noWrap/>
            <w:vAlign w:val="center"/>
          </w:tcPr>
          <w:p w14:paraId="576C2FF8">
            <w:pPr>
              <w:widowControl/>
              <w:adjustRightInd w:val="0"/>
              <w:snapToGrid w:val="0"/>
              <w:jc w:val="center"/>
              <w:rPr>
                <w:rFonts w:ascii="宋体" w:hAnsi="宋体" w:cs="宋体"/>
                <w:color w:val="auto"/>
                <w:kern w:val="0"/>
                <w:szCs w:val="21"/>
              </w:rPr>
            </w:pPr>
            <w:r>
              <w:rPr>
                <w:rFonts w:hint="eastAsia" w:ascii="宋体" w:hAnsi="宋体" w:cs="宋体"/>
                <w:color w:val="auto"/>
                <w:kern w:val="0"/>
                <w:szCs w:val="21"/>
              </w:rPr>
              <w:t>10</w:t>
            </w:r>
          </w:p>
        </w:tc>
      </w:tr>
      <w:tr w14:paraId="22060BE6">
        <w:tblPrEx>
          <w:tblCellMar>
            <w:top w:w="0" w:type="dxa"/>
            <w:left w:w="108" w:type="dxa"/>
            <w:bottom w:w="0" w:type="dxa"/>
            <w:right w:w="108" w:type="dxa"/>
          </w:tblCellMar>
        </w:tblPrEx>
        <w:trPr>
          <w:trHeight w:val="397" w:hRule="atLeast"/>
          <w:jc w:val="center"/>
        </w:trPr>
        <w:tc>
          <w:tcPr>
            <w:tcW w:w="2835" w:type="dxa"/>
            <w:gridSpan w:val="2"/>
            <w:tcBorders>
              <w:top w:val="single" w:color="auto" w:sz="4" w:space="0"/>
              <w:left w:val="single" w:color="auto" w:sz="4" w:space="0"/>
              <w:bottom w:val="single" w:color="auto" w:sz="4" w:space="0"/>
              <w:right w:val="single" w:color="auto" w:sz="4" w:space="0"/>
            </w:tcBorders>
            <w:noWrap/>
            <w:vAlign w:val="center"/>
          </w:tcPr>
          <w:p w14:paraId="336F4EF7">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851" w:type="dxa"/>
            <w:tcBorders>
              <w:top w:val="single" w:color="auto" w:sz="4" w:space="0"/>
              <w:left w:val="single" w:color="auto" w:sz="4" w:space="0"/>
              <w:bottom w:val="single" w:color="auto" w:sz="4" w:space="0"/>
              <w:right w:val="single" w:color="auto" w:sz="4" w:space="0"/>
            </w:tcBorders>
            <w:noWrap/>
            <w:vAlign w:val="center"/>
          </w:tcPr>
          <w:p w14:paraId="2608C264">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100</w:t>
            </w:r>
          </w:p>
        </w:tc>
        <w:tc>
          <w:tcPr>
            <w:tcW w:w="3778" w:type="dxa"/>
            <w:tcBorders>
              <w:top w:val="single" w:color="auto" w:sz="4" w:space="0"/>
              <w:left w:val="single" w:color="auto" w:sz="4" w:space="0"/>
              <w:bottom w:val="single" w:color="auto" w:sz="4" w:space="0"/>
              <w:right w:val="single" w:color="auto" w:sz="4" w:space="0"/>
            </w:tcBorders>
            <w:noWrap/>
            <w:vAlign w:val="center"/>
          </w:tcPr>
          <w:p w14:paraId="466B2D3B">
            <w:pPr>
              <w:widowControl/>
              <w:adjustRightInd w:val="0"/>
              <w:snapToGrid w:val="0"/>
              <w:jc w:val="center"/>
              <w:rPr>
                <w:rFonts w:ascii="宋体" w:hAnsi="宋体" w:cs="宋体"/>
                <w:b/>
                <w:bCs/>
                <w:color w:val="auto"/>
                <w:kern w:val="0"/>
                <w:szCs w:val="21"/>
                <w:highlight w:val="yellow"/>
              </w:rPr>
            </w:pPr>
          </w:p>
        </w:tc>
        <w:tc>
          <w:tcPr>
            <w:tcW w:w="738" w:type="dxa"/>
            <w:tcBorders>
              <w:top w:val="single" w:color="auto" w:sz="4" w:space="0"/>
              <w:left w:val="single" w:color="auto" w:sz="4" w:space="0"/>
              <w:bottom w:val="single" w:color="auto" w:sz="4" w:space="0"/>
              <w:right w:val="single" w:color="auto" w:sz="4" w:space="0"/>
            </w:tcBorders>
            <w:noWrap/>
            <w:vAlign w:val="center"/>
          </w:tcPr>
          <w:p w14:paraId="000712A1">
            <w:pPr>
              <w:widowControl/>
              <w:adjustRightInd w:val="0"/>
              <w:snapToGrid w:val="0"/>
              <w:jc w:val="center"/>
              <w:rPr>
                <w:rFonts w:ascii="宋体" w:hAnsi="宋体" w:cs="宋体"/>
                <w:b/>
                <w:bCs/>
                <w:color w:val="auto"/>
                <w:kern w:val="0"/>
                <w:szCs w:val="21"/>
              </w:rPr>
            </w:pPr>
            <w:r>
              <w:rPr>
                <w:rFonts w:hint="eastAsia" w:ascii="宋体" w:hAnsi="宋体" w:cs="宋体"/>
                <w:b/>
                <w:bCs/>
                <w:color w:val="auto"/>
                <w:kern w:val="0"/>
                <w:szCs w:val="21"/>
              </w:rPr>
              <w:t>100</w:t>
            </w:r>
          </w:p>
        </w:tc>
      </w:tr>
    </w:tbl>
    <w:p w14:paraId="590A3B5E">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rPr>
      </w:pPr>
      <w:bookmarkStart w:id="12" w:name="_Toc10685"/>
      <w:r>
        <w:rPr>
          <w:rFonts w:hint="eastAsia" w:ascii="楷体" w:hAnsi="楷体" w:eastAsia="楷体" w:cs="楷体"/>
          <w:b w:val="0"/>
          <w:bCs w:val="0"/>
          <w:color w:val="auto"/>
          <w:sz w:val="32"/>
          <w:szCs w:val="32"/>
        </w:rPr>
        <w:t>（四）绩效评价工作过程</w:t>
      </w:r>
      <w:bookmarkEnd w:id="12"/>
    </w:p>
    <w:p w14:paraId="15AC1728">
      <w:pPr>
        <w:pStyle w:val="16"/>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1.前期准备</w:t>
      </w:r>
    </w:p>
    <w:p w14:paraId="070D9B45">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一是组建评价工作组。项目评价工作组成员为</w:t>
      </w:r>
      <w:r>
        <w:rPr>
          <w:rFonts w:hint="eastAsia" w:ascii="仿宋_GB2312" w:hAnsi="仿宋_GB2312" w:eastAsia="仿宋_GB2312" w:cs="仿宋_GB2312"/>
          <w:color w:val="auto"/>
          <w:kern w:val="2"/>
          <w:sz w:val="32"/>
          <w:szCs w:val="32"/>
          <w:highlight w:val="none"/>
          <w:lang w:val="en-US" w:eastAsia="zh-CN"/>
        </w:rPr>
        <w:t>5</w:t>
      </w:r>
      <w:r>
        <w:rPr>
          <w:rFonts w:hint="eastAsia" w:ascii="仿宋_GB2312" w:hAnsi="仿宋_GB2312" w:eastAsia="仿宋_GB2312" w:cs="仿宋_GB2312"/>
          <w:color w:val="auto"/>
          <w:kern w:val="2"/>
          <w:sz w:val="32"/>
          <w:szCs w:val="32"/>
          <w:highlight w:val="none"/>
        </w:rPr>
        <w:t>名，设组长1名，小组成员</w:t>
      </w:r>
      <w:r>
        <w:rPr>
          <w:rFonts w:hint="eastAsia" w:ascii="仿宋_GB2312" w:hAnsi="仿宋_GB2312" w:eastAsia="仿宋_GB2312" w:cs="仿宋_GB2312"/>
          <w:color w:val="auto"/>
          <w:kern w:val="2"/>
          <w:sz w:val="32"/>
          <w:szCs w:val="32"/>
          <w:highlight w:val="none"/>
          <w:lang w:val="en-US" w:eastAsia="zh-CN"/>
        </w:rPr>
        <w:t>4</w:t>
      </w:r>
      <w:r>
        <w:rPr>
          <w:rFonts w:hint="eastAsia" w:ascii="仿宋_GB2312" w:hAnsi="仿宋_GB2312" w:eastAsia="仿宋_GB2312" w:cs="仿宋_GB2312"/>
          <w:color w:val="auto"/>
          <w:kern w:val="2"/>
          <w:sz w:val="32"/>
          <w:szCs w:val="32"/>
          <w:highlight w:val="none"/>
        </w:rPr>
        <w:t>名，明确组长及成员职责。</w:t>
      </w:r>
    </w:p>
    <w:p w14:paraId="2805994D">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是编制评价方案。为了保证评价方案的可操作性，评价工作组通过了解项目实施背景、立项依据、绩效目标、项目管理及绩效完成情况，确定评价工作重点和拟采用的评价方法，并对相关材料进行认真分析，结合市</w:t>
      </w:r>
      <w:r>
        <w:rPr>
          <w:rFonts w:hint="eastAsia" w:ascii="仿宋_GB2312" w:hAnsi="仿宋_GB2312" w:eastAsia="仿宋_GB2312" w:cs="仿宋_GB2312"/>
          <w:color w:val="auto"/>
          <w:kern w:val="2"/>
          <w:sz w:val="32"/>
          <w:szCs w:val="32"/>
          <w:lang w:val="en-US" w:eastAsia="zh-CN"/>
        </w:rPr>
        <w:t>园林绿化局</w:t>
      </w:r>
      <w:r>
        <w:rPr>
          <w:rFonts w:hint="eastAsia" w:ascii="仿宋_GB2312" w:hAnsi="仿宋_GB2312" w:eastAsia="仿宋_GB2312" w:cs="仿宋_GB2312"/>
          <w:color w:val="auto"/>
          <w:kern w:val="2"/>
          <w:sz w:val="32"/>
          <w:szCs w:val="32"/>
        </w:rPr>
        <w:t>202</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年度绩效评价工作要求合理安排评价工作进度，在此基础上形成最终评价方案。</w:t>
      </w:r>
    </w:p>
    <w:p w14:paraId="587D49D9">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三是指导单位开展自评。被评价单位根据绩效评价相关管理办法，开展自评工作，收集、整理绩效材料，撰写财政支出项目绩效自评报告。</w:t>
      </w:r>
    </w:p>
    <w:p w14:paraId="2B57D589">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2.资料核查</w:t>
      </w:r>
    </w:p>
    <w:p w14:paraId="5000F875">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一是了解绩效目标设立及完成情况。评价工作组通过查阅项目申报文本等资料，了解预期绩效目标设立情况，并将反映项目完成结果的相关材料与各项预期绩效目标进行比对，评价项目绩效目标的完成情况。</w:t>
      </w:r>
    </w:p>
    <w:p w14:paraId="76A69322">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二是了解项目效益实现情况。项目实现的效益情况，主要是参考</w:t>
      </w:r>
      <w:r>
        <w:rPr>
          <w:rFonts w:hint="eastAsia" w:ascii="仿宋_GB2312" w:hAnsi="仿宋_GB2312" w:eastAsia="仿宋_GB2312" w:cs="仿宋_GB2312"/>
          <w:color w:val="auto"/>
          <w:kern w:val="2"/>
          <w:sz w:val="32"/>
          <w:szCs w:val="32"/>
          <w:lang w:eastAsia="zh-CN"/>
        </w:rPr>
        <w:t>规划和资源监测中心</w:t>
      </w:r>
      <w:r>
        <w:rPr>
          <w:rFonts w:hint="eastAsia" w:ascii="仿宋_GB2312" w:hAnsi="仿宋_GB2312" w:eastAsia="仿宋_GB2312" w:cs="仿宋_GB2312"/>
          <w:color w:val="auto"/>
          <w:kern w:val="2"/>
          <w:sz w:val="32"/>
          <w:szCs w:val="32"/>
        </w:rPr>
        <w:t>提供的项目经济效益、社会效益等的相关资料情况，评价工作组充分了解项目的效益情况，重点评价项目实施后的经济效益、社会效益及项目服务对象满意度。</w:t>
      </w:r>
    </w:p>
    <w:p w14:paraId="73A97431">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3.专家评价</w:t>
      </w:r>
    </w:p>
    <w:p w14:paraId="21BAF6FC">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一是进行项目资料信息汇总。评价工作组按照指标体系内容和评价重点，对资料进行分类整理，形成专家资料手册，供专家审阅评议。</w:t>
      </w:r>
    </w:p>
    <w:p w14:paraId="770DB75D">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二是召开专家评价会。根据项目特点，评价工作组遴选5名专家（其中业务专家2名，管理专家2名，财务专家1名），组成专家评价组，对项目资料进行审核。202</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年</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月</w:t>
      </w:r>
      <w:r>
        <w:rPr>
          <w:rFonts w:hint="eastAsia" w:ascii="仿宋_GB2312" w:hAnsi="仿宋_GB2312" w:eastAsia="仿宋_GB2312" w:cs="仿宋_GB2312"/>
          <w:color w:val="auto"/>
          <w:kern w:val="2"/>
          <w:sz w:val="32"/>
          <w:szCs w:val="32"/>
          <w:lang w:val="en-US" w:eastAsia="zh-CN"/>
        </w:rPr>
        <w:t>16</w:t>
      </w:r>
      <w:r>
        <w:rPr>
          <w:rFonts w:hint="eastAsia" w:ascii="仿宋_GB2312" w:hAnsi="仿宋_GB2312" w:eastAsia="仿宋_GB2312" w:cs="仿宋_GB2312"/>
          <w:color w:val="auto"/>
          <w:kern w:val="2"/>
          <w:sz w:val="32"/>
          <w:szCs w:val="32"/>
        </w:rPr>
        <w:t>日，评价工作组召集专家组、市</w:t>
      </w:r>
      <w:r>
        <w:rPr>
          <w:rFonts w:hint="eastAsia" w:ascii="仿宋_GB2312" w:hAnsi="仿宋_GB2312" w:eastAsia="仿宋_GB2312" w:cs="仿宋_GB2312"/>
          <w:color w:val="auto"/>
          <w:kern w:val="2"/>
          <w:sz w:val="32"/>
          <w:szCs w:val="32"/>
          <w:lang w:val="en-US" w:eastAsia="zh-CN"/>
        </w:rPr>
        <w:t>园林绿化局计财处</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财务核算中心</w:t>
      </w:r>
      <w:r>
        <w:rPr>
          <w:rFonts w:hint="eastAsia" w:ascii="仿宋_GB2312" w:hAnsi="仿宋_GB2312" w:eastAsia="仿宋_GB2312" w:cs="仿宋_GB2312"/>
          <w:color w:val="auto"/>
          <w:kern w:val="2"/>
          <w:sz w:val="32"/>
          <w:szCs w:val="32"/>
        </w:rPr>
        <w:t>以及</w:t>
      </w:r>
      <w:r>
        <w:rPr>
          <w:rFonts w:hint="eastAsia" w:ascii="仿宋_GB2312" w:eastAsia="仿宋_GB2312"/>
          <w:color w:val="auto"/>
          <w:sz w:val="32"/>
          <w:szCs w:val="32"/>
          <w:lang w:val="en-US" w:eastAsia="zh-CN"/>
        </w:rPr>
        <w:t>规划和资源监测中心</w:t>
      </w:r>
      <w:r>
        <w:rPr>
          <w:rFonts w:hint="eastAsia" w:ascii="仿宋_GB2312" w:hAnsi="仿宋_GB2312" w:eastAsia="仿宋_GB2312" w:cs="仿宋_GB2312"/>
          <w:color w:val="auto"/>
          <w:kern w:val="2"/>
          <w:sz w:val="32"/>
          <w:szCs w:val="32"/>
        </w:rPr>
        <w:t>召开了专家评价正式会。评价会上，专家组与</w:t>
      </w:r>
      <w:r>
        <w:rPr>
          <w:rFonts w:hint="eastAsia" w:ascii="仿宋_GB2312" w:eastAsia="仿宋_GB2312"/>
          <w:color w:val="auto"/>
          <w:sz w:val="32"/>
          <w:szCs w:val="32"/>
          <w:lang w:val="en-US" w:eastAsia="zh-CN"/>
        </w:rPr>
        <w:t>规划和资源监测中心</w:t>
      </w:r>
      <w:r>
        <w:rPr>
          <w:rFonts w:hint="eastAsia" w:ascii="仿宋_GB2312" w:hAnsi="仿宋_GB2312" w:eastAsia="仿宋_GB2312" w:cs="仿宋_GB2312"/>
          <w:color w:val="auto"/>
          <w:kern w:val="2"/>
          <w:sz w:val="32"/>
          <w:szCs w:val="32"/>
        </w:rPr>
        <w:t>进行了充分讨论和沟通，最终由专家组结合绩效评价指标进行打分，出具评价意见。</w:t>
      </w:r>
    </w:p>
    <w:p w14:paraId="6FD31A4C">
      <w:pPr>
        <w:pStyle w:val="16"/>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4.形成绩效评价报告</w:t>
      </w:r>
    </w:p>
    <w:p w14:paraId="0C8E8772">
      <w:pPr>
        <w:pStyle w:val="16"/>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评价工作组根据专家意见，完成绩效评价报告初稿的撰写工作。经与市</w:t>
      </w:r>
      <w:r>
        <w:rPr>
          <w:rFonts w:hint="eastAsia" w:ascii="仿宋_GB2312" w:hAnsi="仿宋_GB2312" w:eastAsia="仿宋_GB2312" w:cs="仿宋_GB2312"/>
          <w:color w:val="auto"/>
          <w:kern w:val="2"/>
          <w:sz w:val="32"/>
          <w:szCs w:val="32"/>
          <w:lang w:val="en-US" w:eastAsia="zh-CN"/>
        </w:rPr>
        <w:t>园林绿化局计财处</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财务核算中心</w:t>
      </w:r>
      <w:r>
        <w:rPr>
          <w:rFonts w:hint="eastAsia" w:ascii="仿宋_GB2312" w:hAnsi="仿宋_GB2312" w:eastAsia="仿宋_GB2312" w:cs="仿宋_GB2312"/>
          <w:color w:val="auto"/>
          <w:kern w:val="2"/>
          <w:sz w:val="32"/>
          <w:szCs w:val="32"/>
        </w:rPr>
        <w:t>以及</w:t>
      </w:r>
      <w:r>
        <w:rPr>
          <w:rFonts w:hint="eastAsia" w:ascii="仿宋_GB2312" w:eastAsia="仿宋_GB2312"/>
          <w:color w:val="auto"/>
          <w:sz w:val="32"/>
          <w:szCs w:val="32"/>
          <w:lang w:val="en-US" w:eastAsia="zh-CN"/>
        </w:rPr>
        <w:t>规划和资源监测中心</w:t>
      </w:r>
      <w:r>
        <w:rPr>
          <w:rFonts w:hint="eastAsia" w:ascii="仿宋_GB2312" w:hAnsi="仿宋_GB2312" w:eastAsia="仿宋_GB2312" w:cs="仿宋_GB2312"/>
          <w:color w:val="auto"/>
          <w:kern w:val="2"/>
          <w:sz w:val="32"/>
          <w:szCs w:val="32"/>
        </w:rPr>
        <w:t>沟通反馈后，形成评价报告终稿。</w:t>
      </w:r>
    </w:p>
    <w:p w14:paraId="45C4FF6E">
      <w:pPr>
        <w:pStyle w:val="2"/>
        <w:pageBreakBefore w:val="0"/>
        <w:kinsoku/>
        <w:wordWrap/>
        <w:overflowPunct/>
        <w:topLinePunct w:val="0"/>
        <w:autoSpaceDE/>
        <w:autoSpaceDN/>
        <w:bidi w:val="0"/>
        <w:adjustRightInd w:val="0"/>
        <w:snapToGrid w:val="0"/>
        <w:spacing w:line="560" w:lineRule="exact"/>
        <w:textAlignment w:val="auto"/>
        <w:rPr>
          <w:rFonts w:ascii="黑体" w:hAnsi="黑体" w:eastAsia="黑体" w:cs="黑体"/>
          <w:b w:val="0"/>
          <w:bCs w:val="0"/>
          <w:color w:val="auto"/>
          <w:szCs w:val="32"/>
        </w:rPr>
      </w:pPr>
      <w:bookmarkStart w:id="13" w:name="_Toc21689"/>
      <w:r>
        <w:rPr>
          <w:rFonts w:hint="eastAsia" w:ascii="黑体" w:hAnsi="黑体" w:eastAsia="黑体" w:cs="黑体"/>
          <w:b w:val="0"/>
          <w:bCs w:val="0"/>
          <w:color w:val="auto"/>
          <w:szCs w:val="32"/>
        </w:rPr>
        <w:t>三、综合评价情况及评价结论</w:t>
      </w:r>
      <w:bookmarkEnd w:id="13"/>
    </w:p>
    <w:p w14:paraId="25CDC8C4">
      <w:pPr>
        <w:pStyle w:val="16"/>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经专家评议，</w:t>
      </w:r>
      <w:bookmarkStart w:id="14" w:name="_Toc26552"/>
      <w:r>
        <w:rPr>
          <w:rFonts w:hint="eastAsia" w:ascii="仿宋_GB2312" w:hAnsi="仿宋_GB2312" w:eastAsia="仿宋_GB2312" w:cs="仿宋_GB2312"/>
          <w:color w:val="auto"/>
          <w:kern w:val="2"/>
          <w:sz w:val="32"/>
          <w:szCs w:val="32"/>
          <w:highlight w:val="none"/>
        </w:rPr>
        <w:t>综合得分</w:t>
      </w:r>
      <w:r>
        <w:rPr>
          <w:rFonts w:hint="eastAsia" w:ascii="仿宋_GB2312" w:hAnsi="仿宋_GB2312" w:eastAsia="仿宋_GB2312" w:cs="仿宋_GB2312"/>
          <w:color w:val="auto"/>
          <w:kern w:val="2"/>
          <w:sz w:val="32"/>
          <w:szCs w:val="32"/>
          <w:highlight w:val="none"/>
          <w:lang w:val="en-US" w:eastAsia="zh-CN"/>
        </w:rPr>
        <w:t>90.36</w:t>
      </w:r>
      <w:r>
        <w:rPr>
          <w:rFonts w:hint="eastAsia" w:ascii="仿宋_GB2312" w:hAnsi="仿宋_GB2312" w:eastAsia="仿宋_GB2312" w:cs="仿宋_GB2312"/>
          <w:color w:val="auto"/>
          <w:kern w:val="2"/>
          <w:sz w:val="32"/>
          <w:szCs w:val="32"/>
          <w:highlight w:val="none"/>
        </w:rPr>
        <w:t>分，其中，项目决策</w:t>
      </w:r>
      <w:r>
        <w:rPr>
          <w:rFonts w:hint="eastAsia" w:ascii="仿宋_GB2312" w:hAnsi="仿宋_GB2312" w:eastAsia="仿宋_GB2312" w:cs="仿宋_GB2312"/>
          <w:color w:val="auto"/>
          <w:kern w:val="2"/>
          <w:sz w:val="32"/>
          <w:szCs w:val="32"/>
          <w:highlight w:val="none"/>
          <w:lang w:val="en-US" w:eastAsia="zh-CN"/>
        </w:rPr>
        <w:t>8.62</w:t>
      </w:r>
      <w:r>
        <w:rPr>
          <w:rFonts w:hint="eastAsia" w:ascii="仿宋_GB2312" w:hAnsi="仿宋_GB2312" w:eastAsia="仿宋_GB2312" w:cs="仿宋_GB2312"/>
          <w:color w:val="auto"/>
          <w:kern w:val="2"/>
          <w:sz w:val="32"/>
          <w:szCs w:val="32"/>
          <w:highlight w:val="none"/>
        </w:rPr>
        <w:t>分，项目过程</w:t>
      </w:r>
      <w:r>
        <w:rPr>
          <w:rFonts w:hint="eastAsia" w:ascii="仿宋_GB2312" w:hAnsi="仿宋_GB2312" w:eastAsia="仿宋_GB2312" w:cs="仿宋_GB2312"/>
          <w:color w:val="auto"/>
          <w:kern w:val="2"/>
          <w:sz w:val="32"/>
          <w:szCs w:val="32"/>
          <w:highlight w:val="none"/>
          <w:lang w:val="en-US" w:eastAsia="zh-CN"/>
        </w:rPr>
        <w:t>18.82</w:t>
      </w:r>
      <w:r>
        <w:rPr>
          <w:rFonts w:hint="eastAsia" w:ascii="仿宋_GB2312" w:hAnsi="仿宋_GB2312" w:eastAsia="仿宋_GB2312" w:cs="仿宋_GB2312"/>
          <w:color w:val="auto"/>
          <w:kern w:val="2"/>
          <w:sz w:val="32"/>
          <w:szCs w:val="32"/>
          <w:highlight w:val="none"/>
        </w:rPr>
        <w:t>分，项目产出</w:t>
      </w:r>
      <w:r>
        <w:rPr>
          <w:rFonts w:hint="eastAsia" w:ascii="仿宋_GB2312" w:hAnsi="仿宋_GB2312" w:eastAsia="仿宋_GB2312" w:cs="仿宋_GB2312"/>
          <w:color w:val="auto"/>
          <w:kern w:val="2"/>
          <w:sz w:val="32"/>
          <w:szCs w:val="32"/>
          <w:highlight w:val="none"/>
          <w:lang w:val="en-US" w:eastAsia="zh-CN"/>
        </w:rPr>
        <w:t>37.60</w:t>
      </w:r>
      <w:r>
        <w:rPr>
          <w:rFonts w:hint="eastAsia" w:ascii="仿宋_GB2312" w:hAnsi="仿宋_GB2312" w:eastAsia="仿宋_GB2312" w:cs="仿宋_GB2312"/>
          <w:color w:val="auto"/>
          <w:kern w:val="2"/>
          <w:sz w:val="32"/>
          <w:szCs w:val="32"/>
          <w:highlight w:val="none"/>
        </w:rPr>
        <w:t>分，项目效益</w:t>
      </w:r>
      <w:r>
        <w:rPr>
          <w:rFonts w:hint="eastAsia" w:ascii="仿宋_GB2312" w:hAnsi="仿宋_GB2312" w:eastAsia="仿宋_GB2312" w:cs="仿宋_GB2312"/>
          <w:color w:val="auto"/>
          <w:kern w:val="2"/>
          <w:sz w:val="32"/>
          <w:szCs w:val="32"/>
          <w:highlight w:val="none"/>
          <w:lang w:val="en-US" w:eastAsia="zh-CN"/>
        </w:rPr>
        <w:t>25.32</w:t>
      </w:r>
      <w:r>
        <w:rPr>
          <w:rFonts w:hint="eastAsia" w:ascii="仿宋_GB2312" w:hAnsi="仿宋_GB2312" w:eastAsia="仿宋_GB2312" w:cs="仿宋_GB2312"/>
          <w:color w:val="auto"/>
          <w:kern w:val="2"/>
          <w:sz w:val="32"/>
          <w:szCs w:val="32"/>
          <w:highlight w:val="none"/>
        </w:rPr>
        <w:t>分，项目绩效级别为“</w:t>
      </w:r>
      <w:r>
        <w:rPr>
          <w:rFonts w:hint="eastAsia" w:ascii="仿宋_GB2312" w:hAnsi="仿宋_GB2312" w:eastAsia="仿宋_GB2312" w:cs="仿宋_GB2312"/>
          <w:color w:val="auto"/>
          <w:kern w:val="2"/>
          <w:sz w:val="32"/>
          <w:szCs w:val="32"/>
          <w:highlight w:val="none"/>
          <w:lang w:val="en-US" w:eastAsia="zh-CN"/>
        </w:rPr>
        <w:t>优</w:t>
      </w:r>
      <w:r>
        <w:rPr>
          <w:rFonts w:hint="eastAsia" w:ascii="仿宋_GB2312" w:hAnsi="仿宋_GB2312" w:eastAsia="仿宋_GB2312" w:cs="仿宋_GB2312"/>
          <w:color w:val="auto"/>
          <w:kern w:val="2"/>
          <w:sz w:val="32"/>
          <w:szCs w:val="32"/>
          <w:highlight w:val="none"/>
        </w:rPr>
        <w:t>”。具体情况详见表2。</w:t>
      </w:r>
    </w:p>
    <w:p w14:paraId="22158C89">
      <w:pPr>
        <w:pStyle w:val="8"/>
        <w:keepNext w:val="0"/>
        <w:keepLines w:val="0"/>
        <w:pageBreakBefore w:val="0"/>
        <w:widowControl w:val="0"/>
        <w:kinsoku/>
        <w:wordWrap/>
        <w:overflowPunct/>
        <w:topLinePunct w:val="0"/>
        <w:autoSpaceDE/>
        <w:autoSpaceDN/>
        <w:bidi w:val="0"/>
        <w:adjustRightInd/>
        <w:snapToGrid w:val="0"/>
        <w:spacing w:before="157" w:beforeLines="50" w:after="0" w:line="240" w:lineRule="auto"/>
        <w:ind w:left="0" w:leftChars="0"/>
        <w:jc w:val="center"/>
        <w:textAlignment w:val="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表2：</w:t>
      </w:r>
      <w:r>
        <w:rPr>
          <w:rFonts w:hint="eastAsia" w:ascii="宋体" w:hAnsi="宋体" w:cs="宋体"/>
          <w:b/>
          <w:bCs/>
          <w:color w:val="auto"/>
          <w:sz w:val="28"/>
          <w:szCs w:val="28"/>
          <w:highlight w:val="none"/>
          <w:lang w:eastAsia="zh-CN"/>
        </w:rPr>
        <w:t>林长制实施运行与森林资源一体化管理</w:t>
      </w:r>
      <w:r>
        <w:rPr>
          <w:rFonts w:hint="eastAsia" w:ascii="宋体" w:hAnsi="宋体" w:cs="宋体"/>
          <w:b/>
          <w:bCs/>
          <w:color w:val="auto"/>
          <w:sz w:val="28"/>
          <w:szCs w:val="28"/>
          <w:highlight w:val="none"/>
        </w:rPr>
        <w:t>项目</w:t>
      </w:r>
    </w:p>
    <w:p w14:paraId="6813E453">
      <w:pPr>
        <w:pStyle w:val="8"/>
        <w:keepNext w:val="0"/>
        <w:keepLines w:val="0"/>
        <w:pageBreakBefore w:val="0"/>
        <w:widowControl w:val="0"/>
        <w:kinsoku/>
        <w:wordWrap/>
        <w:overflowPunct/>
        <w:topLinePunct w:val="0"/>
        <w:autoSpaceDE/>
        <w:autoSpaceDN/>
        <w:bidi w:val="0"/>
        <w:adjustRightInd/>
        <w:snapToGrid w:val="0"/>
        <w:spacing w:after="157" w:afterLines="50" w:line="240" w:lineRule="auto"/>
        <w:ind w:left="0" w:leftChars="0"/>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绩效评价结论一览表</w:t>
      </w:r>
    </w:p>
    <w:tbl>
      <w:tblPr>
        <w:tblStyle w:val="19"/>
        <w:tblW w:w="7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516"/>
        <w:gridCol w:w="2684"/>
        <w:gridCol w:w="2551"/>
      </w:tblGrid>
      <w:tr w14:paraId="0C1B4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1" w:hRule="atLeast"/>
          <w:jc w:val="center"/>
        </w:trPr>
        <w:tc>
          <w:tcPr>
            <w:tcW w:w="2516" w:type="dxa"/>
            <w:vAlign w:val="center"/>
          </w:tcPr>
          <w:p w14:paraId="459E1A9E">
            <w:pPr>
              <w:adjustRightInd w:val="0"/>
              <w:snapToGrid w:val="0"/>
              <w:spacing w:before="120" w:after="60" w:line="300" w:lineRule="auto"/>
              <w:jc w:val="center"/>
              <w:rPr>
                <w:rFonts w:ascii="宋体" w:hAnsi="宋体" w:cs="宋体"/>
                <w:b/>
                <w:color w:val="auto"/>
                <w:szCs w:val="21"/>
                <w:highlight w:val="none"/>
              </w:rPr>
            </w:pPr>
            <w:r>
              <w:rPr>
                <w:rFonts w:hint="eastAsia" w:ascii="宋体" w:hAnsi="宋体" w:cs="宋体"/>
                <w:b/>
                <w:color w:val="auto"/>
                <w:szCs w:val="21"/>
                <w:highlight w:val="none"/>
              </w:rPr>
              <w:t>评价内容</w:t>
            </w:r>
          </w:p>
        </w:tc>
        <w:tc>
          <w:tcPr>
            <w:tcW w:w="2684" w:type="dxa"/>
            <w:vAlign w:val="center"/>
          </w:tcPr>
          <w:p w14:paraId="5BADCEB9">
            <w:pPr>
              <w:adjustRightInd w:val="0"/>
              <w:snapToGrid w:val="0"/>
              <w:spacing w:before="120" w:after="60" w:line="300" w:lineRule="auto"/>
              <w:jc w:val="center"/>
              <w:rPr>
                <w:rFonts w:ascii="宋体" w:hAnsi="宋体" w:cs="宋体"/>
                <w:b/>
                <w:color w:val="auto"/>
                <w:szCs w:val="21"/>
                <w:highlight w:val="none"/>
              </w:rPr>
            </w:pPr>
            <w:r>
              <w:rPr>
                <w:rFonts w:hint="eastAsia" w:ascii="宋体" w:hAnsi="宋体" w:cs="宋体"/>
                <w:b/>
                <w:color w:val="auto"/>
                <w:szCs w:val="21"/>
                <w:highlight w:val="none"/>
              </w:rPr>
              <w:t>分值</w:t>
            </w:r>
          </w:p>
        </w:tc>
        <w:tc>
          <w:tcPr>
            <w:tcW w:w="2551" w:type="dxa"/>
            <w:vAlign w:val="center"/>
          </w:tcPr>
          <w:p w14:paraId="58A75450">
            <w:pPr>
              <w:adjustRightInd w:val="0"/>
              <w:snapToGrid w:val="0"/>
              <w:spacing w:before="120" w:after="60" w:line="300" w:lineRule="auto"/>
              <w:jc w:val="center"/>
              <w:rPr>
                <w:rFonts w:ascii="宋体" w:hAnsi="宋体" w:cs="宋体"/>
                <w:b/>
                <w:color w:val="auto"/>
                <w:szCs w:val="21"/>
                <w:highlight w:val="none"/>
              </w:rPr>
            </w:pPr>
            <w:r>
              <w:rPr>
                <w:rFonts w:hint="eastAsia" w:ascii="宋体" w:hAnsi="宋体" w:cs="宋体"/>
                <w:b/>
                <w:color w:val="auto"/>
                <w:szCs w:val="21"/>
                <w:highlight w:val="none"/>
              </w:rPr>
              <w:t>评价得分</w:t>
            </w:r>
          </w:p>
        </w:tc>
      </w:tr>
      <w:tr w14:paraId="5E22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05" w:hRule="atLeast"/>
          <w:jc w:val="center"/>
        </w:trPr>
        <w:tc>
          <w:tcPr>
            <w:tcW w:w="2516" w:type="dxa"/>
            <w:vAlign w:val="center"/>
          </w:tcPr>
          <w:p w14:paraId="35743BDB">
            <w:pPr>
              <w:pStyle w:val="4"/>
              <w:adjustRightInd w:val="0"/>
              <w:snapToGrid w:val="0"/>
              <w:spacing w:before="120" w:after="60" w:line="300" w:lineRule="auto"/>
              <w:ind w:firstLine="0"/>
              <w:jc w:val="center"/>
              <w:rPr>
                <w:rFonts w:ascii="宋体" w:hAnsi="宋体" w:cs="宋体"/>
                <w:b w:val="0"/>
                <w:bCs/>
                <w:color w:val="auto"/>
                <w:szCs w:val="21"/>
                <w:highlight w:val="none"/>
              </w:rPr>
            </w:pPr>
            <w:r>
              <w:rPr>
                <w:rFonts w:hint="eastAsia" w:ascii="宋体" w:hAnsi="宋体" w:cs="宋体"/>
                <w:b w:val="0"/>
                <w:bCs/>
                <w:color w:val="auto"/>
                <w:szCs w:val="21"/>
                <w:highlight w:val="none"/>
              </w:rPr>
              <w:t>项目决策</w:t>
            </w:r>
          </w:p>
        </w:tc>
        <w:tc>
          <w:tcPr>
            <w:tcW w:w="2684" w:type="dxa"/>
            <w:vAlign w:val="center"/>
          </w:tcPr>
          <w:p w14:paraId="039D4B29">
            <w:pPr>
              <w:adjustRightInd w:val="0"/>
              <w:snapToGrid w:val="0"/>
              <w:jc w:val="center"/>
              <w:rPr>
                <w:rFonts w:ascii="宋体" w:hAnsi="宋体" w:cs="宋体"/>
                <w:b/>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0</w:t>
            </w:r>
          </w:p>
        </w:tc>
        <w:tc>
          <w:tcPr>
            <w:tcW w:w="2551" w:type="dxa"/>
            <w:vAlign w:val="center"/>
          </w:tcPr>
          <w:p w14:paraId="7E2A2550">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8.62</w:t>
            </w:r>
          </w:p>
        </w:tc>
      </w:tr>
      <w:tr w14:paraId="44921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5" w:hRule="atLeast"/>
          <w:jc w:val="center"/>
        </w:trPr>
        <w:tc>
          <w:tcPr>
            <w:tcW w:w="2516" w:type="dxa"/>
            <w:vAlign w:val="center"/>
          </w:tcPr>
          <w:p w14:paraId="78B2ECB5">
            <w:pPr>
              <w:adjustRightInd w:val="0"/>
              <w:snapToGrid w:val="0"/>
              <w:spacing w:before="120" w:after="60" w:line="300" w:lineRule="auto"/>
              <w:jc w:val="center"/>
              <w:rPr>
                <w:rFonts w:ascii="宋体" w:hAnsi="宋体" w:cs="宋体"/>
                <w:b w:val="0"/>
                <w:bCs/>
                <w:color w:val="auto"/>
                <w:szCs w:val="21"/>
                <w:highlight w:val="none"/>
              </w:rPr>
            </w:pPr>
            <w:r>
              <w:rPr>
                <w:rFonts w:hint="eastAsia" w:ascii="宋体" w:hAnsi="宋体" w:cs="宋体"/>
                <w:b w:val="0"/>
                <w:bCs/>
                <w:color w:val="auto"/>
                <w:szCs w:val="21"/>
                <w:highlight w:val="none"/>
              </w:rPr>
              <w:t>项目过程</w:t>
            </w:r>
          </w:p>
        </w:tc>
        <w:tc>
          <w:tcPr>
            <w:tcW w:w="2684" w:type="dxa"/>
            <w:vAlign w:val="center"/>
          </w:tcPr>
          <w:p w14:paraId="7B140ABD">
            <w:pPr>
              <w:adjustRightInd w:val="0"/>
              <w:snapToGrid w:val="0"/>
              <w:jc w:val="center"/>
              <w:rPr>
                <w:rFonts w:ascii="宋体" w:hAnsi="宋体" w:cs="宋体"/>
                <w:b/>
                <w:color w:val="auto"/>
                <w:szCs w:val="21"/>
                <w:highlight w:val="none"/>
              </w:rPr>
            </w:pPr>
            <w:r>
              <w:rPr>
                <w:rFonts w:hint="eastAsia" w:ascii="宋体" w:hAnsi="宋体" w:cs="宋体"/>
                <w:color w:val="auto"/>
                <w:szCs w:val="21"/>
                <w:highlight w:val="none"/>
              </w:rPr>
              <w:t>20</w:t>
            </w:r>
          </w:p>
        </w:tc>
        <w:tc>
          <w:tcPr>
            <w:tcW w:w="2551" w:type="dxa"/>
            <w:vAlign w:val="center"/>
          </w:tcPr>
          <w:p w14:paraId="66EA56B5">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18.82</w:t>
            </w:r>
          </w:p>
        </w:tc>
      </w:tr>
      <w:tr w14:paraId="313C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05" w:hRule="atLeast"/>
          <w:jc w:val="center"/>
        </w:trPr>
        <w:tc>
          <w:tcPr>
            <w:tcW w:w="2516" w:type="dxa"/>
            <w:vAlign w:val="center"/>
          </w:tcPr>
          <w:p w14:paraId="7F31A5B1">
            <w:pPr>
              <w:adjustRightInd w:val="0"/>
              <w:snapToGrid w:val="0"/>
              <w:spacing w:before="120" w:after="60" w:line="300" w:lineRule="auto"/>
              <w:jc w:val="center"/>
              <w:rPr>
                <w:rFonts w:ascii="宋体" w:hAnsi="宋体" w:cs="宋体"/>
                <w:b w:val="0"/>
                <w:bCs/>
                <w:color w:val="auto"/>
                <w:szCs w:val="21"/>
                <w:highlight w:val="none"/>
              </w:rPr>
            </w:pPr>
            <w:r>
              <w:rPr>
                <w:rFonts w:hint="eastAsia" w:ascii="宋体" w:hAnsi="宋体" w:cs="宋体"/>
                <w:b w:val="0"/>
                <w:bCs/>
                <w:color w:val="auto"/>
                <w:szCs w:val="21"/>
                <w:highlight w:val="none"/>
              </w:rPr>
              <w:t>项目产出</w:t>
            </w:r>
          </w:p>
        </w:tc>
        <w:tc>
          <w:tcPr>
            <w:tcW w:w="2684" w:type="dxa"/>
            <w:vAlign w:val="center"/>
          </w:tcPr>
          <w:p w14:paraId="566D1FE5">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0</w:t>
            </w:r>
          </w:p>
        </w:tc>
        <w:tc>
          <w:tcPr>
            <w:tcW w:w="2551" w:type="dxa"/>
            <w:vAlign w:val="center"/>
          </w:tcPr>
          <w:p w14:paraId="52734885">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37.60</w:t>
            </w:r>
          </w:p>
        </w:tc>
      </w:tr>
      <w:tr w14:paraId="4D67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52" w:hRule="atLeast"/>
          <w:jc w:val="center"/>
        </w:trPr>
        <w:tc>
          <w:tcPr>
            <w:tcW w:w="2516" w:type="dxa"/>
            <w:vAlign w:val="center"/>
          </w:tcPr>
          <w:p w14:paraId="04161CDA">
            <w:pPr>
              <w:adjustRightInd w:val="0"/>
              <w:snapToGrid w:val="0"/>
              <w:spacing w:before="120" w:after="60" w:line="300" w:lineRule="auto"/>
              <w:jc w:val="center"/>
              <w:rPr>
                <w:rFonts w:ascii="宋体" w:hAnsi="宋体" w:cs="宋体"/>
                <w:b w:val="0"/>
                <w:bCs/>
                <w:color w:val="auto"/>
                <w:szCs w:val="21"/>
                <w:highlight w:val="none"/>
              </w:rPr>
            </w:pPr>
            <w:r>
              <w:rPr>
                <w:rFonts w:hint="eastAsia" w:ascii="宋体" w:hAnsi="宋体" w:cs="宋体"/>
                <w:b w:val="0"/>
                <w:bCs/>
                <w:color w:val="auto"/>
                <w:szCs w:val="21"/>
                <w:highlight w:val="none"/>
              </w:rPr>
              <w:t>项目效益</w:t>
            </w:r>
          </w:p>
        </w:tc>
        <w:tc>
          <w:tcPr>
            <w:tcW w:w="2684" w:type="dxa"/>
            <w:vAlign w:val="center"/>
          </w:tcPr>
          <w:p w14:paraId="13BAFA83">
            <w:pPr>
              <w:adjustRightInd w:val="0"/>
              <w:snapToGrid w:val="0"/>
              <w:jc w:val="center"/>
              <w:rPr>
                <w:rFonts w:ascii="宋体" w:hAnsi="宋体" w:cs="宋体"/>
                <w:b/>
                <w:color w:val="auto"/>
                <w:szCs w:val="21"/>
                <w:highlight w:val="none"/>
              </w:rPr>
            </w:pPr>
            <w:r>
              <w:rPr>
                <w:rFonts w:hint="eastAsia" w:ascii="宋体" w:hAnsi="宋体" w:cs="宋体"/>
                <w:color w:val="auto"/>
                <w:szCs w:val="21"/>
                <w:highlight w:val="none"/>
              </w:rPr>
              <w:t>30</w:t>
            </w:r>
          </w:p>
        </w:tc>
        <w:tc>
          <w:tcPr>
            <w:tcW w:w="2551" w:type="dxa"/>
            <w:vAlign w:val="center"/>
          </w:tcPr>
          <w:p w14:paraId="71EE8FF9">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25.3</w:t>
            </w:r>
            <w:r>
              <w:rPr>
                <w:rFonts w:hint="default" w:ascii="宋体" w:hAnsi="宋体" w:cs="宋体"/>
                <w:b w:val="0"/>
                <w:bCs/>
                <w:color w:val="auto"/>
                <w:sz w:val="21"/>
                <w:szCs w:val="21"/>
                <w:highlight w:val="none"/>
                <w:lang w:val="en-US" w:eastAsia="zh-CN"/>
              </w:rPr>
              <w:t>2</w:t>
            </w:r>
          </w:p>
        </w:tc>
      </w:tr>
      <w:tr w14:paraId="0B977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4" w:hRule="atLeast"/>
          <w:jc w:val="center"/>
        </w:trPr>
        <w:tc>
          <w:tcPr>
            <w:tcW w:w="2516" w:type="dxa"/>
            <w:vAlign w:val="center"/>
          </w:tcPr>
          <w:p w14:paraId="55BF0E7F">
            <w:pPr>
              <w:adjustRightInd w:val="0"/>
              <w:snapToGrid w:val="0"/>
              <w:spacing w:before="120" w:after="60" w:line="300" w:lineRule="auto"/>
              <w:jc w:val="center"/>
              <w:rPr>
                <w:rFonts w:ascii="宋体" w:hAnsi="宋体" w:cs="宋体"/>
                <w:b w:val="0"/>
                <w:bCs/>
                <w:color w:val="auto"/>
                <w:szCs w:val="21"/>
                <w:highlight w:val="none"/>
              </w:rPr>
            </w:pPr>
            <w:r>
              <w:rPr>
                <w:rFonts w:hint="eastAsia" w:ascii="宋体" w:hAnsi="宋体" w:cs="宋体"/>
                <w:b w:val="0"/>
                <w:bCs/>
                <w:color w:val="auto"/>
                <w:szCs w:val="21"/>
                <w:highlight w:val="none"/>
              </w:rPr>
              <w:t>综合得分</w:t>
            </w:r>
          </w:p>
        </w:tc>
        <w:tc>
          <w:tcPr>
            <w:tcW w:w="2684" w:type="dxa"/>
            <w:vAlign w:val="center"/>
          </w:tcPr>
          <w:p w14:paraId="2939D65F">
            <w:pPr>
              <w:adjustRightInd w:val="0"/>
              <w:snapToGrid w:val="0"/>
              <w:jc w:val="center"/>
              <w:rPr>
                <w:rFonts w:ascii="宋体" w:hAnsi="宋体" w:cs="宋体"/>
                <w:b/>
                <w:color w:val="auto"/>
                <w:szCs w:val="21"/>
                <w:highlight w:val="none"/>
              </w:rPr>
            </w:pPr>
            <w:r>
              <w:rPr>
                <w:rFonts w:hint="eastAsia" w:ascii="宋体" w:hAnsi="宋体" w:cs="宋体"/>
                <w:color w:val="auto"/>
                <w:szCs w:val="21"/>
                <w:highlight w:val="none"/>
              </w:rPr>
              <w:t>100</w:t>
            </w:r>
          </w:p>
        </w:tc>
        <w:tc>
          <w:tcPr>
            <w:tcW w:w="2551" w:type="dxa"/>
            <w:vAlign w:val="center"/>
          </w:tcPr>
          <w:p w14:paraId="6CB3A705">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90.36</w:t>
            </w:r>
          </w:p>
        </w:tc>
      </w:tr>
      <w:tr w14:paraId="22D72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95" w:hRule="atLeast"/>
          <w:jc w:val="center"/>
        </w:trPr>
        <w:tc>
          <w:tcPr>
            <w:tcW w:w="2516" w:type="dxa"/>
            <w:vAlign w:val="center"/>
          </w:tcPr>
          <w:p w14:paraId="250E015B">
            <w:pPr>
              <w:adjustRightInd w:val="0"/>
              <w:snapToGrid w:val="0"/>
              <w:spacing w:before="120" w:after="60" w:line="300" w:lineRule="auto"/>
              <w:jc w:val="center"/>
              <w:rPr>
                <w:rFonts w:ascii="宋体" w:hAnsi="宋体" w:cs="宋体"/>
                <w:b/>
                <w:color w:val="auto"/>
                <w:szCs w:val="21"/>
                <w:highlight w:val="none"/>
              </w:rPr>
            </w:pPr>
            <w:r>
              <w:rPr>
                <w:rFonts w:hint="eastAsia" w:ascii="宋体" w:hAnsi="宋体" w:cs="宋体"/>
                <w:b/>
                <w:color w:val="auto"/>
                <w:szCs w:val="21"/>
                <w:highlight w:val="none"/>
              </w:rPr>
              <w:t>绩效评定级别</w:t>
            </w:r>
          </w:p>
        </w:tc>
        <w:tc>
          <w:tcPr>
            <w:tcW w:w="5235" w:type="dxa"/>
            <w:gridSpan w:val="2"/>
            <w:vAlign w:val="center"/>
          </w:tcPr>
          <w:p w14:paraId="4F343061">
            <w:pPr>
              <w:adjustRightInd w:val="0"/>
              <w:snapToGrid w:val="0"/>
              <w:jc w:val="center"/>
              <w:rPr>
                <w:rFonts w:ascii="宋体" w:hAnsi="宋体" w:cs="宋体"/>
                <w:b/>
                <w:color w:val="auto"/>
                <w:szCs w:val="21"/>
                <w:highlight w:val="none"/>
              </w:rPr>
            </w:pPr>
            <w:r>
              <w:rPr>
                <w:rFonts w:hint="eastAsia" w:ascii="宋体" w:hAnsi="宋体" w:cs="宋体"/>
                <w:b/>
                <w:bCs/>
                <w:color w:val="auto"/>
                <w:szCs w:val="21"/>
                <w:highlight w:val="none"/>
                <w:lang w:val="en-US" w:eastAsia="zh-CN"/>
              </w:rPr>
              <w:t>优</w:t>
            </w:r>
          </w:p>
        </w:tc>
      </w:tr>
    </w:tbl>
    <w:p w14:paraId="3867DCA7">
      <w:pPr>
        <w:pStyle w:val="1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总体来看，项目立项依据较为充分，项目实施对园林绿化资源管理、保护、优化和提升提供科学指导，引导园林部门、当地政府以及相关公司与个人积极保护与建设园林绿化资源，提高林业用地保护规划的权威性和时效性，促进生态涵养区绿色发展，确保森林资源数量与质量持续提升具有一定意义。</w:t>
      </w:r>
      <w:bookmarkEnd w:id="14"/>
      <w:r>
        <w:rPr>
          <w:rFonts w:hint="eastAsia" w:ascii="仿宋_GB2312" w:hAnsi="仿宋_GB2312" w:eastAsia="仿宋_GB2312" w:cs="仿宋_GB2312"/>
          <w:color w:val="auto"/>
          <w:kern w:val="2"/>
          <w:sz w:val="32"/>
          <w:szCs w:val="32"/>
          <w:lang w:val="en-US" w:eastAsia="zh-CN"/>
        </w:rPr>
        <w:t>同时评价发现，项目前期可行性研究不够充分，绩效目标设定存在不够完整、效益指标缺少可衡量性的情况，项目管理实施方案有效性不足，效益实现情况缺乏相应的支撑材料，成果的具体运用不明确，绩效管理仍需要进一步加强。</w:t>
      </w:r>
    </w:p>
    <w:p w14:paraId="2BCFD773">
      <w:pPr>
        <w:pStyle w:val="2"/>
        <w:pageBreakBefore w:val="0"/>
        <w:kinsoku/>
        <w:wordWrap/>
        <w:overflowPunct/>
        <w:topLinePunct w:val="0"/>
        <w:autoSpaceDE/>
        <w:autoSpaceDN/>
        <w:bidi w:val="0"/>
        <w:adjustRightInd w:val="0"/>
        <w:snapToGrid w:val="0"/>
        <w:spacing w:line="560" w:lineRule="exact"/>
        <w:textAlignment w:val="auto"/>
        <w:rPr>
          <w:rFonts w:ascii="黑体" w:hAnsi="黑体" w:eastAsia="黑体" w:cs="黑体"/>
          <w:b w:val="0"/>
          <w:bCs w:val="0"/>
          <w:color w:val="auto"/>
          <w:szCs w:val="32"/>
        </w:rPr>
      </w:pPr>
      <w:bookmarkStart w:id="15" w:name="_Toc27322"/>
      <w:r>
        <w:rPr>
          <w:rFonts w:hint="eastAsia" w:ascii="黑体" w:hAnsi="黑体" w:eastAsia="黑体" w:cs="黑体"/>
          <w:b w:val="0"/>
          <w:bCs w:val="0"/>
          <w:color w:val="auto"/>
          <w:szCs w:val="32"/>
        </w:rPr>
        <w:t>四、绩效评价指标分析</w:t>
      </w:r>
      <w:bookmarkEnd w:id="15"/>
    </w:p>
    <w:p w14:paraId="57FA9C88">
      <w:pPr>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rPr>
      </w:pPr>
      <w:bookmarkStart w:id="16" w:name="_Toc3914"/>
      <w:r>
        <w:rPr>
          <w:rFonts w:hint="eastAsia" w:ascii="楷体" w:hAnsi="楷体" w:eastAsia="楷体" w:cs="楷体"/>
          <w:b w:val="0"/>
          <w:bCs w:val="0"/>
          <w:color w:val="auto"/>
          <w:sz w:val="32"/>
          <w:szCs w:val="32"/>
        </w:rPr>
        <w:t>（一）项目决策情况</w:t>
      </w:r>
      <w:bookmarkEnd w:id="16"/>
    </w:p>
    <w:p w14:paraId="1DB7B464">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1.项目立项情况</w:t>
      </w:r>
    </w:p>
    <w:p w14:paraId="1C79D3E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北京市林长制实施效果动态评估及目标责任体系构建依据</w:t>
      </w:r>
      <w:r>
        <w:rPr>
          <w:rFonts w:hint="eastAsia" w:ascii="仿宋_GB2312" w:eastAsia="仿宋_GB2312"/>
          <w:bCs/>
          <w:sz w:val="32"/>
          <w:szCs w:val="32"/>
          <w:highlight w:val="none"/>
          <w:lang w:val="en-US" w:eastAsia="zh-CN"/>
        </w:rPr>
        <w:t>《国家林业和草原局贯彻落实〈关于全面推行林长制的意见〉实施方案》，北京市委办公厅、市政府办公厅印发的《关于全面推行林长制的意见》《关于全面建立林长制的实施意见</w:t>
      </w:r>
      <w:r>
        <w:rPr>
          <w:rFonts w:hint="eastAsia" w:ascii="仿宋_GB2312" w:hAnsi="宋体" w:eastAsia="仿宋_GB2312"/>
          <w:sz w:val="32"/>
          <w:szCs w:val="32"/>
          <w:lang w:val="en-US" w:eastAsia="zh-CN"/>
        </w:rPr>
        <w:t>》的要求及工作内容设立。</w:t>
      </w:r>
    </w:p>
    <w:p w14:paraId="48F935C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宋体" w:eastAsia="仿宋_GB2312"/>
          <w:color w:val="0000FF"/>
          <w:sz w:val="32"/>
          <w:szCs w:val="32"/>
          <w:lang w:val="en-US" w:eastAsia="zh-CN"/>
        </w:rPr>
      </w:pPr>
      <w:r>
        <w:rPr>
          <w:rFonts w:hint="eastAsia" w:ascii="仿宋_GB2312" w:hAnsi="宋体" w:eastAsia="仿宋_GB2312"/>
          <w:color w:val="auto"/>
          <w:sz w:val="32"/>
          <w:szCs w:val="32"/>
          <w:lang w:val="en-US" w:eastAsia="zh-CN"/>
        </w:rPr>
        <w:t>森林经营方案质量和成效评估工作依据</w:t>
      </w:r>
      <w:r>
        <w:rPr>
          <w:rFonts w:hint="eastAsia" w:ascii="仿宋_GB2312" w:hAnsi="宋体" w:eastAsia="仿宋_GB2312"/>
          <w:color w:val="auto"/>
          <w:sz w:val="32"/>
          <w:szCs w:val="32"/>
        </w:rPr>
        <w:t>国家林业和草原局发布</w:t>
      </w:r>
      <w:r>
        <w:rPr>
          <w:rFonts w:hint="eastAsia" w:ascii="仿宋_GB2312" w:hAnsi="宋体" w:eastAsia="仿宋_GB2312"/>
          <w:color w:val="auto"/>
          <w:sz w:val="32"/>
          <w:szCs w:val="32"/>
          <w:lang w:val="en-US" w:eastAsia="zh-CN"/>
        </w:rPr>
        <w:t>的</w:t>
      </w:r>
      <w:r>
        <w:rPr>
          <w:rFonts w:hint="eastAsia" w:ascii="仿宋_GB2312" w:hAnsi="宋体" w:eastAsia="仿宋_GB2312"/>
          <w:color w:val="auto"/>
          <w:sz w:val="32"/>
          <w:szCs w:val="32"/>
        </w:rPr>
        <w:t>《森林经营方案编制与实施纲要》（试行）、《国家林业和草原局关于加快推进森林经营方案编制工作的通知》</w:t>
      </w:r>
      <w:r>
        <w:rPr>
          <w:rFonts w:hint="eastAsia" w:ascii="仿宋_GB2312" w:hAnsi="宋体" w:eastAsia="仿宋_GB2312"/>
          <w:color w:val="auto"/>
          <w:sz w:val="32"/>
          <w:szCs w:val="32"/>
          <w:lang w:eastAsia="zh-CN"/>
        </w:rPr>
        <w:t>，</w:t>
      </w:r>
      <w:bookmarkStart w:id="17" w:name="_Hlk155182746"/>
      <w:r>
        <w:rPr>
          <w:rFonts w:hint="eastAsia" w:ascii="仿宋_GB2312" w:hAnsi="宋体" w:eastAsia="仿宋_GB2312"/>
          <w:color w:val="auto"/>
          <w:sz w:val="32"/>
          <w:szCs w:val="32"/>
          <w:lang w:val="en-US" w:eastAsia="zh-CN"/>
        </w:rPr>
        <w:t>北京市制定的</w:t>
      </w:r>
      <w:r>
        <w:rPr>
          <w:rFonts w:hint="eastAsia" w:ascii="仿宋_GB2312" w:hAnsi="宋体" w:eastAsia="仿宋_GB2312"/>
          <w:color w:val="auto"/>
          <w:sz w:val="32"/>
          <w:szCs w:val="32"/>
        </w:rPr>
        <w:t>《北京市森林经营方案</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2021</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2030年</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编制工作方案》</w:t>
      </w:r>
      <w:bookmarkEnd w:id="17"/>
      <w:r>
        <w:rPr>
          <w:rFonts w:hint="eastAsia" w:ascii="仿宋_GB2312" w:hAnsi="宋体" w:eastAsia="仿宋_GB2312"/>
          <w:color w:val="auto"/>
          <w:sz w:val="32"/>
          <w:szCs w:val="32"/>
        </w:rPr>
        <w:t>《北京市平原生态林养护经营管理办法（试行）》和《北京市生态公益林经营管护管理办法（试行）》</w:t>
      </w:r>
      <w:r>
        <w:rPr>
          <w:rFonts w:hint="eastAsia" w:ascii="仿宋_GB2312" w:hAnsi="宋体" w:eastAsia="仿宋_GB2312"/>
          <w:color w:val="auto"/>
          <w:sz w:val="32"/>
          <w:szCs w:val="32"/>
          <w:lang w:val="en-US" w:eastAsia="zh-CN"/>
        </w:rPr>
        <w:t>的相关要求设立。</w:t>
      </w:r>
    </w:p>
    <w:p w14:paraId="7975AB8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default" w:ascii="仿宋_GB2312" w:eastAsia="仿宋_GB2312"/>
          <w:bCs/>
          <w:color w:val="auto"/>
          <w:sz w:val="32"/>
          <w:szCs w:val="32"/>
          <w:highlight w:val="none"/>
          <w:lang w:val="en-US" w:eastAsia="zh-CN"/>
        </w:rPr>
      </w:pPr>
      <w:r>
        <w:rPr>
          <w:rFonts w:hint="default" w:ascii="仿宋_GB2312" w:hAnsi="宋体" w:eastAsia="仿宋_GB2312"/>
          <w:bCs w:val="0"/>
          <w:color w:val="auto"/>
          <w:sz w:val="32"/>
          <w:szCs w:val="32"/>
          <w:lang w:val="en-US" w:eastAsia="zh-CN"/>
        </w:rPr>
        <w:t>《北京市林地保护利用规划（2021</w:t>
      </w:r>
      <w:r>
        <w:rPr>
          <w:rFonts w:hint="eastAsia" w:ascii="仿宋_GB2312" w:hAnsi="宋体" w:eastAsia="仿宋_GB2312"/>
          <w:bCs w:val="0"/>
          <w:color w:val="auto"/>
          <w:sz w:val="32"/>
          <w:szCs w:val="32"/>
          <w:lang w:val="en-US" w:eastAsia="zh-CN"/>
        </w:rPr>
        <w:t>—</w:t>
      </w:r>
      <w:r>
        <w:rPr>
          <w:rFonts w:hint="default" w:ascii="仿宋_GB2312" w:hAnsi="宋体" w:eastAsia="仿宋_GB2312"/>
          <w:bCs w:val="0"/>
          <w:color w:val="auto"/>
          <w:sz w:val="32"/>
          <w:szCs w:val="32"/>
          <w:lang w:val="en-US" w:eastAsia="zh-CN"/>
        </w:rPr>
        <w:t>2035年）》明确区域园林绿化用地保护利用的指导思想、目标任务和政策措施，引导全社会严格保护园林绿化用地、节约集约利用园林绿化用地、优化园林绿化用地资源配置，提高园林绿化用地保护利用效率。</w:t>
      </w:r>
      <w:r>
        <w:rPr>
          <w:rFonts w:hint="eastAsia" w:ascii="仿宋_GB2312" w:hAnsi="宋体" w:eastAsia="仿宋_GB2312"/>
          <w:bCs w:val="0"/>
          <w:color w:val="auto"/>
          <w:sz w:val="32"/>
          <w:szCs w:val="32"/>
          <w:lang w:val="en-US" w:eastAsia="zh-CN"/>
        </w:rPr>
        <w:t>为</w:t>
      </w:r>
      <w:r>
        <w:rPr>
          <w:rFonts w:hint="default" w:ascii="仿宋_GB2312" w:hAnsi="宋体" w:eastAsia="仿宋_GB2312"/>
          <w:bCs w:val="0"/>
          <w:color w:val="auto"/>
          <w:sz w:val="32"/>
          <w:szCs w:val="32"/>
          <w:highlight w:val="none"/>
          <w:lang w:val="en-US" w:eastAsia="zh-CN"/>
        </w:rPr>
        <w:t>保证全市绿色空间，优化城市空间布局，为全市提供良好的生态环境与生活空间</w:t>
      </w:r>
      <w:r>
        <w:rPr>
          <w:rFonts w:hint="eastAsia" w:ascii="仿宋_GB2312" w:hAnsi="宋体" w:eastAsia="仿宋_GB2312"/>
          <w:bCs w:val="0"/>
          <w:color w:val="auto"/>
          <w:sz w:val="32"/>
          <w:szCs w:val="32"/>
          <w:lang w:val="en-US" w:eastAsia="zh-CN"/>
        </w:rPr>
        <w:t>开展</w:t>
      </w:r>
      <w:r>
        <w:rPr>
          <w:rFonts w:hint="default" w:ascii="仿宋_GB2312" w:hAnsi="宋体" w:eastAsia="仿宋_GB2312"/>
          <w:bCs w:val="0"/>
          <w:color w:val="auto"/>
          <w:sz w:val="32"/>
          <w:szCs w:val="32"/>
          <w:lang w:val="en-US" w:eastAsia="zh-CN"/>
        </w:rPr>
        <w:t>北京市园林绿化资源统筹管控</w:t>
      </w:r>
      <w:r>
        <w:rPr>
          <w:rFonts w:hint="default" w:ascii="仿宋_GB2312" w:eastAsia="仿宋_GB2312"/>
          <w:bCs/>
          <w:color w:val="auto"/>
          <w:sz w:val="32"/>
          <w:szCs w:val="32"/>
          <w:highlight w:val="none"/>
          <w:lang w:val="en-US" w:eastAsia="zh-CN"/>
        </w:rPr>
        <w:t>研究</w:t>
      </w:r>
      <w:r>
        <w:rPr>
          <w:rFonts w:hint="eastAsia" w:ascii="仿宋_GB2312" w:eastAsia="仿宋_GB2312"/>
          <w:bCs/>
          <w:color w:val="auto"/>
          <w:sz w:val="32"/>
          <w:szCs w:val="32"/>
          <w:highlight w:val="none"/>
          <w:lang w:val="en-US" w:eastAsia="zh-CN"/>
        </w:rPr>
        <w:t>工作。</w:t>
      </w:r>
    </w:p>
    <w:p w14:paraId="662EFE5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default" w:ascii="仿宋_GB2312" w:hAnsi="宋体" w:eastAsia="仿宋_GB2312"/>
          <w:bCs w:val="0"/>
          <w:sz w:val="32"/>
          <w:szCs w:val="32"/>
          <w:highlight w:val="none"/>
          <w:lang w:val="en-US" w:eastAsia="zh-CN"/>
        </w:rPr>
      </w:pPr>
      <w:r>
        <w:rPr>
          <w:rFonts w:hint="eastAsia" w:ascii="仿宋_GB2312" w:hAnsi="宋体" w:eastAsia="仿宋_GB2312"/>
          <w:bCs w:val="0"/>
          <w:sz w:val="32"/>
          <w:szCs w:val="32"/>
          <w:lang w:val="en-US" w:eastAsia="zh-CN"/>
        </w:rPr>
        <w:t>依据</w:t>
      </w:r>
      <w:r>
        <w:rPr>
          <w:rFonts w:hint="default" w:ascii="仿宋_GB2312" w:hAnsi="宋体" w:eastAsia="仿宋_GB2312"/>
          <w:bCs w:val="0"/>
          <w:sz w:val="32"/>
          <w:szCs w:val="32"/>
          <w:lang w:val="en-US" w:eastAsia="zh-CN"/>
        </w:rPr>
        <w:t>中共中央办公厅、国务院办公厅印发</w:t>
      </w:r>
      <w:r>
        <w:rPr>
          <w:rFonts w:hint="eastAsia" w:ascii="仿宋_GB2312" w:hAnsi="宋体" w:eastAsia="仿宋_GB2312"/>
          <w:bCs w:val="0"/>
          <w:sz w:val="32"/>
          <w:szCs w:val="32"/>
          <w:lang w:val="en-US" w:eastAsia="zh-CN"/>
        </w:rPr>
        <w:t>的</w:t>
      </w:r>
      <w:r>
        <w:rPr>
          <w:rFonts w:hint="default" w:ascii="仿宋_GB2312" w:hAnsi="宋体" w:eastAsia="仿宋_GB2312"/>
          <w:bCs w:val="0"/>
          <w:sz w:val="32"/>
          <w:szCs w:val="32"/>
          <w:lang w:val="en-US" w:eastAsia="zh-CN"/>
        </w:rPr>
        <w:t>《关于建立健全生态产品价值实现机制的意见》</w:t>
      </w:r>
      <w:r>
        <w:rPr>
          <w:rFonts w:hint="eastAsia" w:ascii="仿宋_GB2312" w:hAnsi="宋体" w:eastAsia="仿宋_GB2312"/>
          <w:bCs w:val="0"/>
          <w:sz w:val="32"/>
          <w:szCs w:val="32"/>
          <w:lang w:val="en-US" w:eastAsia="zh-CN"/>
        </w:rPr>
        <w:t>和</w:t>
      </w:r>
      <w:r>
        <w:rPr>
          <w:rFonts w:hint="default" w:ascii="仿宋_GB2312" w:hAnsi="宋体" w:eastAsia="仿宋_GB2312"/>
          <w:bCs w:val="0"/>
          <w:sz w:val="32"/>
          <w:szCs w:val="32"/>
          <w:lang w:val="en-US" w:eastAsia="zh-CN"/>
        </w:rPr>
        <w:t>《北京市建立健全生态产品价值实现机制的实施方案》《关于新时代高质量推动生态涵养区生态保护和绿色发展的实施方案》</w:t>
      </w:r>
      <w:r>
        <w:rPr>
          <w:rFonts w:hint="eastAsia" w:ascii="仿宋_GB2312" w:hAnsi="宋体" w:eastAsia="仿宋_GB2312"/>
          <w:bCs w:val="0"/>
          <w:sz w:val="32"/>
          <w:szCs w:val="32"/>
          <w:lang w:val="en-US" w:eastAsia="zh-CN"/>
        </w:rPr>
        <w:t>的相关文件和要求</w:t>
      </w:r>
      <w:r>
        <w:rPr>
          <w:rFonts w:hint="default" w:ascii="仿宋_GB2312" w:hAnsi="宋体" w:eastAsia="仿宋_GB2312"/>
          <w:bCs w:val="0"/>
          <w:sz w:val="32"/>
          <w:szCs w:val="32"/>
          <w:lang w:val="en-US" w:eastAsia="zh-CN"/>
        </w:rPr>
        <w:t>，开展园林绿化领域生态产品价值评价体系研</w:t>
      </w:r>
      <w:r>
        <w:rPr>
          <w:rFonts w:hint="default" w:ascii="仿宋_GB2312" w:hAnsi="宋体" w:eastAsia="仿宋_GB2312"/>
          <w:bCs w:val="0"/>
          <w:sz w:val="32"/>
          <w:szCs w:val="32"/>
          <w:highlight w:val="none"/>
          <w:lang w:val="en-US" w:eastAsia="zh-CN"/>
        </w:rPr>
        <w:t>究</w:t>
      </w:r>
      <w:r>
        <w:rPr>
          <w:rFonts w:hint="eastAsia" w:ascii="仿宋_GB2312" w:hAnsi="宋体" w:eastAsia="仿宋_GB2312"/>
          <w:sz w:val="32"/>
          <w:szCs w:val="32"/>
          <w:highlight w:val="none"/>
          <w:lang w:val="en-US" w:eastAsia="zh-CN"/>
        </w:rPr>
        <w:t>。</w:t>
      </w:r>
    </w:p>
    <w:p w14:paraId="06BF170F">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仿宋_GB2312" w:hAnsi="宋体" w:eastAsia="仿宋_GB2312"/>
          <w:bCs w:val="0"/>
          <w:sz w:val="32"/>
          <w:szCs w:val="32"/>
          <w:highlight w:val="none"/>
          <w:lang w:val="en-US" w:eastAsia="zh-CN"/>
        </w:rPr>
      </w:pPr>
      <w:r>
        <w:rPr>
          <w:rFonts w:hint="eastAsia" w:ascii="仿宋_GB2312" w:hAnsi="宋体" w:eastAsia="仿宋_GB2312"/>
          <w:bCs w:val="0"/>
          <w:sz w:val="32"/>
          <w:szCs w:val="32"/>
          <w:highlight w:val="none"/>
          <w:lang w:val="en-US" w:eastAsia="zh-CN"/>
        </w:rPr>
        <w:t>依据</w:t>
      </w:r>
      <w:r>
        <w:rPr>
          <w:rFonts w:hint="default" w:ascii="仿宋_GB2312" w:hAnsi="宋体" w:eastAsia="仿宋_GB2312"/>
          <w:bCs w:val="0"/>
          <w:sz w:val="32"/>
          <w:szCs w:val="32"/>
          <w:highlight w:val="none"/>
          <w:lang w:val="en-US" w:eastAsia="zh-CN"/>
        </w:rPr>
        <w:t>《北京市自然资源资产产权制度改革方案》《北京市关于深化生态保护补偿制度改革的实施意见》</w:t>
      </w:r>
      <w:r>
        <w:rPr>
          <w:rFonts w:hint="eastAsia" w:ascii="仿宋_GB2312" w:hAnsi="宋体" w:eastAsia="仿宋_GB2312"/>
          <w:bCs w:val="0"/>
          <w:sz w:val="32"/>
          <w:szCs w:val="32"/>
          <w:highlight w:val="none"/>
          <w:lang w:val="en-US" w:eastAsia="zh-CN"/>
        </w:rPr>
        <w:t>中</w:t>
      </w:r>
      <w:r>
        <w:rPr>
          <w:rFonts w:hint="eastAsia" w:ascii="仿宋_GB2312" w:hAnsi="宋体" w:eastAsia="仿宋_GB2312"/>
          <w:bCs w:val="0"/>
          <w:sz w:val="32"/>
          <w:szCs w:val="32"/>
          <w:lang w:val="en-US" w:eastAsia="zh-CN"/>
        </w:rPr>
        <w:t>相关</w:t>
      </w:r>
      <w:r>
        <w:rPr>
          <w:rFonts w:hint="eastAsia" w:ascii="仿宋_GB2312" w:hAnsi="宋体" w:eastAsia="仿宋_GB2312"/>
          <w:bCs w:val="0"/>
          <w:sz w:val="32"/>
          <w:szCs w:val="32"/>
          <w:highlight w:val="none"/>
          <w:lang w:val="en-US" w:eastAsia="zh-CN"/>
        </w:rPr>
        <w:t>要求，开展</w:t>
      </w:r>
      <w:r>
        <w:rPr>
          <w:rFonts w:hint="eastAsia" w:ascii="仿宋_GB2312" w:hAnsi="宋体" w:eastAsia="仿宋_GB2312"/>
          <w:sz w:val="32"/>
          <w:szCs w:val="32"/>
          <w:highlight w:val="none"/>
        </w:rPr>
        <w:t>园林绿化资源产权制度改革与有偿使用</w:t>
      </w:r>
      <w:r>
        <w:rPr>
          <w:rFonts w:hint="eastAsia" w:ascii="仿宋_GB2312" w:hAnsi="宋体" w:eastAsia="仿宋_GB2312"/>
          <w:sz w:val="32"/>
          <w:szCs w:val="32"/>
          <w:highlight w:val="none"/>
          <w:lang w:val="en-US" w:eastAsia="zh-CN"/>
        </w:rPr>
        <w:t>研究工作</w:t>
      </w:r>
      <w:r>
        <w:rPr>
          <w:rFonts w:hint="default" w:ascii="仿宋_GB2312" w:hAnsi="宋体" w:eastAsia="仿宋_GB2312"/>
          <w:bCs w:val="0"/>
          <w:sz w:val="32"/>
          <w:szCs w:val="32"/>
          <w:highlight w:val="none"/>
          <w:lang w:val="en-US" w:eastAsia="zh-CN"/>
        </w:rPr>
        <w:t>。</w:t>
      </w:r>
    </w:p>
    <w:p w14:paraId="2C945242">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仿宋_GB2312" w:hAnsi="宋体" w:eastAsia="仿宋_GB2312"/>
          <w:bCs w:val="0"/>
          <w:sz w:val="32"/>
          <w:szCs w:val="32"/>
          <w:highlight w:val="cyan"/>
          <w:lang w:val="en-US" w:eastAsia="zh-CN"/>
        </w:rPr>
      </w:pPr>
      <w:r>
        <w:rPr>
          <w:rFonts w:hint="eastAsia" w:ascii="仿宋_GB2312" w:eastAsia="仿宋_GB2312"/>
          <w:bCs/>
          <w:sz w:val="32"/>
          <w:szCs w:val="32"/>
          <w:highlight w:val="none"/>
          <w:lang w:val="en-US" w:eastAsia="zh-CN"/>
        </w:rPr>
        <w:t>项目立项的政策依据较为充分，与部门职能相符，但项目立项的紧迫性阐述不够明确，缺少前期调研及相关的数据支撑。</w:t>
      </w:r>
    </w:p>
    <w:p w14:paraId="557BD2B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2.项目绩效目标情况</w:t>
      </w:r>
    </w:p>
    <w:p w14:paraId="6287A2D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规划和资源监测中心</w:t>
      </w:r>
      <w:r>
        <w:rPr>
          <w:rFonts w:hint="eastAsia" w:ascii="仿宋_GB2312" w:hAnsi="仿宋_GB2312" w:eastAsia="仿宋_GB2312" w:cs="仿宋_GB2312"/>
          <w:color w:val="auto"/>
          <w:sz w:val="32"/>
          <w:szCs w:val="32"/>
          <w:highlight w:val="none"/>
        </w:rPr>
        <w:t>根据绩效管理要求，围绕项目内容、工作安排以及预期效益情况，编制了项目绩效目标申报表，明确了年度目标，</w:t>
      </w:r>
      <w:r>
        <w:rPr>
          <w:rFonts w:hint="eastAsia" w:ascii="仿宋_GB2312" w:eastAsia="仿宋_GB2312"/>
          <w:color w:val="auto"/>
          <w:sz w:val="32"/>
          <w:szCs w:val="32"/>
          <w:highlight w:val="none"/>
        </w:rPr>
        <w:t>细化了具体的产出、效益指标，绩效目标设定总体符合管理要求</w:t>
      </w:r>
      <w:r>
        <w:rPr>
          <w:rFonts w:hint="eastAsia" w:ascii="仿宋_GB2312" w:hAnsi="仿宋_GB2312" w:eastAsia="仿宋_GB2312" w:cs="仿宋_GB2312"/>
          <w:color w:val="auto"/>
          <w:sz w:val="32"/>
          <w:szCs w:val="32"/>
          <w:highlight w:val="none"/>
          <w:lang w:eastAsia="zh-CN"/>
        </w:rPr>
        <w:t>，</w:t>
      </w:r>
      <w:r>
        <w:rPr>
          <w:rFonts w:hint="eastAsia" w:ascii="仿宋_GB2312" w:eastAsia="仿宋_GB2312"/>
          <w:color w:val="auto"/>
          <w:sz w:val="32"/>
          <w:szCs w:val="32"/>
          <w:highlight w:val="none"/>
        </w:rPr>
        <w:t>绩效指标</w:t>
      </w:r>
      <w:r>
        <w:rPr>
          <w:rFonts w:hint="eastAsia" w:ascii="仿宋_GB2312" w:eastAsia="仿宋_GB2312"/>
          <w:color w:val="auto"/>
          <w:sz w:val="32"/>
          <w:szCs w:val="32"/>
          <w:highlight w:val="none"/>
          <w:lang w:val="en-US" w:eastAsia="zh-CN"/>
        </w:rPr>
        <w:t>设置的较为合理</w:t>
      </w:r>
      <w:r>
        <w:rPr>
          <w:rFonts w:hint="eastAsia" w:ascii="仿宋_GB2312" w:hAnsi="仿宋_GB2312" w:eastAsia="仿宋_GB2312" w:cs="仿宋_GB2312"/>
          <w:color w:val="auto"/>
          <w:sz w:val="32"/>
          <w:szCs w:val="32"/>
          <w:highlight w:val="none"/>
          <w:lang w:val="en-US" w:eastAsia="zh-CN"/>
        </w:rPr>
        <w:t>，但其指标设置的完整性和可衡量性存在不足</w:t>
      </w:r>
      <w:r>
        <w:rPr>
          <w:rFonts w:hint="eastAsia" w:ascii="仿宋_GB2312" w:hAnsi="仿宋_GB2312" w:eastAsia="仿宋_GB2312" w:cs="仿宋_GB2312"/>
          <w:color w:val="auto"/>
          <w:sz w:val="32"/>
          <w:szCs w:val="32"/>
          <w:highlight w:val="none"/>
        </w:rPr>
        <w:t>。数量指标不完整，缺少视频、培训等相关指标；质量指标“评审专家通过率100%”单一，缺少关键质量标准指标值；效益指标</w:t>
      </w:r>
      <w:r>
        <w:rPr>
          <w:rFonts w:hint="eastAsia" w:ascii="仿宋_GB2312" w:hAnsi="仿宋_GB2312" w:eastAsia="仿宋_GB2312" w:cs="仿宋_GB2312"/>
          <w:color w:val="auto"/>
          <w:sz w:val="32"/>
          <w:szCs w:val="32"/>
          <w:highlight w:val="none"/>
          <w:lang w:val="en-US" w:eastAsia="zh-CN"/>
        </w:rPr>
        <w:t>中生态效益、社会效益和可持续影响指标设置内容较为</w:t>
      </w:r>
      <w:r>
        <w:rPr>
          <w:rFonts w:hint="eastAsia" w:ascii="仿宋_GB2312" w:hAnsi="仿宋_GB2312" w:eastAsia="仿宋_GB2312" w:cs="仿宋_GB2312"/>
          <w:color w:val="auto"/>
          <w:sz w:val="32"/>
          <w:szCs w:val="32"/>
          <w:highlight w:val="none"/>
        </w:rPr>
        <w:t>抽象，可考量性不足。</w:t>
      </w:r>
    </w:p>
    <w:p w14:paraId="38A46C42">
      <w:pPr>
        <w:pStyle w:val="1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3.项目资金投入情况</w:t>
      </w:r>
    </w:p>
    <w:p w14:paraId="6344B71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项目预算</w:t>
      </w:r>
      <w:r>
        <w:rPr>
          <w:rFonts w:hint="eastAsia" w:ascii="仿宋_GB2312" w:hAnsi="仿宋_GB2312" w:eastAsia="仿宋_GB2312" w:cs="仿宋_GB2312"/>
          <w:color w:val="auto"/>
          <w:sz w:val="32"/>
          <w:szCs w:val="32"/>
          <w:highlight w:val="none"/>
        </w:rPr>
        <w:t>批复金</w:t>
      </w:r>
      <w:r>
        <w:rPr>
          <w:rFonts w:hint="eastAsia" w:ascii="仿宋_GB2312" w:eastAsia="仿宋_GB2312"/>
          <w:color w:val="auto"/>
          <w:sz w:val="32"/>
          <w:szCs w:val="32"/>
          <w:highlight w:val="none"/>
          <w:lang w:val="en-US" w:eastAsia="zh-CN"/>
        </w:rPr>
        <w:t>额617.451万元，其中北京市林长制实施效果动态评估及目标责任体系构建172.816万元、森林经营方案质量和成效评估125.443万元、北京市园林绿化资源统筹管控研究125.5万元、北京市园林绿化领域生态产品价值评价体系研究79.292万元、园林绿化资源产权制度改革与有偿使用114.4万元。</w:t>
      </w:r>
    </w:p>
    <w:p w14:paraId="68D736C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outlineLvl w:val="9"/>
        <w:rPr>
          <w:rFonts w:hint="default" w:ascii="仿宋_GB2312" w:eastAsia="仿宋_GB2312"/>
          <w:color w:val="auto"/>
          <w:sz w:val="32"/>
          <w:szCs w:val="32"/>
          <w:highlight w:val="cyan"/>
          <w:lang w:val="en-US" w:eastAsia="zh-CN"/>
        </w:rPr>
      </w:pPr>
      <w:r>
        <w:rPr>
          <w:rFonts w:hint="eastAsia" w:ascii="仿宋_GB2312" w:eastAsia="仿宋_GB2312"/>
          <w:color w:val="auto"/>
          <w:sz w:val="32"/>
          <w:szCs w:val="32"/>
          <w:highlight w:val="none"/>
          <w:lang w:val="en-US" w:eastAsia="zh-CN"/>
        </w:rPr>
        <w:t>项目预算明细涉及差旅费、材料打印费、劳务费、专家咨询费等，依据北京市财政局 北京市科学技术委员会关于印发《北京市科技计划项目（课题）经费管理办法》的通知（京财科文</w:t>
      </w:r>
      <w:r>
        <w:rPr>
          <w:rFonts w:hint="eastAsia"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865号）、《北京市部门预算定额标准》《北京市科技计划项目市财政科技经费预算评审原则》《北京市科技计划项目（课题）经费审计要点（2015）》及市场询价结合项目实际需求进行编制。市园林绿化局委托第三方机构进行了预算评审，总体来看项目预算编制较为科学、合理。但项目预算测算依据充分性还存在不足，技术路线不够明确，缺少工作量测算依据。</w:t>
      </w:r>
    </w:p>
    <w:p w14:paraId="0E701B7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highlight w:val="none"/>
        </w:rPr>
      </w:pPr>
      <w:bookmarkStart w:id="18" w:name="_Toc11152"/>
      <w:r>
        <w:rPr>
          <w:rFonts w:hint="eastAsia" w:ascii="楷体" w:hAnsi="楷体" w:eastAsia="楷体" w:cs="楷体"/>
          <w:b w:val="0"/>
          <w:bCs w:val="0"/>
          <w:color w:val="auto"/>
          <w:sz w:val="32"/>
          <w:szCs w:val="32"/>
          <w:highlight w:val="none"/>
        </w:rPr>
        <w:t>（二）项目过程情况</w:t>
      </w:r>
      <w:bookmarkEnd w:id="18"/>
    </w:p>
    <w:p w14:paraId="2AB1811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1.项目资金管理情况</w:t>
      </w:r>
    </w:p>
    <w:p w14:paraId="5CED547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该项目批复金额617.451万元，截至202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年12月31日，项目资金支出616.252万元，预算执行率99.8</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p>
    <w:p w14:paraId="2E42594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规划和资源监测中心依照单位制定的</w:t>
      </w:r>
      <w:r>
        <w:rPr>
          <w:rFonts w:hint="eastAsia" w:ascii="仿宋_GB2312" w:hAnsi="仿宋_GB2312" w:eastAsia="仿宋_GB2312" w:cs="仿宋_GB2312"/>
          <w:color w:val="auto"/>
          <w:sz w:val="32"/>
          <w:szCs w:val="32"/>
          <w:highlight w:val="none"/>
          <w:lang w:eastAsia="zh-Hans"/>
        </w:rPr>
        <w:t>《北京市园林绿化规划和资源监测中心财务管理制度》《北京市园林绿化规划和资源监测中心（北京市林业碳汇与国际合作事务中心）会计工作管理办法》</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eastAsia="zh-Hans"/>
        </w:rPr>
        <w:t>《北京市园林绿化规划和资源监测中心（北京市林业碳汇与国际合作事务中心）会计档案管理办法》执行</w:t>
      </w:r>
      <w:r>
        <w:rPr>
          <w:rFonts w:hint="eastAsia" w:ascii="仿宋_GB2312" w:hAnsi="仿宋_GB2312" w:eastAsia="仿宋_GB2312" w:cs="仿宋_GB2312"/>
          <w:color w:val="auto"/>
          <w:sz w:val="32"/>
          <w:szCs w:val="32"/>
          <w:highlight w:val="none"/>
          <w:lang w:eastAsia="zh-CN"/>
        </w:rPr>
        <w:t>，资金的拨付审批程序</w:t>
      </w:r>
      <w:r>
        <w:rPr>
          <w:rFonts w:hint="eastAsia" w:ascii="仿宋_GB2312" w:hAnsi="仿宋_GB2312" w:eastAsia="仿宋_GB2312" w:cs="仿宋_GB2312"/>
          <w:color w:val="auto"/>
          <w:sz w:val="32"/>
          <w:szCs w:val="32"/>
          <w:highlight w:val="none"/>
          <w:lang w:val="en-US" w:eastAsia="zh-CN"/>
        </w:rPr>
        <w:t>完整，</w:t>
      </w:r>
      <w:r>
        <w:rPr>
          <w:rFonts w:hint="eastAsia" w:ascii="仿宋_GB2312" w:hAnsi="仿宋_GB2312" w:eastAsia="仿宋_GB2312" w:cs="仿宋_GB2312"/>
          <w:color w:val="auto"/>
          <w:sz w:val="32"/>
          <w:szCs w:val="32"/>
          <w:highlight w:val="none"/>
        </w:rPr>
        <w:t>资金使用合规。</w:t>
      </w:r>
    </w:p>
    <w:p w14:paraId="006388C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2.项目组织实施情况</w:t>
      </w:r>
    </w:p>
    <w:p w14:paraId="12D52F3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制度建设方面，规划和资源监测中心制定了《北京市园林绿化规划和资源监测中心（北京市林业碳汇与国际合作事务中心）项目管理办法》《北京市园林绿化规划和资源监测中心（北京市林业碳汇与国际合作事务中心）技术档案管理办法》</w:t>
      </w:r>
      <w:r>
        <w:rPr>
          <w:rFonts w:hint="eastAsia" w:ascii="仿宋_GB2312" w:hAnsi="仿宋_GB2312" w:eastAsia="仿宋_GB2312" w:cs="仿宋_GB2312"/>
          <w:color w:val="auto"/>
          <w:sz w:val="32"/>
          <w:szCs w:val="32"/>
          <w:highlight w:val="none"/>
        </w:rPr>
        <w:t>等管理制度</w:t>
      </w:r>
      <w:r>
        <w:rPr>
          <w:rFonts w:hint="eastAsia" w:ascii="仿宋_GB2312" w:hAnsi="仿宋_GB2312" w:eastAsia="仿宋_GB2312" w:cs="仿宋_GB2312"/>
          <w:color w:val="auto"/>
          <w:sz w:val="32"/>
          <w:szCs w:val="32"/>
          <w:highlight w:val="none"/>
          <w:lang w:val="en-US" w:eastAsia="zh-CN"/>
        </w:rPr>
        <w:t>并组织实施。</w:t>
      </w:r>
    </w:p>
    <w:p w14:paraId="4C44886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highlight w:val="none"/>
          <w:lang w:val="en-US" w:eastAsia="zh-CN"/>
        </w:rPr>
        <w:t>规划和资源监测中心制定了林长制实施运行与森林资源一体化管理项目实施方案，</w:t>
      </w:r>
      <w:r>
        <w:rPr>
          <w:rFonts w:hint="eastAsia" w:ascii="仿宋_GB2312" w:hAnsi="Times New Roman" w:eastAsia="仿宋_GB2312" w:cs="Times New Roman"/>
          <w:kern w:val="2"/>
          <w:sz w:val="32"/>
          <w:szCs w:val="32"/>
          <w:lang w:val="en-US" w:eastAsia="zh-CN" w:bidi="ar-SA"/>
        </w:rPr>
        <w:t>明确了项目背景和目的、研究内容、研究思路、研究方法、组织</w:t>
      </w:r>
      <w:r>
        <w:rPr>
          <w:rFonts w:hint="eastAsia" w:ascii="仿宋_GB2312" w:hAnsi="Times New Roman" w:eastAsia="仿宋_GB2312" w:cs="Times New Roman"/>
          <w:kern w:val="2"/>
          <w:sz w:val="32"/>
          <w:szCs w:val="32"/>
          <w:highlight w:val="none"/>
          <w:lang w:val="en-US" w:eastAsia="zh-CN" w:bidi="ar-SA"/>
        </w:rPr>
        <w:t>实施与进度安排、成果产出等内容。</w:t>
      </w:r>
      <w:r>
        <w:rPr>
          <w:rFonts w:hint="eastAsia" w:ascii="仿宋_GB2312" w:eastAsia="仿宋_GB2312" w:cs="Times New Roman"/>
          <w:kern w:val="2"/>
          <w:sz w:val="32"/>
          <w:szCs w:val="32"/>
          <w:highlight w:val="none"/>
          <w:lang w:val="en-US" w:eastAsia="zh-CN" w:bidi="ar-SA"/>
        </w:rPr>
        <w:t>但实施方案有效性不足</w:t>
      </w:r>
      <w:r>
        <w:rPr>
          <w:rFonts w:hint="eastAsia" w:ascii="仿宋_GB2312" w:hAnsi="Times New Roman" w:eastAsia="仿宋_GB2312" w:cs="Times New Roman"/>
          <w:kern w:val="2"/>
          <w:sz w:val="32"/>
          <w:szCs w:val="32"/>
          <w:highlight w:val="none"/>
          <w:lang w:val="en-US" w:eastAsia="zh-CN" w:bidi="ar-SA"/>
        </w:rPr>
        <w:t>，未体现组织</w:t>
      </w:r>
      <w:r>
        <w:rPr>
          <w:rFonts w:hint="eastAsia" w:ascii="仿宋_GB2312" w:eastAsia="仿宋_GB2312" w:cs="Times New Roman"/>
          <w:kern w:val="2"/>
          <w:sz w:val="32"/>
          <w:szCs w:val="32"/>
          <w:highlight w:val="none"/>
          <w:lang w:val="en-US" w:eastAsia="zh-CN" w:bidi="ar-SA"/>
        </w:rPr>
        <w:t>架构及职责分工</w:t>
      </w:r>
      <w:r>
        <w:rPr>
          <w:rFonts w:hint="eastAsia" w:ascii="仿宋_GB2312" w:hAnsi="Times New Roman" w:eastAsia="仿宋_GB2312" w:cs="Times New Roman"/>
          <w:kern w:val="2"/>
          <w:sz w:val="32"/>
          <w:szCs w:val="32"/>
          <w:highlight w:val="none"/>
          <w:lang w:val="en-US" w:eastAsia="zh-CN" w:bidi="ar-SA"/>
        </w:rPr>
        <w:t>，缺少采购方案、第三方资质、质量标准、验收机制、风险防控措施等。</w:t>
      </w:r>
    </w:p>
    <w:p w14:paraId="668984E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在项目实施环节，项目采用公开招标方式</w:t>
      </w:r>
      <w:r>
        <w:rPr>
          <w:rFonts w:hint="eastAsia" w:ascii="仿宋_GB2312" w:eastAsia="仿宋_GB2312" w:cs="Times New Roman"/>
          <w:kern w:val="2"/>
          <w:sz w:val="32"/>
          <w:szCs w:val="32"/>
          <w:highlight w:val="none"/>
          <w:lang w:val="en-US" w:eastAsia="zh-CN" w:bidi="ar-SA"/>
        </w:rPr>
        <w:t>确定承担单位，并与承担单位签订协议。</w:t>
      </w:r>
      <w:r>
        <w:rPr>
          <w:rFonts w:hint="eastAsia" w:ascii="仿宋_GB2312" w:hAnsi="仿宋_GB2312" w:eastAsia="仿宋_GB2312" w:cs="仿宋_GB2312"/>
          <w:kern w:val="2"/>
          <w:sz w:val="32"/>
          <w:szCs w:val="32"/>
          <w:highlight w:val="none"/>
          <w:lang w:val="en-US" w:eastAsia="zh-CN" w:bidi="ar-SA"/>
        </w:rPr>
        <w:t>2024年8</w:t>
      </w:r>
      <w:bookmarkStart w:id="26" w:name="_GoBack"/>
      <w:r>
        <w:rPr>
          <w:rFonts w:hint="eastAsia" w:ascii="仿宋_GB2312" w:hAnsi="仿宋_GB2312" w:eastAsia="仿宋_GB2312" w:cs="仿宋_GB2312"/>
          <w:kern w:val="2"/>
          <w:sz w:val="32"/>
          <w:szCs w:val="32"/>
          <w:highlight w:val="none"/>
          <w:lang w:val="en-US" w:eastAsia="zh-CN" w:bidi="ar-SA"/>
        </w:rPr>
        <w:t>-</w:t>
      </w:r>
      <w:bookmarkEnd w:id="26"/>
      <w:r>
        <w:rPr>
          <w:rFonts w:hint="eastAsia" w:ascii="仿宋_GB2312" w:hAnsi="仿宋_GB2312" w:eastAsia="仿宋_GB2312" w:cs="仿宋_GB2312"/>
          <w:kern w:val="2"/>
          <w:sz w:val="32"/>
          <w:szCs w:val="32"/>
          <w:highlight w:val="none"/>
          <w:lang w:val="en-US" w:eastAsia="zh-CN" w:bidi="ar-SA"/>
        </w:rPr>
        <w:t>9月，规划和资源监测中心组织专家对项目进行初步验收，2024年11月30日前，组织专家对项目进行了终验。专家组一致认为项目完成了工作内容，通过验收。但对于项目实施过程的跟进监管等管理过程材料体现不足。</w:t>
      </w:r>
    </w:p>
    <w:p w14:paraId="55A7771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highlight w:val="none"/>
        </w:rPr>
      </w:pPr>
      <w:bookmarkStart w:id="19" w:name="_Toc16335"/>
      <w:r>
        <w:rPr>
          <w:rFonts w:hint="eastAsia" w:ascii="楷体" w:hAnsi="楷体" w:eastAsia="楷体" w:cs="楷体"/>
          <w:b w:val="0"/>
          <w:bCs w:val="0"/>
          <w:color w:val="auto"/>
          <w:sz w:val="32"/>
          <w:szCs w:val="32"/>
          <w:highlight w:val="none"/>
        </w:rPr>
        <w:t>（三）项目产出情况</w:t>
      </w:r>
      <w:bookmarkEnd w:id="19"/>
    </w:p>
    <w:p w14:paraId="382FC68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1.项目产出数量分析</w:t>
      </w:r>
    </w:p>
    <w:p w14:paraId="7E85DEC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截至2024年12月，规划和资源监测中心完成了林长制实施运行与森林资源一体化管理项目并形成了《北京市林长制实施成效年度调研报告》《北京市林长制成效动态评估报告》等工作成果。</w:t>
      </w:r>
    </w:p>
    <w:p w14:paraId="0E912E5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2.项目产出质量分析</w:t>
      </w:r>
    </w:p>
    <w:p w14:paraId="43D629A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分别于2024年8月、9月和2024年11月，组织专家对项目进行初验和终验。专家认为，项目达到合同约定的内容，通过项目验收。但是项目成果支持的政策、决策等应用展示不足，关键质量考核指标不够明确，项目验收是否有相关处室参加不清晰，项目验收的标准仍需进一步明确。</w:t>
      </w:r>
    </w:p>
    <w:p w14:paraId="71B9E73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3.项目产出时效分析</w:t>
      </w:r>
    </w:p>
    <w:p w14:paraId="07E46E3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截至202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年12月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规划和资源监测中心</w:t>
      </w:r>
      <w:r>
        <w:rPr>
          <w:rFonts w:hint="eastAsia" w:ascii="仿宋_GB2312" w:hAnsi="仿宋_GB2312" w:eastAsia="仿宋_GB2312" w:cs="仿宋_GB2312"/>
          <w:color w:val="auto"/>
          <w:sz w:val="32"/>
          <w:szCs w:val="32"/>
          <w:highlight w:val="none"/>
        </w:rPr>
        <w:t>完成</w:t>
      </w:r>
      <w:r>
        <w:rPr>
          <w:rFonts w:hint="eastAsia" w:ascii="仿宋_GB2312" w:hAnsi="仿宋_GB2312" w:eastAsia="仿宋_GB2312" w:cs="仿宋_GB2312"/>
          <w:color w:val="auto"/>
          <w:sz w:val="32"/>
          <w:szCs w:val="32"/>
          <w:highlight w:val="none"/>
          <w:lang w:val="en-US" w:eastAsia="zh-CN"/>
        </w:rPr>
        <w:t>了项目全部</w:t>
      </w:r>
      <w:r>
        <w:rPr>
          <w:rFonts w:hint="eastAsia" w:ascii="仿宋_GB2312" w:hAnsi="仿宋_GB2312" w:eastAsia="仿宋_GB2312" w:cs="仿宋_GB2312"/>
          <w:color w:val="auto"/>
          <w:sz w:val="32"/>
          <w:szCs w:val="32"/>
          <w:highlight w:val="none"/>
        </w:rPr>
        <w:t>内容，项目</w:t>
      </w:r>
      <w:r>
        <w:rPr>
          <w:rFonts w:hint="eastAsia" w:ascii="仿宋_GB2312" w:hAnsi="仿宋_GB2312" w:eastAsia="仿宋_GB2312" w:cs="仿宋_GB2312"/>
          <w:color w:val="auto"/>
          <w:sz w:val="32"/>
          <w:szCs w:val="32"/>
          <w:highlight w:val="none"/>
          <w:lang w:val="en-US" w:eastAsia="zh-CN"/>
        </w:rPr>
        <w:t>于2024年11月底前完成了终验，除个别项目中期验收时间较合同约定时间相比有所滞后外，</w:t>
      </w:r>
      <w:r>
        <w:rPr>
          <w:rFonts w:hint="eastAsia" w:ascii="仿宋_GB2312" w:hAnsi="仿宋_GB2312" w:eastAsia="仿宋_GB2312" w:cs="仿宋_GB2312"/>
          <w:color w:val="auto"/>
          <w:sz w:val="32"/>
          <w:szCs w:val="32"/>
          <w:highlight w:val="none"/>
        </w:rPr>
        <w:t>实际执行进度</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rPr>
        <w:t>预期计划</w:t>
      </w:r>
      <w:r>
        <w:rPr>
          <w:rFonts w:hint="eastAsia" w:ascii="仿宋_GB2312" w:hAnsi="仿宋_GB2312" w:eastAsia="仿宋_GB2312" w:cs="仿宋_GB2312"/>
          <w:color w:val="auto"/>
          <w:sz w:val="32"/>
          <w:szCs w:val="32"/>
          <w:highlight w:val="none"/>
          <w:lang w:val="en-US" w:eastAsia="zh-CN"/>
        </w:rPr>
        <w:t>相比在整体上不存在滞后</w:t>
      </w:r>
      <w:r>
        <w:rPr>
          <w:rFonts w:hint="eastAsia" w:ascii="仿宋_GB2312" w:hAnsi="仿宋_GB2312" w:eastAsia="仿宋_GB2312" w:cs="仿宋_GB2312"/>
          <w:color w:val="auto"/>
          <w:sz w:val="32"/>
          <w:szCs w:val="32"/>
          <w:highlight w:val="none"/>
        </w:rPr>
        <w:t>。</w:t>
      </w:r>
    </w:p>
    <w:p w14:paraId="01282EC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color w:val="auto"/>
          <w:sz w:val="32"/>
          <w:szCs w:val="32"/>
          <w:highlight w:val="none"/>
        </w:rPr>
      </w:pPr>
      <w:r>
        <w:rPr>
          <w:rFonts w:hint="eastAsia" w:ascii="仿宋_GB2312" w:hAnsi="仿宋_GB2312" w:eastAsia="仿宋_GB2312" w:cs="仿宋_GB2312"/>
          <w:color w:val="auto"/>
          <w:sz w:val="32"/>
          <w:szCs w:val="32"/>
          <w:highlight w:val="none"/>
        </w:rPr>
        <w:t>4.项目产出成本分析</w:t>
      </w:r>
    </w:p>
    <w:p w14:paraId="6D97ED5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项目通过预算评审、</w:t>
      </w:r>
      <w:r>
        <w:rPr>
          <w:rFonts w:hint="eastAsia" w:ascii="仿宋_GB2312" w:hAnsi="仿宋_GB2312" w:eastAsia="仿宋_GB2312" w:cs="仿宋_GB2312"/>
          <w:color w:val="auto"/>
          <w:sz w:val="32"/>
          <w:szCs w:val="32"/>
          <w:highlight w:val="none"/>
          <w:lang w:val="en-US" w:eastAsia="zh-CN"/>
        </w:rPr>
        <w:t>公开招标等</w:t>
      </w:r>
      <w:r>
        <w:rPr>
          <w:rFonts w:hint="eastAsia" w:ascii="仿宋_GB2312" w:hAnsi="仿宋_GB2312" w:eastAsia="仿宋_GB2312" w:cs="仿宋_GB2312"/>
          <w:color w:val="auto"/>
          <w:sz w:val="32"/>
          <w:szCs w:val="32"/>
          <w:highlight w:val="none"/>
        </w:rPr>
        <w:t>的方式控制项目预算成本，项目预算资金支出按照合同约定金额执行，预算资金控制在预算范围内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成本控制基本有效。</w:t>
      </w:r>
    </w:p>
    <w:p w14:paraId="6C446A1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highlight w:val="none"/>
        </w:rPr>
      </w:pPr>
      <w:bookmarkStart w:id="20" w:name="_Toc29455"/>
      <w:r>
        <w:rPr>
          <w:rFonts w:hint="eastAsia" w:ascii="楷体" w:hAnsi="楷体" w:eastAsia="楷体" w:cs="楷体"/>
          <w:b w:val="0"/>
          <w:bCs w:val="0"/>
          <w:color w:val="auto"/>
          <w:sz w:val="32"/>
          <w:szCs w:val="32"/>
          <w:highlight w:val="none"/>
        </w:rPr>
        <w:t>（四）项目效益情况</w:t>
      </w:r>
      <w:bookmarkEnd w:id="20"/>
    </w:p>
    <w:p w14:paraId="03FBC6F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1.项目实施效益分析</w:t>
      </w:r>
    </w:p>
    <w:p w14:paraId="5B671A9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项目基本达成年度的绩效成果。</w:t>
      </w:r>
      <w:r>
        <w:rPr>
          <w:rFonts w:hint="eastAsia" w:ascii="仿宋_GB2312" w:hAnsi="仿宋_GB2312" w:eastAsia="仿宋_GB2312" w:cs="仿宋_GB2312"/>
          <w:color w:val="auto"/>
          <w:sz w:val="32"/>
          <w:szCs w:val="32"/>
          <w:highlight w:val="none"/>
          <w:lang w:val="en-US" w:eastAsia="zh-CN"/>
        </w:rPr>
        <w:t>具体如下：</w:t>
      </w:r>
    </w:p>
    <w:p w14:paraId="04A5D4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sz w:val="32"/>
          <w:szCs w:val="32"/>
          <w:highlight w:val="yellow"/>
          <w:u w:val="none"/>
          <w:lang w:val="en-US" w:eastAsia="zh-CN"/>
        </w:rPr>
      </w:pPr>
      <w:r>
        <w:rPr>
          <w:rFonts w:hint="eastAsia" w:ascii="仿宋_GB2312" w:hAnsi="仿宋_GB2312" w:eastAsia="仿宋_GB2312" w:cs="仿宋_GB2312"/>
          <w:color w:val="auto"/>
          <w:sz w:val="32"/>
          <w:szCs w:val="32"/>
          <w:highlight w:val="none"/>
        </w:rPr>
        <w:t>一是</w:t>
      </w:r>
      <w:r>
        <w:rPr>
          <w:rFonts w:hint="eastAsia" w:ascii="仿宋_GB2312" w:hAnsi="仿宋_GB2312" w:eastAsia="仿宋_GB2312" w:cs="仿宋_GB2312"/>
          <w:color w:val="auto"/>
          <w:sz w:val="32"/>
          <w:szCs w:val="32"/>
          <w:highlight w:val="none"/>
          <w:lang w:val="en-US" w:eastAsia="zh-CN"/>
        </w:rPr>
        <w:t>社会效益方面。通过林长制动态评估，精准提出了一系列惠农增收、资源改善、生态保护的政策建议。</w:t>
      </w:r>
      <w:r>
        <w:rPr>
          <w:rFonts w:hint="eastAsia" w:ascii="仿宋_GB2312" w:hAnsi="仿宋_GB2312" w:eastAsia="仿宋_GB2312" w:cs="仿宋_GB2312"/>
          <w:sz w:val="32"/>
          <w:szCs w:val="32"/>
          <w:highlight w:val="none"/>
          <w:u w:val="none"/>
          <w:lang w:val="en-US" w:eastAsia="zh-CN"/>
        </w:rPr>
        <w:t>林长制理念与技术推广推进园林绿化共建共治共享，形成全社会扩绿兴绿护绿参与生态环境保护良好氛围，为北京市推进建设森林环抱的花园城市注入新活力。北京市三年获评全国林长制省级优秀单位。</w:t>
      </w:r>
    </w:p>
    <w:p w14:paraId="50FDDC3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森林经营方案质量与成效评估构建了北京市森林经营方案管理、质量评价和实施质量评估一系列流程体系，为北京市森林经营单位和编案单位提供科学编案指引，有效促进北京市森林经营管理的科学化、精细化。项目提出了北京市主要森林经营类型及相应的森林经营类型作业法设计，明确了不同类型的森林经营需求，为提升北京市森林经营的科学性和针对性提供了重要支撑。项目开展促进了各个经营单位的科学经营，不仅创造了更多就业机会，还提升了景观文化功能，更好地服务大众，推动基层科技文化水平提升。</w:t>
      </w:r>
    </w:p>
    <w:p w14:paraId="101934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园林绿化资源统筹管控有力推进了规划的落地实施，增强了林业用地保护规划的权威性和时效性；2025年</w:t>
      </w:r>
      <w:r>
        <w:rPr>
          <w:rFonts w:hint="eastAsia" w:ascii="仿宋_GB2312" w:hAnsi="仿宋_GB2312" w:eastAsia="仿宋_GB2312" w:cs="仿宋_GB2312"/>
          <w:sz w:val="32"/>
          <w:szCs w:val="32"/>
          <w:highlight w:val="none"/>
          <w:u w:val="none"/>
          <w:lang w:val="en-US" w:eastAsia="zh-CN"/>
        </w:rPr>
        <w:t xml:space="preserve">7月26日，北京市园林绿化局 </w:t>
      </w:r>
      <w:r>
        <w:rPr>
          <w:rFonts w:hint="default" w:ascii="仿宋_GB2312" w:hAnsi="仿宋_GB2312" w:eastAsia="仿宋_GB2312" w:cs="仿宋_GB2312"/>
          <w:sz w:val="32"/>
          <w:szCs w:val="32"/>
          <w:highlight w:val="none"/>
          <w:u w:val="none"/>
          <w:lang w:val="en-US" w:eastAsia="zh-CN"/>
        </w:rPr>
        <w:t>北京市规划和自然资源委员会</w:t>
      </w:r>
      <w:r>
        <w:rPr>
          <w:rFonts w:hint="eastAsia" w:ascii="仿宋_GB2312" w:hAnsi="仿宋_GB2312" w:eastAsia="仿宋_GB2312" w:cs="仿宋_GB2312"/>
          <w:sz w:val="32"/>
          <w:szCs w:val="32"/>
          <w:highlight w:val="none"/>
          <w:u w:val="none"/>
          <w:lang w:val="en-US" w:eastAsia="zh-CN"/>
        </w:rPr>
        <w:t>联合印发《北京市林地保护利用规划（</w:t>
      </w:r>
      <w:r>
        <w:rPr>
          <w:rFonts w:hint="default" w:ascii="仿宋_GB2312" w:hAnsi="仿宋_GB2312" w:eastAsia="仿宋_GB2312" w:cs="仿宋_GB2312"/>
          <w:sz w:val="32"/>
          <w:szCs w:val="32"/>
          <w:highlight w:val="none"/>
          <w:u w:val="none"/>
          <w:lang w:val="en-US" w:eastAsia="zh-CN"/>
        </w:rPr>
        <w:t>2021-2035</w:t>
      </w:r>
      <w:r>
        <w:rPr>
          <w:rFonts w:hint="eastAsia" w:ascii="仿宋_GB2312" w:hAnsi="仿宋_GB2312" w:eastAsia="仿宋_GB2312" w:cs="仿宋_GB2312"/>
          <w:sz w:val="32"/>
          <w:szCs w:val="32"/>
          <w:highlight w:val="none"/>
          <w:u w:val="none"/>
          <w:lang w:val="en-US" w:eastAsia="zh-CN"/>
        </w:rPr>
        <w:t>）</w:t>
      </w:r>
      <w:r>
        <w:rPr>
          <w:rFonts w:hint="default" w:ascii="仿宋_GB2312" w:hAnsi="仿宋_GB2312" w:eastAsia="仿宋_GB2312" w:cs="仿宋_GB2312"/>
          <w:sz w:val="32"/>
          <w:szCs w:val="32"/>
          <w:highlight w:val="none"/>
          <w:u w:val="none"/>
          <w:lang w:val="en-US" w:eastAsia="zh-CN"/>
        </w:rPr>
        <w:t>年》</w:t>
      </w:r>
      <w:r>
        <w:rPr>
          <w:rFonts w:hint="eastAsia" w:ascii="仿宋_GB2312" w:hAnsi="仿宋_GB2312" w:eastAsia="仿宋_GB2312" w:cs="仿宋_GB2312"/>
          <w:sz w:val="32"/>
          <w:szCs w:val="32"/>
          <w:highlight w:val="none"/>
          <w:u w:val="none"/>
          <w:lang w:val="en-US" w:eastAsia="zh-CN"/>
        </w:rPr>
        <w:t>。北京市人民政府新闻办公室举行“推动首都高质量发展”系列主题新闻发布会——《北京市林地保护利用规划（2021—2035年）》和北京市林长制改革成就专场。</w:t>
      </w:r>
      <w:r>
        <w:rPr>
          <w:rFonts w:hint="eastAsia" w:ascii="仿宋_GB2312" w:hAnsi="仿宋_GB2312" w:eastAsia="仿宋_GB2312" w:cs="仿宋_GB2312"/>
          <w:b w:val="0"/>
          <w:bCs w:val="0"/>
          <w:sz w:val="32"/>
          <w:szCs w:val="32"/>
          <w:highlight w:val="none"/>
          <w:u w:val="none"/>
          <w:lang w:val="en-US" w:eastAsia="zh-CN"/>
        </w:rPr>
        <w:t>北京市在全国率先完成国家下达的林地保护利用规划任务。</w:t>
      </w:r>
    </w:p>
    <w:p w14:paraId="525C0C7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园林绿化领域生态产品价值核算、国有森林资源产权结构与有偿使用机制构建，有效盘活了国有林场资产，为国有森林资源产权改革和国有森林资源资产价值实现提供了科学指导，推动生态涵养区绿色发展，提升了生态涵养区社会生活水平。</w:t>
      </w:r>
    </w:p>
    <w:p w14:paraId="17538B4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二是生态</w:t>
      </w:r>
      <w:r>
        <w:rPr>
          <w:rFonts w:hint="eastAsia" w:ascii="仿宋_GB2312" w:hAnsi="仿宋_GB2312" w:eastAsia="仿宋_GB2312" w:cs="仿宋_GB2312"/>
          <w:color w:val="auto"/>
          <w:sz w:val="32"/>
          <w:szCs w:val="32"/>
          <w:highlight w:val="none"/>
        </w:rPr>
        <w:t>效益</w:t>
      </w:r>
      <w:r>
        <w:rPr>
          <w:rFonts w:hint="eastAsia" w:ascii="仿宋_GB2312" w:hAnsi="仿宋_GB2312" w:eastAsia="仿宋_GB2312" w:cs="仿宋_GB2312"/>
          <w:color w:val="auto"/>
          <w:sz w:val="32"/>
          <w:szCs w:val="32"/>
          <w:highlight w:val="none"/>
          <w:lang w:val="en-US" w:eastAsia="zh-CN"/>
        </w:rPr>
        <w:t>方面</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林长制动态评估与优化、森林经营方案质量与成效评估、园林绿化资源统筹调控以及园林绿化生态产品价值核算、产权改革和有偿使用机制构建等工作，为园林绿化资源管理、保护、优化和提升提供了科学指导，引导园林部门、当地政府以及相关公司与个人积极参与园林绿化资源的保护与建设，确保森林资源数量与质量持续提升。</w:t>
      </w:r>
    </w:p>
    <w:p w14:paraId="7DEA2BE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可持续影响方面，林长制动态评估与优化、森林经营方案与经营类型确定以及园林绿化资源统筹调控与林保规划的更新维护，为园林绿化资源管理、保护、优化和提升奠定了坚实的科学基础，提供了有力指导，促进了园林绿化资源的可持续发展；园林绿化生态产品价值核算、国有森林资源产权结构与有偿使用机制构建，有助于国有森林资源的保护、管理及价值实现。</w:t>
      </w:r>
    </w:p>
    <w:p w14:paraId="14575BE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但项目的绩效资料呈现不够充分。项目成果应用情况不够明确，视频宣传片的播放情况不明，2场林长制培训效果等缺少绩效佐证资料。</w:t>
      </w:r>
    </w:p>
    <w:p w14:paraId="6A4EFC03">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2.项目满意度分析</w:t>
      </w:r>
    </w:p>
    <w:p w14:paraId="49A63E5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项目成果得到了园林绿化资源管理部门的认可，对支撑的业务处室开展了满意度调查，但是调查内容较为单一，仅针对是否满意一项内容开展调查，调查内容充分性和全面性有待加强。</w:t>
      </w:r>
    </w:p>
    <w:p w14:paraId="425DD747">
      <w:pPr>
        <w:pStyle w:val="2"/>
        <w:keepNext w:val="0"/>
        <w:keepLines w:val="0"/>
        <w:pageBreakBefore w:val="0"/>
        <w:kinsoku/>
        <w:wordWrap/>
        <w:overflowPunct/>
        <w:topLinePunct w:val="0"/>
        <w:autoSpaceDE/>
        <w:autoSpaceDN/>
        <w:bidi w:val="0"/>
        <w:adjustRightInd w:val="0"/>
        <w:snapToGrid w:val="0"/>
        <w:spacing w:line="560" w:lineRule="exact"/>
        <w:textAlignment w:val="auto"/>
        <w:rPr>
          <w:rFonts w:ascii="黑体" w:hAnsi="黑体" w:eastAsia="黑体" w:cs="黑体"/>
          <w:b w:val="0"/>
          <w:bCs w:val="0"/>
          <w:color w:val="auto"/>
          <w:szCs w:val="32"/>
          <w:highlight w:val="none"/>
        </w:rPr>
      </w:pPr>
      <w:bookmarkStart w:id="21" w:name="_Toc18375"/>
      <w:r>
        <w:rPr>
          <w:rFonts w:hint="eastAsia" w:ascii="黑体" w:hAnsi="黑体" w:eastAsia="黑体" w:cs="黑体"/>
          <w:b w:val="0"/>
          <w:bCs w:val="0"/>
          <w:color w:val="auto"/>
          <w:szCs w:val="32"/>
          <w:highlight w:val="none"/>
        </w:rPr>
        <w:t>五、主要经验及做法、存在的问题及原因分析</w:t>
      </w:r>
      <w:bookmarkEnd w:id="21"/>
    </w:p>
    <w:p w14:paraId="4B60A57E">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highlight w:val="none"/>
        </w:rPr>
      </w:pPr>
      <w:bookmarkStart w:id="22" w:name="_Toc740"/>
      <w:r>
        <w:rPr>
          <w:rFonts w:hint="eastAsia" w:ascii="楷体" w:hAnsi="楷体" w:eastAsia="楷体" w:cs="楷体"/>
          <w:b w:val="0"/>
          <w:bCs w:val="0"/>
          <w:color w:val="auto"/>
          <w:sz w:val="32"/>
          <w:szCs w:val="32"/>
          <w:highlight w:val="none"/>
        </w:rPr>
        <w:t>（一）主要经验及做法</w:t>
      </w:r>
      <w:bookmarkEnd w:id="22"/>
    </w:p>
    <w:p w14:paraId="00A6449E">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成果深化与应用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持续深入推进项目研究成果的转化与应用。将林长制相关报告，如《北京市林长制实施成效年度调研报告》等，作为政策调整和完善的重要参考依据，切实优化林长制实施效果。在森林经营领域，依据《森林经营方案成效评估》报告，指导经营单位科学调整经营策略，积极推广科学的森林经营类型和作业法，有效提高森林质量和生态功能。把园林绿化资源统筹管控研究成果应用于实际管理工作中，严格执行新增建设项目管控清单，加强对林地保护规划成果的维护和管理，切实保障城市绿色空间得到有效保护和合理利用。</w:t>
      </w:r>
    </w:p>
    <w:p w14:paraId="3020488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持续监测与评估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建立长效的监测与评估机制，对项目实施效果进行动态跟踪。持续关注林长制实施情况，定期开展林长制实施成效评估，及时发现新问题并提出针对性解决方案，确保林长制持续发挥积极作用。长期监测森林经营方案的实施效果，根据监测结果进一步优化经营方案。不断完善园林绿化领域生态产品价值评价体系，持续核算生态产品价值，为生态产品价值实现提供持续的科学支撑。</w:t>
      </w:r>
    </w:p>
    <w:p w14:paraId="5D5A3B1E">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经验总结与推广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全面总结项目实施过程中的经验和成果，形成可复制、可推广的模式。加强与其他地区的交流与合作，积极分享北京市在林长制实施、森林经营、生态产品价值核算等方面的成功经验，为全国园林绿化资源管理和生态文明建设贡献北京智慧。同时，主动学习其他地区的先进经验，不断完善项目后续工作，持续提升北京市园林绿化资源管理水平。</w:t>
      </w:r>
    </w:p>
    <w:p w14:paraId="2DA99B52">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1"/>
        <w:rPr>
          <w:rFonts w:ascii="楷体" w:hAnsi="楷体" w:eastAsia="楷体" w:cs="楷体"/>
          <w:b w:val="0"/>
          <w:bCs w:val="0"/>
          <w:color w:val="auto"/>
          <w:sz w:val="32"/>
          <w:szCs w:val="32"/>
          <w:highlight w:val="none"/>
        </w:rPr>
      </w:pPr>
      <w:bookmarkStart w:id="23" w:name="_Toc22450"/>
      <w:r>
        <w:rPr>
          <w:rFonts w:hint="eastAsia" w:ascii="楷体" w:hAnsi="楷体" w:eastAsia="楷体" w:cs="楷体"/>
          <w:b w:val="0"/>
          <w:bCs w:val="0"/>
          <w:color w:val="auto"/>
          <w:sz w:val="32"/>
          <w:szCs w:val="32"/>
          <w:highlight w:val="none"/>
        </w:rPr>
        <w:t>（二）存在的问题及原因分析</w:t>
      </w:r>
      <w:bookmarkEnd w:id="23"/>
    </w:p>
    <w:p w14:paraId="78982C20">
      <w:pPr>
        <w:pStyle w:val="16"/>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仿宋_GB2312" w:hAnsi="宋体" w:eastAsia="仿宋_GB2312"/>
          <w:bCs w:val="0"/>
          <w:sz w:val="32"/>
          <w:szCs w:val="32"/>
          <w:highlight w:val="none"/>
          <w:lang w:val="en-US" w:eastAsia="zh-CN"/>
        </w:rPr>
      </w:pPr>
      <w:r>
        <w:rPr>
          <w:rFonts w:hint="eastAsia" w:ascii="仿宋_GB2312" w:hAnsi="宋体" w:eastAsia="仿宋_GB2312" w:cs="宋体"/>
          <w:bCs/>
          <w:sz w:val="32"/>
          <w:szCs w:val="32"/>
          <w:highlight w:val="none"/>
          <w:lang w:val="en-US" w:eastAsia="zh-CN"/>
        </w:rPr>
        <w:t>1.项目立项</w:t>
      </w:r>
      <w:r>
        <w:rPr>
          <w:rFonts w:hint="eastAsia" w:ascii="仿宋_GB2312" w:eastAsia="仿宋_GB2312" w:cs="宋体"/>
          <w:bCs/>
          <w:sz w:val="32"/>
          <w:szCs w:val="32"/>
          <w:highlight w:val="none"/>
          <w:lang w:val="en-US" w:eastAsia="zh-CN"/>
        </w:rPr>
        <w:t>资料分析不够充分</w:t>
      </w:r>
      <w:r>
        <w:rPr>
          <w:rFonts w:hint="eastAsia" w:ascii="仿宋_GB2312" w:hAnsi="宋体" w:eastAsia="仿宋_GB2312" w:cs="宋体"/>
          <w:bCs/>
          <w:sz w:val="32"/>
          <w:szCs w:val="32"/>
          <w:highlight w:val="none"/>
          <w:lang w:val="en-US" w:eastAsia="zh-CN"/>
        </w:rPr>
        <w:t>。项目</w:t>
      </w:r>
      <w:r>
        <w:rPr>
          <w:rFonts w:hint="eastAsia" w:ascii="仿宋_GB2312" w:eastAsia="仿宋_GB2312" w:cs="宋体"/>
          <w:bCs/>
          <w:sz w:val="32"/>
          <w:szCs w:val="32"/>
          <w:highlight w:val="none"/>
          <w:lang w:val="en-US" w:eastAsia="zh-CN"/>
        </w:rPr>
        <w:t>缺少</w:t>
      </w:r>
      <w:r>
        <w:rPr>
          <w:rFonts w:hint="eastAsia" w:ascii="仿宋_GB2312" w:hAnsi="宋体" w:eastAsia="仿宋_GB2312" w:cs="宋体"/>
          <w:bCs/>
          <w:sz w:val="32"/>
          <w:szCs w:val="32"/>
          <w:highlight w:val="none"/>
          <w:lang w:val="en-US" w:eastAsia="zh-CN"/>
        </w:rPr>
        <w:t>立项背景资料</w:t>
      </w:r>
      <w:r>
        <w:rPr>
          <w:rFonts w:hint="eastAsia" w:ascii="仿宋_GB2312" w:eastAsia="仿宋_GB2312" w:cs="宋体"/>
          <w:bCs/>
          <w:sz w:val="32"/>
          <w:szCs w:val="32"/>
          <w:highlight w:val="none"/>
          <w:lang w:val="en-US" w:eastAsia="zh-CN"/>
        </w:rPr>
        <w:t>、</w:t>
      </w:r>
      <w:r>
        <w:rPr>
          <w:rFonts w:hint="eastAsia" w:ascii="仿宋_GB2312" w:hAnsi="宋体" w:eastAsia="仿宋_GB2312" w:cs="宋体"/>
          <w:bCs/>
          <w:sz w:val="32"/>
          <w:szCs w:val="32"/>
          <w:highlight w:val="none"/>
          <w:lang w:val="en-US" w:eastAsia="zh-CN"/>
        </w:rPr>
        <w:t>现状分析</w:t>
      </w:r>
      <w:r>
        <w:rPr>
          <w:rFonts w:hint="eastAsia" w:ascii="仿宋_GB2312" w:eastAsia="仿宋_GB2312" w:cs="宋体"/>
          <w:bCs/>
          <w:sz w:val="32"/>
          <w:szCs w:val="32"/>
          <w:highlight w:val="none"/>
          <w:lang w:val="en-US" w:eastAsia="zh-CN"/>
        </w:rPr>
        <w:t>和</w:t>
      </w:r>
      <w:r>
        <w:rPr>
          <w:rFonts w:hint="eastAsia" w:ascii="仿宋_GB2312" w:hAnsi="宋体" w:eastAsia="仿宋_GB2312" w:cs="宋体"/>
          <w:bCs/>
          <w:sz w:val="32"/>
          <w:szCs w:val="32"/>
          <w:highlight w:val="none"/>
          <w:lang w:val="en-US" w:eastAsia="zh-CN"/>
        </w:rPr>
        <w:t>调研报告，</w:t>
      </w:r>
      <w:r>
        <w:rPr>
          <w:rFonts w:hint="eastAsia" w:ascii="仿宋_GB2312" w:eastAsia="仿宋_GB2312" w:cs="宋体"/>
          <w:bCs/>
          <w:sz w:val="32"/>
          <w:szCs w:val="32"/>
          <w:highlight w:val="none"/>
          <w:lang w:val="en-US" w:eastAsia="zh-CN"/>
        </w:rPr>
        <w:t>对</w:t>
      </w:r>
      <w:r>
        <w:rPr>
          <w:rFonts w:hint="eastAsia" w:ascii="仿宋_GB2312" w:hAnsi="宋体" w:eastAsia="仿宋_GB2312" w:cs="宋体"/>
          <w:bCs/>
          <w:sz w:val="32"/>
          <w:szCs w:val="32"/>
          <w:highlight w:val="none"/>
          <w:lang w:val="en-US" w:eastAsia="zh-CN"/>
        </w:rPr>
        <w:t>已有工作基础</w:t>
      </w:r>
      <w:r>
        <w:rPr>
          <w:rFonts w:hint="eastAsia" w:ascii="仿宋_GB2312" w:eastAsia="仿宋_GB2312" w:cs="宋体"/>
          <w:bCs/>
          <w:sz w:val="32"/>
          <w:szCs w:val="32"/>
          <w:highlight w:val="none"/>
          <w:lang w:val="en-US" w:eastAsia="zh-CN"/>
        </w:rPr>
        <w:t>阐述</w:t>
      </w:r>
      <w:r>
        <w:rPr>
          <w:rFonts w:hint="eastAsia" w:ascii="仿宋_GB2312" w:hAnsi="宋体" w:eastAsia="仿宋_GB2312" w:cs="宋体"/>
          <w:bCs/>
          <w:sz w:val="32"/>
          <w:szCs w:val="32"/>
          <w:highlight w:val="none"/>
          <w:lang w:val="en-US" w:eastAsia="zh-CN"/>
        </w:rPr>
        <w:t>不</w:t>
      </w:r>
      <w:r>
        <w:rPr>
          <w:rFonts w:hint="eastAsia" w:ascii="仿宋_GB2312" w:eastAsia="仿宋_GB2312" w:cs="宋体"/>
          <w:bCs/>
          <w:sz w:val="32"/>
          <w:szCs w:val="32"/>
          <w:highlight w:val="none"/>
          <w:lang w:val="en-US" w:eastAsia="zh-CN"/>
        </w:rPr>
        <w:t>够</w:t>
      </w:r>
      <w:r>
        <w:rPr>
          <w:rFonts w:hint="eastAsia" w:ascii="仿宋_GB2312" w:hAnsi="宋体" w:eastAsia="仿宋_GB2312" w:cs="宋体"/>
          <w:bCs/>
          <w:sz w:val="32"/>
          <w:szCs w:val="32"/>
          <w:highlight w:val="none"/>
          <w:lang w:val="en-US" w:eastAsia="zh-CN"/>
        </w:rPr>
        <w:t>明确，缺少对可利用数据、资源</w:t>
      </w:r>
      <w:r>
        <w:rPr>
          <w:rFonts w:hint="eastAsia" w:ascii="仿宋_GB2312" w:eastAsia="仿宋_GB2312" w:cs="宋体"/>
          <w:bCs/>
          <w:sz w:val="32"/>
          <w:szCs w:val="32"/>
          <w:highlight w:val="none"/>
          <w:lang w:val="en-US" w:eastAsia="zh-CN"/>
        </w:rPr>
        <w:t>的</w:t>
      </w:r>
      <w:r>
        <w:rPr>
          <w:rFonts w:hint="eastAsia" w:ascii="仿宋_GB2312" w:hAnsi="宋体" w:eastAsia="仿宋_GB2312" w:cs="宋体"/>
          <w:bCs/>
          <w:sz w:val="32"/>
          <w:szCs w:val="32"/>
          <w:highlight w:val="none"/>
          <w:lang w:val="en-US" w:eastAsia="zh-CN"/>
        </w:rPr>
        <w:t>梳理和分析。</w:t>
      </w:r>
    </w:p>
    <w:p w14:paraId="00CC6C68">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bCs/>
          <w:kern w:val="0"/>
          <w:sz w:val="32"/>
          <w:szCs w:val="32"/>
          <w:highlight w:val="none"/>
          <w:lang w:val="en-US" w:eastAsia="zh-CN" w:bidi="ar-SA"/>
        </w:rPr>
      </w:pPr>
      <w:r>
        <w:rPr>
          <w:rFonts w:hint="eastAsia" w:ascii="仿宋_GB2312" w:hAnsi="宋体" w:eastAsia="仿宋_GB2312" w:cs="宋体"/>
          <w:bCs/>
          <w:kern w:val="0"/>
          <w:sz w:val="32"/>
          <w:szCs w:val="32"/>
          <w:highlight w:val="none"/>
          <w:lang w:val="en-US" w:eastAsia="zh-CN" w:bidi="ar-SA"/>
        </w:rPr>
        <w:t>2.绩效目标设置完整性和可衡量性不足。数量指标设置不完整，缺少视频、培训等相关指标；质量指标“评审专家通过率100%”缺少关键质量标准指标值；效益指标设置内容较为宽泛可考量性不足。</w:t>
      </w:r>
    </w:p>
    <w:p w14:paraId="0AC24E32">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宋体" w:eastAsia="仿宋_GB2312" w:cs="宋体"/>
          <w:bCs/>
          <w:kern w:val="0"/>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项目预算测算依据不够充分。每个子项的预算都是调研费、</w:t>
      </w:r>
      <w:r>
        <w:rPr>
          <w:rFonts w:hint="eastAsia" w:ascii="仿宋_GB2312" w:hAnsi="仿宋_GB2312" w:eastAsia="仿宋_GB2312" w:cs="仿宋_GB2312"/>
          <w:kern w:val="2"/>
          <w:sz w:val="32"/>
          <w:szCs w:val="32"/>
          <w:lang w:val="en-US" w:eastAsia="zh-CN" w:bidi="ar-SA"/>
        </w:rPr>
        <w:t>劳务费、专家费，具体工作内容、研究内容以及应达到的标准等不够明确。</w:t>
      </w:r>
    </w:p>
    <w:p w14:paraId="4E65F4D6">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bCs/>
          <w:kern w:val="0"/>
          <w:sz w:val="32"/>
          <w:szCs w:val="32"/>
          <w:highlight w:val="none"/>
          <w:lang w:val="en-US" w:eastAsia="zh-CN" w:bidi="ar-SA"/>
        </w:rPr>
      </w:pPr>
      <w:r>
        <w:rPr>
          <w:rFonts w:hint="eastAsia" w:ascii="仿宋_GB2312" w:hAnsi="宋体" w:eastAsia="仿宋_GB2312" w:cs="宋体"/>
          <w:bCs/>
          <w:kern w:val="0"/>
          <w:sz w:val="32"/>
          <w:szCs w:val="32"/>
          <w:highlight w:val="none"/>
          <w:lang w:val="en-US" w:eastAsia="zh-CN" w:bidi="ar-SA"/>
        </w:rPr>
        <w:t>4.项目管理仍有待进一步加强。一是项目实施方案内容不够完善。项目实施方案中未明确项目的组织架构和职责分工，缺少采购方案、第三方资质、质量标准、验收机制、风险防控措施等内容。二是对于项目实施过程的跟进监管等管理过程材料体现不足。</w:t>
      </w:r>
    </w:p>
    <w:p w14:paraId="1C52594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bCs/>
          <w:kern w:val="0"/>
          <w:sz w:val="32"/>
          <w:szCs w:val="32"/>
          <w:highlight w:val="none"/>
          <w:lang w:val="en-US" w:eastAsia="zh-CN" w:bidi="ar-SA"/>
        </w:rPr>
      </w:pPr>
      <w:r>
        <w:rPr>
          <w:rFonts w:hint="eastAsia" w:ascii="仿宋_GB2312" w:hAnsi="宋体" w:eastAsia="仿宋_GB2312" w:cs="宋体"/>
          <w:bCs/>
          <w:kern w:val="0"/>
          <w:sz w:val="32"/>
          <w:szCs w:val="32"/>
          <w:highlight w:val="none"/>
          <w:lang w:val="en-US" w:eastAsia="zh-CN" w:bidi="ar-SA"/>
        </w:rPr>
        <w:t>5.项目的绩效资料呈现不够充分。绩效成果展现不够清晰，项目成果应用情况、视频宣传片的播放情况以及林长制培训效果等缺少绩效佐证资料。对项目成果应用单位的满意度调查内容和全面性和充分性不足。</w:t>
      </w:r>
    </w:p>
    <w:p w14:paraId="7D5250E4">
      <w:pPr>
        <w:pStyle w:val="2"/>
        <w:keepNext w:val="0"/>
        <w:keepLines w:val="0"/>
        <w:pageBreakBefore w:val="0"/>
        <w:kinsoku/>
        <w:wordWrap/>
        <w:overflowPunct/>
        <w:topLinePunct w:val="0"/>
        <w:autoSpaceDE/>
        <w:autoSpaceDN/>
        <w:bidi w:val="0"/>
        <w:adjustRightInd w:val="0"/>
        <w:snapToGrid w:val="0"/>
        <w:spacing w:line="560" w:lineRule="exact"/>
        <w:textAlignment w:val="auto"/>
        <w:rPr>
          <w:rFonts w:ascii="黑体" w:hAnsi="黑体" w:eastAsia="黑体" w:cs="黑体"/>
          <w:color w:val="auto"/>
          <w:szCs w:val="32"/>
          <w:highlight w:val="none"/>
        </w:rPr>
      </w:pPr>
      <w:bookmarkStart w:id="24" w:name="_Toc28937"/>
      <w:r>
        <w:rPr>
          <w:rFonts w:hint="eastAsia" w:ascii="黑体" w:hAnsi="黑体" w:eastAsia="黑体" w:cs="黑体"/>
          <w:b w:val="0"/>
          <w:bCs w:val="0"/>
          <w:color w:val="auto"/>
          <w:szCs w:val="32"/>
          <w:highlight w:val="none"/>
        </w:rPr>
        <w:t>六、有关建议</w:t>
      </w:r>
      <w:bookmarkEnd w:id="24"/>
    </w:p>
    <w:p w14:paraId="118DFEA6">
      <w:pPr>
        <w:pStyle w:val="6"/>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color w:val="auto"/>
          <w:sz w:val="32"/>
          <w:szCs w:val="32"/>
          <w:highlight w:val="none"/>
          <w:lang w:val="en-US" w:eastAsia="zh-CN"/>
        </w:rPr>
        <w:t>项目实施前深入</w:t>
      </w:r>
      <w:r>
        <w:rPr>
          <w:rFonts w:hint="eastAsia" w:ascii="仿宋_GB2312" w:hAnsi="仿宋_GB2312" w:eastAsia="仿宋_GB2312" w:cs="仿宋_GB2312"/>
          <w:color w:val="auto"/>
          <w:sz w:val="32"/>
          <w:szCs w:val="32"/>
          <w:highlight w:val="none"/>
        </w:rPr>
        <w:t>开展需求调研，</w:t>
      </w:r>
      <w:r>
        <w:rPr>
          <w:rFonts w:hint="eastAsia" w:ascii="仿宋_GB2312" w:hAnsi="仿宋_GB2312" w:eastAsia="仿宋_GB2312" w:cs="仿宋_GB2312"/>
          <w:color w:val="auto"/>
          <w:sz w:val="32"/>
          <w:szCs w:val="32"/>
          <w:highlight w:val="none"/>
          <w:lang w:val="en-US" w:eastAsia="zh-CN"/>
        </w:rPr>
        <w:t>提</w:t>
      </w:r>
      <w:r>
        <w:rPr>
          <w:rFonts w:hint="eastAsia" w:ascii="仿宋_GB2312" w:hAnsi="仿宋_GB2312" w:eastAsia="仿宋_GB2312" w:cs="仿宋_GB2312"/>
          <w:color w:val="auto"/>
          <w:sz w:val="32"/>
          <w:szCs w:val="32"/>
          <w:highlight w:val="none"/>
        </w:rPr>
        <w:t>高立项决策的科学性，加强统筹，规范立项可行性论证。</w:t>
      </w:r>
    </w:p>
    <w:p w14:paraId="36F38E36">
      <w:pPr>
        <w:pStyle w:val="6"/>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合理确定项目的绩效目标和绩效指标，结合绩效目标制定合理的、细化的评价指标及评价标准，做到指标细化量化可衡量，保证绩效目标与绩效指标相互对应、指向清晰。</w:t>
      </w:r>
    </w:p>
    <w:p w14:paraId="38709C64">
      <w:pPr>
        <w:pStyle w:val="6"/>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提高预算编制科学性，合理测算购买服务拟投入人员工作量、支撑资源等，规范预算审核，加强成本控制，提</w:t>
      </w:r>
      <w:r>
        <w:rPr>
          <w:rFonts w:hint="eastAsia" w:ascii="仿宋_GB2312" w:hAnsi="仿宋_GB2312" w:eastAsia="仿宋_GB2312" w:cs="仿宋_GB2312"/>
          <w:color w:val="auto"/>
          <w:sz w:val="32"/>
          <w:szCs w:val="32"/>
          <w:highlight w:val="none"/>
          <w:lang w:val="en-US" w:eastAsia="zh-CN"/>
        </w:rPr>
        <w:t>高</w:t>
      </w:r>
      <w:r>
        <w:rPr>
          <w:rFonts w:hint="eastAsia" w:ascii="仿宋_GB2312" w:hAnsi="仿宋_GB2312" w:eastAsia="仿宋_GB2312" w:cs="仿宋_GB2312"/>
          <w:color w:val="auto"/>
          <w:sz w:val="32"/>
          <w:szCs w:val="32"/>
          <w:highlight w:val="none"/>
        </w:rPr>
        <w:t>预算编制准确性。</w:t>
      </w:r>
    </w:p>
    <w:p w14:paraId="24EB9DB4">
      <w:pPr>
        <w:pStyle w:val="6"/>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rPr>
        <w:t>）优化项目管理，细化项目实施方案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完善项目实施方案，明确主体责任，明确服务范围、质量标准，加强第三方监管，完善项目验收机制，以保障项目顺利开展。</w:t>
      </w:r>
    </w:p>
    <w:p w14:paraId="6B212AB8">
      <w:pPr>
        <w:pStyle w:val="6"/>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rPr>
        <w:t>）注重项目的产出和绩效，加强项目成果的推广应用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重视项目绩效成果呈现，加强项目绩效梳理及挖掘，做好服务对象满意度调查分析。</w:t>
      </w:r>
    </w:p>
    <w:p w14:paraId="1C04E3BE">
      <w:pPr>
        <w:pStyle w:val="2"/>
        <w:keepNext w:val="0"/>
        <w:keepLines w:val="0"/>
        <w:pageBreakBefore w:val="0"/>
        <w:kinsoku/>
        <w:wordWrap/>
        <w:overflowPunct/>
        <w:topLinePunct w:val="0"/>
        <w:autoSpaceDE/>
        <w:autoSpaceDN/>
        <w:bidi w:val="0"/>
        <w:adjustRightInd w:val="0"/>
        <w:snapToGrid w:val="0"/>
        <w:spacing w:line="560" w:lineRule="exact"/>
        <w:textAlignment w:val="auto"/>
        <w:rPr>
          <w:rFonts w:ascii="黑体" w:hAnsi="黑体" w:eastAsia="黑体" w:cs="黑体"/>
          <w:b w:val="0"/>
          <w:bCs w:val="0"/>
          <w:color w:val="auto"/>
          <w:szCs w:val="32"/>
          <w:highlight w:val="none"/>
        </w:rPr>
      </w:pPr>
      <w:bookmarkStart w:id="25" w:name="_Toc7985"/>
      <w:r>
        <w:rPr>
          <w:rFonts w:hint="eastAsia" w:ascii="黑体" w:hAnsi="黑体" w:eastAsia="黑体" w:cs="黑体"/>
          <w:b w:val="0"/>
          <w:bCs w:val="0"/>
          <w:color w:val="auto"/>
          <w:szCs w:val="32"/>
          <w:highlight w:val="none"/>
        </w:rPr>
        <w:t>七、其他需要说明的问题</w:t>
      </w:r>
      <w:bookmarkEnd w:id="25"/>
    </w:p>
    <w:p w14:paraId="6D483B7D">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宋体" w:hAnsi="宋体" w:cs="宋体"/>
          <w:color w:val="auto"/>
          <w:sz w:val="32"/>
          <w:szCs w:val="32"/>
          <w:highlight w:val="none"/>
        </w:rPr>
      </w:pPr>
      <w:r>
        <w:rPr>
          <w:rFonts w:hint="eastAsia" w:ascii="仿宋_GB2312" w:hAnsi="仿宋_GB2312" w:eastAsia="仿宋_GB2312" w:cs="仿宋_GB2312"/>
          <w:color w:val="auto"/>
          <w:sz w:val="32"/>
          <w:szCs w:val="32"/>
          <w:highlight w:val="none"/>
        </w:rPr>
        <w:t>无。</w:t>
      </w:r>
    </w:p>
    <w:p w14:paraId="1552A1B0"/>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91975">
    <w:pPr>
      <w:pStyle w:val="10"/>
      <w:jc w:val="center"/>
      <w:rPr>
        <w:sz w:val="24"/>
        <w:szCs w:val="24"/>
      </w:rPr>
    </w:pPr>
    <w:r>
      <w:rPr>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A46B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4AA46B2">
                    <w:pPr>
                      <w:pStyle w:val="10"/>
                    </w:pPr>
                    <w:r>
                      <w:fldChar w:fldCharType="begin"/>
                    </w:r>
                    <w:r>
                      <w:instrText xml:space="preserve"> PAGE  \* MERGEFORMAT </w:instrText>
                    </w:r>
                    <w:r>
                      <w:fldChar w:fldCharType="separate"/>
                    </w:r>
                    <w:r>
                      <w:t>1</w:t>
                    </w:r>
                    <w:r>
                      <w:fldChar w:fldCharType="end"/>
                    </w:r>
                  </w:p>
                </w:txbxContent>
              </v:textbox>
            </v:shape>
          </w:pict>
        </mc:Fallback>
      </mc:AlternateContent>
    </w:r>
  </w:p>
  <w:p w14:paraId="0F02A903">
    <w:pPr>
      <w:pStyle w:val="10"/>
      <w:rPr>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FE5D7">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YmU5Y2I1Y2Y5ZTFkMWQ0ZTNlY2I5NmRhMmIxN2IifQ=="/>
  </w:docVars>
  <w:rsids>
    <w:rsidRoot w:val="0055724C"/>
    <w:rsid w:val="00005E95"/>
    <w:rsid w:val="00011FE4"/>
    <w:rsid w:val="00022E3D"/>
    <w:rsid w:val="000249D6"/>
    <w:rsid w:val="000362DE"/>
    <w:rsid w:val="0004104D"/>
    <w:rsid w:val="00056AEC"/>
    <w:rsid w:val="00063579"/>
    <w:rsid w:val="00070ABB"/>
    <w:rsid w:val="00072393"/>
    <w:rsid w:val="0007445B"/>
    <w:rsid w:val="000863C1"/>
    <w:rsid w:val="00092FC8"/>
    <w:rsid w:val="00094DFD"/>
    <w:rsid w:val="00097A69"/>
    <w:rsid w:val="000A37B2"/>
    <w:rsid w:val="000A643D"/>
    <w:rsid w:val="000B0F92"/>
    <w:rsid w:val="000B5038"/>
    <w:rsid w:val="000B57AF"/>
    <w:rsid w:val="000B7310"/>
    <w:rsid w:val="000D22C3"/>
    <w:rsid w:val="000D4DAA"/>
    <w:rsid w:val="000D542A"/>
    <w:rsid w:val="000E198D"/>
    <w:rsid w:val="000F38ED"/>
    <w:rsid w:val="001013AB"/>
    <w:rsid w:val="00104739"/>
    <w:rsid w:val="001103D8"/>
    <w:rsid w:val="0012242C"/>
    <w:rsid w:val="001229CF"/>
    <w:rsid w:val="00131E06"/>
    <w:rsid w:val="0013751E"/>
    <w:rsid w:val="00150D38"/>
    <w:rsid w:val="00167A30"/>
    <w:rsid w:val="00177137"/>
    <w:rsid w:val="00187375"/>
    <w:rsid w:val="001949E0"/>
    <w:rsid w:val="00194FF1"/>
    <w:rsid w:val="001A6277"/>
    <w:rsid w:val="001D23E6"/>
    <w:rsid w:val="001D7BB0"/>
    <w:rsid w:val="001D7C0C"/>
    <w:rsid w:val="00203190"/>
    <w:rsid w:val="002036F1"/>
    <w:rsid w:val="00214FDA"/>
    <w:rsid w:val="002173B2"/>
    <w:rsid w:val="00222EEC"/>
    <w:rsid w:val="00237F02"/>
    <w:rsid w:val="00246823"/>
    <w:rsid w:val="00261295"/>
    <w:rsid w:val="00264082"/>
    <w:rsid w:val="00271DAF"/>
    <w:rsid w:val="00274934"/>
    <w:rsid w:val="0028375E"/>
    <w:rsid w:val="002A0CAD"/>
    <w:rsid w:val="002B26D7"/>
    <w:rsid w:val="002C4C07"/>
    <w:rsid w:val="002D319A"/>
    <w:rsid w:val="002E11DA"/>
    <w:rsid w:val="002E3AE1"/>
    <w:rsid w:val="002E631A"/>
    <w:rsid w:val="00303CD7"/>
    <w:rsid w:val="00321B99"/>
    <w:rsid w:val="00331781"/>
    <w:rsid w:val="0036601D"/>
    <w:rsid w:val="003720C0"/>
    <w:rsid w:val="003914A4"/>
    <w:rsid w:val="003D42E2"/>
    <w:rsid w:val="003D7DE1"/>
    <w:rsid w:val="003E7328"/>
    <w:rsid w:val="004014C1"/>
    <w:rsid w:val="004022EE"/>
    <w:rsid w:val="00404FED"/>
    <w:rsid w:val="004303E4"/>
    <w:rsid w:val="00435776"/>
    <w:rsid w:val="0046472A"/>
    <w:rsid w:val="004729B1"/>
    <w:rsid w:val="004777E7"/>
    <w:rsid w:val="00482CA2"/>
    <w:rsid w:val="00492772"/>
    <w:rsid w:val="00494BC0"/>
    <w:rsid w:val="004962C5"/>
    <w:rsid w:val="004A00FE"/>
    <w:rsid w:val="004A1196"/>
    <w:rsid w:val="004A138E"/>
    <w:rsid w:val="004B7170"/>
    <w:rsid w:val="004C7601"/>
    <w:rsid w:val="004D0D53"/>
    <w:rsid w:val="004D34CC"/>
    <w:rsid w:val="004D7202"/>
    <w:rsid w:val="004E4F47"/>
    <w:rsid w:val="004E50C9"/>
    <w:rsid w:val="004F0502"/>
    <w:rsid w:val="005006F2"/>
    <w:rsid w:val="00517B4A"/>
    <w:rsid w:val="0052221D"/>
    <w:rsid w:val="00525C05"/>
    <w:rsid w:val="00533774"/>
    <w:rsid w:val="0053723F"/>
    <w:rsid w:val="00543F8F"/>
    <w:rsid w:val="0055724C"/>
    <w:rsid w:val="00565DD3"/>
    <w:rsid w:val="00573BF8"/>
    <w:rsid w:val="00576214"/>
    <w:rsid w:val="00593241"/>
    <w:rsid w:val="005B4095"/>
    <w:rsid w:val="005C0690"/>
    <w:rsid w:val="005D72BE"/>
    <w:rsid w:val="005E5502"/>
    <w:rsid w:val="005F0EF5"/>
    <w:rsid w:val="005F5A15"/>
    <w:rsid w:val="00616A98"/>
    <w:rsid w:val="00626B81"/>
    <w:rsid w:val="006306F1"/>
    <w:rsid w:val="00631EA5"/>
    <w:rsid w:val="006773E9"/>
    <w:rsid w:val="00691F89"/>
    <w:rsid w:val="006A2DFE"/>
    <w:rsid w:val="006A331A"/>
    <w:rsid w:val="006A6177"/>
    <w:rsid w:val="006B70FA"/>
    <w:rsid w:val="006D6CE7"/>
    <w:rsid w:val="006E1E6C"/>
    <w:rsid w:val="006F0A80"/>
    <w:rsid w:val="0071131B"/>
    <w:rsid w:val="0073781F"/>
    <w:rsid w:val="00741F41"/>
    <w:rsid w:val="00750BE0"/>
    <w:rsid w:val="00756910"/>
    <w:rsid w:val="00770441"/>
    <w:rsid w:val="00770D21"/>
    <w:rsid w:val="0078526A"/>
    <w:rsid w:val="00790479"/>
    <w:rsid w:val="007A7A4C"/>
    <w:rsid w:val="007C1F30"/>
    <w:rsid w:val="007C39D2"/>
    <w:rsid w:val="007C4F62"/>
    <w:rsid w:val="007E05FC"/>
    <w:rsid w:val="007E3E59"/>
    <w:rsid w:val="00807A11"/>
    <w:rsid w:val="00830D36"/>
    <w:rsid w:val="0084428F"/>
    <w:rsid w:val="00860BBB"/>
    <w:rsid w:val="00870146"/>
    <w:rsid w:val="008774DE"/>
    <w:rsid w:val="00882AE3"/>
    <w:rsid w:val="0088767E"/>
    <w:rsid w:val="008A49BF"/>
    <w:rsid w:val="008A6F27"/>
    <w:rsid w:val="008D7023"/>
    <w:rsid w:val="008E5D97"/>
    <w:rsid w:val="008F4884"/>
    <w:rsid w:val="00924F88"/>
    <w:rsid w:val="00927899"/>
    <w:rsid w:val="00927B3A"/>
    <w:rsid w:val="009428D0"/>
    <w:rsid w:val="00942EAB"/>
    <w:rsid w:val="00946D28"/>
    <w:rsid w:val="009541EE"/>
    <w:rsid w:val="0096112E"/>
    <w:rsid w:val="0096318A"/>
    <w:rsid w:val="00965599"/>
    <w:rsid w:val="0099020C"/>
    <w:rsid w:val="009B3A0A"/>
    <w:rsid w:val="009E032E"/>
    <w:rsid w:val="009F6EC6"/>
    <w:rsid w:val="00A20D3C"/>
    <w:rsid w:val="00A32A65"/>
    <w:rsid w:val="00A35B25"/>
    <w:rsid w:val="00A45C1C"/>
    <w:rsid w:val="00A65BB0"/>
    <w:rsid w:val="00A9072B"/>
    <w:rsid w:val="00AA3FA9"/>
    <w:rsid w:val="00AA4FFD"/>
    <w:rsid w:val="00AA5F0B"/>
    <w:rsid w:val="00AB28C1"/>
    <w:rsid w:val="00AD2277"/>
    <w:rsid w:val="00AE5014"/>
    <w:rsid w:val="00B00C39"/>
    <w:rsid w:val="00B05AE0"/>
    <w:rsid w:val="00B14C44"/>
    <w:rsid w:val="00B14CFA"/>
    <w:rsid w:val="00B17B51"/>
    <w:rsid w:val="00B355BC"/>
    <w:rsid w:val="00B444D0"/>
    <w:rsid w:val="00B540CD"/>
    <w:rsid w:val="00B774EF"/>
    <w:rsid w:val="00B8113B"/>
    <w:rsid w:val="00B87BD7"/>
    <w:rsid w:val="00B94693"/>
    <w:rsid w:val="00BA5B52"/>
    <w:rsid w:val="00BB737C"/>
    <w:rsid w:val="00BC3933"/>
    <w:rsid w:val="00BC533A"/>
    <w:rsid w:val="00BD24A4"/>
    <w:rsid w:val="00BE2851"/>
    <w:rsid w:val="00BE5E04"/>
    <w:rsid w:val="00BE7BDF"/>
    <w:rsid w:val="00C00428"/>
    <w:rsid w:val="00C032DA"/>
    <w:rsid w:val="00C11207"/>
    <w:rsid w:val="00C17696"/>
    <w:rsid w:val="00C4337D"/>
    <w:rsid w:val="00C441B1"/>
    <w:rsid w:val="00C46579"/>
    <w:rsid w:val="00C521FC"/>
    <w:rsid w:val="00C60D8B"/>
    <w:rsid w:val="00C62B19"/>
    <w:rsid w:val="00C67A57"/>
    <w:rsid w:val="00C67C58"/>
    <w:rsid w:val="00C9383D"/>
    <w:rsid w:val="00C957E9"/>
    <w:rsid w:val="00C97593"/>
    <w:rsid w:val="00C97EC1"/>
    <w:rsid w:val="00CA0537"/>
    <w:rsid w:val="00CA444D"/>
    <w:rsid w:val="00CB24E1"/>
    <w:rsid w:val="00CB281E"/>
    <w:rsid w:val="00CB6856"/>
    <w:rsid w:val="00CC02D9"/>
    <w:rsid w:val="00CC1D13"/>
    <w:rsid w:val="00CC6D9F"/>
    <w:rsid w:val="00CF7FFE"/>
    <w:rsid w:val="00D00BA5"/>
    <w:rsid w:val="00D01E56"/>
    <w:rsid w:val="00D0734F"/>
    <w:rsid w:val="00D10790"/>
    <w:rsid w:val="00D16BF2"/>
    <w:rsid w:val="00D2474E"/>
    <w:rsid w:val="00D2714F"/>
    <w:rsid w:val="00D345EE"/>
    <w:rsid w:val="00D66BE4"/>
    <w:rsid w:val="00D87593"/>
    <w:rsid w:val="00D90315"/>
    <w:rsid w:val="00DA138D"/>
    <w:rsid w:val="00DA5CA6"/>
    <w:rsid w:val="00DD7C2E"/>
    <w:rsid w:val="00DE55CF"/>
    <w:rsid w:val="00E01D66"/>
    <w:rsid w:val="00E021FA"/>
    <w:rsid w:val="00E10A53"/>
    <w:rsid w:val="00E139D5"/>
    <w:rsid w:val="00E22F30"/>
    <w:rsid w:val="00E33B95"/>
    <w:rsid w:val="00E37274"/>
    <w:rsid w:val="00E37896"/>
    <w:rsid w:val="00E568EA"/>
    <w:rsid w:val="00E66439"/>
    <w:rsid w:val="00E853D7"/>
    <w:rsid w:val="00E87D07"/>
    <w:rsid w:val="00EA1631"/>
    <w:rsid w:val="00EA348F"/>
    <w:rsid w:val="00EA3915"/>
    <w:rsid w:val="00EB169E"/>
    <w:rsid w:val="00EB454E"/>
    <w:rsid w:val="00EC0530"/>
    <w:rsid w:val="00ED0325"/>
    <w:rsid w:val="00ED3CC0"/>
    <w:rsid w:val="00EE66F4"/>
    <w:rsid w:val="00EE7BB0"/>
    <w:rsid w:val="00EF0092"/>
    <w:rsid w:val="00EF5E89"/>
    <w:rsid w:val="00F04D2E"/>
    <w:rsid w:val="00F06737"/>
    <w:rsid w:val="00F3131E"/>
    <w:rsid w:val="00F344A0"/>
    <w:rsid w:val="00F40BB4"/>
    <w:rsid w:val="00F51E4D"/>
    <w:rsid w:val="00F66774"/>
    <w:rsid w:val="00F705F7"/>
    <w:rsid w:val="00F94598"/>
    <w:rsid w:val="00FA77C8"/>
    <w:rsid w:val="00FB09C9"/>
    <w:rsid w:val="00FB7EAA"/>
    <w:rsid w:val="00FC4A28"/>
    <w:rsid w:val="00FD44FE"/>
    <w:rsid w:val="00FE50E3"/>
    <w:rsid w:val="00FF5ABA"/>
    <w:rsid w:val="012E0C10"/>
    <w:rsid w:val="01352857"/>
    <w:rsid w:val="02860405"/>
    <w:rsid w:val="02981E6D"/>
    <w:rsid w:val="02D47B10"/>
    <w:rsid w:val="02DE7008"/>
    <w:rsid w:val="030B67AF"/>
    <w:rsid w:val="03384FB0"/>
    <w:rsid w:val="041557BD"/>
    <w:rsid w:val="04467D92"/>
    <w:rsid w:val="047D3A82"/>
    <w:rsid w:val="05DE61E6"/>
    <w:rsid w:val="06100AE3"/>
    <w:rsid w:val="07F55AA0"/>
    <w:rsid w:val="08407306"/>
    <w:rsid w:val="08704DCE"/>
    <w:rsid w:val="090131A5"/>
    <w:rsid w:val="09FA0DBA"/>
    <w:rsid w:val="0B417F85"/>
    <w:rsid w:val="0CE976D6"/>
    <w:rsid w:val="0CFE7CAA"/>
    <w:rsid w:val="0D1C4FCD"/>
    <w:rsid w:val="0DC3703B"/>
    <w:rsid w:val="0F0942D3"/>
    <w:rsid w:val="0F0C1E58"/>
    <w:rsid w:val="0F2352D5"/>
    <w:rsid w:val="0F5D3EA5"/>
    <w:rsid w:val="0FB66350"/>
    <w:rsid w:val="105A133D"/>
    <w:rsid w:val="106B5714"/>
    <w:rsid w:val="118D718A"/>
    <w:rsid w:val="119D0D03"/>
    <w:rsid w:val="12132AB4"/>
    <w:rsid w:val="12D952A6"/>
    <w:rsid w:val="130A7FA3"/>
    <w:rsid w:val="147F445B"/>
    <w:rsid w:val="14F16235"/>
    <w:rsid w:val="15482B45"/>
    <w:rsid w:val="15FB4E6B"/>
    <w:rsid w:val="15FE745D"/>
    <w:rsid w:val="16701433"/>
    <w:rsid w:val="16981628"/>
    <w:rsid w:val="17E24243"/>
    <w:rsid w:val="187640A8"/>
    <w:rsid w:val="18B61AD2"/>
    <w:rsid w:val="18E65685"/>
    <w:rsid w:val="19316DB3"/>
    <w:rsid w:val="19AE2588"/>
    <w:rsid w:val="1A4C5241"/>
    <w:rsid w:val="1A701625"/>
    <w:rsid w:val="1AC84C3B"/>
    <w:rsid w:val="1AD10211"/>
    <w:rsid w:val="1B2657ED"/>
    <w:rsid w:val="1BF777CD"/>
    <w:rsid w:val="1C154E8C"/>
    <w:rsid w:val="1CDE23A4"/>
    <w:rsid w:val="1CFF6DDD"/>
    <w:rsid w:val="1D44297A"/>
    <w:rsid w:val="1DB26441"/>
    <w:rsid w:val="1E1276F7"/>
    <w:rsid w:val="1E57048B"/>
    <w:rsid w:val="1E677E35"/>
    <w:rsid w:val="1E7F0BF7"/>
    <w:rsid w:val="205D622D"/>
    <w:rsid w:val="209255E1"/>
    <w:rsid w:val="20C22D36"/>
    <w:rsid w:val="210D2494"/>
    <w:rsid w:val="215E2A72"/>
    <w:rsid w:val="21D83ED0"/>
    <w:rsid w:val="2342006F"/>
    <w:rsid w:val="23931E20"/>
    <w:rsid w:val="23DF6E43"/>
    <w:rsid w:val="247A1BE5"/>
    <w:rsid w:val="247C4F23"/>
    <w:rsid w:val="252966FC"/>
    <w:rsid w:val="256E2B55"/>
    <w:rsid w:val="25AC53CD"/>
    <w:rsid w:val="27805B2B"/>
    <w:rsid w:val="28034C6D"/>
    <w:rsid w:val="280542B6"/>
    <w:rsid w:val="28087513"/>
    <w:rsid w:val="28333F5D"/>
    <w:rsid w:val="28491939"/>
    <w:rsid w:val="28555EA8"/>
    <w:rsid w:val="28B86808"/>
    <w:rsid w:val="29484EB4"/>
    <w:rsid w:val="29965A92"/>
    <w:rsid w:val="2A4D1EFE"/>
    <w:rsid w:val="2AAF46DF"/>
    <w:rsid w:val="2AB1519A"/>
    <w:rsid w:val="2ADF135E"/>
    <w:rsid w:val="2BFB3C34"/>
    <w:rsid w:val="2C3A068B"/>
    <w:rsid w:val="2D331DA1"/>
    <w:rsid w:val="2DA96F3B"/>
    <w:rsid w:val="2E040B4A"/>
    <w:rsid w:val="2E13617D"/>
    <w:rsid w:val="2FB04F85"/>
    <w:rsid w:val="305F7543"/>
    <w:rsid w:val="314D45E3"/>
    <w:rsid w:val="31570E00"/>
    <w:rsid w:val="33AA7ED2"/>
    <w:rsid w:val="33EC6C50"/>
    <w:rsid w:val="33FD1556"/>
    <w:rsid w:val="348652FE"/>
    <w:rsid w:val="34A0716B"/>
    <w:rsid w:val="34B174C9"/>
    <w:rsid w:val="356C773A"/>
    <w:rsid w:val="359E30C0"/>
    <w:rsid w:val="35CE6116"/>
    <w:rsid w:val="362F6759"/>
    <w:rsid w:val="370A37E4"/>
    <w:rsid w:val="371551F4"/>
    <w:rsid w:val="37295485"/>
    <w:rsid w:val="37C62806"/>
    <w:rsid w:val="37FA1920"/>
    <w:rsid w:val="383625B0"/>
    <w:rsid w:val="38715AA7"/>
    <w:rsid w:val="38AC39B6"/>
    <w:rsid w:val="38CF5396"/>
    <w:rsid w:val="38E057F5"/>
    <w:rsid w:val="38E5065D"/>
    <w:rsid w:val="38EC29D4"/>
    <w:rsid w:val="391259F7"/>
    <w:rsid w:val="39E49324"/>
    <w:rsid w:val="39E73A96"/>
    <w:rsid w:val="3A3551DB"/>
    <w:rsid w:val="3A6B1783"/>
    <w:rsid w:val="3B773E76"/>
    <w:rsid w:val="3C096970"/>
    <w:rsid w:val="3C9A379E"/>
    <w:rsid w:val="3E3D6A9E"/>
    <w:rsid w:val="3E4E9580"/>
    <w:rsid w:val="3EB07B13"/>
    <w:rsid w:val="3EB97A3C"/>
    <w:rsid w:val="3F101C71"/>
    <w:rsid w:val="404C551E"/>
    <w:rsid w:val="413F1858"/>
    <w:rsid w:val="425D643F"/>
    <w:rsid w:val="43657E5A"/>
    <w:rsid w:val="43C27FD1"/>
    <w:rsid w:val="4402055A"/>
    <w:rsid w:val="44727C49"/>
    <w:rsid w:val="453242DE"/>
    <w:rsid w:val="460F0EFA"/>
    <w:rsid w:val="468E4B7B"/>
    <w:rsid w:val="469A4273"/>
    <w:rsid w:val="47E02444"/>
    <w:rsid w:val="485913CD"/>
    <w:rsid w:val="48B325DE"/>
    <w:rsid w:val="48DC2CCA"/>
    <w:rsid w:val="495A6EFE"/>
    <w:rsid w:val="4968161B"/>
    <w:rsid w:val="49821529"/>
    <w:rsid w:val="49D071C0"/>
    <w:rsid w:val="4A237985"/>
    <w:rsid w:val="4A356A71"/>
    <w:rsid w:val="4AE82F0A"/>
    <w:rsid w:val="4B3F63AB"/>
    <w:rsid w:val="4B6C4D31"/>
    <w:rsid w:val="4B992D10"/>
    <w:rsid w:val="4C5E4704"/>
    <w:rsid w:val="4C9B1D07"/>
    <w:rsid w:val="4CAC2D96"/>
    <w:rsid w:val="4CC373F4"/>
    <w:rsid w:val="4DB87E98"/>
    <w:rsid w:val="4E4C7E5D"/>
    <w:rsid w:val="4E973941"/>
    <w:rsid w:val="4F35469E"/>
    <w:rsid w:val="508507C1"/>
    <w:rsid w:val="522605F8"/>
    <w:rsid w:val="534704F3"/>
    <w:rsid w:val="538057B3"/>
    <w:rsid w:val="5386726D"/>
    <w:rsid w:val="53B35B89"/>
    <w:rsid w:val="54C27A5E"/>
    <w:rsid w:val="550E4DCB"/>
    <w:rsid w:val="55CA58A4"/>
    <w:rsid w:val="572E104E"/>
    <w:rsid w:val="59112C0A"/>
    <w:rsid w:val="59552FB0"/>
    <w:rsid w:val="599305A3"/>
    <w:rsid w:val="5A9A6A9D"/>
    <w:rsid w:val="5B78140B"/>
    <w:rsid w:val="5BE45D53"/>
    <w:rsid w:val="5D4748E1"/>
    <w:rsid w:val="5E196F30"/>
    <w:rsid w:val="5E7E30A3"/>
    <w:rsid w:val="5F3D27BB"/>
    <w:rsid w:val="5F487ACD"/>
    <w:rsid w:val="5F8D039F"/>
    <w:rsid w:val="615A7A68"/>
    <w:rsid w:val="61C04A84"/>
    <w:rsid w:val="62C90629"/>
    <w:rsid w:val="62E52433"/>
    <w:rsid w:val="6314371E"/>
    <w:rsid w:val="653D24AC"/>
    <w:rsid w:val="66265D84"/>
    <w:rsid w:val="66B04968"/>
    <w:rsid w:val="66E945D9"/>
    <w:rsid w:val="66FE5195"/>
    <w:rsid w:val="680D3A18"/>
    <w:rsid w:val="681D13CB"/>
    <w:rsid w:val="694566CE"/>
    <w:rsid w:val="69512551"/>
    <w:rsid w:val="697C50DB"/>
    <w:rsid w:val="6A582B8E"/>
    <w:rsid w:val="6AE74351"/>
    <w:rsid w:val="6B815B5C"/>
    <w:rsid w:val="6D5F2FFF"/>
    <w:rsid w:val="6D9F452A"/>
    <w:rsid w:val="6DC01447"/>
    <w:rsid w:val="6DEF2640"/>
    <w:rsid w:val="6E5A1A0C"/>
    <w:rsid w:val="6F1E053B"/>
    <w:rsid w:val="6F3057A3"/>
    <w:rsid w:val="6FC2083B"/>
    <w:rsid w:val="70287992"/>
    <w:rsid w:val="710110B7"/>
    <w:rsid w:val="71712A6B"/>
    <w:rsid w:val="71D21E98"/>
    <w:rsid w:val="71E23111"/>
    <w:rsid w:val="71F74861"/>
    <w:rsid w:val="71FA00AA"/>
    <w:rsid w:val="7459023C"/>
    <w:rsid w:val="74F44946"/>
    <w:rsid w:val="751C0B8C"/>
    <w:rsid w:val="756A2981"/>
    <w:rsid w:val="757212AF"/>
    <w:rsid w:val="75985912"/>
    <w:rsid w:val="75F7A981"/>
    <w:rsid w:val="763E3C4F"/>
    <w:rsid w:val="76FB0E9F"/>
    <w:rsid w:val="7742399C"/>
    <w:rsid w:val="776D57A0"/>
    <w:rsid w:val="777158AD"/>
    <w:rsid w:val="7956298E"/>
    <w:rsid w:val="796A2F45"/>
    <w:rsid w:val="7BB04763"/>
    <w:rsid w:val="7D0A21A6"/>
    <w:rsid w:val="7D515947"/>
    <w:rsid w:val="7E69197C"/>
    <w:rsid w:val="7EAF180E"/>
    <w:rsid w:val="7ECF7739"/>
    <w:rsid w:val="7EE16DDF"/>
    <w:rsid w:val="7EF42786"/>
    <w:rsid w:val="7EFEF1A3"/>
    <w:rsid w:val="7F3F853C"/>
    <w:rsid w:val="7FBD1C52"/>
    <w:rsid w:val="7FEA3161"/>
    <w:rsid w:val="9EFEEA3E"/>
    <w:rsid w:val="AFF73382"/>
    <w:rsid w:val="B7DFE1A7"/>
    <w:rsid w:val="BDFC33AC"/>
    <w:rsid w:val="D6B19B09"/>
    <w:rsid w:val="DFFEBA34"/>
    <w:rsid w:val="E76DD772"/>
    <w:rsid w:val="F37D6FB1"/>
    <w:rsid w:val="FEF5307F"/>
    <w:rsid w:val="FEF716D3"/>
    <w:rsid w:val="FFAFEFD6"/>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line="360" w:lineRule="auto"/>
      <w:ind w:firstLine="643" w:firstLineChars="200"/>
      <w:outlineLvl w:val="0"/>
    </w:pPr>
    <w:rPr>
      <w:b/>
      <w:bCs/>
      <w:snapToGrid w:val="0"/>
      <w:kern w:val="0"/>
      <w:sz w:val="32"/>
      <w:szCs w:val="44"/>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黑体"/>
      <w:b/>
      <w:sz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autoRedefine/>
    <w:qFormat/>
    <w:uiPriority w:val="0"/>
    <w:pPr>
      <w:ind w:firstLine="420"/>
    </w:pPr>
    <w:rPr>
      <w:szCs w:val="20"/>
    </w:rPr>
  </w:style>
  <w:style w:type="paragraph" w:styleId="5">
    <w:name w:val="annotation text"/>
    <w:basedOn w:val="1"/>
    <w:link w:val="31"/>
    <w:autoRedefine/>
    <w:qFormat/>
    <w:uiPriority w:val="0"/>
    <w:pPr>
      <w:jc w:val="left"/>
    </w:pPr>
  </w:style>
  <w:style w:type="paragraph" w:styleId="6">
    <w:name w:val="Body Text"/>
    <w:basedOn w:val="1"/>
    <w:autoRedefine/>
    <w:qFormat/>
    <w:uiPriority w:val="0"/>
  </w:style>
  <w:style w:type="paragraph" w:styleId="7">
    <w:name w:val="Body Text Indent"/>
    <w:basedOn w:val="1"/>
    <w:qFormat/>
    <w:uiPriority w:val="0"/>
    <w:pPr>
      <w:spacing w:afterLines="0" w:afterAutospacing="0"/>
      <w:ind w:left="420" w:leftChars="200"/>
    </w:pPr>
    <w:rPr>
      <w:rFonts w:ascii="Times New Roman" w:hAnsi="Times New Roman" w:eastAsia="宋体" w:cs="Times New Roman"/>
    </w:rPr>
  </w:style>
  <w:style w:type="paragraph" w:styleId="8">
    <w:name w:val="Body Text Indent 2"/>
    <w:basedOn w:val="1"/>
    <w:autoRedefine/>
    <w:qFormat/>
    <w:uiPriority w:val="0"/>
    <w:pPr>
      <w:spacing w:after="120" w:line="480" w:lineRule="auto"/>
      <w:ind w:left="420" w:leftChars="200"/>
    </w:pPr>
  </w:style>
  <w:style w:type="paragraph" w:styleId="9">
    <w:name w:val="Balloon Text"/>
    <w:basedOn w:val="1"/>
    <w:link w:val="33"/>
    <w:autoRedefine/>
    <w:unhideWhenUsed/>
    <w:qFormat/>
    <w:uiPriority w:val="0"/>
    <w:rPr>
      <w:sz w:val="18"/>
      <w:szCs w:val="18"/>
    </w:rPr>
  </w:style>
  <w:style w:type="paragraph" w:styleId="10">
    <w:name w:val="footer"/>
    <w:basedOn w:val="1"/>
    <w:next w:val="1"/>
    <w:link w:val="39"/>
    <w:autoRedefine/>
    <w:qFormat/>
    <w:uiPriority w:val="99"/>
    <w:pPr>
      <w:tabs>
        <w:tab w:val="center" w:pos="4153"/>
        <w:tab w:val="right" w:pos="8306"/>
      </w:tabs>
      <w:snapToGrid w:val="0"/>
      <w:jc w:val="left"/>
    </w:pPr>
    <w:rPr>
      <w:sz w:val="18"/>
    </w:rPr>
  </w:style>
  <w:style w:type="paragraph" w:styleId="11">
    <w:name w:val="header"/>
    <w:basedOn w:val="1"/>
    <w:link w:val="29"/>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qFormat/>
    <w:uiPriority w:val="0"/>
  </w:style>
  <w:style w:type="paragraph" w:styleId="13">
    <w:name w:val="index heading"/>
    <w:basedOn w:val="1"/>
    <w:next w:val="14"/>
    <w:autoRedefine/>
    <w:qFormat/>
    <w:uiPriority w:val="0"/>
    <w:rPr>
      <w:rFonts w:ascii="Arial" w:hAnsi="Arial"/>
      <w:b/>
    </w:rPr>
  </w:style>
  <w:style w:type="paragraph" w:styleId="14">
    <w:name w:val="index 1"/>
    <w:basedOn w:val="1"/>
    <w:next w:val="1"/>
    <w:autoRedefine/>
    <w:qFormat/>
    <w:uiPriority w:val="99"/>
  </w:style>
  <w:style w:type="paragraph" w:styleId="15">
    <w:name w:val="toc 2"/>
    <w:basedOn w:val="1"/>
    <w:next w:val="1"/>
    <w:autoRedefine/>
    <w:qFormat/>
    <w:uiPriority w:val="0"/>
    <w:pPr>
      <w:ind w:left="420" w:leftChars="200"/>
    </w:pPr>
  </w:style>
  <w:style w:type="paragraph" w:styleId="16">
    <w:name w:val="Normal (Web)"/>
    <w:basedOn w:val="1"/>
    <w:autoRedefine/>
    <w:unhideWhenUsed/>
    <w:qFormat/>
    <w:uiPriority w:val="99"/>
    <w:pPr>
      <w:widowControl/>
      <w:spacing w:before="100" w:beforeAutospacing="1" w:after="100" w:afterAutospacing="1"/>
      <w:jc w:val="left"/>
    </w:pPr>
    <w:rPr>
      <w:rFonts w:ascii="宋体" w:hAnsi="宋体" w:cs="宋体"/>
      <w:kern w:val="0"/>
    </w:rPr>
  </w:style>
  <w:style w:type="paragraph" w:styleId="17">
    <w:name w:val="annotation subject"/>
    <w:basedOn w:val="5"/>
    <w:next w:val="5"/>
    <w:link w:val="30"/>
    <w:autoRedefine/>
    <w:qFormat/>
    <w:uiPriority w:val="0"/>
    <w:rPr>
      <w:b/>
      <w:bCs/>
    </w:rPr>
  </w:style>
  <w:style w:type="paragraph" w:styleId="18">
    <w:name w:val="Body Text First Indent 2"/>
    <w:basedOn w:val="7"/>
    <w:qFormat/>
    <w:uiPriority w:val="0"/>
    <w:pPr>
      <w:ind w:firstLine="420" w:firstLineChars="200"/>
    </w:pPr>
    <w:rPr>
      <w:rFonts w:ascii="Times New Roman" w:hAnsi="Times New Roman" w:eastAsia="宋体" w:cs="Times New Roman"/>
    </w:rPr>
  </w:style>
  <w:style w:type="character" w:styleId="21">
    <w:name w:val="Strong"/>
    <w:basedOn w:val="20"/>
    <w:autoRedefine/>
    <w:qFormat/>
    <w:uiPriority w:val="0"/>
    <w:rPr>
      <w:b/>
    </w:rPr>
  </w:style>
  <w:style w:type="character" w:styleId="22">
    <w:name w:val="page number"/>
    <w:basedOn w:val="20"/>
    <w:autoRedefine/>
    <w:qFormat/>
    <w:uiPriority w:val="0"/>
  </w:style>
  <w:style w:type="character" w:styleId="23">
    <w:name w:val="Emphasis"/>
    <w:basedOn w:val="20"/>
    <w:qFormat/>
    <w:uiPriority w:val="0"/>
    <w:rPr>
      <w:i/>
    </w:rPr>
  </w:style>
  <w:style w:type="character" w:styleId="24">
    <w:name w:val="annotation reference"/>
    <w:autoRedefine/>
    <w:qFormat/>
    <w:uiPriority w:val="0"/>
    <w:rPr>
      <w:sz w:val="21"/>
      <w:szCs w:val="21"/>
    </w:rPr>
  </w:style>
  <w:style w:type="paragraph" w:customStyle="1" w:styleId="25">
    <w:name w:val="BodyTextIndent2"/>
    <w:basedOn w:val="1"/>
    <w:autoRedefine/>
    <w:qFormat/>
    <w:uiPriority w:val="0"/>
    <w:pPr>
      <w:spacing w:line="560" w:lineRule="exact"/>
      <w:ind w:firstLine="552" w:firstLineChars="200"/>
      <w:textAlignment w:val="center"/>
    </w:pPr>
    <w:rPr>
      <w:rFonts w:ascii="宋体" w:hAnsi="Calibri"/>
      <w:color w:val="000000"/>
      <w:spacing w:val="-2"/>
      <w:sz w:val="28"/>
      <w:szCs w:val="28"/>
    </w:rPr>
  </w:style>
  <w:style w:type="paragraph" w:customStyle="1" w:styleId="26">
    <w:name w:val="列出段落1"/>
    <w:basedOn w:val="1"/>
    <w:autoRedefine/>
    <w:qFormat/>
    <w:uiPriority w:val="34"/>
    <w:pPr>
      <w:ind w:firstLine="420" w:firstLineChars="200"/>
    </w:pPr>
  </w:style>
  <w:style w:type="paragraph" w:customStyle="1" w:styleId="27">
    <w:name w:val="WPSOffice手动目录 1"/>
    <w:autoRedefine/>
    <w:qFormat/>
    <w:uiPriority w:val="0"/>
    <w:rPr>
      <w:rFonts w:ascii="Times New Roman" w:hAnsi="Times New Roman" w:eastAsia="宋体" w:cs="Times New Roman"/>
      <w:lang w:val="en-US" w:eastAsia="zh-CN" w:bidi="ar-SA"/>
    </w:rPr>
  </w:style>
  <w:style w:type="paragraph" w:customStyle="1" w:styleId="28">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9">
    <w:name w:val="页眉 字符"/>
    <w:link w:val="11"/>
    <w:autoRedefine/>
    <w:qFormat/>
    <w:uiPriority w:val="0"/>
    <w:rPr>
      <w:rFonts w:ascii="Times New Roman" w:hAnsi="Times New Roman"/>
      <w:kern w:val="2"/>
      <w:sz w:val="18"/>
      <w:szCs w:val="18"/>
    </w:rPr>
  </w:style>
  <w:style w:type="character" w:customStyle="1" w:styleId="30">
    <w:name w:val="批注主题 字符"/>
    <w:link w:val="17"/>
    <w:autoRedefine/>
    <w:qFormat/>
    <w:uiPriority w:val="0"/>
    <w:rPr>
      <w:rFonts w:ascii="Times New Roman" w:hAnsi="Times New Roman"/>
      <w:b/>
      <w:bCs/>
      <w:kern w:val="2"/>
      <w:sz w:val="21"/>
      <w:szCs w:val="24"/>
    </w:rPr>
  </w:style>
  <w:style w:type="character" w:customStyle="1" w:styleId="31">
    <w:name w:val="批注文字 字符"/>
    <w:link w:val="5"/>
    <w:autoRedefine/>
    <w:qFormat/>
    <w:uiPriority w:val="0"/>
    <w:rPr>
      <w:rFonts w:ascii="Times New Roman" w:hAnsi="Times New Roman"/>
      <w:kern w:val="2"/>
      <w:sz w:val="21"/>
      <w:szCs w:val="24"/>
    </w:rPr>
  </w:style>
  <w:style w:type="paragraph" w:customStyle="1" w:styleId="32">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33">
    <w:name w:val="批注框文本 字符"/>
    <w:link w:val="9"/>
    <w:autoRedefine/>
    <w:semiHidden/>
    <w:qFormat/>
    <w:uiPriority w:val="0"/>
    <w:rPr>
      <w:kern w:val="2"/>
      <w:sz w:val="18"/>
      <w:szCs w:val="18"/>
    </w:rPr>
  </w:style>
  <w:style w:type="paragraph" w:customStyle="1" w:styleId="34">
    <w:name w:val="修订1"/>
    <w:autoRedefine/>
    <w:hidden/>
    <w:unhideWhenUsed/>
    <w:qFormat/>
    <w:uiPriority w:val="99"/>
    <w:rPr>
      <w:rFonts w:ascii="Times New Roman" w:hAnsi="Times New Roman" w:eastAsia="宋体" w:cs="Times New Roman"/>
      <w:kern w:val="2"/>
      <w:sz w:val="21"/>
      <w:szCs w:val="24"/>
      <w:lang w:val="en-US" w:eastAsia="zh-CN" w:bidi="ar-SA"/>
    </w:rPr>
  </w:style>
  <w:style w:type="paragraph" w:styleId="35">
    <w:name w:val="List Paragraph"/>
    <w:basedOn w:val="1"/>
    <w:autoRedefine/>
    <w:qFormat/>
    <w:uiPriority w:val="34"/>
    <w:pPr>
      <w:ind w:firstLine="420" w:firstLineChars="200"/>
    </w:pPr>
  </w:style>
  <w:style w:type="character" w:customStyle="1" w:styleId="36">
    <w:name w:val="font31"/>
    <w:basedOn w:val="20"/>
    <w:qFormat/>
    <w:uiPriority w:val="0"/>
    <w:rPr>
      <w:rFonts w:hint="eastAsia" w:ascii="宋体" w:hAnsi="宋体" w:eastAsia="宋体" w:cs="宋体"/>
      <w:color w:val="000000"/>
      <w:sz w:val="20"/>
      <w:szCs w:val="20"/>
      <w:u w:val="none"/>
    </w:rPr>
  </w:style>
  <w:style w:type="character" w:customStyle="1" w:styleId="37">
    <w:name w:val="font41"/>
    <w:basedOn w:val="20"/>
    <w:qFormat/>
    <w:uiPriority w:val="0"/>
    <w:rPr>
      <w:rFonts w:ascii="Arial" w:hAnsi="Arial" w:cs="Arial"/>
      <w:color w:val="000000"/>
      <w:sz w:val="20"/>
      <w:szCs w:val="20"/>
      <w:u w:val="none"/>
    </w:rPr>
  </w:style>
  <w:style w:type="paragraph" w:customStyle="1" w:styleId="3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39">
    <w:name w:val="页脚 字符"/>
    <w:basedOn w:val="20"/>
    <w:link w:val="10"/>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9202</Words>
  <Characters>9529</Characters>
  <Lines>86</Lines>
  <Paragraphs>24</Paragraphs>
  <TotalTime>20</TotalTime>
  <ScaleCrop>false</ScaleCrop>
  <LinksUpToDate>false</LinksUpToDate>
  <CharactersWithSpaces>9531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2021-05-12T06:38:00Z</dcterms:created>
  <dc:creator>Administrator</dc:creator>
  <cp:lastModifiedBy>LW</cp:lastModifiedBy>
  <cp:lastPrinted>2024-05-30T01:14:00Z</cp:lastPrinted>
  <dcterms:modified xsi:type="dcterms:W3CDTF">2025-08-25T09:01:16Z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FD16680D418849D091C81E23A86B4858_13</vt:lpwstr>
  </property>
  <property fmtid="{D5CDD505-2E9C-101B-9397-08002B2CF9AE}" pid="4" name="KSOTemplateDocerSaveRecord">
    <vt:lpwstr>eyJoZGlkIjoiZDk4YzFjZjIwYTQ3NTc4OWE3YjkyODNmODA1ZTVkMzEiLCJ1c2VySWQiOiIyNjc0ODY2NDIifQ==</vt:lpwstr>
  </property>
</Properties>
</file>