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hint="eastAsia" w:ascii="方正小标宋简体" w:eastAsia="方正小标宋简体"/>
          <w:sz w:val="44"/>
          <w:szCs w:val="44"/>
        </w:rPr>
      </w:pPr>
      <w:r>
        <w:rPr>
          <w:rFonts w:hint="eastAsia" w:ascii="方正小标宋简体" w:eastAsia="方正小标宋简体"/>
          <w:sz w:val="44"/>
          <w:szCs w:val="44"/>
        </w:rPr>
        <w:t>部门整体绩效</w:t>
      </w:r>
      <w:r>
        <w:rPr>
          <w:rFonts w:hint="eastAsia" w:ascii="方正小标宋简体" w:eastAsia="方正小标宋简体"/>
          <w:sz w:val="44"/>
          <w:szCs w:val="44"/>
          <w:lang w:eastAsia="zh-CN"/>
        </w:rPr>
        <w:t>评价</w:t>
      </w:r>
      <w:r>
        <w:rPr>
          <w:rFonts w:hint="eastAsia" w:ascii="方正小标宋简体" w:eastAsia="方正小标宋简体"/>
          <w:sz w:val="44"/>
          <w:szCs w:val="44"/>
        </w:rPr>
        <w:t>报告</w:t>
      </w:r>
    </w:p>
    <w:p>
      <w:pPr>
        <w:jc w:val="center"/>
        <w:rPr>
          <w:rFonts w:ascii="仿宋_GB2312"/>
          <w:szCs w:val="30"/>
        </w:rPr>
      </w:pPr>
    </w:p>
    <w:p>
      <w:pPr>
        <w:spacing w:line="600" w:lineRule="exact"/>
        <w:ind w:firstLine="640" w:firstLineChars="200"/>
        <w:outlineLvl w:val="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outlineLvl w:val="1"/>
        <w:rPr>
          <w:rFonts w:hint="eastAsia" w:ascii="楷体_GB2312" w:eastAsia="楷体_GB2312"/>
          <w:sz w:val="32"/>
          <w:szCs w:val="32"/>
        </w:rPr>
      </w:pPr>
      <w:r>
        <w:rPr>
          <w:rFonts w:hint="eastAsia" w:ascii="楷体_GB2312" w:eastAsia="楷体_GB2312"/>
          <w:sz w:val="32"/>
          <w:szCs w:val="32"/>
        </w:rPr>
        <w:t>（一）机构设置及职责工作任务情况</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机构设置</w:t>
      </w:r>
    </w:p>
    <w:p>
      <w:pPr>
        <w:spacing w:line="600" w:lineRule="exact"/>
        <w:ind w:firstLine="64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共中央、国务院批准的北京市人民政府机构改革方案和《北京市人民政府关于机构设置的通知》(京政发〔2009〕2号)，设立北京市园林绿化局，挂首都绿化委员会办公室牌子。北京市园林绿化局(首都绿化委员会办公室)是负责本市园林绿化工作的市政府直属机构。首都绿化委员会办公室内设2个处室，分别为联络处和义务植树处。</w:t>
      </w:r>
    </w:p>
    <w:p>
      <w:pPr>
        <w:spacing w:line="600" w:lineRule="exact"/>
        <w:ind w:firstLine="64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年纳入本部门决算汇编的独立核算单位共1个，</w:t>
      </w:r>
      <w:r>
        <w:rPr>
          <w:rFonts w:hint="eastAsia" w:ascii="仿宋_GB2312" w:hAnsi="仿宋_GB2312" w:eastAsia="仿宋_GB2312" w:cs="仿宋_GB2312"/>
          <w:sz w:val="32"/>
          <w:szCs w:val="32"/>
          <w:lang w:val="en-US" w:eastAsia="zh-CN"/>
        </w:rPr>
        <w:t>与上年一致</w:t>
      </w:r>
      <w:r>
        <w:rPr>
          <w:rFonts w:hint="eastAsia" w:ascii="仿宋_GB2312" w:hAnsi="仿宋_GB2312" w:eastAsia="仿宋_GB2312" w:cs="仿宋_GB2312"/>
          <w:sz w:val="32"/>
          <w:szCs w:val="32"/>
        </w:rPr>
        <w:t>。</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职责工作任务</w:t>
      </w:r>
    </w:p>
    <w:p>
      <w:pPr>
        <w:spacing w:line="600" w:lineRule="exact"/>
        <w:ind w:firstLine="64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负责首都全民义务植树活动的宣传发动、组织协调、监督检查和评比表彰工作。承担首都绿化委员会的具体工作。</w:t>
      </w:r>
    </w:p>
    <w:p>
      <w:pPr>
        <w:spacing w:line="600" w:lineRule="exact"/>
        <w:ind w:firstLine="64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组织编制首都绿化美化年度计划。组织协调中直机关、中央国家机关、解放军、武警部队等驻京单位和社会其他组织、国际友人等义务植树活动。组织协调有关单位开展绿化工作和对外交流及相关联络工作。协调开展绿化美化宣传。组织开展首都绿化美化和义务植树工作。组织本市公益性绿地、林地和树木的认建认养工作。承担纪念林监督管理工作。组织开展绿化美化检查验收和评比表彰。组织开展群众性绿化美化创建工作。负责古树名木保护管理工作。</w:t>
      </w:r>
    </w:p>
    <w:p>
      <w:pPr>
        <w:spacing w:line="600" w:lineRule="exact"/>
        <w:ind w:firstLine="640" w:firstLineChars="200"/>
        <w:outlineLvl w:val="1"/>
        <w:rPr>
          <w:rFonts w:hint="eastAsia" w:ascii="楷体_GB2312" w:eastAsia="楷体_GB2312"/>
          <w:sz w:val="32"/>
          <w:szCs w:val="32"/>
        </w:rPr>
      </w:pPr>
      <w:r>
        <w:rPr>
          <w:rFonts w:hint="eastAsia" w:ascii="楷体_GB2312" w:eastAsia="楷体_GB2312"/>
          <w:sz w:val="32"/>
          <w:szCs w:val="32"/>
        </w:rPr>
        <w:t>（二）部门整体绩效目标设立情况</w:t>
      </w:r>
    </w:p>
    <w:p>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充分利用好“北京市古树名木保护智慧管理系统”做好日常巡查检查，构建首都古树名木数字博物馆基础框架</w:t>
      </w:r>
      <w:r>
        <w:rPr>
          <w:rFonts w:hint="eastAsia" w:ascii="仿宋_GB2312" w:hAnsi="仿宋_GB2312" w:eastAsia="仿宋_GB2312" w:cs="仿宋_GB2312"/>
          <w:sz w:val="32"/>
          <w:szCs w:val="32"/>
          <w:highlight w:val="none"/>
          <w:lang w:eastAsia="zh-CN"/>
        </w:rPr>
        <w:t>等</w:t>
      </w:r>
      <w:r>
        <w:rPr>
          <w:rFonts w:hint="eastAsia" w:ascii="仿宋_GB2312" w:hAnsi="仿宋_GB2312" w:eastAsia="仿宋_GB2312" w:cs="仿宋_GB2312"/>
          <w:sz w:val="32"/>
          <w:szCs w:val="32"/>
          <w:highlight w:val="none"/>
        </w:rPr>
        <w:t>。持续压紧压实市、区、乡镇（街道）、管护责任单位（责任人）四级保护管护责任，提高问题响应速度，推进问题整改效率。</w:t>
      </w:r>
    </w:p>
    <w:p>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城市公共绿色空间为载体，吸引国内外优质企业及市民群众共同参与，通过“共商、共建、共享”的方式，进行园艺共建，使市民群众充分参与到首都绿化美化事业中，接触最新的园艺艺术和理念，提升生态园艺文化素养，探索身边生态之美，体会花园与家、生活的紧密联系，不断增强市民的绿色获得感、幸福感、安全感。</w:t>
      </w:r>
      <w:r>
        <w:rPr>
          <w:rFonts w:hint="eastAsia" w:ascii="仿宋_GB2312" w:hAnsi="仿宋_GB2312" w:eastAsia="仿宋_GB2312" w:cs="仿宋_GB2312"/>
          <w:sz w:val="32"/>
          <w:szCs w:val="32"/>
          <w:highlight w:val="none"/>
          <w:lang w:eastAsia="zh-CN"/>
        </w:rPr>
        <w:t>服务好驻首都地区各单位部门的</w:t>
      </w:r>
      <w:r>
        <w:rPr>
          <w:rFonts w:hint="eastAsia" w:ascii="仿宋_GB2312" w:hAnsi="仿宋_GB2312" w:eastAsia="仿宋_GB2312" w:cs="仿宋_GB2312"/>
          <w:sz w:val="32"/>
          <w:szCs w:val="32"/>
          <w:highlight w:val="none"/>
        </w:rPr>
        <w:t>绿化美化养护管理方面</w:t>
      </w:r>
      <w:r>
        <w:rPr>
          <w:rFonts w:hint="eastAsia" w:ascii="仿宋_GB2312" w:hAnsi="仿宋_GB2312" w:eastAsia="仿宋_GB2312" w:cs="仿宋_GB2312"/>
          <w:sz w:val="32"/>
          <w:szCs w:val="32"/>
          <w:highlight w:val="none"/>
          <w:lang w:eastAsia="zh-CN"/>
        </w:rPr>
        <w:t>需求</w:t>
      </w:r>
      <w:r>
        <w:rPr>
          <w:rFonts w:hint="eastAsia" w:ascii="仿宋_GB2312" w:hAnsi="仿宋_GB2312" w:eastAsia="仿宋_GB2312" w:cs="仿宋_GB2312"/>
          <w:sz w:val="32"/>
          <w:szCs w:val="32"/>
          <w:highlight w:val="none"/>
        </w:rPr>
        <w:t>。推动绿化美化群众参与花园式创建工作，全面提升相应街道、社区和单位的生态功能，丰富植物多样性、提高景观质量，进一步优化完善景观效果，改善微气候环境功能，巩固发展城市绿化成果，更好更充分发挥园林防风降噪滞尘、涵养水土、增氧固碳及改善空气质量等综合生态功能。</w:t>
      </w:r>
    </w:p>
    <w:p>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围绕首都全民义务植树、城市森林创建等重点工作，进行首都绿化美化主题宣传。</w:t>
      </w:r>
    </w:p>
    <w:p>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广泛动员社会各界履行植树义务</w:t>
      </w:r>
      <w:r>
        <w:rPr>
          <w:rFonts w:hint="eastAsia" w:ascii="仿宋_GB2312" w:hAnsi="仿宋_GB2312" w:eastAsia="仿宋_GB2312" w:cs="仿宋_GB2312"/>
          <w:sz w:val="32"/>
          <w:szCs w:val="32"/>
          <w:highlight w:val="none"/>
          <w:lang w:val="en-US" w:eastAsia="zh-CN"/>
        </w:rPr>
        <w:t>,通过开展春植夏认秋抚冬防系列义务植树尽责活动,进一步提升义务植树保障水平</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以首善标准服务保障好重大活动</w:t>
      </w:r>
      <w:r>
        <w:rPr>
          <w:rFonts w:hint="eastAsia" w:ascii="仿宋_GB2312" w:hAnsi="仿宋_GB2312" w:eastAsia="仿宋_GB2312" w:cs="仿宋_GB2312"/>
          <w:sz w:val="32"/>
          <w:szCs w:val="32"/>
          <w:highlight w:val="none"/>
        </w:rPr>
        <w:t>。形成传统基地升级“互联网+全民义务植树”基地可复制、可推广的模式，对国市级基地运维和活动进行补助，对拟创建花园式社区和首都森林村庄的单位补助市花月季和乡土植物,进一步提高绿化美化水平，助力社区建设乡村振兴。整体上加强义务植树工作和花园城市建设工作宣传，通过指导社区居民参与尽责活动提高群众性绿化美化创建工作，提高花园城市建设公众参与。</w:t>
      </w:r>
    </w:p>
    <w:p>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全面加强首都地区生态文明建设，推广园艺文化，使更多的社会组织和公众理解体会生态文明建设的重要性。协同30家首都生态文明宣传教育基地组织和开展全年不少于100场首都市民生态体验活动，</w:t>
      </w:r>
      <w:r>
        <w:rPr>
          <w:rFonts w:hint="eastAsia" w:ascii="仿宋_GB2312" w:hAnsi="仿宋_GB2312" w:eastAsia="仿宋_GB2312" w:cs="仿宋_GB2312"/>
          <w:sz w:val="32"/>
          <w:szCs w:val="32"/>
          <w:highlight w:val="none"/>
          <w:lang w:eastAsia="zh-CN"/>
        </w:rPr>
        <w:t>积极</w:t>
      </w:r>
      <w:r>
        <w:rPr>
          <w:rFonts w:hint="eastAsia" w:ascii="仿宋_GB2312" w:hAnsi="仿宋_GB2312" w:eastAsia="仿宋_GB2312" w:cs="仿宋_GB2312"/>
          <w:sz w:val="32"/>
          <w:szCs w:val="32"/>
          <w:highlight w:val="none"/>
        </w:rPr>
        <w:t>组织开展基地交流活动，组织生态园宇宙生态导览路线研讨会，完成以生态园宇宙为主题的北京市生态导览路线形象设计；征集不少于6000幅自然笔记作品，并完成图书出版，打造3个自然笔记特色示范区，并进行交流展出；开展园艺风采大赛社区沙龙讲座32场，针对市民征集园艺作品不少于2000份，并进行园艺风采评审颁奖；开展3场生态礼物推广交流会，打造3个以生态园宇宙为特色的北京生态礼物推广区；对首都园艺驿站活动进行跟踪拍摄，形成影响素材记录，并开展3场园艺驿站交流会。</w:t>
      </w:r>
    </w:p>
    <w:p>
      <w:pPr>
        <w:spacing w:line="600" w:lineRule="exact"/>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hint="eastAsia" w:ascii="仿宋_GB2312" w:hAnsi="宋体" w:eastAsia="仿宋_GB2312" w:cs="仿宋_GB2312"/>
          <w:i w:val="0"/>
          <w:iCs w:val="0"/>
          <w:color w:val="auto"/>
          <w:kern w:val="0"/>
          <w:sz w:val="32"/>
          <w:szCs w:val="32"/>
          <w:highlight w:val="none"/>
          <w:u w:val="none"/>
          <w:lang w:val="en-US" w:eastAsia="zh-CN" w:bidi="ar"/>
        </w:rPr>
      </w:pPr>
      <w:r>
        <w:rPr>
          <w:rFonts w:hint="eastAsia"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4</w:t>
      </w:r>
      <w:r>
        <w:rPr>
          <w:rFonts w:hint="eastAsia" w:ascii="仿宋_GB2312" w:hAnsi="宋体" w:eastAsia="仿宋_GB2312" w:cs="宋体"/>
          <w:color w:val="000000"/>
          <w:kern w:val="0"/>
          <w:sz w:val="32"/>
          <w:szCs w:val="32"/>
          <w:highlight w:val="none"/>
        </w:rPr>
        <w:t>年</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highlight w:val="none"/>
        </w:rPr>
        <w:t>预算数</w:t>
      </w:r>
      <w:r>
        <w:rPr>
          <w:rFonts w:hint="eastAsia" w:ascii="仿宋_GB2312" w:hAnsi="仿宋" w:eastAsia="仿宋_GB2312"/>
          <w:sz w:val="32"/>
          <w:szCs w:val="32"/>
          <w:highlight w:val="none"/>
        </w:rPr>
        <w:t>4,950.86万</w:t>
      </w:r>
      <w:r>
        <w:rPr>
          <w:rFonts w:hint="eastAsia" w:ascii="仿宋_GB2312" w:hAnsi="宋体" w:eastAsia="仿宋_GB2312" w:cs="宋体"/>
          <w:color w:val="000000"/>
          <w:kern w:val="0"/>
          <w:sz w:val="32"/>
          <w:szCs w:val="32"/>
          <w:highlight w:val="none"/>
        </w:rPr>
        <w:t>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rPr>
        <w:t>支出</w:t>
      </w:r>
      <w:r>
        <w:rPr>
          <w:rFonts w:ascii="仿宋_GB2312" w:hAnsi="宋体" w:eastAsia="仿宋_GB2312" w:cs="宋体"/>
          <w:color w:val="000000"/>
          <w:kern w:val="0"/>
          <w:sz w:val="32"/>
          <w:szCs w:val="32"/>
          <w:highlight w:val="none"/>
        </w:rPr>
        <w:t>预算数</w:t>
      </w:r>
      <w:r>
        <w:rPr>
          <w:rFonts w:hint="eastAsia" w:ascii="仿宋_GB2312" w:hAnsi="仿宋" w:eastAsia="仿宋_GB2312"/>
          <w:sz w:val="32"/>
          <w:szCs w:val="32"/>
          <w:highlight w:val="none"/>
          <w:lang w:val="en-US" w:eastAsia="zh-CN"/>
        </w:rPr>
        <w:t>953.75</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项目支出预算数</w:t>
      </w:r>
      <w:r>
        <w:rPr>
          <w:rFonts w:hint="eastAsia" w:ascii="仿宋_GB2312" w:hAnsi="仿宋" w:eastAsia="仿宋_GB2312"/>
          <w:sz w:val="32"/>
          <w:szCs w:val="32"/>
          <w:highlight w:val="none"/>
        </w:rPr>
        <w:t>3,997.11</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资金总体</w:t>
      </w:r>
      <w:r>
        <w:rPr>
          <w:rFonts w:hint="eastAsia" w:ascii="仿宋_GB2312" w:hAnsi="宋体" w:eastAsia="仿宋_GB2312" w:cs="宋体"/>
          <w:color w:val="000000"/>
          <w:kern w:val="0"/>
          <w:sz w:val="32"/>
          <w:szCs w:val="32"/>
          <w:highlight w:val="none"/>
        </w:rPr>
        <w:t>支出</w:t>
      </w:r>
      <w:r>
        <w:rPr>
          <w:rFonts w:hint="eastAsia" w:ascii="仿宋_GB2312" w:hAnsi="仿宋" w:eastAsia="仿宋_GB2312"/>
          <w:sz w:val="32"/>
          <w:szCs w:val="32"/>
          <w:highlight w:val="none"/>
        </w:rPr>
        <w:t>4,685.79</w:t>
      </w:r>
      <w:r>
        <w:rPr>
          <w:rFonts w:ascii="仿宋_GB2312" w:hAnsi="宋体" w:eastAsia="仿宋_GB2312" w:cs="宋体"/>
          <w:color w:val="000000"/>
          <w:kern w:val="0"/>
          <w:sz w:val="32"/>
          <w:szCs w:val="32"/>
          <w:highlight w:val="none"/>
        </w:rPr>
        <w:t>万元，其中，基本支出</w:t>
      </w:r>
      <w:r>
        <w:rPr>
          <w:rFonts w:hint="eastAsia" w:ascii="仿宋_GB2312" w:hAnsi="仿宋" w:eastAsia="仿宋_GB2312"/>
          <w:sz w:val="32"/>
          <w:szCs w:val="32"/>
          <w:highlight w:val="none"/>
        </w:rPr>
        <w:t>896.70</w:t>
      </w:r>
      <w:r>
        <w:rPr>
          <w:rFonts w:ascii="仿宋_GB2312" w:hAnsi="宋体" w:eastAsia="仿宋_GB2312" w:cs="宋体"/>
          <w:color w:val="000000"/>
          <w:kern w:val="0"/>
          <w:sz w:val="32"/>
          <w:szCs w:val="32"/>
          <w:highlight w:val="none"/>
        </w:rPr>
        <w:t>万元，项目</w:t>
      </w:r>
      <w:r>
        <w:rPr>
          <w:rFonts w:hint="eastAsia" w:ascii="仿宋_GB2312" w:hAnsi="宋体" w:eastAsia="仿宋_GB2312" w:cs="宋体"/>
          <w:color w:val="000000"/>
          <w:kern w:val="0"/>
          <w:sz w:val="32"/>
          <w:szCs w:val="32"/>
          <w:highlight w:val="none"/>
        </w:rPr>
        <w:t>支出</w:t>
      </w:r>
      <w:r>
        <w:rPr>
          <w:rFonts w:hint="eastAsia" w:ascii="仿宋_GB2312" w:hAnsi="仿宋" w:eastAsia="仿宋_GB2312"/>
          <w:sz w:val="32"/>
          <w:szCs w:val="32"/>
          <w:highlight w:val="none"/>
        </w:rPr>
        <w:t>3,789.09</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lang w:val="en-US" w:eastAsia="zh-CN"/>
        </w:rPr>
        <w:t>94.65%，</w:t>
      </w:r>
      <w:r>
        <w:rPr>
          <w:rFonts w:hint="eastAsia" w:ascii="仿宋_GB2312" w:hAnsi="宋体" w:eastAsia="仿宋_GB2312" w:cs="宋体"/>
          <w:color w:val="auto"/>
          <w:kern w:val="0"/>
          <w:sz w:val="32"/>
          <w:szCs w:val="32"/>
          <w:highlight w:val="none"/>
          <w:lang w:val="en-US" w:eastAsia="zh-CN"/>
        </w:rPr>
        <w:t>主要原</w:t>
      </w:r>
      <w:r>
        <w:rPr>
          <w:rFonts w:hint="eastAsia" w:ascii="仿宋_GB2312" w:hAnsi="宋体" w:eastAsia="仿宋_GB2312" w:cs="仿宋_GB2312"/>
          <w:i w:val="0"/>
          <w:iCs w:val="0"/>
          <w:color w:val="auto"/>
          <w:kern w:val="0"/>
          <w:sz w:val="32"/>
          <w:szCs w:val="32"/>
          <w:highlight w:val="none"/>
          <w:u w:val="none"/>
          <w:lang w:val="en-US" w:eastAsia="zh-CN" w:bidi="ar"/>
        </w:rPr>
        <w:t>因为</w:t>
      </w:r>
      <w:r>
        <w:rPr>
          <w:rFonts w:hint="eastAsia" w:ascii="仿宋_GB2312" w:eastAsia="仿宋_GB2312"/>
          <w:color w:val="auto"/>
          <w:sz w:val="32"/>
          <w:szCs w:val="32"/>
          <w:highlight w:val="none"/>
          <w:lang w:eastAsia="zh-CN"/>
        </w:rPr>
        <w:t>年度</w:t>
      </w:r>
      <w:r>
        <w:rPr>
          <w:rFonts w:hint="eastAsia" w:ascii="仿宋_GB2312" w:hAnsi="Times New Roman" w:eastAsia="仿宋_GB2312" w:cs="Times New Roman"/>
          <w:color w:val="auto"/>
          <w:kern w:val="2"/>
          <w:sz w:val="32"/>
          <w:szCs w:val="32"/>
          <w:highlight w:val="none"/>
          <w:lang w:val="en-US" w:eastAsia="zh-CN" w:bidi="ar"/>
        </w:rPr>
        <w:t>部分业务工作调整，少量项目未实施。</w:t>
      </w:r>
    </w:p>
    <w:p>
      <w:pPr>
        <w:spacing w:line="600" w:lineRule="exact"/>
        <w:ind w:left="105" w:leftChars="50" w:firstLine="480" w:firstLineChars="15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outlineLvl w:val="1"/>
        <w:rPr>
          <w:rFonts w:ascii="楷体_GB2312" w:eastAsia="楷体_GB2312"/>
          <w:sz w:val="32"/>
          <w:szCs w:val="32"/>
        </w:rPr>
      </w:pPr>
      <w:r>
        <w:rPr>
          <w:rFonts w:hint="eastAsia" w:ascii="楷体_GB2312" w:eastAsia="楷体_GB2312"/>
          <w:sz w:val="32"/>
          <w:szCs w:val="32"/>
        </w:rPr>
        <w:t>（一）产出完成情况分析</w:t>
      </w:r>
    </w:p>
    <w:p>
      <w:pPr>
        <w:spacing w:line="600" w:lineRule="exact"/>
        <w:ind w:firstLine="640" w:firstLineChars="200"/>
        <w:outlineLvl w:val="2"/>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rPr>
        <w:t>1.产出</w:t>
      </w:r>
      <w:r>
        <w:rPr>
          <w:rFonts w:hint="eastAsia" w:ascii="仿宋_GB2312" w:hAnsi="宋体" w:eastAsia="仿宋_GB2312" w:cs="宋体"/>
          <w:color w:val="000000"/>
          <w:kern w:val="0"/>
          <w:sz w:val="32"/>
          <w:szCs w:val="32"/>
          <w:highlight w:val="none"/>
          <w:lang w:eastAsia="zh-CN"/>
        </w:rPr>
        <w:t>数量</w:t>
      </w:r>
      <w:r>
        <w:rPr>
          <w:rFonts w:hint="eastAsia" w:ascii="仿宋_GB2312" w:hAnsi="宋体" w:eastAsia="仿宋_GB2312" w:cs="宋体"/>
          <w:color w:val="000000"/>
          <w:kern w:val="0"/>
          <w:sz w:val="32"/>
          <w:szCs w:val="32"/>
          <w:highlight w:val="none"/>
          <w:lang w:val="en-US" w:eastAsia="zh-CN"/>
        </w:rPr>
        <w:t>：</w:t>
      </w:r>
    </w:p>
    <w:p>
      <w:pPr>
        <w:spacing w:line="600" w:lineRule="exact"/>
        <w:ind w:firstLine="640" w:firstLineChars="20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首都生态文明宣传教育活动共开展生态文明宣教活动100场；优选5条生态路线；征集自然笔记作品10000份；出版书集1册；完成北京生态礼物推广区3个。</w:t>
      </w:r>
    </w:p>
    <w:p>
      <w:pPr>
        <w:pStyle w:val="2"/>
        <w:rPr>
          <w:rFonts w:hint="default" w:ascii="仿宋_GB2312" w:hAnsi="宋体" w:eastAsia="仿宋_GB2312" w:cs="宋体"/>
          <w:color w:val="000000"/>
          <w:kern w:val="0"/>
          <w:sz w:val="32"/>
          <w:szCs w:val="32"/>
          <w:highlight w:val="none"/>
          <w:lang w:val="en-US" w:eastAsia="zh-CN" w:bidi="ar-SA"/>
        </w:rPr>
      </w:pPr>
      <w:r>
        <w:rPr>
          <w:rFonts w:hint="default" w:ascii="仿宋_GB2312" w:hAnsi="宋体" w:eastAsia="仿宋_GB2312" w:cs="宋体"/>
          <w:color w:val="000000"/>
          <w:kern w:val="0"/>
          <w:sz w:val="32"/>
          <w:szCs w:val="32"/>
          <w:highlight w:val="none"/>
          <w:lang w:val="en-US" w:eastAsia="zh-CN" w:bidi="ar-SA"/>
        </w:rPr>
        <w:t>“首都全民义务植树</w:t>
      </w:r>
      <w:r>
        <w:rPr>
          <w:rFonts w:hint="eastAsia" w:ascii="仿宋_GB2312" w:hAnsi="宋体" w:eastAsia="仿宋_GB2312" w:cs="宋体"/>
          <w:color w:val="000000"/>
          <w:kern w:val="0"/>
          <w:sz w:val="32"/>
          <w:szCs w:val="32"/>
          <w:highlight w:val="none"/>
          <w:lang w:val="en-US" w:eastAsia="zh-CN" w:bidi="ar-SA"/>
        </w:rPr>
        <w:t>”</w:t>
      </w:r>
      <w:r>
        <w:rPr>
          <w:rFonts w:hint="default" w:ascii="仿宋_GB2312" w:hAnsi="宋体" w:eastAsia="仿宋_GB2312" w:cs="宋体"/>
          <w:color w:val="000000"/>
          <w:kern w:val="0"/>
          <w:sz w:val="32"/>
          <w:szCs w:val="32"/>
          <w:highlight w:val="none"/>
          <w:lang w:val="en-US" w:eastAsia="zh-CN" w:bidi="ar-SA"/>
        </w:rPr>
        <w:t>微信公众号完成制作和发布合格稿件874篇。</w:t>
      </w:r>
      <w:r>
        <w:rPr>
          <w:rFonts w:hint="default" w:ascii="仿宋_GB2312" w:hAnsi="宋体" w:eastAsia="仿宋_GB2312" w:cs="宋体"/>
          <w:color w:val="000000"/>
          <w:kern w:val="0"/>
          <w:sz w:val="32"/>
          <w:szCs w:val="32"/>
          <w:highlight w:val="none"/>
          <w:lang w:val="en-US" w:eastAsia="zh-CN"/>
        </w:rPr>
        <w:t>传统义务植树基地升级互联网+全民义务植树基地试点：帮助传统基地开展新型义务植树尽责接待活动12场次；尽责接待人数1000</w:t>
      </w:r>
      <w:r>
        <w:rPr>
          <w:rFonts w:hint="eastAsia" w:ascii="仿宋_GB2312" w:hAnsi="宋体" w:eastAsia="仿宋_GB2312" w:cs="宋体"/>
          <w:color w:val="000000"/>
          <w:kern w:val="0"/>
          <w:sz w:val="32"/>
          <w:szCs w:val="32"/>
          <w:highlight w:val="none"/>
          <w:lang w:val="en-US" w:eastAsia="zh-CN"/>
        </w:rPr>
        <w:t>余</w:t>
      </w:r>
      <w:r>
        <w:rPr>
          <w:rFonts w:hint="default" w:ascii="仿宋_GB2312" w:hAnsi="宋体" w:eastAsia="仿宋_GB2312" w:cs="宋体"/>
          <w:color w:val="000000"/>
          <w:kern w:val="0"/>
          <w:sz w:val="32"/>
          <w:szCs w:val="32"/>
          <w:highlight w:val="none"/>
          <w:lang w:val="en-US" w:eastAsia="zh-CN"/>
        </w:rPr>
        <w:t>人次；抚育树木3000株</w:t>
      </w:r>
      <w:r>
        <w:rPr>
          <w:rFonts w:hint="eastAsia" w:ascii="仿宋_GB2312" w:hAnsi="宋体" w:eastAsia="仿宋_GB2312" w:cs="宋体"/>
          <w:color w:val="000000"/>
          <w:kern w:val="0"/>
          <w:sz w:val="32"/>
          <w:szCs w:val="32"/>
          <w:highlight w:val="none"/>
          <w:lang w:val="en-US" w:eastAsia="zh-CN"/>
        </w:rPr>
        <w:t>；</w:t>
      </w:r>
      <w:r>
        <w:rPr>
          <w:rFonts w:hint="default" w:ascii="仿宋_GB2312" w:hAnsi="宋体" w:eastAsia="仿宋_GB2312" w:cs="宋体"/>
          <w:color w:val="000000"/>
          <w:kern w:val="0"/>
          <w:sz w:val="32"/>
          <w:szCs w:val="32"/>
          <w:highlight w:val="none"/>
          <w:lang w:val="en-US" w:eastAsia="zh-CN"/>
        </w:rPr>
        <w:t>保洁绿地30亩</w:t>
      </w:r>
      <w:r>
        <w:rPr>
          <w:rFonts w:hint="eastAsia" w:ascii="仿宋_GB2312" w:hAnsi="宋体" w:eastAsia="仿宋_GB2312" w:cs="宋体"/>
          <w:color w:val="000000"/>
          <w:kern w:val="0"/>
          <w:sz w:val="32"/>
          <w:szCs w:val="32"/>
          <w:highlight w:val="none"/>
          <w:lang w:val="en-US" w:eastAsia="zh-CN"/>
        </w:rPr>
        <w:t>；</w:t>
      </w:r>
      <w:r>
        <w:rPr>
          <w:rFonts w:hint="default" w:ascii="仿宋_GB2312" w:hAnsi="宋体" w:eastAsia="仿宋_GB2312" w:cs="宋体"/>
          <w:color w:val="000000"/>
          <w:kern w:val="0"/>
          <w:sz w:val="32"/>
          <w:szCs w:val="32"/>
          <w:highlight w:val="none"/>
          <w:lang w:val="en-US" w:eastAsia="zh-CN"/>
        </w:rPr>
        <w:t>推广开展新尽责活动5种。</w:t>
      </w:r>
      <w:r>
        <w:rPr>
          <w:rFonts w:hint="default" w:ascii="仿宋_GB2312" w:hAnsi="宋体" w:eastAsia="仿宋_GB2312" w:cs="宋体"/>
          <w:color w:val="000000"/>
          <w:kern w:val="0"/>
          <w:sz w:val="32"/>
          <w:szCs w:val="32"/>
          <w:highlight w:val="none"/>
          <w:lang w:val="en-US" w:eastAsia="zh-CN" w:bidi="ar-SA"/>
        </w:rPr>
        <w:t>互联网+全民义务植树基地补助：义务植树尽责接待批次</w:t>
      </w:r>
      <w:r>
        <w:rPr>
          <w:rFonts w:hint="eastAsia" w:ascii="仿宋_GB2312" w:hAnsi="宋体" w:eastAsia="仿宋_GB2312" w:cs="宋体"/>
          <w:color w:val="000000"/>
          <w:kern w:val="0"/>
          <w:sz w:val="32"/>
          <w:szCs w:val="32"/>
          <w:highlight w:val="none"/>
          <w:lang w:val="en-US" w:eastAsia="zh-CN" w:bidi="ar-SA"/>
        </w:rPr>
        <w:t>共计757</w:t>
      </w:r>
      <w:r>
        <w:rPr>
          <w:rFonts w:hint="default" w:ascii="仿宋_GB2312" w:hAnsi="宋体" w:eastAsia="仿宋_GB2312" w:cs="宋体"/>
          <w:color w:val="000000"/>
          <w:kern w:val="0"/>
          <w:sz w:val="32"/>
          <w:szCs w:val="32"/>
          <w:highlight w:val="none"/>
          <w:lang w:val="en-US" w:eastAsia="zh-CN" w:bidi="ar-SA"/>
        </w:rPr>
        <w:t>批次</w:t>
      </w:r>
      <w:r>
        <w:rPr>
          <w:rFonts w:hint="eastAsia" w:ascii="仿宋_GB2312" w:hAnsi="宋体" w:eastAsia="仿宋_GB2312" w:cs="宋体"/>
          <w:color w:val="000000"/>
          <w:kern w:val="0"/>
          <w:sz w:val="32"/>
          <w:szCs w:val="32"/>
          <w:highlight w:val="none"/>
          <w:lang w:val="en-US" w:eastAsia="zh-CN" w:bidi="ar-SA"/>
        </w:rPr>
        <w:t>，</w:t>
      </w:r>
      <w:r>
        <w:rPr>
          <w:rFonts w:hint="default" w:ascii="仿宋_GB2312" w:hAnsi="宋体" w:eastAsia="仿宋_GB2312" w:cs="宋体"/>
          <w:color w:val="000000"/>
          <w:kern w:val="0"/>
          <w:sz w:val="32"/>
          <w:szCs w:val="32"/>
          <w:highlight w:val="none"/>
          <w:lang w:val="en-US" w:eastAsia="zh-CN" w:bidi="ar-SA"/>
        </w:rPr>
        <w:t>44633人次；义务植树尽责折算株数118644株。义务植树进社区助力花园城市建设：开展义务植树进社区活动208场，惠及6</w:t>
      </w:r>
      <w:r>
        <w:rPr>
          <w:rFonts w:hint="eastAsia" w:ascii="仿宋_GB2312" w:hAnsi="宋体" w:eastAsia="仿宋_GB2312" w:cs="宋体"/>
          <w:color w:val="000000"/>
          <w:kern w:val="0"/>
          <w:sz w:val="32"/>
          <w:szCs w:val="32"/>
          <w:highlight w:val="none"/>
          <w:lang w:val="en-US" w:eastAsia="zh-CN" w:bidi="ar-SA"/>
        </w:rPr>
        <w:t>个</w:t>
      </w:r>
      <w:r>
        <w:rPr>
          <w:rFonts w:hint="default" w:ascii="仿宋_GB2312" w:hAnsi="宋体" w:eastAsia="仿宋_GB2312" w:cs="宋体"/>
          <w:color w:val="000000"/>
          <w:kern w:val="0"/>
          <w:sz w:val="32"/>
          <w:szCs w:val="32"/>
          <w:highlight w:val="none"/>
          <w:lang w:val="en-US" w:eastAsia="zh-CN" w:bidi="ar-SA"/>
        </w:rPr>
        <w:t>区68个街道151个社区；建设30个社区花园</w:t>
      </w:r>
      <w:r>
        <w:rPr>
          <w:rFonts w:hint="eastAsia" w:ascii="仿宋_GB2312" w:hAnsi="宋体" w:eastAsia="仿宋_GB2312" w:cs="宋体"/>
          <w:color w:val="000000"/>
          <w:kern w:val="0"/>
          <w:sz w:val="32"/>
          <w:szCs w:val="32"/>
          <w:highlight w:val="none"/>
          <w:lang w:val="en-US" w:eastAsia="zh-CN" w:bidi="ar-SA"/>
        </w:rPr>
        <w:t>；</w:t>
      </w:r>
      <w:r>
        <w:rPr>
          <w:rFonts w:hint="default" w:ascii="仿宋_GB2312" w:hAnsi="宋体" w:eastAsia="仿宋_GB2312" w:cs="宋体"/>
          <w:color w:val="000000"/>
          <w:kern w:val="0"/>
          <w:sz w:val="32"/>
          <w:szCs w:val="32"/>
          <w:highlight w:val="none"/>
          <w:lang w:val="en-US" w:eastAsia="zh-CN" w:bidi="ar-SA"/>
        </w:rPr>
        <w:t>制作科普手册1000份，悬挂树牌3000块；在全市义务植树系统开展宣传教育推广工作150</w:t>
      </w:r>
      <w:r>
        <w:rPr>
          <w:rFonts w:hint="eastAsia" w:ascii="仿宋_GB2312" w:hAnsi="宋体" w:eastAsia="仿宋_GB2312" w:cs="宋体"/>
          <w:color w:val="000000"/>
          <w:kern w:val="0"/>
          <w:sz w:val="32"/>
          <w:szCs w:val="32"/>
          <w:highlight w:val="none"/>
          <w:lang w:val="en-US" w:eastAsia="zh-CN" w:bidi="ar-SA"/>
        </w:rPr>
        <w:t>余</w:t>
      </w:r>
      <w:r>
        <w:rPr>
          <w:rFonts w:hint="default" w:ascii="仿宋_GB2312" w:hAnsi="宋体" w:eastAsia="仿宋_GB2312" w:cs="宋体"/>
          <w:color w:val="000000"/>
          <w:kern w:val="0"/>
          <w:sz w:val="32"/>
          <w:szCs w:val="32"/>
          <w:highlight w:val="none"/>
          <w:lang w:val="en-US" w:eastAsia="zh-CN" w:bidi="ar-SA"/>
        </w:rPr>
        <w:t>人次。</w:t>
      </w:r>
    </w:p>
    <w:p>
      <w:pPr>
        <w:pStyle w:val="2"/>
        <w:rPr>
          <w:rFonts w:hint="default" w:ascii="仿宋_GB2312" w:hAnsi="宋体" w:eastAsia="仿宋_GB2312" w:cs="宋体"/>
          <w:color w:val="000000"/>
          <w:kern w:val="0"/>
          <w:sz w:val="32"/>
          <w:szCs w:val="32"/>
          <w:highlight w:val="none"/>
          <w:lang w:val="en-US" w:eastAsia="zh-CN" w:bidi="ar-SA"/>
        </w:rPr>
      </w:pPr>
      <w:r>
        <w:rPr>
          <w:rFonts w:hint="default" w:ascii="仿宋_GB2312" w:hAnsi="宋体" w:eastAsia="仿宋_GB2312" w:cs="宋体"/>
          <w:color w:val="000000"/>
          <w:kern w:val="0"/>
          <w:sz w:val="32"/>
          <w:szCs w:val="32"/>
          <w:highlight w:val="none"/>
          <w:lang w:val="en-US" w:eastAsia="zh-CN" w:bidi="ar-SA"/>
        </w:rPr>
        <w:t>古树名木巡查及应急保护</w:t>
      </w:r>
      <w:r>
        <w:rPr>
          <w:rFonts w:hint="eastAsia" w:ascii="仿宋_GB2312" w:hAnsi="宋体" w:eastAsia="仿宋_GB2312" w:cs="宋体"/>
          <w:color w:val="000000"/>
          <w:kern w:val="0"/>
          <w:sz w:val="32"/>
          <w:szCs w:val="32"/>
          <w:highlight w:val="none"/>
          <w:lang w:val="en-US" w:eastAsia="zh-CN" w:bidi="ar-SA"/>
        </w:rPr>
        <w:t>完成</w:t>
      </w:r>
      <w:r>
        <w:rPr>
          <w:rFonts w:hint="default" w:ascii="仿宋_GB2312" w:hAnsi="宋体" w:eastAsia="仿宋_GB2312" w:cs="宋体"/>
          <w:color w:val="000000"/>
          <w:kern w:val="0"/>
          <w:sz w:val="32"/>
          <w:szCs w:val="32"/>
          <w:highlight w:val="none"/>
          <w:lang w:val="en-US" w:eastAsia="zh-CN" w:bidi="ar-SA"/>
        </w:rPr>
        <w:t>10070株次</w:t>
      </w:r>
      <w:r>
        <w:rPr>
          <w:rFonts w:hint="eastAsia" w:ascii="仿宋_GB2312" w:hAnsi="宋体" w:eastAsia="仿宋_GB2312" w:cs="宋体"/>
          <w:color w:val="000000"/>
          <w:kern w:val="0"/>
          <w:sz w:val="32"/>
          <w:szCs w:val="32"/>
          <w:highlight w:val="none"/>
          <w:lang w:val="en-US" w:eastAsia="zh-CN" w:bidi="ar-SA"/>
        </w:rPr>
        <w:t>古树</w:t>
      </w:r>
      <w:r>
        <w:rPr>
          <w:rFonts w:hint="default" w:ascii="仿宋_GB2312" w:hAnsi="宋体" w:eastAsia="仿宋_GB2312" w:cs="宋体"/>
          <w:color w:val="000000"/>
          <w:kern w:val="0"/>
          <w:sz w:val="32"/>
          <w:szCs w:val="32"/>
          <w:highlight w:val="none"/>
          <w:lang w:val="en-US" w:eastAsia="zh-CN" w:bidi="ar-SA"/>
        </w:rPr>
        <w:t>巡查；10株古树抢救复壮。北京重点古树树龄测定数学回归模型研究</w:t>
      </w:r>
      <w:r>
        <w:rPr>
          <w:rFonts w:hint="eastAsia" w:ascii="仿宋_GB2312" w:hAnsi="宋体" w:eastAsia="仿宋_GB2312" w:cs="宋体"/>
          <w:color w:val="000000"/>
          <w:kern w:val="0"/>
          <w:sz w:val="32"/>
          <w:szCs w:val="32"/>
          <w:highlight w:val="none"/>
          <w:lang w:val="en-US" w:eastAsia="zh-CN" w:bidi="ar-SA"/>
        </w:rPr>
        <w:t>完成</w:t>
      </w:r>
      <w:r>
        <w:rPr>
          <w:rFonts w:hint="default" w:ascii="仿宋_GB2312" w:hAnsi="宋体" w:eastAsia="仿宋_GB2312" w:cs="宋体"/>
          <w:color w:val="000000"/>
          <w:kern w:val="0"/>
          <w:sz w:val="32"/>
          <w:szCs w:val="32"/>
          <w:highlight w:val="none"/>
          <w:lang w:val="en-US" w:eastAsia="zh-CN" w:bidi="ar-SA"/>
        </w:rPr>
        <w:t>实施方案论证1次，每月采样1次。古银杏保护复壮技术研究与示范完成古银杏保护技术专题培训211人次；筛选基质组合5个；埋设根框150个。首都古树名木数字博物馆基础框架构建：</w:t>
      </w:r>
      <w:r>
        <w:rPr>
          <w:rFonts w:hint="eastAsia" w:ascii="仿宋_GB2312" w:hAnsi="宋体" w:eastAsia="仿宋_GB2312" w:cs="宋体"/>
          <w:color w:val="000000"/>
          <w:kern w:val="0"/>
          <w:sz w:val="32"/>
          <w:szCs w:val="32"/>
          <w:highlight w:val="none"/>
          <w:lang w:val="en-US" w:eastAsia="zh-CN" w:bidi="ar-SA"/>
        </w:rPr>
        <w:t>构建</w:t>
      </w:r>
      <w:r>
        <w:rPr>
          <w:rFonts w:hint="default" w:ascii="仿宋_GB2312" w:hAnsi="宋体" w:eastAsia="仿宋_GB2312" w:cs="宋体"/>
          <w:color w:val="000000"/>
          <w:kern w:val="0"/>
          <w:sz w:val="32"/>
          <w:szCs w:val="32"/>
          <w:highlight w:val="none"/>
          <w:lang w:val="en-US" w:eastAsia="zh-CN" w:bidi="ar-SA"/>
        </w:rPr>
        <w:t>首都古树名木三维数字化史料库1套；构建首都古树名木数字博物馆基础框架1套。首都古树文化价值转化创新路径探索与实践开发并发布“京华古树”小程序</w:t>
      </w:r>
      <w:r>
        <w:rPr>
          <w:rFonts w:hint="eastAsia" w:ascii="仿宋_GB2312" w:hAnsi="宋体" w:eastAsia="仿宋_GB2312" w:cs="宋体"/>
          <w:color w:val="000000"/>
          <w:kern w:val="0"/>
          <w:sz w:val="32"/>
          <w:szCs w:val="32"/>
          <w:highlight w:val="none"/>
          <w:lang w:val="en-US" w:eastAsia="zh-CN" w:bidi="ar-SA"/>
        </w:rPr>
        <w:t>1个</w:t>
      </w:r>
      <w:r>
        <w:rPr>
          <w:rFonts w:hint="default" w:ascii="仿宋_GB2312" w:hAnsi="宋体" w:eastAsia="仿宋_GB2312" w:cs="宋体"/>
          <w:color w:val="000000"/>
          <w:kern w:val="0"/>
          <w:sz w:val="32"/>
          <w:szCs w:val="32"/>
          <w:highlight w:val="none"/>
          <w:lang w:val="en-US" w:eastAsia="zh-CN" w:bidi="ar-SA"/>
        </w:rPr>
        <w:t>；拍摄并剪辑完成古树主题短视频12条；推出“一轴、三带、冬季”古树主题游线6条；拍摄并精选优秀摄影作品300张；编辑完成《宣传手册》</w:t>
      </w:r>
      <w:r>
        <w:rPr>
          <w:rFonts w:hint="eastAsia" w:ascii="仿宋_GB2312" w:hAnsi="宋体" w:eastAsia="仿宋_GB2312" w:cs="宋体"/>
          <w:color w:val="000000"/>
          <w:kern w:val="0"/>
          <w:sz w:val="32"/>
          <w:szCs w:val="32"/>
          <w:highlight w:val="none"/>
          <w:lang w:val="en-US" w:eastAsia="zh-CN" w:bidi="ar-SA"/>
        </w:rPr>
        <w:t>1册</w:t>
      </w:r>
      <w:r>
        <w:rPr>
          <w:rFonts w:hint="default" w:ascii="仿宋_GB2312" w:hAnsi="宋体" w:eastAsia="仿宋_GB2312" w:cs="宋体"/>
          <w:color w:val="000000"/>
          <w:kern w:val="0"/>
          <w:sz w:val="32"/>
          <w:szCs w:val="32"/>
          <w:highlight w:val="none"/>
          <w:lang w:val="en-US" w:eastAsia="zh-CN" w:bidi="ar-SA"/>
        </w:rPr>
        <w:t>。</w:t>
      </w:r>
    </w:p>
    <w:p>
      <w:pPr>
        <w:pStyle w:val="2"/>
        <w:rPr>
          <w:rFonts w:hint="default" w:ascii="仿宋_GB2312" w:hAnsi="宋体" w:eastAsia="仿宋_GB2312" w:cs="宋体"/>
          <w:color w:val="000000"/>
          <w:kern w:val="0"/>
          <w:sz w:val="32"/>
          <w:szCs w:val="32"/>
          <w:highlight w:val="none"/>
          <w:lang w:val="en-US" w:eastAsia="zh-CN" w:bidi="ar-SA"/>
        </w:rPr>
      </w:pPr>
      <w:r>
        <w:rPr>
          <w:rFonts w:hint="default" w:ascii="仿宋_GB2312" w:hAnsi="宋体" w:eastAsia="仿宋_GB2312" w:cs="宋体"/>
          <w:color w:val="000000"/>
          <w:kern w:val="0"/>
          <w:sz w:val="32"/>
          <w:szCs w:val="32"/>
          <w:highlight w:val="none"/>
          <w:lang w:val="en-US" w:eastAsia="zh-CN" w:bidi="ar-SA"/>
        </w:rPr>
        <w:t>国土绿化订阅刊发：</w:t>
      </w:r>
      <w:r>
        <w:rPr>
          <w:rFonts w:hint="eastAsia" w:ascii="仿宋_GB2312" w:hAnsi="宋体" w:eastAsia="仿宋_GB2312" w:cs="宋体"/>
          <w:color w:val="000000"/>
          <w:kern w:val="0"/>
          <w:sz w:val="32"/>
          <w:szCs w:val="32"/>
          <w:highlight w:val="none"/>
          <w:lang w:val="en-US" w:eastAsia="zh-CN" w:bidi="ar-SA"/>
        </w:rPr>
        <w:t>在</w:t>
      </w:r>
      <w:r>
        <w:rPr>
          <w:rFonts w:hint="default" w:ascii="仿宋_GB2312" w:hAnsi="宋体" w:eastAsia="仿宋_GB2312" w:cs="宋体"/>
          <w:color w:val="000000"/>
          <w:kern w:val="0"/>
          <w:sz w:val="32"/>
          <w:szCs w:val="32"/>
          <w:highlight w:val="none"/>
          <w:lang w:val="en-US" w:eastAsia="zh-CN" w:bidi="ar-SA"/>
        </w:rPr>
        <w:t>2024年第2期《国土绿化》杂志封面</w:t>
      </w:r>
      <w:r>
        <w:rPr>
          <w:rFonts w:hint="eastAsia" w:ascii="仿宋_GB2312" w:hAnsi="宋体" w:eastAsia="仿宋_GB2312" w:cs="宋体"/>
          <w:color w:val="000000"/>
          <w:kern w:val="0"/>
          <w:sz w:val="32"/>
          <w:szCs w:val="32"/>
          <w:highlight w:val="none"/>
          <w:lang w:val="en-US" w:eastAsia="zh-CN" w:bidi="ar-SA"/>
        </w:rPr>
        <w:t>、</w:t>
      </w:r>
      <w:r>
        <w:rPr>
          <w:rFonts w:hint="default" w:ascii="仿宋_GB2312" w:hAnsi="宋体" w:eastAsia="仿宋_GB2312" w:cs="宋体"/>
          <w:color w:val="000000"/>
          <w:kern w:val="0"/>
          <w:sz w:val="32"/>
          <w:szCs w:val="32"/>
          <w:highlight w:val="none"/>
          <w:lang w:val="en-US" w:eastAsia="zh-CN" w:bidi="ar-SA"/>
        </w:rPr>
        <w:t>封底、封三</w:t>
      </w:r>
      <w:r>
        <w:rPr>
          <w:rFonts w:hint="eastAsia" w:ascii="仿宋_GB2312" w:hAnsi="宋体" w:eastAsia="仿宋_GB2312" w:cs="宋体"/>
          <w:color w:val="000000"/>
          <w:kern w:val="0"/>
          <w:sz w:val="32"/>
          <w:szCs w:val="32"/>
          <w:highlight w:val="none"/>
          <w:lang w:val="en-US" w:eastAsia="zh-CN" w:bidi="ar-SA"/>
        </w:rPr>
        <w:t>、</w:t>
      </w:r>
      <w:r>
        <w:rPr>
          <w:rFonts w:hint="default" w:ascii="仿宋_GB2312" w:hAnsi="宋体" w:eastAsia="仿宋_GB2312" w:cs="宋体"/>
          <w:color w:val="000000"/>
          <w:kern w:val="0"/>
          <w:sz w:val="32"/>
          <w:szCs w:val="32"/>
          <w:highlight w:val="none"/>
          <w:lang w:val="en-US" w:eastAsia="zh-CN" w:bidi="ar-SA"/>
        </w:rPr>
        <w:t>3个通版</w:t>
      </w:r>
      <w:r>
        <w:rPr>
          <w:rFonts w:hint="eastAsia" w:ascii="仿宋_GB2312" w:hAnsi="宋体" w:eastAsia="仿宋_GB2312" w:cs="宋体"/>
          <w:color w:val="000000"/>
          <w:kern w:val="0"/>
          <w:sz w:val="32"/>
          <w:szCs w:val="32"/>
          <w:highlight w:val="none"/>
          <w:lang w:val="en-US" w:eastAsia="zh-CN" w:bidi="ar-SA"/>
        </w:rPr>
        <w:t>以及</w:t>
      </w:r>
      <w:r>
        <w:rPr>
          <w:rFonts w:hint="default" w:ascii="仿宋_GB2312" w:hAnsi="宋体" w:eastAsia="仿宋_GB2312" w:cs="宋体"/>
          <w:color w:val="000000"/>
          <w:kern w:val="0"/>
          <w:sz w:val="32"/>
          <w:szCs w:val="32"/>
          <w:highlight w:val="none"/>
          <w:lang w:val="en-US" w:eastAsia="zh-CN" w:bidi="ar-SA"/>
        </w:rPr>
        <w:t>第4期封底，刊登首都绿化美化建设重要性和成就</w:t>
      </w:r>
      <w:r>
        <w:rPr>
          <w:rFonts w:hint="eastAsia" w:ascii="仿宋_GB2312" w:hAnsi="宋体" w:eastAsia="仿宋_GB2312" w:cs="宋体"/>
          <w:color w:val="000000"/>
          <w:kern w:val="0"/>
          <w:sz w:val="32"/>
          <w:szCs w:val="32"/>
          <w:highlight w:val="none"/>
          <w:lang w:val="en-US" w:eastAsia="zh-CN" w:bidi="ar-SA"/>
        </w:rPr>
        <w:t>的宣传稿件</w:t>
      </w:r>
      <w:r>
        <w:rPr>
          <w:rFonts w:hint="default" w:ascii="仿宋_GB2312" w:hAnsi="宋体" w:eastAsia="仿宋_GB2312" w:cs="宋体"/>
          <w:color w:val="000000"/>
          <w:kern w:val="0"/>
          <w:sz w:val="32"/>
          <w:szCs w:val="32"/>
          <w:highlight w:val="none"/>
          <w:lang w:val="en-US" w:eastAsia="zh-CN" w:bidi="ar-SA"/>
        </w:rPr>
        <w:t>，推广先进经验和做法。每月</w:t>
      </w:r>
      <w:r>
        <w:rPr>
          <w:rFonts w:hint="eastAsia" w:ascii="仿宋_GB2312" w:hAnsi="宋体" w:eastAsia="仿宋_GB2312" w:cs="宋体"/>
          <w:color w:val="000000"/>
          <w:kern w:val="0"/>
          <w:sz w:val="32"/>
          <w:szCs w:val="32"/>
          <w:highlight w:val="none"/>
          <w:lang w:val="en-US" w:eastAsia="zh-CN" w:bidi="ar-SA"/>
        </w:rPr>
        <w:t>按时寄送</w:t>
      </w:r>
      <w:r>
        <w:rPr>
          <w:rFonts w:hint="default" w:ascii="仿宋_GB2312" w:hAnsi="宋体" w:eastAsia="仿宋_GB2312" w:cs="宋体"/>
          <w:color w:val="000000"/>
          <w:kern w:val="0"/>
          <w:sz w:val="32"/>
          <w:szCs w:val="32"/>
          <w:highlight w:val="none"/>
          <w:lang w:val="en-US" w:eastAsia="zh-CN" w:bidi="ar-SA"/>
        </w:rPr>
        <w:t>1000份《国土绿化》杂志。北京日报2024年</w:t>
      </w:r>
      <w:r>
        <w:rPr>
          <w:rFonts w:hint="eastAsia" w:ascii="仿宋_GB2312" w:hAnsi="宋体" w:eastAsia="仿宋_GB2312" w:cs="宋体"/>
          <w:color w:val="000000"/>
          <w:kern w:val="0"/>
          <w:sz w:val="32"/>
          <w:szCs w:val="32"/>
          <w:highlight w:val="none"/>
          <w:lang w:val="en-US" w:eastAsia="zh-CN" w:bidi="ar-SA"/>
        </w:rPr>
        <w:t>适</w:t>
      </w:r>
      <w:r>
        <w:rPr>
          <w:rFonts w:hint="default" w:ascii="仿宋_GB2312" w:hAnsi="宋体" w:eastAsia="仿宋_GB2312" w:cs="宋体"/>
          <w:color w:val="000000"/>
          <w:kern w:val="0"/>
          <w:sz w:val="32"/>
          <w:szCs w:val="32"/>
          <w:highlight w:val="none"/>
          <w:lang w:val="en-US" w:eastAsia="zh-CN" w:bidi="ar-SA"/>
        </w:rPr>
        <w:t>时刊登</w:t>
      </w:r>
      <w:r>
        <w:rPr>
          <w:rFonts w:hint="eastAsia" w:ascii="仿宋_GB2312" w:hAnsi="宋体" w:eastAsia="仿宋_GB2312" w:cs="宋体"/>
          <w:color w:val="000000"/>
          <w:kern w:val="0"/>
          <w:sz w:val="32"/>
          <w:szCs w:val="32"/>
          <w:highlight w:val="none"/>
          <w:lang w:val="en-US" w:eastAsia="zh-CN" w:bidi="ar-SA"/>
        </w:rPr>
        <w:t>首都绿化美化建设成果。</w:t>
      </w:r>
    </w:p>
    <w:p>
      <w:pPr>
        <w:pStyle w:val="2"/>
        <w:rPr>
          <w:rFonts w:hint="default" w:ascii="仿宋_GB2312" w:hAnsi="宋体" w:eastAsia="仿宋_GB2312" w:cs="宋体"/>
          <w:color w:val="000000"/>
          <w:kern w:val="0"/>
          <w:sz w:val="32"/>
          <w:szCs w:val="32"/>
          <w:highlight w:val="none"/>
          <w:lang w:val="en-US" w:eastAsia="zh-CN" w:bidi="ar-SA"/>
        </w:rPr>
      </w:pPr>
      <w:r>
        <w:rPr>
          <w:rFonts w:hint="default" w:ascii="仿宋_GB2312" w:hAnsi="宋体" w:eastAsia="仿宋_GB2312" w:cs="宋体"/>
          <w:color w:val="000000"/>
          <w:kern w:val="0"/>
          <w:sz w:val="32"/>
          <w:szCs w:val="32"/>
          <w:highlight w:val="none"/>
          <w:lang w:val="en-US" w:eastAsia="zh-CN" w:bidi="ar-SA"/>
        </w:rPr>
        <w:t>市花月季乡土植物进社区进村庄完成</w:t>
      </w:r>
      <w:r>
        <w:rPr>
          <w:rFonts w:hint="eastAsia" w:ascii="仿宋_GB2312" w:hAnsi="宋体" w:eastAsia="仿宋_GB2312" w:cs="宋体"/>
          <w:color w:val="000000"/>
          <w:kern w:val="0"/>
          <w:sz w:val="32"/>
          <w:szCs w:val="32"/>
          <w:highlight w:val="none"/>
          <w:lang w:val="en-US" w:eastAsia="zh-CN" w:bidi="ar-SA"/>
        </w:rPr>
        <w:t>49</w:t>
      </w:r>
      <w:r>
        <w:rPr>
          <w:rFonts w:hint="default" w:ascii="仿宋_GB2312" w:hAnsi="宋体" w:eastAsia="仿宋_GB2312" w:cs="宋体"/>
          <w:color w:val="000000"/>
          <w:kern w:val="0"/>
          <w:sz w:val="32"/>
          <w:szCs w:val="32"/>
          <w:highlight w:val="none"/>
          <w:lang w:val="en-US" w:eastAsia="zh-CN" w:bidi="ar-SA"/>
        </w:rPr>
        <w:t>个社区和50个村庄的</w:t>
      </w:r>
      <w:r>
        <w:rPr>
          <w:rFonts w:hint="eastAsia" w:ascii="仿宋_GB2312" w:hAnsi="宋体" w:eastAsia="仿宋_GB2312" w:cs="宋体"/>
          <w:color w:val="000000"/>
          <w:kern w:val="0"/>
          <w:sz w:val="32"/>
          <w:szCs w:val="32"/>
          <w:highlight w:val="none"/>
          <w:lang w:val="en-US" w:eastAsia="zh-CN" w:bidi="ar-SA"/>
        </w:rPr>
        <w:t>市花及乡土植物配送</w:t>
      </w:r>
      <w:r>
        <w:rPr>
          <w:rFonts w:hint="default" w:ascii="仿宋_GB2312" w:hAnsi="宋体" w:eastAsia="仿宋_GB2312" w:cs="宋体"/>
          <w:color w:val="000000"/>
          <w:kern w:val="0"/>
          <w:sz w:val="32"/>
          <w:szCs w:val="32"/>
          <w:highlight w:val="none"/>
          <w:lang w:val="en-US" w:eastAsia="zh-CN" w:bidi="ar-SA"/>
        </w:rPr>
        <w:t>。首都花园城市建设社会动员工作举办市民花园节专项活动4场；园艺展22场；花卉新品种展示10个；北京生态礼物展示25个。创建国家森林城市公众推广拍摄制作宣传片1部；在中央媒体、北京市重点主流媒体、行业重点刊物及新媒体制作推送播发新闻报道</w:t>
      </w:r>
      <w:r>
        <w:rPr>
          <w:rFonts w:hint="eastAsia" w:ascii="仿宋_GB2312" w:hAnsi="宋体" w:eastAsia="仿宋_GB2312" w:cs="宋体"/>
          <w:color w:val="000000"/>
          <w:kern w:val="0"/>
          <w:sz w:val="32"/>
          <w:szCs w:val="32"/>
          <w:highlight w:val="none"/>
          <w:lang w:val="en-US" w:eastAsia="zh-CN" w:bidi="ar-SA"/>
        </w:rPr>
        <w:t>60</w:t>
      </w:r>
      <w:r>
        <w:rPr>
          <w:rFonts w:hint="default" w:ascii="仿宋_GB2312" w:hAnsi="宋体" w:eastAsia="仿宋_GB2312" w:cs="宋体"/>
          <w:color w:val="000000"/>
          <w:kern w:val="0"/>
          <w:sz w:val="32"/>
          <w:szCs w:val="32"/>
          <w:highlight w:val="none"/>
          <w:lang w:val="en-US" w:eastAsia="zh-CN" w:bidi="ar-SA"/>
        </w:rPr>
        <w:t>次。编制《花园特色村庄建设导则》1部</w:t>
      </w:r>
      <w:r>
        <w:rPr>
          <w:rFonts w:hint="eastAsia" w:ascii="仿宋_GB2312" w:hAnsi="宋体" w:eastAsia="仿宋_GB2312" w:cs="宋体"/>
          <w:color w:val="000000"/>
          <w:kern w:val="0"/>
          <w:sz w:val="32"/>
          <w:szCs w:val="32"/>
          <w:highlight w:val="none"/>
          <w:lang w:val="en-US" w:eastAsia="zh-CN" w:bidi="ar-SA"/>
        </w:rPr>
        <w:t>。</w:t>
      </w:r>
      <w:r>
        <w:rPr>
          <w:rFonts w:hint="default" w:ascii="仿宋_GB2312" w:hAnsi="宋体" w:eastAsia="仿宋_GB2312" w:cs="宋体"/>
          <w:color w:val="000000"/>
          <w:kern w:val="0"/>
          <w:sz w:val="32"/>
          <w:szCs w:val="32"/>
          <w:highlight w:val="none"/>
          <w:lang w:val="en-US" w:eastAsia="zh-CN" w:bidi="ar-SA"/>
        </w:rPr>
        <w:t>森林（花园）村庄创建试点示范应用及推广</w:t>
      </w:r>
      <w:r>
        <w:rPr>
          <w:rFonts w:hint="eastAsia" w:ascii="仿宋_GB2312" w:hAnsi="宋体" w:eastAsia="仿宋_GB2312" w:cs="宋体"/>
          <w:color w:val="000000"/>
          <w:kern w:val="0"/>
          <w:sz w:val="32"/>
          <w:szCs w:val="32"/>
          <w:highlight w:val="none"/>
          <w:lang w:val="en-US" w:eastAsia="zh-CN" w:bidi="ar-SA"/>
        </w:rPr>
        <w:t>出具</w:t>
      </w:r>
      <w:r>
        <w:rPr>
          <w:rFonts w:hint="default" w:ascii="仿宋_GB2312" w:hAnsi="宋体" w:eastAsia="仿宋_GB2312" w:cs="宋体"/>
          <w:color w:val="000000"/>
          <w:kern w:val="0"/>
          <w:sz w:val="32"/>
          <w:szCs w:val="32"/>
          <w:highlight w:val="none"/>
          <w:lang w:val="en-US" w:eastAsia="zh-CN" w:bidi="ar-SA"/>
        </w:rPr>
        <w:t>示范样地设计方案1份；在平谷区峪口镇东樊各庄村和西营村开展示范建设，面积10213.1平方米。首都绿化美化群众创建评比精细化管理培训乡镇街道、各区</w:t>
      </w:r>
      <w:r>
        <w:rPr>
          <w:rFonts w:hint="eastAsia" w:ascii="仿宋_GB2312" w:hAnsi="宋体" w:eastAsia="仿宋_GB2312" w:cs="宋体"/>
          <w:color w:val="000000"/>
          <w:kern w:val="0"/>
          <w:sz w:val="32"/>
          <w:szCs w:val="32"/>
          <w:highlight w:val="none"/>
          <w:lang w:val="en-US" w:eastAsia="zh-CN" w:bidi="ar-SA"/>
        </w:rPr>
        <w:t>园林绿化部门</w:t>
      </w:r>
      <w:r>
        <w:rPr>
          <w:rFonts w:hint="default" w:ascii="仿宋_GB2312" w:hAnsi="宋体" w:eastAsia="仿宋_GB2312" w:cs="宋体"/>
          <w:color w:val="000000"/>
          <w:kern w:val="0"/>
          <w:sz w:val="32"/>
          <w:szCs w:val="32"/>
          <w:highlight w:val="none"/>
          <w:lang w:val="en-US" w:eastAsia="zh-CN" w:bidi="ar-SA"/>
        </w:rPr>
        <w:t>、社区等工作人员90人次；指导</w:t>
      </w:r>
      <w:r>
        <w:rPr>
          <w:rFonts w:hint="eastAsia" w:ascii="仿宋_GB2312" w:hAnsi="宋体" w:eastAsia="仿宋_GB2312" w:cs="宋体"/>
          <w:color w:val="000000"/>
          <w:kern w:val="0"/>
          <w:sz w:val="32"/>
          <w:szCs w:val="32"/>
          <w:highlight w:val="none"/>
          <w:lang w:val="en-US" w:eastAsia="zh-CN" w:bidi="ar-SA"/>
        </w:rPr>
        <w:t>建设</w:t>
      </w:r>
      <w:r>
        <w:rPr>
          <w:rFonts w:hint="default" w:ascii="仿宋_GB2312" w:hAnsi="宋体" w:eastAsia="仿宋_GB2312" w:cs="宋体"/>
          <w:color w:val="000000"/>
          <w:kern w:val="0"/>
          <w:sz w:val="32"/>
          <w:szCs w:val="32"/>
          <w:highlight w:val="none"/>
          <w:lang w:val="en-US" w:eastAsia="zh-CN" w:bidi="ar-SA"/>
        </w:rPr>
        <w:t>花园式街道</w:t>
      </w:r>
      <w:r>
        <w:rPr>
          <w:rFonts w:hint="eastAsia" w:ascii="仿宋_GB2312" w:hAnsi="宋体" w:eastAsia="仿宋_GB2312" w:cs="宋体"/>
          <w:color w:val="000000"/>
          <w:kern w:val="0"/>
          <w:sz w:val="32"/>
          <w:szCs w:val="32"/>
          <w:highlight w:val="none"/>
          <w:lang w:val="en-US" w:eastAsia="zh-CN" w:bidi="ar-SA"/>
        </w:rPr>
        <w:t>、</w:t>
      </w:r>
      <w:r>
        <w:rPr>
          <w:rFonts w:hint="default" w:ascii="仿宋_GB2312" w:hAnsi="宋体" w:eastAsia="仿宋_GB2312" w:cs="宋体"/>
          <w:color w:val="000000"/>
          <w:kern w:val="0"/>
          <w:sz w:val="32"/>
          <w:szCs w:val="32"/>
          <w:highlight w:val="none"/>
          <w:lang w:val="en-US" w:eastAsia="zh-CN" w:bidi="ar-SA"/>
        </w:rPr>
        <w:t>花园式社区；</w:t>
      </w:r>
      <w:r>
        <w:rPr>
          <w:rFonts w:hint="eastAsia" w:ascii="仿宋_GB2312" w:hAnsi="宋体" w:eastAsia="仿宋_GB2312" w:cs="宋体"/>
          <w:color w:val="000000"/>
          <w:kern w:val="0"/>
          <w:sz w:val="32"/>
          <w:szCs w:val="32"/>
          <w:highlight w:val="none"/>
          <w:lang w:val="en-US" w:eastAsia="zh-CN" w:bidi="ar-SA"/>
        </w:rPr>
        <w:t>对</w:t>
      </w:r>
      <w:r>
        <w:rPr>
          <w:rFonts w:hint="default" w:ascii="仿宋_GB2312" w:hAnsi="宋体" w:eastAsia="仿宋_GB2312" w:cs="宋体"/>
          <w:color w:val="000000"/>
          <w:kern w:val="0"/>
          <w:sz w:val="32"/>
          <w:szCs w:val="32"/>
          <w:highlight w:val="none"/>
          <w:lang w:val="en-US" w:eastAsia="zh-CN" w:bidi="ar-SA"/>
        </w:rPr>
        <w:t>已创建成功的</w:t>
      </w:r>
      <w:r>
        <w:rPr>
          <w:rFonts w:hint="eastAsia" w:ascii="仿宋_GB2312" w:hAnsi="宋体" w:eastAsia="仿宋_GB2312" w:cs="宋体"/>
          <w:color w:val="000000"/>
          <w:kern w:val="0"/>
          <w:sz w:val="32"/>
          <w:szCs w:val="32"/>
          <w:highlight w:val="none"/>
          <w:lang w:val="en-US" w:eastAsia="zh-CN" w:bidi="ar-SA"/>
        </w:rPr>
        <w:t>花园式</w:t>
      </w:r>
      <w:r>
        <w:rPr>
          <w:rFonts w:hint="default" w:ascii="仿宋_GB2312" w:hAnsi="宋体" w:eastAsia="仿宋_GB2312" w:cs="宋体"/>
          <w:color w:val="000000"/>
          <w:kern w:val="0"/>
          <w:sz w:val="32"/>
          <w:szCs w:val="32"/>
          <w:highlight w:val="none"/>
          <w:lang w:val="en-US" w:eastAsia="zh-CN" w:bidi="ar-SA"/>
        </w:rPr>
        <w:t>单位</w:t>
      </w:r>
      <w:r>
        <w:rPr>
          <w:rFonts w:hint="eastAsia" w:ascii="仿宋_GB2312" w:hAnsi="宋体" w:eastAsia="仿宋_GB2312" w:cs="宋体"/>
          <w:color w:val="000000"/>
          <w:kern w:val="0"/>
          <w:sz w:val="32"/>
          <w:szCs w:val="32"/>
          <w:highlight w:val="none"/>
          <w:lang w:val="en-US" w:eastAsia="zh-CN" w:bidi="ar-SA"/>
        </w:rPr>
        <w:t>进行</w:t>
      </w:r>
      <w:r>
        <w:rPr>
          <w:rFonts w:hint="default" w:ascii="仿宋_GB2312" w:hAnsi="宋体" w:eastAsia="仿宋_GB2312" w:cs="宋体"/>
          <w:color w:val="000000"/>
          <w:kern w:val="0"/>
          <w:sz w:val="32"/>
          <w:szCs w:val="32"/>
          <w:highlight w:val="none"/>
          <w:lang w:val="en-US" w:eastAsia="zh-CN" w:bidi="ar-SA"/>
        </w:rPr>
        <w:t>检查。</w:t>
      </w:r>
    </w:p>
    <w:p>
      <w:pPr>
        <w:spacing w:line="600" w:lineRule="exact"/>
        <w:ind w:left="105" w:leftChars="50" w:firstLine="480" w:firstLineChars="150"/>
        <w:outlineLvl w:val="2"/>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2.产出质量：</w:t>
      </w:r>
    </w:p>
    <w:p>
      <w:pPr>
        <w:pStyle w:val="2"/>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t>首都生态文明宣传教育活动交流活动出席率、活动安全保障、专家支持率均为95%</w:t>
      </w:r>
      <w:r>
        <w:rPr>
          <w:rFonts w:hint="default" w:ascii="仿宋_GB2312" w:hAnsi="宋体" w:eastAsia="仿宋_GB2312" w:cs="宋体"/>
          <w:color w:val="000000"/>
          <w:kern w:val="0"/>
          <w:sz w:val="32"/>
          <w:szCs w:val="32"/>
          <w:highlight w:val="none"/>
          <w:lang w:val="en" w:eastAsia="zh-CN" w:bidi="ar-SA"/>
        </w:rPr>
        <w:t>-</w:t>
      </w:r>
      <w:r>
        <w:rPr>
          <w:rFonts w:hint="eastAsia" w:ascii="仿宋_GB2312" w:hAnsi="宋体" w:eastAsia="仿宋_GB2312" w:cs="宋体"/>
          <w:color w:val="000000"/>
          <w:kern w:val="0"/>
          <w:sz w:val="32"/>
          <w:szCs w:val="32"/>
          <w:highlight w:val="none"/>
          <w:lang w:val="en-US" w:eastAsia="zh-CN" w:bidi="ar-SA"/>
        </w:rPr>
        <w:t>100%。市花月季乡土植物进社区进村庄苗木质检验收达标，符合行业标准。创建国家森林城市公众推广宣传片制作精良，投放宣传效果较好。北京日报宣传内容规范，符合媒体刊登标准。首都花园城市建设社会动员影响力、花园展赛、花艺展赛评选以及首都绿化美化和花园城市建设成果展示均达到良好效果。</w:t>
      </w:r>
    </w:p>
    <w:p>
      <w:pPr>
        <w:pStyle w:val="2"/>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t>“首都全民义务植树”微信公众号进行宣传策划及内容制作，对制作好的内容进行全面审核，符合推送标准。传统义务植树基地升级互联网+全民义务植树基地试点服务满足标准，接待率达到100%。互联网+全民义务植树基地接待标准符合《首都绿化委员会关于深入开展首都全民义务植树工作的指导意见》的规定，接待率达到100%。义务植树进社区助力花园城市建设微花园景观效果良好。</w:t>
      </w:r>
    </w:p>
    <w:p>
      <w:pPr>
        <w:pStyle w:val="2"/>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t>古树名木巡查及应急保护100%完成巡查任务；应急抢救复壮达到合格标准。北京重点古树树龄测定数学回归模型研究建立侧柏等4种古树或大树树龄与胸径估算模型；建立侧柏等4种古树或大树年轮增长与气候（气温、降雨量）的关系模型；得出4种重点古树树龄测定数学回归模型研究。古银杏保护复壮技术研究与示范古银杏主要保护技术评价报告通过专家论证；具有明显粗根作用，较对照提升10%。首都古树文化价值转化创新路径探索与实践：研究成果通过专家评审。首都古树名木数字博物馆基础框架构建支持科技成果转化及产业化项目达标率≥95%；课题研究结果评审通过率为100%。</w:t>
      </w:r>
    </w:p>
    <w:p>
      <w:pPr>
        <w:pStyle w:val="2"/>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t>森林（花园）村庄创建试点示范应用及推广典型绿化提质模式林木绿化率≥30%；典型绿化提质模式乡土植物占比达≥80%，形成特色乡愁植物景观；提高典型绿化提质模式的准入度，让村民共享绿色福祉。通过专家评审，指导2个村庄绿化建设工作。首都绿化美化群众创建评比精细化管理：指导新参加评比表彰的街道、社区、单位知悉创建标准，明确努力方向，提升创建成功率；进一步推动多元增绿，提升绿量。</w:t>
      </w:r>
    </w:p>
    <w:p>
      <w:pPr>
        <w:spacing w:line="600" w:lineRule="exact"/>
        <w:ind w:left="105" w:leftChars="50" w:firstLine="480" w:firstLineChars="150"/>
        <w:outlineLvl w:val="2"/>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r>
        <w:rPr>
          <w:rFonts w:hint="eastAsia" w:ascii="仿宋_GB2312" w:hAnsi="宋体" w:eastAsia="仿宋_GB2312" w:cs="宋体"/>
          <w:color w:val="000000"/>
          <w:kern w:val="0"/>
          <w:sz w:val="32"/>
          <w:szCs w:val="32"/>
          <w:lang w:eastAsia="zh-CN"/>
        </w:rPr>
        <w:t>：各项工作均按照</w:t>
      </w:r>
      <w:r>
        <w:rPr>
          <w:rFonts w:hint="eastAsia" w:ascii="仿宋_GB2312" w:hAnsi="宋体" w:eastAsia="仿宋_GB2312" w:cs="宋体"/>
          <w:color w:val="000000"/>
          <w:kern w:val="0"/>
          <w:sz w:val="32"/>
          <w:szCs w:val="32"/>
          <w:lang w:val="en-US" w:eastAsia="zh-CN"/>
        </w:rPr>
        <w:t>全年工作</w:t>
      </w:r>
      <w:r>
        <w:rPr>
          <w:rFonts w:hint="eastAsia" w:ascii="仿宋_GB2312" w:hAnsi="宋体" w:eastAsia="仿宋_GB2312" w:cs="宋体"/>
          <w:color w:val="000000"/>
          <w:kern w:val="0"/>
          <w:sz w:val="32"/>
          <w:szCs w:val="32"/>
          <w:lang w:eastAsia="zh-CN"/>
        </w:rPr>
        <w:t>计划如期进行。</w:t>
      </w:r>
    </w:p>
    <w:p>
      <w:pPr>
        <w:widowControl/>
        <w:ind w:firstLine="640" w:firstLineChars="200"/>
        <w:jc w:val="left"/>
        <w:outlineLvl w:val="2"/>
        <w:rPr>
          <w:rFonts w:ascii="宋体" w:hAnsi="宋体" w:cs="宋体"/>
          <w:b/>
          <w:bCs/>
          <w:kern w:val="0"/>
          <w:sz w:val="28"/>
          <w:szCs w:val="28"/>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 xml:space="preserve">项目全年预算数 3,997.11 万元，项目决算数 3,789.09 </w:t>
      </w:r>
      <w:r>
        <w:rPr>
          <w:rFonts w:hint="eastAsia"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lang w:val="en-US" w:eastAsia="zh-CN"/>
        </w:rPr>
        <w:t>。</w:t>
      </w:r>
    </w:p>
    <w:p>
      <w:pPr>
        <w:spacing w:line="600" w:lineRule="exact"/>
        <w:ind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（二）效果</w:t>
      </w:r>
      <w:r>
        <w:rPr>
          <w:rFonts w:ascii="楷体_GB2312" w:eastAsia="楷体_GB2312"/>
          <w:sz w:val="32"/>
          <w:szCs w:val="32"/>
          <w:highlight w:val="none"/>
        </w:rPr>
        <w:t>实现情况分析</w:t>
      </w:r>
    </w:p>
    <w:p>
      <w:pPr>
        <w:spacing w:line="600" w:lineRule="exact"/>
        <w:ind w:left="105" w:leftChars="50" w:firstLine="480" w:firstLineChars="150"/>
        <w:outlineLvl w:val="2"/>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1.</w:t>
      </w:r>
      <w:r>
        <w:rPr>
          <w:rFonts w:hint="eastAsia" w:ascii="仿宋_GB2312" w:hAnsi="宋体" w:eastAsia="仿宋_GB2312" w:cs="宋体"/>
          <w:color w:val="000000"/>
          <w:kern w:val="0"/>
          <w:sz w:val="32"/>
          <w:szCs w:val="32"/>
          <w:highlight w:val="none"/>
          <w:lang w:val="en-US" w:eastAsia="zh-CN"/>
        </w:rPr>
        <w:t>经济</w:t>
      </w:r>
      <w:r>
        <w:rPr>
          <w:rFonts w:hint="eastAsia" w:ascii="仿宋_GB2312" w:hAnsi="宋体" w:eastAsia="仿宋_GB2312" w:cs="宋体"/>
          <w:color w:val="000000"/>
          <w:kern w:val="0"/>
          <w:sz w:val="32"/>
          <w:szCs w:val="32"/>
          <w:highlight w:val="none"/>
          <w:lang w:eastAsia="zh-CN"/>
        </w:rPr>
        <w:t>效益</w:t>
      </w:r>
    </w:p>
    <w:p>
      <w:pPr>
        <w:spacing w:line="600" w:lineRule="exact"/>
        <w:ind w:left="105" w:leftChars="50" w:firstLine="480" w:firstLineChars="150"/>
        <w:outlineLvl w:val="9"/>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通过</w:t>
      </w:r>
      <w:r>
        <w:rPr>
          <w:rFonts w:hint="eastAsia" w:ascii="仿宋_GB2312" w:hAnsi="宋体" w:eastAsia="仿宋_GB2312" w:cs="宋体"/>
          <w:color w:val="000000"/>
          <w:kern w:val="0"/>
          <w:sz w:val="32"/>
          <w:szCs w:val="32"/>
          <w:highlight w:val="none"/>
          <w:lang w:val="en-US" w:eastAsia="zh-CN"/>
        </w:rPr>
        <w:t>各项</w:t>
      </w:r>
      <w:r>
        <w:rPr>
          <w:rFonts w:hint="eastAsia" w:ascii="仿宋_GB2312" w:hAnsi="宋体" w:eastAsia="仿宋_GB2312" w:cs="宋体"/>
          <w:color w:val="000000"/>
          <w:kern w:val="0"/>
          <w:sz w:val="32"/>
          <w:szCs w:val="32"/>
          <w:highlight w:val="none"/>
          <w:lang w:eastAsia="zh-CN"/>
        </w:rPr>
        <w:t>工作的实施有效提升了财政资金使用效率、发挥项目资金的带动作用；对乡村林业产业引领性发展形成示范作用，带动其他产业发展，提高区域经济发展水平，为周边民众提供更多的创业及就业机会；通过模型计算树龄，减少取样的设备、劳务等费用</w:t>
      </w:r>
      <w:r>
        <w:rPr>
          <w:rFonts w:hint="eastAsia" w:ascii="仿宋_GB2312" w:hAnsi="宋体" w:eastAsia="仿宋_GB2312" w:cs="宋体"/>
          <w:color w:val="000000"/>
          <w:kern w:val="0"/>
          <w:sz w:val="32"/>
          <w:szCs w:val="32"/>
          <w:highlight w:val="none"/>
          <w:lang w:val="en-US" w:eastAsia="zh-CN"/>
        </w:rPr>
        <w:t>支出</w:t>
      </w:r>
      <w:r>
        <w:rPr>
          <w:rFonts w:hint="eastAsia" w:ascii="仿宋_GB2312" w:hAnsi="宋体" w:eastAsia="仿宋_GB2312" w:cs="宋体"/>
          <w:color w:val="000000"/>
          <w:kern w:val="0"/>
          <w:sz w:val="32"/>
          <w:szCs w:val="32"/>
          <w:highlight w:val="none"/>
          <w:lang w:eastAsia="zh-CN"/>
        </w:rPr>
        <w:t>，提升古树精细化管理水平；通过详实系统的摸底调研，为森林城镇和村庄创建工作的广泛开展提供</w:t>
      </w:r>
      <w:r>
        <w:rPr>
          <w:rFonts w:hint="eastAsia" w:ascii="仿宋_GB2312" w:hAnsi="宋体" w:eastAsia="仿宋_GB2312" w:cs="宋体"/>
          <w:color w:val="000000"/>
          <w:kern w:val="0"/>
          <w:sz w:val="32"/>
          <w:szCs w:val="32"/>
          <w:highlight w:val="none"/>
          <w:lang w:val="en-US" w:eastAsia="zh-CN"/>
        </w:rPr>
        <w:t>数据</w:t>
      </w:r>
      <w:r>
        <w:rPr>
          <w:rFonts w:hint="eastAsia" w:ascii="仿宋_GB2312" w:hAnsi="宋体" w:eastAsia="仿宋_GB2312" w:cs="宋体"/>
          <w:color w:val="000000"/>
          <w:kern w:val="0"/>
          <w:sz w:val="32"/>
          <w:szCs w:val="32"/>
          <w:highlight w:val="none"/>
          <w:lang w:eastAsia="zh-CN"/>
        </w:rPr>
        <w:t>支撑，奠定坚实基础，保证建设</w:t>
      </w:r>
      <w:r>
        <w:rPr>
          <w:rFonts w:hint="eastAsia" w:ascii="仿宋_GB2312" w:hAnsi="宋体" w:eastAsia="仿宋_GB2312" w:cs="宋体"/>
          <w:color w:val="000000"/>
          <w:kern w:val="0"/>
          <w:sz w:val="32"/>
          <w:szCs w:val="32"/>
          <w:highlight w:val="none"/>
          <w:lang w:val="en-US" w:eastAsia="zh-CN"/>
        </w:rPr>
        <w:t>支出</w:t>
      </w:r>
      <w:r>
        <w:rPr>
          <w:rFonts w:hint="eastAsia" w:ascii="仿宋_GB2312" w:hAnsi="宋体" w:eastAsia="仿宋_GB2312" w:cs="宋体"/>
          <w:color w:val="000000"/>
          <w:kern w:val="0"/>
          <w:sz w:val="32"/>
          <w:szCs w:val="32"/>
          <w:highlight w:val="none"/>
          <w:lang w:eastAsia="zh-CN"/>
        </w:rPr>
        <w:t>高效合理；</w:t>
      </w:r>
    </w:p>
    <w:p>
      <w:pPr>
        <w:pStyle w:val="2"/>
        <w:outlineLvl w:val="2"/>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2.社会效益</w:t>
      </w:r>
    </w:p>
    <w:p>
      <w:pPr>
        <w:pStyle w:val="2"/>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val="en-US" w:eastAsia="zh-CN"/>
        </w:rPr>
        <w:t>通过开展义务植树宣传等活动，</w:t>
      </w:r>
      <w:r>
        <w:rPr>
          <w:rFonts w:hint="eastAsia" w:ascii="仿宋_GB2312" w:hAnsi="宋体" w:eastAsia="仿宋_GB2312" w:cs="宋体"/>
          <w:color w:val="000000"/>
          <w:kern w:val="0"/>
          <w:sz w:val="32"/>
          <w:szCs w:val="32"/>
          <w:highlight w:val="none"/>
          <w:lang w:eastAsia="zh-CN"/>
        </w:rPr>
        <w:t>推进全民参与义务植树尽责活动的积极性，强化市民的植绿爱绿意识，向市民宣传和普及林业科技知识，形成生态教育示范基地，增强人们对自然资源的保护意识，促进首都生态文明建设，扩大全民义务植树影响力；开展</w:t>
      </w:r>
      <w:r>
        <w:rPr>
          <w:rFonts w:hint="eastAsia" w:ascii="仿宋_GB2312" w:hAnsi="宋体" w:eastAsia="仿宋_GB2312" w:cs="宋体"/>
          <w:color w:val="000000"/>
          <w:kern w:val="0"/>
          <w:sz w:val="32"/>
          <w:szCs w:val="32"/>
          <w:highlight w:val="none"/>
          <w:lang w:val="en-US" w:eastAsia="zh-CN"/>
        </w:rPr>
        <w:t>古树</w:t>
      </w:r>
      <w:r>
        <w:rPr>
          <w:rFonts w:hint="eastAsia" w:ascii="仿宋_GB2312" w:hAnsi="宋体" w:eastAsia="仿宋_GB2312" w:cs="宋体"/>
          <w:color w:val="000000"/>
          <w:kern w:val="0"/>
          <w:sz w:val="32"/>
          <w:szCs w:val="32"/>
          <w:highlight w:val="none"/>
          <w:lang w:eastAsia="zh-CN"/>
        </w:rPr>
        <w:t>巡视巡查工作，及时掌握古树名木生长和生境情况，针对因大风、大雪等极端天气及其他突发情况造成的古树名木损伤，采取应急抢救保护工作，延续古树名木资源价值。</w:t>
      </w:r>
    </w:p>
    <w:p>
      <w:pPr>
        <w:pStyle w:val="2"/>
        <w:outlineLvl w:val="2"/>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t>3.生态效益</w:t>
      </w:r>
    </w:p>
    <w:p>
      <w:pPr>
        <w:pStyle w:val="2"/>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t>森林（花园）村庄共建等活动的开展，加快建设生态宜居社村，有效改善了社区村庄生态环境和村居环境，实现绿色高效发展；通过对现状资源条件的有效利用，合理布局，集约发展，美化乡村，促进人与自然的协调发展；通过绿化种植，使植被结构得到改善，由单一形式逐步转变成复层，乔、灌、地被相结合的形式，进一步提升社村的生态环境质量。绿化环境得到一定的提升，物种多样，群落复层，区域生物多样性显著增加；通过开展春植夏认秋抚冬防系列义务植树进社区尽责活动，提高和维护了周边地区居民生活环境水平；古银杏保护活动，筛选基质促进古树根系生长，提升生态和景观效益。</w:t>
      </w:r>
    </w:p>
    <w:p>
      <w:pPr>
        <w:pStyle w:val="2"/>
        <w:outlineLvl w:val="2"/>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t>4.可持续性影响</w:t>
      </w:r>
    </w:p>
    <w:p>
      <w:pPr>
        <w:pStyle w:val="2"/>
        <w:rPr>
          <w:rFonts w:hint="default"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t>古树名木巡查及应急保护，</w:t>
      </w:r>
      <w:r>
        <w:rPr>
          <w:rFonts w:hint="default" w:ascii="仿宋_GB2312" w:hAnsi="宋体" w:eastAsia="仿宋_GB2312" w:cs="宋体"/>
          <w:color w:val="000000"/>
          <w:kern w:val="0"/>
          <w:sz w:val="32"/>
          <w:szCs w:val="32"/>
          <w:highlight w:val="none"/>
          <w:lang w:val="en-US" w:eastAsia="zh-CN" w:bidi="ar-SA"/>
        </w:rPr>
        <w:t>为今后古树保护提供新的思路和借鉴，形成古树生态系统保护理念及模式，逐步提高古树保护和利用成效</w:t>
      </w:r>
      <w:r>
        <w:rPr>
          <w:rFonts w:hint="eastAsia" w:ascii="仿宋_GB2312" w:hAnsi="宋体" w:eastAsia="仿宋_GB2312" w:cs="宋体"/>
          <w:color w:val="000000"/>
          <w:kern w:val="0"/>
          <w:sz w:val="32"/>
          <w:szCs w:val="32"/>
          <w:highlight w:val="none"/>
          <w:lang w:val="en-US" w:eastAsia="zh-CN" w:bidi="ar-SA"/>
        </w:rPr>
        <w:t>；创建国家森林城市公众推广，为</w:t>
      </w:r>
      <w:r>
        <w:rPr>
          <w:rFonts w:hint="default" w:ascii="仿宋_GB2312" w:hAnsi="宋体" w:eastAsia="仿宋_GB2312" w:cs="宋体"/>
          <w:color w:val="000000"/>
          <w:kern w:val="0"/>
          <w:sz w:val="32"/>
          <w:szCs w:val="32"/>
          <w:highlight w:val="none"/>
          <w:lang w:val="en-US" w:eastAsia="zh-CN" w:bidi="ar-SA"/>
        </w:rPr>
        <w:t>探索村庄绿化提质</w:t>
      </w:r>
      <w:r>
        <w:rPr>
          <w:rFonts w:hint="eastAsia" w:ascii="仿宋_GB2312" w:hAnsi="宋体" w:eastAsia="仿宋_GB2312" w:cs="宋体"/>
          <w:color w:val="000000"/>
          <w:kern w:val="0"/>
          <w:sz w:val="32"/>
          <w:szCs w:val="32"/>
          <w:highlight w:val="none"/>
          <w:lang w:val="en-US" w:eastAsia="zh-CN" w:bidi="ar-SA"/>
        </w:rPr>
        <w:t>创建了</w:t>
      </w:r>
      <w:r>
        <w:rPr>
          <w:rFonts w:hint="default" w:ascii="仿宋_GB2312" w:hAnsi="宋体" w:eastAsia="仿宋_GB2312" w:cs="宋体"/>
          <w:color w:val="000000"/>
          <w:kern w:val="0"/>
          <w:sz w:val="32"/>
          <w:szCs w:val="32"/>
          <w:highlight w:val="none"/>
          <w:lang w:val="en-US" w:eastAsia="zh-CN" w:bidi="ar-SA"/>
        </w:rPr>
        <w:t>典型模式，指导首都森林村庄</w:t>
      </w:r>
      <w:r>
        <w:rPr>
          <w:rFonts w:hint="eastAsia" w:ascii="仿宋_GB2312" w:hAnsi="宋体" w:eastAsia="仿宋_GB2312" w:cs="宋体"/>
          <w:color w:val="000000"/>
          <w:kern w:val="0"/>
          <w:sz w:val="32"/>
          <w:szCs w:val="32"/>
          <w:highlight w:val="none"/>
          <w:lang w:val="en-US" w:eastAsia="zh-CN" w:bidi="ar-SA"/>
        </w:rPr>
        <w:t>共建，</w:t>
      </w:r>
      <w:r>
        <w:rPr>
          <w:rFonts w:hint="default" w:ascii="仿宋_GB2312" w:hAnsi="宋体" w:eastAsia="仿宋_GB2312" w:cs="宋体"/>
          <w:color w:val="000000"/>
          <w:kern w:val="0"/>
          <w:sz w:val="32"/>
          <w:szCs w:val="32"/>
          <w:highlight w:val="none"/>
          <w:lang w:val="en-US" w:eastAsia="zh-CN" w:bidi="ar-SA"/>
        </w:rPr>
        <w:t>示范样地建设发挥示范作用，推进美丽乡村建设</w:t>
      </w:r>
      <w:r>
        <w:rPr>
          <w:rFonts w:hint="eastAsia" w:ascii="仿宋_GB2312" w:hAnsi="宋体" w:eastAsia="仿宋_GB2312" w:cs="宋体"/>
          <w:color w:val="000000"/>
          <w:kern w:val="0"/>
          <w:sz w:val="32"/>
          <w:szCs w:val="32"/>
          <w:highlight w:val="none"/>
          <w:lang w:val="en-US" w:eastAsia="zh-CN" w:bidi="ar-SA"/>
        </w:rPr>
        <w:t>，</w:t>
      </w:r>
      <w:r>
        <w:rPr>
          <w:rFonts w:hint="default" w:ascii="仿宋_GB2312" w:hAnsi="宋体" w:eastAsia="仿宋_GB2312" w:cs="宋体"/>
          <w:color w:val="000000"/>
          <w:kern w:val="0"/>
          <w:sz w:val="32"/>
          <w:szCs w:val="32"/>
          <w:highlight w:val="none"/>
          <w:lang w:val="en-US" w:eastAsia="zh-CN" w:bidi="ar-SA"/>
        </w:rPr>
        <w:t>促进园林景观行业在未来乡村景观建设中复合功能的实现。</w:t>
      </w:r>
    </w:p>
    <w:p>
      <w:pPr>
        <w:numPr>
          <w:ilvl w:val="0"/>
          <w:numId w:val="0"/>
        </w:numPr>
        <w:spacing w:line="600" w:lineRule="exact"/>
        <w:ind w:firstLine="640" w:firstLineChars="200"/>
        <w:outlineLvl w:val="2"/>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5.</w:t>
      </w:r>
      <w:r>
        <w:rPr>
          <w:rFonts w:hint="default" w:ascii="仿宋_GB2312" w:hAnsi="宋体" w:eastAsia="仿宋_GB2312" w:cs="宋体"/>
          <w:color w:val="000000"/>
          <w:kern w:val="0"/>
          <w:sz w:val="32"/>
          <w:szCs w:val="32"/>
          <w:highlight w:val="none"/>
          <w:lang w:val="en-US" w:eastAsia="zh-CN"/>
        </w:rPr>
        <w:t>服务对象满意度指标</w:t>
      </w:r>
    </w:p>
    <w:p>
      <w:pPr>
        <w:numPr>
          <w:ilvl w:val="0"/>
          <w:numId w:val="0"/>
        </w:numPr>
        <w:spacing w:line="600" w:lineRule="exact"/>
        <w:ind w:firstLine="640" w:firstLineChars="200"/>
        <w:rPr>
          <w:rFonts w:hint="default" w:ascii="仿宋_GB2312" w:hAnsi="宋体" w:eastAsia="仿宋_GB2312" w:cs="宋体"/>
          <w:color w:val="000000"/>
          <w:kern w:val="0"/>
          <w:sz w:val="32"/>
          <w:szCs w:val="32"/>
          <w:lang w:val="en-US" w:eastAsia="zh-CN"/>
        </w:rPr>
      </w:pPr>
      <w:r>
        <w:rPr>
          <w:rFonts w:hint="default" w:ascii="仿宋_GB2312" w:hAnsi="宋体" w:eastAsia="仿宋_GB2312" w:cs="宋体"/>
          <w:color w:val="000000"/>
          <w:kern w:val="0"/>
          <w:sz w:val="32"/>
          <w:szCs w:val="32"/>
          <w:lang w:val="en-US" w:eastAsia="zh-CN"/>
        </w:rPr>
        <w:t>各业务处室满意度≥90%,服务对象、社会满意度≥95%</w:t>
      </w:r>
      <w:r>
        <w:rPr>
          <w:rFonts w:hint="eastAsia" w:ascii="仿宋_GB2312" w:hAnsi="宋体" w:eastAsia="仿宋_GB2312" w:cs="宋体"/>
          <w:color w:val="000000"/>
          <w:kern w:val="0"/>
          <w:sz w:val="32"/>
          <w:szCs w:val="32"/>
          <w:lang w:val="en-US" w:eastAsia="zh-CN"/>
        </w:rPr>
        <w:t>，</w:t>
      </w:r>
      <w:r>
        <w:rPr>
          <w:rFonts w:hint="default" w:ascii="仿宋_GB2312" w:hAnsi="宋体" w:eastAsia="仿宋_GB2312" w:cs="宋体"/>
          <w:color w:val="000000"/>
          <w:kern w:val="0"/>
          <w:sz w:val="32"/>
          <w:szCs w:val="32"/>
          <w:lang w:val="en-US" w:eastAsia="zh-CN"/>
        </w:rPr>
        <w:t>古树名木纪念林各级管护</w:t>
      </w:r>
      <w:r>
        <w:rPr>
          <w:rFonts w:hint="eastAsia" w:ascii="仿宋_GB2312" w:hAnsi="宋体" w:eastAsia="仿宋_GB2312" w:cs="宋体"/>
          <w:color w:val="000000"/>
          <w:kern w:val="0"/>
          <w:sz w:val="32"/>
          <w:szCs w:val="32"/>
          <w:lang w:val="en-US" w:eastAsia="zh-CN"/>
        </w:rPr>
        <w:t>（</w:t>
      </w:r>
      <w:r>
        <w:rPr>
          <w:rFonts w:hint="default" w:ascii="仿宋_GB2312" w:hAnsi="宋体" w:eastAsia="仿宋_GB2312" w:cs="宋体"/>
          <w:color w:val="000000"/>
          <w:kern w:val="0"/>
          <w:sz w:val="32"/>
          <w:szCs w:val="32"/>
          <w:lang w:val="en-US" w:eastAsia="zh-CN"/>
        </w:rPr>
        <w:t>产权</w:t>
      </w:r>
      <w:r>
        <w:rPr>
          <w:rFonts w:hint="eastAsia" w:ascii="仿宋_GB2312" w:hAnsi="宋体" w:eastAsia="仿宋_GB2312" w:cs="宋体"/>
          <w:color w:val="000000"/>
          <w:kern w:val="0"/>
          <w:sz w:val="32"/>
          <w:szCs w:val="32"/>
          <w:lang w:val="en-US" w:eastAsia="zh-CN"/>
        </w:rPr>
        <w:t>）</w:t>
      </w:r>
      <w:r>
        <w:rPr>
          <w:rFonts w:hint="default" w:ascii="仿宋_GB2312" w:hAnsi="宋体" w:eastAsia="仿宋_GB2312" w:cs="宋体"/>
          <w:color w:val="000000"/>
          <w:kern w:val="0"/>
          <w:sz w:val="32"/>
          <w:szCs w:val="32"/>
          <w:lang w:val="en-US" w:eastAsia="zh-CN"/>
        </w:rPr>
        <w:t>单位、</w:t>
      </w:r>
      <w:r>
        <w:rPr>
          <w:rFonts w:hint="eastAsia" w:ascii="仿宋_GB2312" w:hAnsi="宋体" w:eastAsia="仿宋_GB2312" w:cs="宋体"/>
          <w:color w:val="000000"/>
          <w:kern w:val="0"/>
          <w:sz w:val="32"/>
          <w:szCs w:val="32"/>
          <w:lang w:val="en-US" w:eastAsia="zh-CN"/>
        </w:rPr>
        <w:t>各级</w:t>
      </w:r>
      <w:r>
        <w:rPr>
          <w:rFonts w:hint="default" w:ascii="仿宋_GB2312" w:hAnsi="宋体" w:eastAsia="仿宋_GB2312" w:cs="宋体"/>
          <w:color w:val="000000"/>
          <w:kern w:val="0"/>
          <w:sz w:val="32"/>
          <w:szCs w:val="32"/>
          <w:lang w:val="en-US" w:eastAsia="zh-CN"/>
        </w:rPr>
        <w:t>园林绿化主管部门、群众满意度达到95%以上</w:t>
      </w:r>
      <w:r>
        <w:rPr>
          <w:rFonts w:hint="eastAsia" w:ascii="仿宋_GB2312" w:hAnsi="宋体" w:eastAsia="仿宋_GB2312" w:cs="宋体"/>
          <w:color w:val="000000"/>
          <w:kern w:val="0"/>
          <w:sz w:val="32"/>
          <w:szCs w:val="32"/>
          <w:lang w:val="en-US" w:eastAsia="zh-CN"/>
        </w:rPr>
        <w:t>。</w:t>
      </w:r>
    </w:p>
    <w:p>
      <w:pPr>
        <w:spacing w:line="600" w:lineRule="exact"/>
        <w:ind w:left="105" w:leftChars="50" w:firstLine="480" w:firstLineChars="150"/>
        <w:outlineLvl w:val="0"/>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p>
    <w:p>
      <w:pPr>
        <w:spacing w:line="600" w:lineRule="exact"/>
        <w:ind w:left="105" w:leftChars="50" w:firstLine="480" w:firstLineChars="150"/>
        <w:outlineLvl w:val="1"/>
        <w:rPr>
          <w:rFonts w:ascii="楷体_GB2312" w:eastAsia="楷体_GB2312"/>
          <w:sz w:val="32"/>
          <w:szCs w:val="32"/>
          <w:highlight w:val="none"/>
        </w:rPr>
      </w:pPr>
      <w:r>
        <w:rPr>
          <w:rFonts w:hint="eastAsia" w:ascii="楷体_GB2312" w:eastAsia="楷体_GB2312"/>
          <w:sz w:val="32"/>
          <w:szCs w:val="32"/>
          <w:highlight w:val="none"/>
        </w:rPr>
        <w:t>（一）财务管理</w:t>
      </w:r>
    </w:p>
    <w:p>
      <w:pPr>
        <w:spacing w:line="600" w:lineRule="exact"/>
        <w:ind w:left="105" w:leftChars="50" w:firstLine="480" w:firstLineChars="150"/>
        <w:outlineLvl w:val="2"/>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1.财务</w:t>
      </w:r>
      <w:r>
        <w:rPr>
          <w:rFonts w:ascii="仿宋_GB2312" w:hAnsi="宋体" w:eastAsia="仿宋_GB2312" w:cs="宋体"/>
          <w:color w:val="000000"/>
          <w:kern w:val="0"/>
          <w:sz w:val="32"/>
          <w:szCs w:val="32"/>
          <w:highlight w:val="none"/>
        </w:rPr>
        <w:t>管理制度健全性</w:t>
      </w:r>
    </w:p>
    <w:p>
      <w:pPr>
        <w:pStyle w:val="5"/>
        <w:rPr>
          <w:rFonts w:hint="eastAsia" w:ascii="仿宋_GB2312" w:hAnsi="宋体" w:cs="宋体"/>
          <w:color w:val="000000"/>
          <w:kern w:val="0"/>
          <w:sz w:val="32"/>
          <w:szCs w:val="32"/>
          <w:highlight w:val="none"/>
          <w:lang w:val="en-US" w:eastAsia="zh-CN" w:bidi="ar-SA"/>
        </w:rPr>
      </w:pPr>
      <w:r>
        <w:rPr>
          <w:rFonts w:hint="eastAsia" w:ascii="仿宋_GB2312" w:hAnsi="宋体" w:cs="宋体"/>
          <w:color w:val="000000"/>
          <w:kern w:val="0"/>
          <w:sz w:val="32"/>
          <w:szCs w:val="32"/>
          <w:highlight w:val="none"/>
          <w:lang w:val="en-US" w:eastAsia="zh-CN"/>
        </w:rPr>
        <w:t>本部门编制了</w:t>
      </w:r>
      <w:r>
        <w:rPr>
          <w:rFonts w:hint="eastAsia" w:ascii="仿宋_GB2312" w:hAnsi="宋体" w:cs="宋体"/>
          <w:color w:val="000000"/>
          <w:kern w:val="0"/>
          <w:sz w:val="32"/>
          <w:szCs w:val="32"/>
          <w:highlight w:val="none"/>
          <w:lang w:val="en-US" w:eastAsia="zh-CN" w:bidi="ar-SA"/>
        </w:rPr>
        <w:t>《</w:t>
      </w:r>
      <w:r>
        <w:rPr>
          <w:rFonts w:hint="eastAsia" w:ascii="仿宋_GB2312" w:eastAsia="仿宋_GB2312"/>
          <w:bCs/>
          <w:sz w:val="32"/>
          <w:szCs w:val="32"/>
          <w:highlight w:val="none"/>
          <w:lang w:eastAsia="zh-CN"/>
        </w:rPr>
        <w:t>首都绿化委员会办公室</w:t>
      </w:r>
      <w:r>
        <w:rPr>
          <w:rFonts w:hint="default" w:ascii="仿宋_GB2312" w:hAnsi="宋体" w:eastAsia="仿宋_GB2312" w:cs="宋体"/>
          <w:color w:val="000000"/>
          <w:kern w:val="0"/>
          <w:sz w:val="32"/>
          <w:szCs w:val="32"/>
          <w:highlight w:val="none"/>
          <w:lang w:val="en-US" w:eastAsia="zh-CN" w:bidi="ar-SA"/>
        </w:rPr>
        <w:t>内控制度手册</w:t>
      </w:r>
      <w:r>
        <w:rPr>
          <w:rFonts w:hint="eastAsia" w:ascii="仿宋_GB2312" w:hAnsi="宋体" w:cs="宋体"/>
          <w:color w:val="000000"/>
          <w:kern w:val="0"/>
          <w:sz w:val="32"/>
          <w:szCs w:val="32"/>
          <w:highlight w:val="none"/>
          <w:lang w:val="en-US" w:eastAsia="zh-CN" w:bidi="ar-SA"/>
        </w:rPr>
        <w:t>》，</w:t>
      </w:r>
    </w:p>
    <w:p>
      <w:pPr>
        <w:pStyle w:val="5"/>
        <w:ind w:left="0" w:leftChars="0" w:firstLine="0" w:firstLineChars="0"/>
        <w:rPr>
          <w:rFonts w:hint="default" w:ascii="仿宋_GB2312" w:hAnsi="宋体" w:cs="宋体"/>
          <w:color w:val="000000"/>
          <w:kern w:val="0"/>
          <w:sz w:val="32"/>
          <w:szCs w:val="32"/>
          <w:highlight w:val="none"/>
          <w:lang w:val="en-US" w:eastAsia="zh-CN" w:bidi="ar-SA"/>
        </w:rPr>
      </w:pPr>
      <w:r>
        <w:rPr>
          <w:rFonts w:hint="eastAsia" w:ascii="仿宋_GB2312" w:hAnsi="宋体" w:cs="宋体"/>
          <w:color w:val="000000"/>
          <w:kern w:val="0"/>
          <w:sz w:val="32"/>
          <w:szCs w:val="32"/>
          <w:highlight w:val="none"/>
          <w:lang w:val="en-US" w:eastAsia="zh-CN" w:bidi="ar-SA"/>
        </w:rPr>
        <w:t>从单位内部控制层面，对会计机构的设立与人员配备，岗位职责进行了明确，要求会计人员根据实际发生的经济业务事项，按照国家统一的会计制度及时进行财务处理、编制财务会计报告，对财务信息的编报提出了整体要求。相关管理制度，能够合理保证单位经济活动合法合规、财务信息真实完整，提高公共服务的效率和效果。</w:t>
      </w:r>
    </w:p>
    <w:p>
      <w:pPr>
        <w:spacing w:line="600" w:lineRule="exact"/>
        <w:ind w:left="105" w:leftChars="50" w:firstLine="480" w:firstLineChars="150"/>
        <w:outlineLvl w:val="2"/>
        <w:rPr>
          <w:rFonts w:hint="eastAsia"/>
          <w:highlight w:val="none"/>
        </w:rPr>
      </w:pPr>
      <w:r>
        <w:rPr>
          <w:rFonts w:hint="eastAsia" w:ascii="仿宋_GB2312" w:hAnsi="宋体" w:eastAsia="仿宋_GB2312" w:cs="宋体"/>
          <w:color w:val="000000"/>
          <w:kern w:val="0"/>
          <w:sz w:val="32"/>
          <w:szCs w:val="32"/>
          <w:highlight w:val="none"/>
        </w:rPr>
        <w:t>2.资金使用合规性</w:t>
      </w:r>
      <w:r>
        <w:rPr>
          <w:rFonts w:ascii="仿宋_GB2312" w:hAnsi="宋体" w:eastAsia="仿宋_GB2312" w:cs="宋体"/>
          <w:color w:val="000000"/>
          <w:kern w:val="0"/>
          <w:sz w:val="32"/>
          <w:szCs w:val="32"/>
          <w:highlight w:val="none"/>
        </w:rPr>
        <w:t>和安全性</w:t>
      </w:r>
    </w:p>
    <w:p>
      <w:pPr>
        <w:pStyle w:val="5"/>
        <w:ind w:left="0" w:leftChars="0" w:firstLine="640" w:firstLineChars="200"/>
        <w:rPr>
          <w:highlight w:val="none"/>
        </w:rPr>
      </w:pPr>
      <w:r>
        <w:rPr>
          <w:rFonts w:hint="eastAsia"/>
          <w:highlight w:val="none"/>
        </w:rPr>
        <w:t>资金使用遵照国家法律法规和</w:t>
      </w:r>
      <w:r>
        <w:rPr>
          <w:rFonts w:hint="eastAsia"/>
          <w:highlight w:val="none"/>
          <w:lang w:val="en-US" w:eastAsia="zh-CN"/>
        </w:rPr>
        <w:t>首都绿化委员会办公室的相关</w:t>
      </w:r>
      <w:r>
        <w:rPr>
          <w:rFonts w:hint="eastAsia"/>
          <w:highlight w:val="none"/>
        </w:rPr>
        <w:t>管理制度执行，严格执行审批</w:t>
      </w:r>
      <w:r>
        <w:rPr>
          <w:rFonts w:hint="eastAsia"/>
          <w:highlight w:val="none"/>
          <w:lang w:val="en-US" w:eastAsia="zh-CN"/>
        </w:rPr>
        <w:t>流程</w:t>
      </w:r>
      <w:r>
        <w:rPr>
          <w:rFonts w:hint="eastAsia"/>
          <w:highlight w:val="none"/>
        </w:rPr>
        <w:t>，按照业务事项的类型、性质及金额设置预算执行申请的审批权限</w:t>
      </w:r>
      <w:r>
        <w:rPr>
          <w:rFonts w:hint="eastAsia"/>
          <w:highlight w:val="none"/>
          <w:lang w:eastAsia="zh-CN"/>
        </w:rPr>
        <w:t>，</w:t>
      </w:r>
      <w:r>
        <w:rPr>
          <w:rFonts w:hint="eastAsia"/>
          <w:highlight w:val="none"/>
        </w:rPr>
        <w:t>资金拨付审批程序完整规范，资金使用安全合规。</w:t>
      </w:r>
    </w:p>
    <w:p>
      <w:pPr>
        <w:spacing w:line="600" w:lineRule="exact"/>
        <w:ind w:left="105" w:leftChars="50" w:firstLine="480" w:firstLineChars="150"/>
        <w:outlineLvl w:val="2"/>
        <w:rPr>
          <w:rFonts w:ascii="仿宋_GB2312" w:hAnsi="宋体" w:eastAsia="仿宋_GB2312" w:cs="宋体"/>
          <w:color w:val="000000"/>
          <w:kern w:val="0"/>
          <w:sz w:val="32"/>
          <w:szCs w:val="32"/>
          <w:highlight w:val="none"/>
        </w:rPr>
      </w:pPr>
      <w:r>
        <w:rPr>
          <w:rFonts w:ascii="仿宋_GB2312" w:hAnsi="宋体" w:eastAsia="仿宋_GB2312" w:cs="宋体"/>
          <w:color w:val="000000"/>
          <w:kern w:val="0"/>
          <w:sz w:val="32"/>
          <w:szCs w:val="32"/>
          <w:highlight w:val="none"/>
        </w:rPr>
        <w:t>3.</w:t>
      </w:r>
      <w:r>
        <w:rPr>
          <w:rFonts w:hint="eastAsia" w:ascii="仿宋_GB2312" w:hAnsi="宋体" w:eastAsia="仿宋_GB2312" w:cs="宋体"/>
          <w:color w:val="000000"/>
          <w:kern w:val="0"/>
          <w:sz w:val="32"/>
          <w:szCs w:val="32"/>
          <w:highlight w:val="none"/>
        </w:rPr>
        <w:t>会计</w:t>
      </w:r>
      <w:r>
        <w:rPr>
          <w:rFonts w:ascii="仿宋_GB2312" w:hAnsi="宋体" w:eastAsia="仿宋_GB2312" w:cs="宋体"/>
          <w:color w:val="000000"/>
          <w:kern w:val="0"/>
          <w:sz w:val="32"/>
          <w:szCs w:val="32"/>
          <w:highlight w:val="none"/>
        </w:rPr>
        <w:t>基础信息完善性</w:t>
      </w:r>
    </w:p>
    <w:p>
      <w:pPr>
        <w:pStyle w:val="5"/>
        <w:rPr>
          <w:rFonts w:hint="eastAsia"/>
          <w:highlight w:val="none"/>
          <w:lang w:val="en-US" w:eastAsia="zh-CN"/>
        </w:rPr>
      </w:pPr>
      <w:r>
        <w:rPr>
          <w:rFonts w:hint="eastAsia"/>
          <w:highlight w:val="none"/>
          <w:lang w:val="en-US" w:eastAsia="zh-CN"/>
        </w:rPr>
        <w:t>本部门执行《政府会计准则制度》，按照规定设置和使用会计科目、根据审核后的原始凭证及有关资料编制会计凭证、登记会计账簿。定期进行账目核对，做到账证、账账、账实相符；会计报表的编制，以单位会计核算生成的数据为准，各项收支业务符合要求，会计基础信息完整准确。</w:t>
      </w:r>
    </w:p>
    <w:p>
      <w:pPr>
        <w:spacing w:line="600" w:lineRule="exact"/>
        <w:ind w:left="105" w:leftChars="50" w:firstLine="480" w:firstLineChars="150"/>
        <w:outlineLvl w:val="1"/>
        <w:rPr>
          <w:rFonts w:hint="eastAsia" w:ascii="楷体_GB2312" w:eastAsia="楷体_GB2312"/>
          <w:sz w:val="32"/>
          <w:szCs w:val="32"/>
          <w:highlight w:val="none"/>
        </w:rPr>
      </w:pPr>
      <w:r>
        <w:rPr>
          <w:rFonts w:hint="eastAsia" w:ascii="楷体_GB2312" w:eastAsia="楷体_GB2312"/>
          <w:sz w:val="32"/>
          <w:szCs w:val="32"/>
          <w:highlight w:val="none"/>
        </w:rPr>
        <w:t>（二）资产管理</w:t>
      </w:r>
    </w:p>
    <w:p>
      <w:pPr>
        <w:adjustRightInd w:val="0"/>
        <w:spacing w:line="360" w:lineRule="auto"/>
        <w:ind w:firstLine="640"/>
        <w:outlineLvl w:val="2"/>
        <w:rPr>
          <w:rFonts w:hint="eastAsia" w:ascii="仿宋_GB2312" w:hAnsi="Times New Roman" w:eastAsia="仿宋_GB2312"/>
          <w:sz w:val="32"/>
          <w:szCs w:val="32"/>
        </w:rPr>
      </w:pPr>
      <w:r>
        <w:rPr>
          <w:rFonts w:hint="eastAsia" w:ascii="仿宋_GB2312" w:hAnsi="Times New Roman" w:eastAsia="仿宋_GB2312"/>
          <w:bCs/>
          <w:sz w:val="32"/>
          <w:szCs w:val="32"/>
        </w:rPr>
        <w:t>1.</w:t>
      </w:r>
      <w:r>
        <w:rPr>
          <w:rFonts w:hint="eastAsia" w:ascii="仿宋_GB2312" w:hAnsi="Times New Roman" w:eastAsia="仿宋_GB2312"/>
          <w:sz w:val="32"/>
          <w:szCs w:val="32"/>
        </w:rPr>
        <w:t>资产配置的合理性</w:t>
      </w:r>
    </w:p>
    <w:p>
      <w:pPr>
        <w:adjustRightInd w:val="0"/>
        <w:spacing w:line="360" w:lineRule="auto"/>
        <w:ind w:firstLine="640"/>
        <w:rPr>
          <w:rFonts w:hint="eastAsia" w:ascii="仿宋_GB2312" w:hAnsi="Times New Roman" w:eastAsia="仿宋_GB2312"/>
          <w:bCs/>
          <w:sz w:val="32"/>
          <w:szCs w:val="32"/>
        </w:rPr>
      </w:pPr>
      <w:r>
        <w:rPr>
          <w:rFonts w:hint="eastAsia" w:ascii="仿宋_GB2312" w:hAnsi="Times New Roman" w:eastAsia="仿宋_GB2312"/>
          <w:bCs/>
          <w:sz w:val="32"/>
          <w:szCs w:val="32"/>
        </w:rPr>
        <w:t>截至202</w:t>
      </w:r>
      <w:r>
        <w:rPr>
          <w:rFonts w:hint="eastAsia" w:ascii="仿宋_GB2312" w:eastAsia="仿宋_GB2312"/>
          <w:bCs/>
          <w:sz w:val="32"/>
          <w:szCs w:val="32"/>
          <w:lang w:val="en-US" w:eastAsia="zh-CN"/>
        </w:rPr>
        <w:t>4</w:t>
      </w:r>
      <w:r>
        <w:rPr>
          <w:rFonts w:hint="eastAsia" w:ascii="仿宋_GB2312" w:hAnsi="Times New Roman" w:eastAsia="仿宋_GB2312"/>
          <w:bCs/>
          <w:sz w:val="32"/>
          <w:szCs w:val="32"/>
        </w:rPr>
        <w:t>年年末，资产总额为</w:t>
      </w:r>
      <w:r>
        <w:rPr>
          <w:rFonts w:hint="eastAsia" w:ascii="仿宋_GB2312" w:hAnsi="仿宋" w:eastAsia="仿宋_GB2312"/>
          <w:color w:val="auto"/>
          <w:sz w:val="32"/>
          <w:szCs w:val="32"/>
        </w:rPr>
        <w:t>2</w:t>
      </w:r>
      <w:r>
        <w:rPr>
          <w:rFonts w:hint="eastAsia" w:ascii="仿宋_GB2312" w:hAnsi="仿宋" w:eastAsia="仿宋_GB2312"/>
          <w:color w:val="auto"/>
          <w:sz w:val="32"/>
          <w:szCs w:val="32"/>
          <w:lang w:val="en-US" w:eastAsia="zh-CN"/>
        </w:rPr>
        <w:t>76</w:t>
      </w:r>
      <w:r>
        <w:rPr>
          <w:rFonts w:hint="eastAsia" w:ascii="仿宋_GB2312" w:hAnsi="仿宋" w:eastAsia="仿宋_GB2312"/>
          <w:color w:val="auto"/>
          <w:sz w:val="32"/>
          <w:szCs w:val="32"/>
        </w:rPr>
        <w:t>.</w:t>
      </w:r>
      <w:r>
        <w:rPr>
          <w:rFonts w:hint="eastAsia" w:ascii="仿宋_GB2312" w:hAnsi="仿宋" w:eastAsia="仿宋_GB2312"/>
          <w:color w:val="auto"/>
          <w:sz w:val="32"/>
          <w:szCs w:val="32"/>
          <w:lang w:val="en-US" w:eastAsia="zh-CN"/>
        </w:rPr>
        <w:t>48</w:t>
      </w:r>
      <w:r>
        <w:rPr>
          <w:rFonts w:hint="eastAsia" w:ascii="仿宋_GB2312" w:hAnsi="仿宋" w:eastAsia="仿宋_GB2312" w:cs="仿宋"/>
          <w:sz w:val="32"/>
          <w:szCs w:val="32"/>
          <w:lang w:val="en-US" w:eastAsia="zh-CN"/>
        </w:rPr>
        <w:t>万</w:t>
      </w:r>
      <w:r>
        <w:rPr>
          <w:rFonts w:hint="eastAsia" w:ascii="仿宋_GB2312" w:hAnsi="Times New Roman" w:eastAsia="仿宋_GB2312"/>
          <w:bCs/>
          <w:sz w:val="32"/>
          <w:szCs w:val="32"/>
        </w:rPr>
        <w:t>元，其中流动资产</w:t>
      </w:r>
      <w:r>
        <w:rPr>
          <w:rFonts w:hint="eastAsia" w:ascii="仿宋_GB2312" w:hAnsi="仿宋" w:eastAsia="仿宋_GB2312"/>
          <w:sz w:val="32"/>
          <w:szCs w:val="32"/>
        </w:rPr>
        <w:t>2</w:t>
      </w:r>
      <w:r>
        <w:rPr>
          <w:rFonts w:hint="eastAsia" w:ascii="仿宋_GB2312" w:hAnsi="仿宋" w:eastAsia="仿宋_GB2312"/>
          <w:sz w:val="32"/>
          <w:szCs w:val="32"/>
          <w:lang w:val="en-US" w:eastAsia="zh-CN"/>
        </w:rPr>
        <w:t>71</w:t>
      </w:r>
      <w:r>
        <w:rPr>
          <w:rFonts w:hint="eastAsia" w:ascii="仿宋_GB2312" w:hAnsi="仿宋" w:eastAsia="仿宋_GB2312"/>
          <w:sz w:val="32"/>
          <w:szCs w:val="32"/>
        </w:rPr>
        <w:t>.</w:t>
      </w:r>
      <w:r>
        <w:rPr>
          <w:rFonts w:hint="eastAsia" w:ascii="仿宋_GB2312" w:hAnsi="仿宋" w:eastAsia="仿宋_GB2312"/>
          <w:sz w:val="32"/>
          <w:szCs w:val="32"/>
          <w:lang w:val="en-US" w:eastAsia="zh-CN"/>
        </w:rPr>
        <w:t>85</w:t>
      </w:r>
      <w:r>
        <w:rPr>
          <w:rFonts w:hint="eastAsia" w:ascii="仿宋_GB2312" w:hAnsi="仿宋" w:eastAsia="仿宋_GB2312"/>
          <w:sz w:val="32"/>
          <w:szCs w:val="32"/>
        </w:rPr>
        <w:t>万元</w:t>
      </w:r>
      <w:r>
        <w:rPr>
          <w:rFonts w:hint="eastAsia" w:ascii="仿宋_GB2312" w:hAnsi="Times New Roman" w:eastAsia="仿宋_GB2312"/>
          <w:bCs/>
          <w:sz w:val="32"/>
          <w:szCs w:val="32"/>
        </w:rPr>
        <w:t>、</w:t>
      </w:r>
      <w:r>
        <w:rPr>
          <w:rFonts w:hint="eastAsia" w:ascii="仿宋_GB2312" w:hAnsi="仿宋" w:eastAsia="仿宋_GB2312"/>
          <w:sz w:val="32"/>
          <w:szCs w:val="32"/>
          <w:lang w:val="en-US" w:eastAsia="zh-CN"/>
        </w:rPr>
        <w:t>固定资产净值4.63万元</w:t>
      </w:r>
      <w:r>
        <w:rPr>
          <w:rFonts w:hint="eastAsia" w:ascii="仿宋_GB2312" w:hAnsi="Times New Roman" w:eastAsia="仿宋_GB2312"/>
          <w:bCs/>
          <w:sz w:val="32"/>
          <w:szCs w:val="32"/>
        </w:rPr>
        <w:t>。在资产管理工作中，严格按照资产配置标准配置资产。</w:t>
      </w:r>
    </w:p>
    <w:p>
      <w:pPr>
        <w:adjustRightInd w:val="0"/>
        <w:spacing w:line="360" w:lineRule="auto"/>
        <w:ind w:firstLine="640"/>
        <w:outlineLvl w:val="2"/>
        <w:rPr>
          <w:rFonts w:hint="eastAsia" w:ascii="仿宋_GB2312" w:hAnsi="Times New Roman" w:eastAsia="仿宋_GB2312"/>
          <w:bCs/>
          <w:sz w:val="32"/>
          <w:szCs w:val="32"/>
        </w:rPr>
      </w:pPr>
      <w:r>
        <w:rPr>
          <w:rFonts w:hint="eastAsia" w:ascii="仿宋_GB2312" w:hAnsi="Times New Roman" w:eastAsia="仿宋_GB2312"/>
          <w:bCs/>
          <w:sz w:val="32"/>
          <w:szCs w:val="32"/>
        </w:rPr>
        <w:t>2.资产使用的</w:t>
      </w:r>
      <w:r>
        <w:rPr>
          <w:rFonts w:hint="eastAsia" w:ascii="仿宋_GB2312" w:hAnsi="Times New Roman" w:eastAsia="仿宋_GB2312"/>
          <w:bCs/>
          <w:color w:val="000000"/>
          <w:sz w:val="32"/>
          <w:szCs w:val="32"/>
        </w:rPr>
        <w:t>规范性</w:t>
      </w:r>
    </w:p>
    <w:p>
      <w:pPr>
        <w:adjustRightInd w:val="0"/>
        <w:spacing w:line="360" w:lineRule="auto"/>
        <w:ind w:firstLine="640"/>
        <w:outlineLvl w:val="9"/>
        <w:rPr>
          <w:rFonts w:hint="eastAsia" w:ascii="仿宋_GB2312" w:hAnsi="Times New Roman" w:eastAsia="仿宋_GB2312"/>
          <w:bCs/>
          <w:sz w:val="32"/>
          <w:szCs w:val="32"/>
        </w:rPr>
      </w:pPr>
      <w:r>
        <w:rPr>
          <w:rFonts w:hint="eastAsia" w:ascii="仿宋_GB2312" w:hAnsi="Times New Roman" w:eastAsia="仿宋_GB2312"/>
          <w:bCs/>
          <w:color w:val="000000"/>
          <w:sz w:val="32"/>
          <w:szCs w:val="32"/>
        </w:rPr>
        <w:t>《</w:t>
      </w:r>
      <w:r>
        <w:rPr>
          <w:rFonts w:hint="eastAsia" w:ascii="仿宋_GB2312" w:eastAsia="仿宋_GB2312"/>
          <w:bCs/>
          <w:sz w:val="32"/>
          <w:szCs w:val="32"/>
          <w:lang w:eastAsia="zh-CN"/>
        </w:rPr>
        <w:t>首都绿化委员会办公室</w:t>
      </w:r>
      <w:r>
        <w:rPr>
          <w:rFonts w:hint="eastAsia" w:ascii="仿宋_GB2312" w:eastAsia="仿宋_GB2312"/>
          <w:bCs/>
          <w:sz w:val="32"/>
          <w:szCs w:val="32"/>
          <w:lang w:val="en-US" w:eastAsia="zh-CN"/>
        </w:rPr>
        <w:t>内控制度手册</w:t>
      </w:r>
      <w:r>
        <w:rPr>
          <w:rFonts w:hint="eastAsia" w:ascii="仿宋_GB2312" w:hAnsi="Times New Roman" w:eastAsia="仿宋_GB2312"/>
          <w:bCs/>
          <w:color w:val="000000"/>
          <w:sz w:val="32"/>
          <w:szCs w:val="32"/>
        </w:rPr>
        <w:t>》明确了固定资产的管理要求，</w:t>
      </w:r>
      <w:r>
        <w:rPr>
          <w:rFonts w:hint="eastAsia" w:ascii="仿宋_GB2312" w:hAnsi="仿宋" w:eastAsia="仿宋_GB2312" w:cs="仿宋_GB2312"/>
          <w:sz w:val="32"/>
          <w:szCs w:val="32"/>
        </w:rPr>
        <w:t>从固定资产的购置、入库、领用、转移、回收、清查、丢失损坏处置、报废等均有明确的规定和流程</w:t>
      </w:r>
      <w:r>
        <w:rPr>
          <w:rFonts w:hint="eastAsia" w:ascii="仿宋_GB2312" w:hAnsi="仿宋" w:eastAsia="仿宋_GB2312" w:cs="仿宋_GB2312"/>
          <w:sz w:val="32"/>
          <w:szCs w:val="32"/>
          <w:lang w:eastAsia="zh-CN"/>
        </w:rPr>
        <w:t>，</w:t>
      </w:r>
      <w:r>
        <w:rPr>
          <w:rFonts w:hint="eastAsia" w:ascii="仿宋_GB2312" w:hAnsi="Times New Roman" w:eastAsia="仿宋_GB2312"/>
          <w:bCs/>
          <w:sz w:val="32"/>
          <w:szCs w:val="32"/>
        </w:rPr>
        <w:t>资产使用</w:t>
      </w:r>
      <w:r>
        <w:rPr>
          <w:rFonts w:hint="eastAsia" w:ascii="仿宋_GB2312" w:eastAsia="仿宋_GB2312"/>
          <w:bCs/>
          <w:sz w:val="32"/>
          <w:szCs w:val="32"/>
          <w:lang w:val="en-US" w:eastAsia="zh-CN"/>
        </w:rPr>
        <w:t>符合相关管理规定</w:t>
      </w:r>
      <w:r>
        <w:rPr>
          <w:rFonts w:hint="eastAsia" w:ascii="仿宋_GB2312" w:hAnsi="Times New Roman" w:eastAsia="仿宋_GB2312"/>
          <w:bCs/>
          <w:sz w:val="32"/>
          <w:szCs w:val="32"/>
        </w:rPr>
        <w:t>。</w:t>
      </w:r>
    </w:p>
    <w:p>
      <w:pPr>
        <w:spacing w:line="360" w:lineRule="auto"/>
        <w:ind w:firstLine="640"/>
        <w:outlineLvl w:val="2"/>
        <w:rPr>
          <w:rFonts w:hint="eastAsia" w:ascii="仿宋_GB2312" w:hAnsi="Times New Roman" w:eastAsia="仿宋_GB2312"/>
          <w:bCs/>
          <w:sz w:val="32"/>
          <w:szCs w:val="32"/>
        </w:rPr>
      </w:pPr>
      <w:r>
        <w:rPr>
          <w:rFonts w:hint="eastAsia" w:ascii="仿宋_GB2312" w:hAnsi="Times New Roman" w:eastAsia="仿宋_GB2312"/>
          <w:bCs/>
          <w:sz w:val="32"/>
          <w:szCs w:val="32"/>
        </w:rPr>
        <w:t>3.资产利用的有效性</w:t>
      </w:r>
    </w:p>
    <w:p>
      <w:pPr>
        <w:pStyle w:val="2"/>
        <w:rPr>
          <w:rFonts w:hint="eastAsia" w:ascii="仿宋_GB2312" w:eastAsia="仿宋_GB2312"/>
          <w:bCs/>
          <w:sz w:val="32"/>
          <w:szCs w:val="32"/>
          <w:lang w:eastAsia="zh-CN"/>
        </w:rPr>
      </w:pPr>
      <w:r>
        <w:rPr>
          <w:rFonts w:hint="eastAsia" w:ascii="仿宋_GB2312" w:eastAsia="仿宋_GB2312"/>
          <w:bCs/>
          <w:sz w:val="32"/>
          <w:szCs w:val="32"/>
          <w:lang w:eastAsia="zh-CN"/>
        </w:rPr>
        <w:t>首都绿化委员会办公室</w:t>
      </w:r>
      <w:r>
        <w:rPr>
          <w:rFonts w:hint="eastAsia" w:ascii="仿宋_GB2312" w:hAnsi="Times New Roman" w:eastAsia="仿宋_GB2312"/>
          <w:bCs/>
          <w:sz w:val="32"/>
          <w:szCs w:val="32"/>
        </w:rPr>
        <w:t>固定资产管理制度比较明确，相关部门和岗位的职责权限明晰</w:t>
      </w:r>
      <w:r>
        <w:rPr>
          <w:rFonts w:hint="eastAsia" w:ascii="仿宋_GB2312" w:eastAsia="仿宋_GB2312"/>
          <w:bCs/>
          <w:sz w:val="32"/>
          <w:szCs w:val="32"/>
          <w:lang w:eastAsia="zh-CN"/>
        </w:rPr>
        <w:t>，资产</w:t>
      </w:r>
      <w:r>
        <w:rPr>
          <w:rFonts w:hint="eastAsia" w:ascii="仿宋_GB2312" w:eastAsia="仿宋_GB2312"/>
          <w:bCs/>
          <w:sz w:val="32"/>
          <w:szCs w:val="32"/>
          <w:lang w:val="en-US" w:eastAsia="zh-CN"/>
        </w:rPr>
        <w:t>利用</w:t>
      </w:r>
      <w:r>
        <w:rPr>
          <w:rFonts w:hint="eastAsia" w:ascii="仿宋_GB2312" w:eastAsia="仿宋_GB2312"/>
          <w:bCs/>
          <w:sz w:val="32"/>
          <w:szCs w:val="32"/>
          <w:lang w:eastAsia="zh-CN"/>
        </w:rPr>
        <w:t>情况的统计数据及有效性分析具备较高水平。</w:t>
      </w:r>
    </w:p>
    <w:p>
      <w:pPr>
        <w:spacing w:line="600" w:lineRule="exact"/>
        <w:ind w:left="105" w:leftChars="50" w:firstLine="480" w:firstLineChars="150"/>
        <w:outlineLvl w:val="1"/>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adjustRightInd w:val="0"/>
        <w:spacing w:line="360" w:lineRule="auto"/>
        <w:ind w:firstLine="640"/>
        <w:rPr>
          <w:rFonts w:ascii="楷体_GB2312" w:eastAsia="楷体_GB2312"/>
          <w:sz w:val="32"/>
          <w:szCs w:val="32"/>
        </w:rPr>
      </w:pPr>
      <w:r>
        <w:rPr>
          <w:rFonts w:hint="eastAsia" w:ascii="仿宋_GB2312" w:hAnsi="Times New Roman" w:eastAsia="仿宋_GB2312"/>
          <w:bCs/>
          <w:sz w:val="32"/>
          <w:szCs w:val="32"/>
        </w:rPr>
        <w:t>为进一步加强整体支出绩效管理工作，建立科学、合理的预算绩效</w:t>
      </w:r>
      <w:r>
        <w:rPr>
          <w:rFonts w:hint="eastAsia" w:ascii="仿宋_GB2312" w:eastAsia="仿宋_GB2312"/>
          <w:bCs/>
          <w:sz w:val="32"/>
          <w:szCs w:val="32"/>
          <w:lang w:val="en-US" w:eastAsia="zh-CN"/>
        </w:rPr>
        <w:t>运行监控</w:t>
      </w:r>
      <w:r>
        <w:rPr>
          <w:rFonts w:hint="eastAsia" w:ascii="仿宋_GB2312" w:hAnsi="Times New Roman" w:eastAsia="仿宋_GB2312"/>
          <w:bCs/>
          <w:sz w:val="32"/>
          <w:szCs w:val="32"/>
        </w:rPr>
        <w:t>管理机制，有效增强预算执行的科学性、合理性、规范性，提高财政资金使用效益，</w:t>
      </w:r>
      <w:r>
        <w:rPr>
          <w:rFonts w:hint="eastAsia" w:ascii="仿宋_GB2312" w:eastAsia="仿宋_GB2312"/>
          <w:bCs/>
          <w:sz w:val="32"/>
          <w:szCs w:val="32"/>
          <w:lang w:eastAsia="zh-CN"/>
        </w:rPr>
        <w:t>首都绿化委员会办公室</w:t>
      </w:r>
      <w:r>
        <w:rPr>
          <w:rFonts w:hint="eastAsia" w:ascii="仿宋_GB2312" w:hAnsi="Times New Roman" w:eastAsia="仿宋_GB2312"/>
          <w:bCs/>
          <w:sz w:val="32"/>
          <w:szCs w:val="32"/>
        </w:rPr>
        <w:t>认真贯彻有关预算绩效管理工作的规章制度和最新要求，制定预算绩效管理工作的实施方案等。部门整体绩效管理与</w:t>
      </w:r>
      <w:r>
        <w:rPr>
          <w:rFonts w:hint="eastAsia" w:ascii="仿宋_GB2312" w:eastAsia="仿宋_GB2312"/>
          <w:bCs/>
          <w:sz w:val="32"/>
          <w:szCs w:val="32"/>
          <w:lang w:eastAsia="zh-CN"/>
        </w:rPr>
        <w:t>部门</w:t>
      </w:r>
      <w:r>
        <w:rPr>
          <w:rFonts w:hint="eastAsia" w:ascii="仿宋_GB2312" w:hAnsi="Times New Roman" w:eastAsia="仿宋_GB2312"/>
          <w:bCs/>
          <w:sz w:val="32"/>
          <w:szCs w:val="32"/>
        </w:rPr>
        <w:t>日常管理工作有效结合，</w:t>
      </w:r>
      <w:r>
        <w:rPr>
          <w:rFonts w:hint="eastAsia" w:ascii="仿宋_GB2312" w:eastAsia="仿宋_GB2312"/>
          <w:bCs/>
          <w:sz w:val="32"/>
          <w:szCs w:val="32"/>
          <w:lang w:eastAsia="zh-CN"/>
        </w:rPr>
        <w:t>助力</w:t>
      </w:r>
      <w:r>
        <w:rPr>
          <w:rFonts w:hint="eastAsia" w:ascii="仿宋_GB2312" w:hAnsi="Times New Roman" w:eastAsia="仿宋_GB2312"/>
          <w:bCs/>
          <w:sz w:val="32"/>
          <w:szCs w:val="32"/>
        </w:rPr>
        <w:t>提高财政资金使用效益。</w:t>
      </w:r>
    </w:p>
    <w:p>
      <w:pPr>
        <w:spacing w:line="600" w:lineRule="exact"/>
        <w:ind w:left="105" w:leftChars="50" w:firstLine="480" w:firstLineChars="150"/>
        <w:outlineLvl w:val="1"/>
        <w:rPr>
          <w:rFonts w:hint="eastAsia" w:ascii="楷体_GB2312" w:eastAsia="楷体_GB2312"/>
          <w:sz w:val="32"/>
          <w:szCs w:val="32"/>
        </w:rPr>
      </w:pPr>
      <w:r>
        <w:rPr>
          <w:rFonts w:hint="eastAsia" w:ascii="楷体_GB2312" w:eastAsia="楷体_GB2312"/>
          <w:sz w:val="32"/>
          <w:szCs w:val="32"/>
        </w:rPr>
        <w:t>（四）结转结余率</w:t>
      </w:r>
    </w:p>
    <w:p>
      <w:pPr>
        <w:pStyle w:val="5"/>
        <w:rPr>
          <w:rFonts w:hint="eastAsia" w:ascii="仿宋_GB2312" w:hAnsi="仿宋_GB2312" w:eastAsia="仿宋_GB2312" w:cs="仿宋_GB2312"/>
          <w:lang w:val="en-US" w:eastAsia="zh-CN"/>
        </w:rPr>
      </w:pPr>
      <w:r>
        <w:rPr>
          <w:rFonts w:hint="eastAsia" w:ascii="仿宋_GB2312" w:hAnsi="仿宋_GB2312" w:eastAsia="仿宋_GB2312" w:cs="仿宋_GB2312"/>
          <w:bCs/>
          <w:sz w:val="32"/>
          <w:szCs w:val="32"/>
          <w:lang w:eastAsia="zh-CN"/>
        </w:rPr>
        <w:t>首都绿化委员会办公室</w:t>
      </w:r>
      <w:r>
        <w:rPr>
          <w:rFonts w:hint="eastAsia" w:ascii="仿宋_GB2312" w:hAnsi="仿宋_GB2312" w:eastAsia="仿宋_GB2312" w:cs="仿宋_GB2312"/>
          <w:bCs/>
          <w:sz w:val="32"/>
          <w:szCs w:val="32"/>
          <w:lang w:val="en-US" w:eastAsia="zh-CN"/>
        </w:rPr>
        <w:t>2024年</w:t>
      </w:r>
      <w:r>
        <w:rPr>
          <w:rFonts w:hint="eastAsia" w:ascii="仿宋_GB2312" w:hAnsi="仿宋_GB2312" w:eastAsia="仿宋_GB2312" w:cs="仿宋_GB2312"/>
          <w:lang w:val="en-US" w:eastAsia="zh-CN"/>
        </w:rPr>
        <w:t>末资金结余265.12万元。分别是基本支出结转57.10万元，</w:t>
      </w:r>
      <w:r>
        <w:rPr>
          <w:rFonts w:hint="eastAsia" w:ascii="仿宋_GB2312" w:hAnsi="仿宋_GB2312" w:eastAsia="仿宋_GB2312" w:cs="仿宋_GB2312"/>
          <w:highlight w:val="none"/>
          <w:lang w:val="en-US" w:eastAsia="zh-CN"/>
        </w:rPr>
        <w:t>项目支出结余</w:t>
      </w:r>
      <w:r>
        <w:rPr>
          <w:rFonts w:hint="eastAsia" w:ascii="仿宋_GB2312" w:hAnsi="仿宋_GB2312" w:eastAsia="仿宋_GB2312" w:cs="仿宋_GB2312"/>
          <w:lang w:val="en-US" w:eastAsia="zh-CN"/>
        </w:rPr>
        <w:t>208.02万元，结转结余率为5.35%。</w:t>
      </w:r>
    </w:p>
    <w:p>
      <w:pPr>
        <w:spacing w:line="600" w:lineRule="exact"/>
        <w:ind w:left="105" w:leftChars="50" w:firstLine="480" w:firstLineChars="150"/>
        <w:outlineLvl w:val="1"/>
        <w:rPr>
          <w:rFonts w:hint="eastAsia" w:ascii="楷体_GB2312" w:eastAsia="楷体_GB2312"/>
          <w:sz w:val="32"/>
          <w:szCs w:val="32"/>
        </w:rPr>
      </w:pPr>
      <w:r>
        <w:rPr>
          <w:rFonts w:hint="eastAsia" w:ascii="楷体_GB2312" w:eastAsia="楷体_GB2312"/>
          <w:sz w:val="32"/>
          <w:szCs w:val="32"/>
        </w:rPr>
        <w:t>（五）</w:t>
      </w:r>
      <w:r>
        <w:rPr>
          <w:rFonts w:hint="eastAsia" w:ascii="楷体_GB2312" w:eastAsia="楷体_GB2312"/>
          <w:sz w:val="32"/>
          <w:szCs w:val="32"/>
          <w:lang w:val="en-US" w:eastAsia="zh-CN"/>
        </w:rPr>
        <w:t>部门</w:t>
      </w:r>
      <w:r>
        <w:rPr>
          <w:rFonts w:hint="default" w:ascii="楷体_GB2312" w:eastAsia="楷体_GB2312"/>
          <w:sz w:val="32"/>
          <w:szCs w:val="32"/>
          <w:lang w:val="en-US" w:eastAsia="zh-CN"/>
        </w:rPr>
        <w:t>预决</w:t>
      </w:r>
      <w:r>
        <w:rPr>
          <w:rFonts w:hint="eastAsia" w:ascii="楷体_GB2312" w:eastAsia="楷体_GB2312"/>
          <w:sz w:val="32"/>
          <w:szCs w:val="32"/>
        </w:rPr>
        <w:t>算差异率</w:t>
      </w:r>
    </w:p>
    <w:p>
      <w:pPr>
        <w:spacing w:line="600" w:lineRule="exact"/>
        <w:ind w:firstLine="640" w:firstLineChars="200"/>
        <w:outlineLvl w:val="9"/>
        <w:rPr>
          <w:rFonts w:hint="eastAsia" w:ascii="仿宋_GB2312" w:hAnsi="宋体" w:eastAsia="仿宋_GB2312" w:cs="仿宋_GB2312"/>
          <w:i w:val="0"/>
          <w:iCs w:val="0"/>
          <w:color w:val="000000"/>
          <w:kern w:val="0"/>
          <w:sz w:val="32"/>
          <w:szCs w:val="32"/>
          <w:highlight w:val="none"/>
          <w:u w:val="none"/>
          <w:lang w:val="en-US" w:eastAsia="zh-CN" w:bidi="ar"/>
        </w:rPr>
      </w:pPr>
      <w:r>
        <w:rPr>
          <w:rFonts w:hint="eastAsia" w:ascii="仿宋_GB2312" w:hAnsi="宋体" w:eastAsia="仿宋_GB2312" w:cs="宋体"/>
          <w:color w:val="000000"/>
          <w:kern w:val="0"/>
          <w:sz w:val="32"/>
          <w:szCs w:val="32"/>
        </w:rPr>
        <w:t>20</w:t>
      </w:r>
      <w:r>
        <w:rPr>
          <w:rFonts w:hint="eastAsia" w:ascii="仿宋_GB2312" w:hAnsi="宋体" w:eastAsia="仿宋_GB2312" w:cs="宋体"/>
          <w:color w:val="000000"/>
          <w:kern w:val="0"/>
          <w:sz w:val="32"/>
          <w:szCs w:val="32"/>
          <w:lang w:val="en-US" w:eastAsia="zh-CN"/>
        </w:rPr>
        <w:t>24</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hint="eastAsia" w:ascii="仿宋_GB2312" w:eastAsia="仿宋_GB2312"/>
          <w:sz w:val="32"/>
          <w:szCs w:val="32"/>
          <w:highlight w:val="none"/>
          <w:lang w:val="en-US" w:eastAsia="zh-CN"/>
        </w:rPr>
        <w:t>4,950.86</w:t>
      </w:r>
      <w:r>
        <w:rPr>
          <w:rFonts w:hint="eastAsia" w:ascii="仿宋_GB2312" w:hAnsi="宋体" w:eastAsia="仿宋_GB2312" w:cs="宋体"/>
          <w:color w:val="000000"/>
          <w:kern w:val="0"/>
          <w:sz w:val="32"/>
          <w:szCs w:val="32"/>
          <w:highlight w:val="none"/>
        </w:rPr>
        <w:t>万元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lang w:val="en-US" w:eastAsia="zh-CN"/>
        </w:rPr>
        <w:t>决算数</w:t>
      </w:r>
      <w:r>
        <w:rPr>
          <w:rFonts w:hint="eastAsia" w:ascii="仿宋_GB2312" w:hAnsi="仿宋" w:eastAsia="仿宋_GB2312"/>
          <w:sz w:val="32"/>
          <w:szCs w:val="32"/>
          <w:highlight w:val="none"/>
        </w:rPr>
        <w:t>4,6</w:t>
      </w:r>
      <w:r>
        <w:rPr>
          <w:rFonts w:hint="eastAsia" w:ascii="仿宋_GB2312" w:hAnsi="仿宋" w:eastAsia="仿宋_GB2312"/>
          <w:sz w:val="32"/>
          <w:szCs w:val="32"/>
          <w:highlight w:val="none"/>
          <w:lang w:val="en-US" w:eastAsia="zh-CN"/>
        </w:rPr>
        <w:t>85.79</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，部</w:t>
      </w:r>
      <w:r>
        <w:rPr>
          <w:rFonts w:hint="eastAsia" w:ascii="仿宋_GB2312" w:hAnsi="宋体" w:eastAsia="仿宋_GB2312" w:cs="宋体"/>
          <w:color w:val="000000"/>
          <w:kern w:val="0"/>
          <w:sz w:val="32"/>
          <w:szCs w:val="32"/>
          <w:lang w:val="en-US" w:eastAsia="zh-CN"/>
        </w:rPr>
        <w:t>门</w:t>
      </w:r>
      <w:r>
        <w:rPr>
          <w:rFonts w:hint="eastAsia" w:ascii="仿宋_GB2312" w:hAnsi="宋体" w:eastAsia="仿宋_GB2312" w:cs="宋体"/>
          <w:color w:val="000000"/>
          <w:kern w:val="0"/>
          <w:sz w:val="32"/>
          <w:szCs w:val="32"/>
        </w:rPr>
        <w:t>预决算差异率为-</w:t>
      </w:r>
      <w:r>
        <w:rPr>
          <w:rFonts w:hint="eastAsia" w:ascii="仿宋_GB2312" w:hAnsi="宋体" w:eastAsia="仿宋_GB2312" w:cs="宋体"/>
          <w:color w:val="000000"/>
          <w:kern w:val="0"/>
          <w:sz w:val="32"/>
          <w:szCs w:val="32"/>
          <w:lang w:val="en-US" w:eastAsia="zh-CN"/>
        </w:rPr>
        <w:t>5</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35</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部</w:t>
      </w:r>
      <w:r>
        <w:rPr>
          <w:rFonts w:hint="eastAsia" w:ascii="仿宋_GB2312" w:hAnsi="宋体" w:eastAsia="仿宋_GB2312" w:cs="宋体"/>
          <w:color w:val="000000"/>
          <w:kern w:val="0"/>
          <w:sz w:val="32"/>
          <w:szCs w:val="32"/>
          <w:lang w:val="en-US" w:eastAsia="zh-CN"/>
        </w:rPr>
        <w:t>门</w:t>
      </w:r>
      <w:r>
        <w:rPr>
          <w:rFonts w:hint="eastAsia" w:ascii="仿宋_GB2312" w:hAnsi="宋体" w:eastAsia="仿宋_GB2312" w:cs="宋体"/>
          <w:color w:val="000000"/>
          <w:kern w:val="0"/>
          <w:sz w:val="32"/>
          <w:szCs w:val="32"/>
        </w:rPr>
        <w:t>预决算差异率</w:t>
      </w:r>
      <w:r>
        <w:rPr>
          <w:rFonts w:hint="eastAsia" w:ascii="仿宋_GB2312" w:hAnsi="宋体" w:eastAsia="仿宋_GB2312" w:cs="宋体"/>
          <w:color w:val="000000"/>
          <w:kern w:val="0"/>
          <w:sz w:val="32"/>
          <w:szCs w:val="32"/>
          <w:lang w:val="en-US" w:eastAsia="zh-CN"/>
        </w:rPr>
        <w:t>较低，</w:t>
      </w:r>
      <w:r>
        <w:rPr>
          <w:rFonts w:hint="eastAsia" w:ascii="仿宋_GB2312" w:hAnsi="宋体" w:eastAsia="仿宋_GB2312" w:cs="宋体"/>
          <w:color w:val="000000"/>
          <w:kern w:val="0"/>
          <w:sz w:val="32"/>
          <w:szCs w:val="32"/>
          <w:highlight w:val="none"/>
          <w:lang w:val="en-US" w:eastAsia="zh-CN"/>
        </w:rPr>
        <w:t>本单位预算执行情况较好</w:t>
      </w:r>
      <w:r>
        <w:rPr>
          <w:rFonts w:hint="eastAsia" w:ascii="仿宋_GB2312" w:hAnsi="宋体" w:eastAsia="仿宋_GB2312" w:cs="仿宋_GB2312"/>
          <w:i w:val="0"/>
          <w:iCs w:val="0"/>
          <w:color w:val="000000"/>
          <w:kern w:val="0"/>
          <w:sz w:val="32"/>
          <w:szCs w:val="32"/>
          <w:highlight w:val="none"/>
          <w:u w:val="none"/>
          <w:lang w:val="en-US" w:eastAsia="zh-CN" w:bidi="ar"/>
        </w:rPr>
        <w:t>。</w:t>
      </w:r>
    </w:p>
    <w:p>
      <w:pPr>
        <w:spacing w:line="600" w:lineRule="exact"/>
        <w:ind w:firstLine="640" w:firstLineChars="200"/>
        <w:outlineLvl w:val="0"/>
        <w:rPr>
          <w:rFonts w:ascii="黑体" w:hAnsi="黑体" w:eastAsia="黑体"/>
          <w:sz w:val="32"/>
          <w:szCs w:val="32"/>
          <w:highlight w:val="none"/>
        </w:rPr>
      </w:pPr>
      <w:r>
        <w:rPr>
          <w:rFonts w:hint="eastAsia" w:ascii="黑体" w:hAnsi="黑体" w:eastAsia="黑体"/>
          <w:sz w:val="32"/>
          <w:szCs w:val="32"/>
          <w:highlight w:val="none"/>
        </w:rPr>
        <w:t>五、总体</w:t>
      </w:r>
      <w:r>
        <w:rPr>
          <w:rFonts w:ascii="黑体" w:hAnsi="黑体" w:eastAsia="黑体"/>
          <w:sz w:val="32"/>
          <w:szCs w:val="32"/>
          <w:highlight w:val="none"/>
        </w:rPr>
        <w:t>评价结论</w:t>
      </w:r>
    </w:p>
    <w:p>
      <w:pPr>
        <w:spacing w:line="600" w:lineRule="exact"/>
        <w:ind w:left="105" w:leftChars="50" w:firstLine="480" w:firstLineChars="150"/>
        <w:outlineLvl w:val="1"/>
        <w:rPr>
          <w:rFonts w:hint="eastAsia" w:ascii="楷体_GB2312" w:eastAsia="楷体_GB2312"/>
          <w:sz w:val="32"/>
          <w:szCs w:val="32"/>
          <w:highlight w:val="none"/>
        </w:rPr>
      </w:pPr>
      <w:r>
        <w:rPr>
          <w:rFonts w:hint="eastAsia" w:ascii="楷体_GB2312" w:eastAsia="楷体_GB2312"/>
          <w:sz w:val="32"/>
          <w:szCs w:val="32"/>
          <w:highlight w:val="none"/>
        </w:rPr>
        <w:t>（一）评价</w:t>
      </w:r>
      <w:r>
        <w:rPr>
          <w:rFonts w:ascii="楷体_GB2312" w:eastAsia="楷体_GB2312"/>
          <w:sz w:val="32"/>
          <w:szCs w:val="32"/>
          <w:highlight w:val="none"/>
        </w:rPr>
        <w:t>得分</w:t>
      </w:r>
      <w:r>
        <w:rPr>
          <w:rFonts w:hint="eastAsia" w:ascii="楷体_GB2312" w:eastAsia="楷体_GB2312"/>
          <w:sz w:val="32"/>
          <w:szCs w:val="32"/>
          <w:highlight w:val="none"/>
        </w:rPr>
        <w:t>情况</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通过评价，该部门整体支出综合评价得分</w:t>
      </w:r>
      <w:r>
        <w:rPr>
          <w:rFonts w:hint="eastAsia" w:ascii="仿宋_GB2312" w:hAnsi="宋体" w:eastAsia="仿宋_GB2312" w:cs="宋体"/>
          <w:color w:val="000000"/>
          <w:kern w:val="0"/>
          <w:sz w:val="32"/>
          <w:szCs w:val="32"/>
          <w:highlight w:val="none"/>
          <w:lang w:val="en-US" w:eastAsia="zh-CN"/>
        </w:rPr>
        <w:t>93.03</w:t>
      </w:r>
      <w:r>
        <w:rPr>
          <w:rFonts w:hint="eastAsia" w:ascii="仿宋_GB2312" w:hAnsi="宋体" w:eastAsia="仿宋_GB2312" w:cs="宋体"/>
          <w:color w:val="000000"/>
          <w:kern w:val="0"/>
          <w:sz w:val="32"/>
          <w:szCs w:val="32"/>
          <w:highlight w:val="none"/>
        </w:rPr>
        <w:t>分，</w:t>
      </w:r>
      <w:r>
        <w:rPr>
          <w:rFonts w:hint="eastAsia" w:ascii="仿宋_GB2312" w:hAnsi="宋体" w:eastAsia="仿宋_GB2312" w:cs="宋体"/>
          <w:color w:val="000000"/>
          <w:kern w:val="0"/>
          <w:sz w:val="32"/>
          <w:szCs w:val="32"/>
          <w:highlight w:val="none"/>
          <w:lang w:val="en-US" w:eastAsia="zh-CN"/>
        </w:rPr>
        <w:t>部</w:t>
      </w:r>
      <w:r>
        <w:rPr>
          <w:rFonts w:hint="eastAsia" w:ascii="仿宋_GB2312" w:hAnsi="宋体" w:eastAsia="仿宋_GB2312" w:cs="宋体"/>
          <w:color w:val="000000"/>
          <w:kern w:val="0"/>
          <w:sz w:val="32"/>
          <w:szCs w:val="32"/>
          <w:highlight w:val="none"/>
        </w:rPr>
        <w:t>门整体项目综合绩效评定结论为“</w:t>
      </w:r>
      <w:r>
        <w:rPr>
          <w:rFonts w:hint="eastAsia" w:ascii="仿宋_GB2312" w:hAnsi="宋体" w:eastAsia="仿宋_GB2312" w:cs="宋体"/>
          <w:color w:val="000000"/>
          <w:kern w:val="0"/>
          <w:sz w:val="32"/>
          <w:szCs w:val="32"/>
          <w:highlight w:val="none"/>
          <w:lang w:val="en-US" w:eastAsia="zh-CN"/>
        </w:rPr>
        <w:t>优秀</w:t>
      </w:r>
      <w:r>
        <w:rPr>
          <w:rFonts w:hint="eastAsia"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具体评分情况见附件</w:t>
      </w:r>
      <w:r>
        <w:rPr>
          <w:rFonts w:hint="eastAsia" w:ascii="仿宋_GB2312" w:hAnsi="宋体" w:eastAsia="仿宋_GB2312" w:cs="宋体"/>
          <w:color w:val="000000"/>
          <w:kern w:val="0"/>
          <w:sz w:val="32"/>
          <w:szCs w:val="32"/>
          <w:highlight w:val="none"/>
          <w:lang w:val="en-US" w:eastAsia="zh-CN"/>
        </w:rPr>
        <w:t>2-2024年部门整体绩效评价指标体系评分表</w:t>
      </w:r>
      <w:r>
        <w:rPr>
          <w:rFonts w:hint="eastAsia" w:ascii="仿宋_GB2312" w:hAnsi="宋体" w:eastAsia="仿宋_GB2312" w:cs="宋体"/>
          <w:color w:val="000000"/>
          <w:kern w:val="0"/>
          <w:sz w:val="32"/>
          <w:szCs w:val="32"/>
          <w:highlight w:val="none"/>
        </w:rPr>
        <w:t>。</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1.</w:t>
      </w:r>
      <w:r>
        <w:rPr>
          <w:rFonts w:hint="eastAsia" w:ascii="仿宋_GB2312" w:hAnsi="宋体" w:eastAsia="仿宋_GB2312" w:cs="宋体"/>
          <w:color w:val="000000"/>
          <w:kern w:val="0"/>
          <w:sz w:val="32"/>
          <w:szCs w:val="32"/>
          <w:highlight w:val="none"/>
        </w:rPr>
        <w:t>当年预算执行情况</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该指标分值</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0分，评价得分</w:t>
      </w:r>
      <w:r>
        <w:rPr>
          <w:rFonts w:hint="eastAsia" w:ascii="仿宋_GB2312" w:hAnsi="宋体" w:eastAsia="仿宋_GB2312" w:cs="宋体"/>
          <w:color w:val="000000"/>
          <w:kern w:val="0"/>
          <w:sz w:val="32"/>
          <w:szCs w:val="32"/>
          <w:highlight w:val="none"/>
          <w:lang w:val="en-US" w:eastAsia="zh-CN"/>
        </w:rPr>
        <w:t>18.93</w:t>
      </w:r>
      <w:r>
        <w:rPr>
          <w:rFonts w:hint="eastAsia" w:ascii="仿宋_GB2312" w:hAnsi="宋体" w:eastAsia="仿宋_GB2312" w:cs="宋体"/>
          <w:color w:val="000000"/>
          <w:kern w:val="0"/>
          <w:sz w:val="32"/>
          <w:szCs w:val="32"/>
          <w:highlight w:val="none"/>
        </w:rPr>
        <w:t>分。</w:t>
      </w:r>
    </w:p>
    <w:p>
      <w:pPr>
        <w:spacing w:line="600" w:lineRule="exact"/>
        <w:ind w:firstLine="640" w:firstLineChars="200"/>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2024年预算收入4,950.86万元，全部为财政拨款。2024年预算执行4,685.79 万元，其中：基本支出896.70万元，占总支出19.14%；项目支出3,789.09万元，占总支出80.86%。预算执行率94.65%，预算执行情况良好。</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2.整体绩效目标实现情况。</w:t>
      </w:r>
      <w:r>
        <w:rPr>
          <w:rFonts w:hint="eastAsia" w:ascii="仿宋_GB2312" w:hAnsi="宋体" w:eastAsia="仿宋_GB2312" w:cs="宋体"/>
          <w:color w:val="000000"/>
          <w:kern w:val="0"/>
          <w:sz w:val="32"/>
          <w:szCs w:val="32"/>
          <w:highlight w:val="none"/>
        </w:rPr>
        <w:t>该指标分值</w:t>
      </w:r>
      <w:r>
        <w:rPr>
          <w:rFonts w:hint="eastAsia" w:ascii="仿宋_GB2312" w:hAnsi="宋体" w:eastAsia="仿宋_GB2312" w:cs="宋体"/>
          <w:color w:val="000000"/>
          <w:kern w:val="0"/>
          <w:sz w:val="32"/>
          <w:szCs w:val="32"/>
          <w:highlight w:val="none"/>
          <w:lang w:val="en-US" w:eastAsia="zh-CN"/>
        </w:rPr>
        <w:t>6</w:t>
      </w:r>
      <w:r>
        <w:rPr>
          <w:rFonts w:hint="eastAsia" w:ascii="仿宋_GB2312" w:hAnsi="宋体" w:eastAsia="仿宋_GB2312" w:cs="宋体"/>
          <w:color w:val="000000"/>
          <w:kern w:val="0"/>
          <w:sz w:val="32"/>
          <w:szCs w:val="32"/>
          <w:highlight w:val="none"/>
        </w:rPr>
        <w:t>0分，评价得分</w:t>
      </w:r>
      <w:r>
        <w:rPr>
          <w:rFonts w:hint="eastAsia" w:ascii="仿宋_GB2312" w:hAnsi="宋体" w:eastAsia="仿宋_GB2312" w:cs="宋体"/>
          <w:color w:val="000000"/>
          <w:kern w:val="0"/>
          <w:sz w:val="32"/>
          <w:szCs w:val="32"/>
          <w:highlight w:val="none"/>
          <w:lang w:val="en-US" w:eastAsia="zh-CN"/>
        </w:rPr>
        <w:t>55</w:t>
      </w:r>
      <w:r>
        <w:rPr>
          <w:rFonts w:hint="eastAsia" w:ascii="仿宋_GB2312" w:hAnsi="宋体" w:eastAsia="仿宋_GB2312" w:cs="宋体"/>
          <w:color w:val="000000"/>
          <w:kern w:val="0"/>
          <w:sz w:val="32"/>
          <w:szCs w:val="32"/>
          <w:highlight w:val="none"/>
        </w:rPr>
        <w:t>分。</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000000"/>
          <w:kern w:val="0"/>
          <w:sz w:val="32"/>
          <w:szCs w:val="32"/>
          <w:highlight w:val="none"/>
          <w:lang w:val="en-US" w:eastAsia="zh-CN"/>
        </w:rPr>
        <w:t>部门整体</w:t>
      </w:r>
      <w:r>
        <w:rPr>
          <w:rFonts w:hint="eastAsia" w:ascii="仿宋_GB2312" w:hAnsi="宋体" w:eastAsia="仿宋_GB2312" w:cs="宋体"/>
          <w:color w:val="000000"/>
          <w:kern w:val="0"/>
          <w:sz w:val="32"/>
          <w:szCs w:val="32"/>
          <w:highlight w:val="none"/>
        </w:rPr>
        <w:t>项目成本控制情况良好，工作完成及时；</w:t>
      </w:r>
      <w:r>
        <w:rPr>
          <w:rFonts w:hint="eastAsia" w:ascii="仿宋_GB2312" w:hAnsi="宋体" w:eastAsia="仿宋_GB2312" w:cs="宋体"/>
          <w:color w:val="000000"/>
          <w:kern w:val="0"/>
          <w:sz w:val="32"/>
          <w:szCs w:val="32"/>
          <w:highlight w:val="none"/>
          <w:lang w:eastAsia="zh-CN"/>
        </w:rPr>
        <w:t>处因</w:t>
      </w:r>
      <w:r>
        <w:rPr>
          <w:rFonts w:hint="eastAsia" w:ascii="仿宋_GB2312" w:eastAsia="仿宋_GB2312"/>
          <w:color w:val="auto"/>
          <w:sz w:val="32"/>
          <w:szCs w:val="32"/>
          <w:highlight w:val="none"/>
          <w:lang w:eastAsia="zh-CN"/>
        </w:rPr>
        <w:t>年度</w:t>
      </w:r>
      <w:r>
        <w:rPr>
          <w:rFonts w:hint="eastAsia" w:ascii="仿宋_GB2312" w:hAnsi="Times New Roman" w:eastAsia="仿宋_GB2312" w:cs="Times New Roman"/>
          <w:color w:val="auto"/>
          <w:kern w:val="2"/>
          <w:sz w:val="32"/>
          <w:szCs w:val="32"/>
          <w:highlight w:val="none"/>
          <w:lang w:val="en-US" w:eastAsia="zh-CN" w:bidi="ar"/>
        </w:rPr>
        <w:t>部分业务工作调整，少量项目未实施</w:t>
      </w:r>
      <w:r>
        <w:rPr>
          <w:rFonts w:hint="eastAsia" w:ascii="仿宋_GB2312" w:hAnsi="宋体" w:eastAsia="仿宋_GB2312" w:cs="宋体"/>
          <w:color w:val="000000"/>
          <w:kern w:val="0"/>
          <w:sz w:val="32"/>
          <w:szCs w:val="32"/>
          <w:highlight w:val="none"/>
          <w:lang w:val="en-US" w:eastAsia="zh-CN"/>
        </w:rPr>
        <w:t>外，绝大部分</w:t>
      </w:r>
      <w:r>
        <w:rPr>
          <w:rFonts w:hint="eastAsia" w:ascii="仿宋_GB2312" w:hAnsi="宋体" w:eastAsia="仿宋_GB2312" w:cs="宋体"/>
          <w:color w:val="000000"/>
          <w:kern w:val="0"/>
          <w:sz w:val="32"/>
          <w:szCs w:val="32"/>
          <w:highlight w:val="none"/>
        </w:rPr>
        <w:t>项目</w:t>
      </w:r>
      <w:r>
        <w:rPr>
          <w:rFonts w:hint="eastAsia" w:ascii="仿宋_GB2312" w:hAnsi="宋体" w:eastAsia="仿宋_GB2312" w:cs="宋体"/>
          <w:color w:val="000000"/>
          <w:kern w:val="0"/>
          <w:sz w:val="32"/>
          <w:szCs w:val="32"/>
          <w:highlight w:val="none"/>
          <w:lang w:eastAsia="zh-CN"/>
        </w:rPr>
        <w:t>均已</w:t>
      </w:r>
      <w:r>
        <w:rPr>
          <w:rFonts w:hint="eastAsia" w:ascii="仿宋_GB2312" w:hAnsi="宋体" w:eastAsia="仿宋_GB2312" w:cs="宋体"/>
          <w:color w:val="000000"/>
          <w:kern w:val="0"/>
          <w:sz w:val="32"/>
          <w:szCs w:val="32"/>
          <w:highlight w:val="none"/>
        </w:rPr>
        <w:t>实现预期年度目标，完成质量较好</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auto"/>
          <w:kern w:val="0"/>
          <w:sz w:val="32"/>
          <w:szCs w:val="32"/>
          <w:highlight w:val="none"/>
        </w:rPr>
        <w:t>项目实施的社会效益和环境效益较显著，但</w:t>
      </w:r>
      <w:r>
        <w:rPr>
          <w:rFonts w:hint="eastAsia" w:ascii="仿宋_GB2312" w:hAnsi="宋体" w:eastAsia="仿宋_GB2312" w:cs="宋体"/>
          <w:color w:val="auto"/>
          <w:kern w:val="0"/>
          <w:sz w:val="32"/>
          <w:szCs w:val="32"/>
          <w:highlight w:val="none"/>
          <w:lang w:eastAsia="zh-CN"/>
        </w:rPr>
        <w:t>个别</w:t>
      </w:r>
      <w:r>
        <w:rPr>
          <w:rFonts w:hint="eastAsia" w:ascii="仿宋_GB2312" w:hAnsi="宋体" w:eastAsia="仿宋_GB2312" w:cs="宋体"/>
          <w:color w:val="auto"/>
          <w:kern w:val="0"/>
          <w:sz w:val="32"/>
          <w:szCs w:val="32"/>
          <w:highlight w:val="none"/>
        </w:rPr>
        <w:t>项目效益指标设置</w:t>
      </w:r>
      <w:r>
        <w:rPr>
          <w:rFonts w:hint="eastAsia" w:ascii="仿宋_GB2312" w:hAnsi="宋体" w:eastAsia="仿宋_GB2312" w:cs="宋体"/>
          <w:color w:val="auto"/>
          <w:kern w:val="0"/>
          <w:sz w:val="32"/>
          <w:szCs w:val="32"/>
          <w:highlight w:val="none"/>
          <w:lang w:val="en-US" w:eastAsia="zh-CN"/>
        </w:rPr>
        <w:t>不够细化</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未</w:t>
      </w:r>
      <w:r>
        <w:rPr>
          <w:rFonts w:hint="eastAsia" w:ascii="仿宋_GB2312" w:hAnsi="宋体" w:eastAsia="仿宋_GB2312" w:cs="宋体"/>
          <w:color w:val="auto"/>
          <w:kern w:val="0"/>
          <w:sz w:val="32"/>
          <w:szCs w:val="32"/>
          <w:highlight w:val="none"/>
        </w:rPr>
        <w:t>提炼可量化的效益指标，</w:t>
      </w:r>
      <w:r>
        <w:rPr>
          <w:rFonts w:hint="eastAsia" w:ascii="仿宋_GB2312" w:hAnsi="宋体" w:eastAsia="仿宋_GB2312" w:cs="宋体"/>
          <w:color w:val="auto"/>
          <w:kern w:val="0"/>
          <w:sz w:val="32"/>
          <w:szCs w:val="32"/>
          <w:highlight w:val="none"/>
          <w:lang w:val="en-US" w:eastAsia="zh-CN"/>
        </w:rPr>
        <w:t>不</w:t>
      </w:r>
      <w:r>
        <w:rPr>
          <w:rFonts w:hint="eastAsia" w:ascii="仿宋_GB2312" w:hAnsi="宋体" w:eastAsia="仿宋_GB2312" w:cs="宋体"/>
          <w:color w:val="auto"/>
          <w:kern w:val="0"/>
          <w:sz w:val="32"/>
          <w:szCs w:val="32"/>
          <w:highlight w:val="none"/>
        </w:rPr>
        <w:t>利于指导项目有效实施</w:t>
      </w:r>
      <w:r>
        <w:rPr>
          <w:rFonts w:hint="eastAsia" w:ascii="仿宋_GB2312" w:hAnsi="宋体" w:eastAsia="仿宋_GB2312" w:cs="宋体"/>
          <w:color w:val="auto"/>
          <w:kern w:val="0"/>
          <w:sz w:val="32"/>
          <w:szCs w:val="32"/>
          <w:highlight w:val="none"/>
          <w:lang w:val="en-US" w:eastAsia="zh-CN"/>
        </w:rPr>
        <w:t>及</w:t>
      </w:r>
      <w:r>
        <w:rPr>
          <w:rFonts w:hint="eastAsia" w:ascii="仿宋_GB2312" w:hAnsi="宋体" w:eastAsia="仿宋_GB2312" w:cs="宋体"/>
          <w:color w:val="auto"/>
          <w:kern w:val="0"/>
          <w:sz w:val="32"/>
          <w:szCs w:val="32"/>
          <w:highlight w:val="none"/>
        </w:rPr>
        <w:t>评价。</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rPr>
        <w:t>预算管理情况</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该指标分值</w:t>
      </w:r>
      <w:r>
        <w:rPr>
          <w:rFonts w:hint="eastAsia" w:ascii="仿宋_GB2312" w:hAnsi="宋体" w:eastAsia="仿宋_GB2312" w:cs="宋体"/>
          <w:color w:val="000000"/>
          <w:kern w:val="0"/>
          <w:sz w:val="32"/>
          <w:szCs w:val="32"/>
          <w:highlight w:val="none"/>
          <w:lang w:val="en-US" w:eastAsia="zh-CN"/>
        </w:rPr>
        <w:t>20</w:t>
      </w:r>
      <w:r>
        <w:rPr>
          <w:rFonts w:hint="eastAsia" w:ascii="仿宋_GB2312" w:hAnsi="宋体" w:eastAsia="仿宋_GB2312" w:cs="宋体"/>
          <w:color w:val="000000"/>
          <w:kern w:val="0"/>
          <w:sz w:val="32"/>
          <w:szCs w:val="32"/>
          <w:highlight w:val="none"/>
        </w:rPr>
        <w:t>分，评价得分</w:t>
      </w:r>
      <w:r>
        <w:rPr>
          <w:rFonts w:hint="eastAsia" w:ascii="仿宋_GB2312" w:hAnsi="宋体" w:eastAsia="仿宋_GB2312" w:cs="宋体"/>
          <w:color w:val="000000"/>
          <w:kern w:val="0"/>
          <w:sz w:val="32"/>
          <w:szCs w:val="32"/>
          <w:highlight w:val="none"/>
          <w:lang w:val="en-US" w:eastAsia="zh-CN"/>
        </w:rPr>
        <w:t>19.10</w:t>
      </w:r>
      <w:r>
        <w:rPr>
          <w:rFonts w:hint="eastAsia" w:ascii="仿宋_GB2312" w:hAnsi="宋体" w:eastAsia="仿宋_GB2312" w:cs="宋体"/>
          <w:color w:val="000000"/>
          <w:kern w:val="0"/>
          <w:sz w:val="32"/>
          <w:szCs w:val="32"/>
          <w:highlight w:val="none"/>
        </w:rPr>
        <w:t>分。</w:t>
      </w:r>
    </w:p>
    <w:p>
      <w:pPr>
        <w:spacing w:line="60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val="en-US" w:eastAsia="zh-CN"/>
        </w:rPr>
        <w:t>财务管理方面：</w:t>
      </w:r>
      <w:r>
        <w:rPr>
          <w:rFonts w:hint="eastAsia" w:ascii="仿宋_GB2312" w:hAnsi="宋体" w:eastAsia="仿宋_GB2312" w:cs="宋体"/>
          <w:color w:val="000000"/>
          <w:kern w:val="0"/>
          <w:sz w:val="32"/>
          <w:szCs w:val="32"/>
          <w:highlight w:val="none"/>
        </w:rPr>
        <w:t>资金使用符合预算管理制度的相关规定，符合规定的开支范围</w:t>
      </w:r>
      <w:r>
        <w:rPr>
          <w:rFonts w:hint="eastAsia" w:ascii="仿宋_GB2312" w:hAnsi="宋体" w:eastAsia="仿宋_GB2312" w:cs="宋体"/>
          <w:color w:val="000000"/>
          <w:kern w:val="0"/>
          <w:sz w:val="32"/>
          <w:szCs w:val="32"/>
          <w:highlight w:val="none"/>
          <w:lang w:eastAsia="zh-CN"/>
        </w:rPr>
        <w:t>；基础数据信息和会计信息资料真实、完整、准确。</w:t>
      </w:r>
      <w:r>
        <w:rPr>
          <w:rFonts w:hint="eastAsia" w:ascii="仿宋_GB2312" w:hAnsi="宋体" w:eastAsia="仿宋_GB2312" w:cs="宋体"/>
          <w:color w:val="000000"/>
          <w:kern w:val="0"/>
          <w:sz w:val="32"/>
          <w:szCs w:val="32"/>
          <w:highlight w:val="none"/>
          <w:lang w:val="en-US" w:eastAsia="zh-CN"/>
        </w:rPr>
        <w:t>未单独制订绩效跟踪管理办法。</w:t>
      </w:r>
    </w:p>
    <w:p>
      <w:pPr>
        <w:spacing w:line="60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资产管理</w:t>
      </w:r>
      <w:r>
        <w:rPr>
          <w:rFonts w:hint="eastAsia" w:ascii="仿宋_GB2312" w:hAnsi="宋体" w:eastAsia="仿宋_GB2312" w:cs="宋体"/>
          <w:color w:val="000000"/>
          <w:kern w:val="0"/>
          <w:sz w:val="32"/>
          <w:szCs w:val="32"/>
          <w:highlight w:val="none"/>
          <w:lang w:val="en-US" w:eastAsia="zh-CN"/>
        </w:rPr>
        <w:t>方面</w:t>
      </w:r>
      <w:r>
        <w:rPr>
          <w:rFonts w:hint="eastAsia" w:ascii="仿宋_GB2312" w:hAnsi="宋体" w:eastAsia="仿宋_GB2312" w:cs="宋体"/>
          <w:color w:val="000000"/>
          <w:kern w:val="0"/>
          <w:sz w:val="32"/>
          <w:szCs w:val="32"/>
          <w:highlight w:val="none"/>
          <w:lang w:eastAsia="zh-CN"/>
        </w:rPr>
        <w:t>：部门的资产保持安全完整，资产配置合理，资产使用和资产处理规</w:t>
      </w:r>
      <w:r>
        <w:rPr>
          <w:rFonts w:hint="eastAsia" w:ascii="仿宋_GB2312" w:hAnsi="宋体" w:eastAsia="仿宋_GB2312" w:cs="宋体"/>
          <w:color w:val="000000"/>
          <w:kern w:val="0"/>
          <w:sz w:val="32"/>
          <w:szCs w:val="32"/>
          <w:highlight w:val="none"/>
        </w:rPr>
        <w:t>范</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不存在管理不当发生严重资产损失、丢失、超标准配置资产等情况</w:t>
      </w:r>
      <w:r>
        <w:rPr>
          <w:rFonts w:hint="eastAsia" w:ascii="仿宋_GB2312" w:hAnsi="宋体" w:eastAsia="仿宋_GB2312" w:cs="宋体"/>
          <w:color w:val="000000"/>
          <w:kern w:val="0"/>
          <w:sz w:val="32"/>
          <w:szCs w:val="32"/>
          <w:highlight w:val="none"/>
          <w:lang w:eastAsia="zh-CN"/>
        </w:rPr>
        <w:t>。</w:t>
      </w:r>
    </w:p>
    <w:p>
      <w:pPr>
        <w:spacing w:line="600" w:lineRule="exact"/>
        <w:ind w:firstLine="640" w:firstLineChars="20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eastAsia="zh-CN"/>
        </w:rPr>
        <w:t>绩效管理</w:t>
      </w:r>
      <w:r>
        <w:rPr>
          <w:rFonts w:hint="eastAsia" w:ascii="仿宋_GB2312" w:hAnsi="宋体" w:eastAsia="仿宋_GB2312" w:cs="宋体"/>
          <w:color w:val="000000"/>
          <w:kern w:val="0"/>
          <w:sz w:val="32"/>
          <w:szCs w:val="32"/>
          <w:highlight w:val="none"/>
          <w:lang w:val="en-US" w:eastAsia="zh-CN"/>
        </w:rPr>
        <w:t>方面：</w:t>
      </w:r>
      <w:r>
        <w:rPr>
          <w:rFonts w:hint="eastAsia" w:ascii="仿宋_GB2312" w:hAnsi="宋体" w:eastAsia="仿宋_GB2312" w:cs="宋体"/>
          <w:color w:val="000000"/>
          <w:kern w:val="0"/>
          <w:sz w:val="32"/>
          <w:szCs w:val="32"/>
          <w:highlight w:val="none"/>
          <w:lang w:eastAsia="zh-CN"/>
        </w:rPr>
        <w:t>部门</w:t>
      </w:r>
      <w:r>
        <w:rPr>
          <w:rFonts w:hint="eastAsia" w:ascii="仿宋_GB2312" w:hAnsi="宋体" w:eastAsia="仿宋_GB2312" w:cs="宋体"/>
          <w:color w:val="000000"/>
          <w:kern w:val="0"/>
          <w:sz w:val="32"/>
          <w:szCs w:val="32"/>
          <w:highlight w:val="none"/>
          <w:lang w:val="en-US" w:eastAsia="zh-CN"/>
        </w:rPr>
        <w:t>已</w:t>
      </w:r>
      <w:r>
        <w:rPr>
          <w:rFonts w:hint="eastAsia" w:ascii="仿宋_GB2312" w:hAnsi="宋体" w:eastAsia="仿宋_GB2312" w:cs="宋体"/>
          <w:color w:val="000000"/>
          <w:kern w:val="0"/>
          <w:sz w:val="32"/>
          <w:szCs w:val="32"/>
          <w:highlight w:val="none"/>
          <w:lang w:eastAsia="zh-CN"/>
        </w:rPr>
        <w:t>及时对绩效信息进行汇总分析，</w:t>
      </w:r>
      <w:r>
        <w:rPr>
          <w:rFonts w:hint="eastAsia" w:ascii="仿宋_GB2312" w:hAnsi="宋体" w:eastAsia="仿宋_GB2312" w:cs="宋体"/>
          <w:color w:val="000000"/>
          <w:kern w:val="0"/>
          <w:sz w:val="32"/>
          <w:szCs w:val="32"/>
          <w:highlight w:val="none"/>
          <w:lang w:val="en-US" w:eastAsia="zh-CN"/>
        </w:rPr>
        <w:t>对绩效目标偏离情况及时进行矫正。</w:t>
      </w:r>
    </w:p>
    <w:p>
      <w:pPr>
        <w:spacing w:line="600" w:lineRule="exact"/>
        <w:ind w:left="105" w:leftChars="50" w:firstLine="480" w:firstLineChars="150"/>
        <w:outlineLvl w:val="1"/>
        <w:rPr>
          <w:rFonts w:hint="eastAsia" w:ascii="楷体_GB2312" w:eastAsia="楷体_GB2312"/>
          <w:sz w:val="32"/>
          <w:szCs w:val="32"/>
          <w:highlight w:val="none"/>
        </w:rPr>
      </w:pPr>
      <w:r>
        <w:rPr>
          <w:rFonts w:hint="eastAsia" w:ascii="楷体_GB2312" w:eastAsia="楷体_GB2312"/>
          <w:sz w:val="32"/>
          <w:szCs w:val="32"/>
          <w:highlight w:val="none"/>
        </w:rPr>
        <w:t>（二）存在的问题及原因分析</w:t>
      </w:r>
    </w:p>
    <w:p>
      <w:pPr>
        <w:spacing w:line="600" w:lineRule="exact"/>
        <w:ind w:firstLine="640" w:firstLineChars="200"/>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1.部分项目未实施。</w:t>
      </w:r>
      <w:r>
        <w:rPr>
          <w:rFonts w:hint="eastAsia" w:ascii="仿宋_GB2312" w:hAnsi="宋体" w:eastAsia="仿宋_GB2312" w:cs="仿宋_GB2312"/>
          <w:i w:val="0"/>
          <w:iCs w:val="0"/>
          <w:color w:val="auto"/>
          <w:kern w:val="0"/>
          <w:sz w:val="32"/>
          <w:szCs w:val="32"/>
          <w:highlight w:val="none"/>
          <w:u w:val="none"/>
          <w:lang w:val="en-US" w:eastAsia="zh-CN" w:bidi="ar"/>
        </w:rPr>
        <w:t>因</w:t>
      </w:r>
      <w:r>
        <w:rPr>
          <w:rFonts w:hint="eastAsia" w:ascii="仿宋_GB2312" w:eastAsia="仿宋_GB2312"/>
          <w:color w:val="auto"/>
          <w:sz w:val="32"/>
          <w:szCs w:val="32"/>
          <w:highlight w:val="none"/>
          <w:lang w:eastAsia="zh-CN"/>
        </w:rPr>
        <w:t>年度</w:t>
      </w:r>
      <w:r>
        <w:rPr>
          <w:rFonts w:hint="eastAsia" w:ascii="仿宋_GB2312" w:hAnsi="Times New Roman" w:eastAsia="仿宋_GB2312" w:cs="Times New Roman"/>
          <w:color w:val="auto"/>
          <w:kern w:val="2"/>
          <w:sz w:val="32"/>
          <w:szCs w:val="32"/>
          <w:highlight w:val="none"/>
          <w:lang w:val="en-US" w:eastAsia="zh-CN" w:bidi="ar"/>
        </w:rPr>
        <w:t>部分业务工作调整，少量项目未实施</w:t>
      </w:r>
      <w:r>
        <w:rPr>
          <w:rFonts w:hint="eastAsia" w:ascii="仿宋_GB2312" w:hAnsi="宋体" w:eastAsia="仿宋_GB2312" w:cs="宋体"/>
          <w:color w:val="000000"/>
          <w:kern w:val="0"/>
          <w:sz w:val="32"/>
          <w:szCs w:val="32"/>
          <w:highlight w:val="none"/>
          <w:lang w:val="en-US" w:eastAsia="zh-CN"/>
        </w:rPr>
        <w:t xml:space="preserve">，影响资金使用效益，财政资金未得到有效利用。 </w:t>
      </w:r>
    </w:p>
    <w:p>
      <w:pPr>
        <w:spacing w:line="600" w:lineRule="exact"/>
        <w:ind w:firstLine="640" w:firstLineChars="20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2.产出数量目标与实际完成量不匹配。部分项目数量指标实际完成值偏离设定值较大，</w:t>
      </w:r>
      <w:bookmarkStart w:id="0" w:name="_GoBack"/>
      <w:bookmarkEnd w:id="0"/>
      <w:r>
        <w:rPr>
          <w:rFonts w:hint="eastAsia" w:ascii="仿宋_GB2312" w:hAnsi="宋体" w:eastAsia="仿宋_GB2312" w:cs="宋体"/>
          <w:color w:val="000000"/>
          <w:kern w:val="0"/>
          <w:sz w:val="32"/>
          <w:szCs w:val="32"/>
          <w:highlight w:val="none"/>
          <w:lang w:val="en-US" w:eastAsia="zh-CN"/>
        </w:rPr>
        <w:t>绩效指标设定值与实际完成量不匹配，可能导致资源和支持不足。</w:t>
      </w:r>
    </w:p>
    <w:p>
      <w:pPr>
        <w:spacing w:line="60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highlight w:val="none"/>
          <w:lang w:val="en-US" w:eastAsia="zh-CN"/>
        </w:rPr>
        <w:t>3.项目支出效益指标设定不够细化。</w:t>
      </w:r>
      <w:r>
        <w:rPr>
          <w:rFonts w:hint="eastAsia" w:ascii="仿宋_GB2312" w:hAnsi="宋体" w:eastAsia="仿宋_GB2312" w:cs="宋体"/>
          <w:color w:val="000000"/>
          <w:kern w:val="0"/>
          <w:sz w:val="32"/>
          <w:szCs w:val="32"/>
          <w:lang w:val="en-US" w:eastAsia="zh-CN"/>
        </w:rPr>
        <w:t>部分效益指标未设定具体的经济效益指标、社会效益指标、生态效益指标以及可持续影响指标，且未提炼可量化的效益指标，不利于对项目完成情况进行考量。</w:t>
      </w:r>
    </w:p>
    <w:p>
      <w:pPr>
        <w:spacing w:line="60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4.管理制度需要进一步完善。未制订单独的绩效跟踪管理办法，日常绩效管理工作参照市级相关文件执行，不利于持续有效推动部门绩效目标的实现。</w:t>
      </w:r>
    </w:p>
    <w:p>
      <w:pPr>
        <w:spacing w:line="600" w:lineRule="exact"/>
        <w:ind w:firstLine="640" w:firstLineChars="200"/>
        <w:outlineLvl w:val="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pPr>
        <w:spacing w:line="600" w:lineRule="exact"/>
        <w:ind w:left="105" w:leftChars="50" w:firstLine="480" w:firstLineChars="150"/>
        <w:outlineLvl w:val="1"/>
        <w:rPr>
          <w:rFonts w:hint="default" w:ascii="楷体_GB2312" w:eastAsia="楷体_GB2312"/>
          <w:sz w:val="32"/>
          <w:szCs w:val="32"/>
          <w:highlight w:val="none"/>
          <w:lang w:val="en-US" w:eastAsia="zh-CN"/>
        </w:rPr>
      </w:pPr>
      <w:r>
        <w:rPr>
          <w:rFonts w:hint="eastAsia" w:ascii="楷体_GB2312" w:eastAsia="楷体_GB2312"/>
          <w:sz w:val="32"/>
          <w:szCs w:val="32"/>
          <w:highlight w:val="none"/>
          <w:lang w:val="en-US" w:eastAsia="zh-CN"/>
        </w:rPr>
        <w:t>（一）加强预算编制，强化预算执行监督</w:t>
      </w:r>
    </w:p>
    <w:p>
      <w:pPr>
        <w:pStyle w:val="2"/>
        <w:outlineLvl w:val="9"/>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bidi="ar-SA"/>
        </w:rPr>
        <w:t>加强预算编制的科学性和合理性，确保预算编制过程充分考虑实际情况，避免预算安排与资金统筹衔接不够，提高预算的精准性和可执行性</w:t>
      </w:r>
      <w:r>
        <w:rPr>
          <w:rFonts w:hint="eastAsia" w:ascii="仿宋_GB2312" w:hAnsi="宋体" w:eastAsia="仿宋_GB2312" w:cs="宋体"/>
          <w:color w:val="000000"/>
          <w:kern w:val="0"/>
          <w:sz w:val="32"/>
          <w:szCs w:val="32"/>
          <w:lang w:val="en-US" w:eastAsia="zh-CN"/>
        </w:rPr>
        <w:t>，以减少财政性资金的二次分配。加强对预算执行情况的监督，及时发现和解决问题，提高预算执行率，确保财政资金的有效使用。</w:t>
      </w:r>
    </w:p>
    <w:p>
      <w:pPr>
        <w:spacing w:line="600" w:lineRule="exact"/>
        <w:ind w:left="105" w:leftChars="50" w:firstLine="480" w:firstLineChars="150"/>
        <w:outlineLvl w:val="1"/>
        <w:rPr>
          <w:rFonts w:hint="eastAsia" w:ascii="楷体_GB2312" w:eastAsia="楷体_GB2312"/>
          <w:sz w:val="32"/>
          <w:szCs w:val="32"/>
          <w:highlight w:val="none"/>
          <w:lang w:val="en-US" w:eastAsia="zh-CN"/>
        </w:rPr>
      </w:pPr>
      <w:r>
        <w:rPr>
          <w:rFonts w:hint="eastAsia" w:ascii="楷体_GB2312" w:eastAsia="楷体_GB2312"/>
          <w:sz w:val="32"/>
          <w:szCs w:val="32"/>
          <w:highlight w:val="none"/>
          <w:lang w:val="en-US" w:eastAsia="zh-CN"/>
        </w:rPr>
        <w:t>（二）加强绩效指标设置</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bidi="ar-SA"/>
        </w:rPr>
        <w:t>进一步加强绩效指标设置的精细化和科学化，</w:t>
      </w:r>
      <w:r>
        <w:rPr>
          <w:rFonts w:hint="eastAsia" w:ascii="仿宋_GB2312" w:hAnsi="宋体" w:eastAsia="仿宋_GB2312" w:cs="宋体"/>
          <w:color w:val="000000"/>
          <w:kern w:val="0"/>
          <w:sz w:val="32"/>
          <w:szCs w:val="32"/>
          <w:highlight w:val="none"/>
        </w:rPr>
        <w:t>清晰反映预算资金的预期产出和效果，</w:t>
      </w:r>
      <w:r>
        <w:rPr>
          <w:rFonts w:hint="eastAsia" w:ascii="仿宋_GB2312" w:hAnsi="宋体" w:eastAsia="仿宋_GB2312" w:cs="宋体"/>
          <w:color w:val="000000"/>
          <w:kern w:val="0"/>
          <w:sz w:val="32"/>
          <w:szCs w:val="32"/>
          <w:highlight w:val="none"/>
          <w:lang w:val="en-US" w:eastAsia="zh-CN"/>
        </w:rPr>
        <w:t>对</w:t>
      </w:r>
      <w:r>
        <w:rPr>
          <w:rFonts w:hint="eastAsia" w:ascii="仿宋_GB2312" w:hAnsi="宋体" w:eastAsia="仿宋_GB2312" w:cs="宋体"/>
          <w:color w:val="000000"/>
          <w:kern w:val="0"/>
          <w:sz w:val="32"/>
          <w:szCs w:val="32"/>
          <w:highlight w:val="none"/>
        </w:rPr>
        <w:t>相应的绩效指标予以细化、量化描述。</w:t>
      </w:r>
      <w:r>
        <w:rPr>
          <w:rFonts w:hint="eastAsia" w:ascii="仿宋_GB2312" w:hAnsi="宋体" w:eastAsia="仿宋_GB2312" w:cs="宋体"/>
          <w:color w:val="000000"/>
          <w:kern w:val="0"/>
          <w:sz w:val="32"/>
          <w:szCs w:val="32"/>
          <w:highlight w:val="none"/>
          <w:lang w:val="en-US" w:eastAsia="zh-CN" w:bidi="ar-SA"/>
        </w:rPr>
        <w:t>根据各项目的独特性和实际要求，设置既符合项目整体目标，又能充分反映项目实际成效的可衡量性指标。</w:t>
      </w:r>
    </w:p>
    <w:p>
      <w:pPr>
        <w:spacing w:line="600" w:lineRule="exact"/>
        <w:ind w:left="105" w:leftChars="50" w:firstLine="480" w:firstLineChars="150"/>
        <w:outlineLvl w:val="1"/>
        <w:rPr>
          <w:rFonts w:hint="eastAsia" w:ascii="楷体_GB2312" w:eastAsia="楷体_GB2312"/>
          <w:sz w:val="32"/>
          <w:szCs w:val="32"/>
          <w:highlight w:val="none"/>
          <w:lang w:val="en-US" w:eastAsia="zh-CN"/>
        </w:rPr>
      </w:pPr>
      <w:r>
        <w:rPr>
          <w:rFonts w:hint="eastAsia" w:ascii="楷体_GB2312" w:eastAsia="楷体_GB2312"/>
          <w:sz w:val="32"/>
          <w:szCs w:val="32"/>
          <w:highlight w:val="none"/>
          <w:lang w:val="en-US" w:eastAsia="zh-CN"/>
        </w:rPr>
        <w:t>（三）完善绩效跟踪管理制度</w:t>
      </w:r>
    </w:p>
    <w:p>
      <w:pPr>
        <w:pStyle w:val="5"/>
      </w:pPr>
      <w:r>
        <w:rPr>
          <w:rFonts w:hint="eastAsia" w:ascii="仿宋_GB2312" w:hAnsi="宋体" w:cs="宋体"/>
          <w:color w:val="000000"/>
          <w:kern w:val="0"/>
          <w:sz w:val="32"/>
          <w:szCs w:val="32"/>
          <w:highlight w:val="none"/>
          <w:lang w:val="en-US" w:eastAsia="zh-CN"/>
        </w:rPr>
        <w:t>建立单独的</w:t>
      </w:r>
      <w:r>
        <w:rPr>
          <w:rFonts w:hint="eastAsia" w:ascii="仿宋_GB2312" w:hAnsi="宋体" w:eastAsia="仿宋_GB2312" w:cs="宋体"/>
          <w:color w:val="000000"/>
          <w:kern w:val="0"/>
          <w:sz w:val="32"/>
          <w:szCs w:val="32"/>
          <w:highlight w:val="none"/>
        </w:rPr>
        <w:t>绩效跟踪管理</w:t>
      </w:r>
      <w:r>
        <w:rPr>
          <w:rFonts w:hint="eastAsia" w:ascii="仿宋_GB2312" w:hAnsi="宋体" w:cs="宋体"/>
          <w:color w:val="000000"/>
          <w:kern w:val="0"/>
          <w:sz w:val="32"/>
          <w:szCs w:val="32"/>
          <w:highlight w:val="none"/>
          <w:lang w:val="en-US" w:eastAsia="zh-CN"/>
        </w:rPr>
        <w:t>办法</w:t>
      </w:r>
      <w:r>
        <w:rPr>
          <w:rFonts w:hint="eastAsia" w:ascii="仿宋_GB2312" w:hAnsi="宋体" w:eastAsia="仿宋_GB2312" w:cs="宋体"/>
          <w:color w:val="000000"/>
          <w:kern w:val="0"/>
          <w:sz w:val="32"/>
          <w:szCs w:val="32"/>
          <w:highlight w:val="none"/>
        </w:rPr>
        <w:t>，结合实际情况，</w:t>
      </w:r>
      <w:r>
        <w:rPr>
          <w:rFonts w:hint="eastAsia" w:ascii="仿宋_GB2312" w:hAnsi="宋体" w:cs="宋体"/>
          <w:color w:val="000000"/>
          <w:kern w:val="0"/>
          <w:sz w:val="32"/>
          <w:szCs w:val="32"/>
          <w:highlight w:val="none"/>
          <w:lang w:val="en-US" w:eastAsia="zh-CN"/>
        </w:rPr>
        <w:t>建立</w:t>
      </w:r>
      <w:r>
        <w:rPr>
          <w:rFonts w:hint="eastAsia" w:ascii="仿宋_GB2312" w:hAnsi="宋体" w:eastAsia="仿宋_GB2312" w:cs="宋体"/>
          <w:color w:val="000000"/>
          <w:kern w:val="0"/>
          <w:sz w:val="32"/>
          <w:szCs w:val="32"/>
          <w:highlight w:val="none"/>
        </w:rPr>
        <w:t>系统的流程和标准，监控</w:t>
      </w:r>
      <w:r>
        <w:rPr>
          <w:rFonts w:hint="eastAsia" w:ascii="仿宋_GB2312" w:hAnsi="宋体" w:cs="宋体"/>
          <w:color w:val="000000"/>
          <w:kern w:val="0"/>
          <w:sz w:val="32"/>
          <w:szCs w:val="32"/>
          <w:highlight w:val="none"/>
          <w:lang w:val="en-US" w:eastAsia="zh-CN"/>
        </w:rPr>
        <w:t>项目</w:t>
      </w:r>
      <w:r>
        <w:rPr>
          <w:rFonts w:hint="eastAsia" w:ascii="仿宋_GB2312" w:hAnsi="宋体" w:eastAsia="仿宋_GB2312" w:cs="宋体"/>
          <w:color w:val="000000"/>
          <w:kern w:val="0"/>
          <w:sz w:val="32"/>
          <w:szCs w:val="32"/>
          <w:highlight w:val="none"/>
        </w:rPr>
        <w:t>执行的效果，</w:t>
      </w:r>
      <w:r>
        <w:rPr>
          <w:rFonts w:hint="eastAsia" w:ascii="仿宋_GB2312" w:hAnsi="宋体" w:cs="宋体"/>
          <w:color w:val="000000"/>
          <w:kern w:val="0"/>
          <w:sz w:val="32"/>
          <w:szCs w:val="32"/>
          <w:highlight w:val="none"/>
          <w:lang w:val="en-US" w:eastAsia="zh-CN"/>
        </w:rPr>
        <w:t>以</w:t>
      </w:r>
      <w:r>
        <w:rPr>
          <w:rFonts w:hint="eastAsia" w:ascii="仿宋_GB2312" w:hAnsi="宋体" w:eastAsia="仿宋_GB2312" w:cs="宋体"/>
          <w:color w:val="000000"/>
          <w:kern w:val="0"/>
          <w:sz w:val="32"/>
          <w:szCs w:val="32"/>
          <w:highlight w:val="none"/>
        </w:rPr>
        <w:t>及时发现和纠正偏差，从而确保</w:t>
      </w:r>
      <w:r>
        <w:rPr>
          <w:rFonts w:hint="eastAsia" w:ascii="仿宋_GB2312" w:hAnsi="宋体" w:cs="宋体"/>
          <w:color w:val="000000"/>
          <w:kern w:val="0"/>
          <w:sz w:val="32"/>
          <w:szCs w:val="32"/>
          <w:highlight w:val="none"/>
          <w:lang w:val="en-US" w:eastAsia="zh-CN"/>
        </w:rPr>
        <w:t>开展</w:t>
      </w:r>
      <w:r>
        <w:rPr>
          <w:rFonts w:hint="eastAsia" w:ascii="仿宋_GB2312" w:hAnsi="宋体" w:eastAsia="仿宋_GB2312" w:cs="宋体"/>
          <w:color w:val="000000"/>
          <w:kern w:val="0"/>
          <w:sz w:val="32"/>
          <w:szCs w:val="32"/>
          <w:highlight w:val="none"/>
        </w:rPr>
        <w:t>的各项活动都能朝着既定的目标前进</w:t>
      </w:r>
      <w:r>
        <w:rPr>
          <w:rFonts w:hint="eastAsia" w:ascii="仿宋_GB2312" w:hAnsi="宋体"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提高</w:t>
      </w:r>
      <w:r>
        <w:rPr>
          <w:rFonts w:hint="eastAsia" w:ascii="仿宋_GB2312" w:hAnsi="宋体" w:cs="宋体"/>
          <w:color w:val="000000"/>
          <w:kern w:val="0"/>
          <w:sz w:val="32"/>
          <w:szCs w:val="32"/>
          <w:highlight w:val="none"/>
          <w:lang w:val="en-US" w:eastAsia="zh-CN"/>
        </w:rPr>
        <w:t>部门</w:t>
      </w:r>
      <w:r>
        <w:rPr>
          <w:rFonts w:hint="eastAsia" w:ascii="仿宋_GB2312" w:hAnsi="宋体" w:eastAsia="仿宋_GB2312" w:cs="宋体"/>
          <w:color w:val="000000"/>
          <w:kern w:val="0"/>
          <w:sz w:val="32"/>
          <w:szCs w:val="32"/>
          <w:highlight w:val="none"/>
        </w:rPr>
        <w:t>整体运营效率。</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yMWY5YWRkMzczNjQ0NmQ0ZDI5MTU3MThiYWFmMWEifQ=="/>
  </w:docVars>
  <w:rsids>
    <w:rsidRoot w:val="F77F09F4"/>
    <w:rsid w:val="00A041A1"/>
    <w:rsid w:val="01795405"/>
    <w:rsid w:val="06703840"/>
    <w:rsid w:val="06F25AAD"/>
    <w:rsid w:val="07FE66CB"/>
    <w:rsid w:val="093F6F9B"/>
    <w:rsid w:val="09B90AFC"/>
    <w:rsid w:val="0AEE2A27"/>
    <w:rsid w:val="0AFA13CC"/>
    <w:rsid w:val="0AFF5183"/>
    <w:rsid w:val="0BE508DA"/>
    <w:rsid w:val="0D181FDD"/>
    <w:rsid w:val="0DEF6259"/>
    <w:rsid w:val="0ED32FD6"/>
    <w:rsid w:val="0EEE2EF9"/>
    <w:rsid w:val="0F845A3E"/>
    <w:rsid w:val="11032E35"/>
    <w:rsid w:val="137668AA"/>
    <w:rsid w:val="139879D4"/>
    <w:rsid w:val="14353475"/>
    <w:rsid w:val="14871E7B"/>
    <w:rsid w:val="154F0566"/>
    <w:rsid w:val="15D9474F"/>
    <w:rsid w:val="175F602C"/>
    <w:rsid w:val="18184E35"/>
    <w:rsid w:val="194F4205"/>
    <w:rsid w:val="1B7927E1"/>
    <w:rsid w:val="1CD35F20"/>
    <w:rsid w:val="1E20754D"/>
    <w:rsid w:val="1E6B6FD2"/>
    <w:rsid w:val="1EC51899"/>
    <w:rsid w:val="1F572A88"/>
    <w:rsid w:val="1FD32CB8"/>
    <w:rsid w:val="20CD4D49"/>
    <w:rsid w:val="21B72769"/>
    <w:rsid w:val="22237002"/>
    <w:rsid w:val="22284619"/>
    <w:rsid w:val="22831041"/>
    <w:rsid w:val="2319729F"/>
    <w:rsid w:val="234E00AF"/>
    <w:rsid w:val="24561DB9"/>
    <w:rsid w:val="27781BD7"/>
    <w:rsid w:val="294D5A2E"/>
    <w:rsid w:val="29583A35"/>
    <w:rsid w:val="29B42C36"/>
    <w:rsid w:val="29BA5EFC"/>
    <w:rsid w:val="2AAE7271"/>
    <w:rsid w:val="2BC453B2"/>
    <w:rsid w:val="2D727090"/>
    <w:rsid w:val="2D842792"/>
    <w:rsid w:val="2DDD3A65"/>
    <w:rsid w:val="2EEDC30F"/>
    <w:rsid w:val="2F2F348A"/>
    <w:rsid w:val="2F796E13"/>
    <w:rsid w:val="2FBF2903"/>
    <w:rsid w:val="3066076F"/>
    <w:rsid w:val="3071362F"/>
    <w:rsid w:val="30D616E4"/>
    <w:rsid w:val="31AF6465"/>
    <w:rsid w:val="31D8182F"/>
    <w:rsid w:val="321FC9DE"/>
    <w:rsid w:val="324043DE"/>
    <w:rsid w:val="32FB5F17"/>
    <w:rsid w:val="33EF87A5"/>
    <w:rsid w:val="34E00D83"/>
    <w:rsid w:val="35DFEE32"/>
    <w:rsid w:val="35EE07E9"/>
    <w:rsid w:val="35FF05B9"/>
    <w:rsid w:val="360B1E2F"/>
    <w:rsid w:val="362D323C"/>
    <w:rsid w:val="37152F66"/>
    <w:rsid w:val="37173543"/>
    <w:rsid w:val="37691503"/>
    <w:rsid w:val="3797AD26"/>
    <w:rsid w:val="37DE1E41"/>
    <w:rsid w:val="396D70FD"/>
    <w:rsid w:val="39F9464B"/>
    <w:rsid w:val="3A076100"/>
    <w:rsid w:val="3CCECFA2"/>
    <w:rsid w:val="3CDC5A84"/>
    <w:rsid w:val="3D97DD9E"/>
    <w:rsid w:val="3DD37CB5"/>
    <w:rsid w:val="3DE7D1AC"/>
    <w:rsid w:val="3E7456E1"/>
    <w:rsid w:val="3FF76880"/>
    <w:rsid w:val="41336552"/>
    <w:rsid w:val="43D604A5"/>
    <w:rsid w:val="442C7B41"/>
    <w:rsid w:val="442F508C"/>
    <w:rsid w:val="45FE35B8"/>
    <w:rsid w:val="46CE77DF"/>
    <w:rsid w:val="46F56910"/>
    <w:rsid w:val="47786EAA"/>
    <w:rsid w:val="47F4AD2F"/>
    <w:rsid w:val="48711FC6"/>
    <w:rsid w:val="48B87202"/>
    <w:rsid w:val="4AFA3E07"/>
    <w:rsid w:val="4B7ED722"/>
    <w:rsid w:val="4E964534"/>
    <w:rsid w:val="4EE57CA4"/>
    <w:rsid w:val="4FFB6A1E"/>
    <w:rsid w:val="52120736"/>
    <w:rsid w:val="5302663C"/>
    <w:rsid w:val="5314568C"/>
    <w:rsid w:val="53B733E5"/>
    <w:rsid w:val="53C33AF9"/>
    <w:rsid w:val="53F8359B"/>
    <w:rsid w:val="555D3FFE"/>
    <w:rsid w:val="55FB7373"/>
    <w:rsid w:val="5730129E"/>
    <w:rsid w:val="57574A7D"/>
    <w:rsid w:val="577E025B"/>
    <w:rsid w:val="57B63C25"/>
    <w:rsid w:val="57BF6721"/>
    <w:rsid w:val="57CB66ED"/>
    <w:rsid w:val="57FFB290"/>
    <w:rsid w:val="5875340D"/>
    <w:rsid w:val="59A409DE"/>
    <w:rsid w:val="59F8412F"/>
    <w:rsid w:val="5A851901"/>
    <w:rsid w:val="5A9101BB"/>
    <w:rsid w:val="5AA44BA2"/>
    <w:rsid w:val="5CFD9BCF"/>
    <w:rsid w:val="5D51781F"/>
    <w:rsid w:val="5DD97334"/>
    <w:rsid w:val="5E0F43CC"/>
    <w:rsid w:val="5E894DC6"/>
    <w:rsid w:val="5F214595"/>
    <w:rsid w:val="5F400D1B"/>
    <w:rsid w:val="5F9BB5D4"/>
    <w:rsid w:val="5FAA4A9C"/>
    <w:rsid w:val="5FB4118B"/>
    <w:rsid w:val="5FF7EF03"/>
    <w:rsid w:val="5FFED892"/>
    <w:rsid w:val="60CF38D6"/>
    <w:rsid w:val="60FA6BA5"/>
    <w:rsid w:val="62D6719E"/>
    <w:rsid w:val="64841683"/>
    <w:rsid w:val="64A5151D"/>
    <w:rsid w:val="65FE10FE"/>
    <w:rsid w:val="661A6E63"/>
    <w:rsid w:val="662D27DB"/>
    <w:rsid w:val="66E27360"/>
    <w:rsid w:val="672C49E0"/>
    <w:rsid w:val="67B7688E"/>
    <w:rsid w:val="685B7298"/>
    <w:rsid w:val="697D4539"/>
    <w:rsid w:val="69AF24F6"/>
    <w:rsid w:val="69BE3361"/>
    <w:rsid w:val="6AB9362D"/>
    <w:rsid w:val="6D8D654E"/>
    <w:rsid w:val="6E6C6C08"/>
    <w:rsid w:val="6E7D2BC3"/>
    <w:rsid w:val="6E87093D"/>
    <w:rsid w:val="6F9957DB"/>
    <w:rsid w:val="6FBA8ECE"/>
    <w:rsid w:val="6FFFE0C2"/>
    <w:rsid w:val="719F120A"/>
    <w:rsid w:val="71CD4E8A"/>
    <w:rsid w:val="727F7118"/>
    <w:rsid w:val="735D3D35"/>
    <w:rsid w:val="739C7FF2"/>
    <w:rsid w:val="73CD7CF3"/>
    <w:rsid w:val="7481786C"/>
    <w:rsid w:val="76F7754D"/>
    <w:rsid w:val="777CAB5D"/>
    <w:rsid w:val="786B1CDE"/>
    <w:rsid w:val="7879089F"/>
    <w:rsid w:val="7895434C"/>
    <w:rsid w:val="789E67A8"/>
    <w:rsid w:val="78FF2E84"/>
    <w:rsid w:val="79FC52E4"/>
    <w:rsid w:val="7A990D85"/>
    <w:rsid w:val="7AB7FF50"/>
    <w:rsid w:val="7AFE5865"/>
    <w:rsid w:val="7B2FB6B7"/>
    <w:rsid w:val="7B566676"/>
    <w:rsid w:val="7B6F3206"/>
    <w:rsid w:val="7BFEB0DB"/>
    <w:rsid w:val="7C9639C0"/>
    <w:rsid w:val="7CDD764F"/>
    <w:rsid w:val="7D37C3D7"/>
    <w:rsid w:val="7D9D7848"/>
    <w:rsid w:val="7DEE13E8"/>
    <w:rsid w:val="7DFF0E8A"/>
    <w:rsid w:val="7E6B13F4"/>
    <w:rsid w:val="7E7A3DFD"/>
    <w:rsid w:val="7EBD5592"/>
    <w:rsid w:val="7EE67C95"/>
    <w:rsid w:val="7EE90FCA"/>
    <w:rsid w:val="7EF6D010"/>
    <w:rsid w:val="7F9306C5"/>
    <w:rsid w:val="7F9FAC26"/>
    <w:rsid w:val="7FBD1EDD"/>
    <w:rsid w:val="7FBE631E"/>
    <w:rsid w:val="7FF707F9"/>
    <w:rsid w:val="7FFD2B94"/>
    <w:rsid w:val="8E77F4DD"/>
    <w:rsid w:val="96DB13E9"/>
    <w:rsid w:val="9E7F2404"/>
    <w:rsid w:val="9ED5DDD7"/>
    <w:rsid w:val="9FF53CBD"/>
    <w:rsid w:val="A56360BF"/>
    <w:rsid w:val="A7FF626E"/>
    <w:rsid w:val="ACAE8E60"/>
    <w:rsid w:val="B47F4A7D"/>
    <w:rsid w:val="B57E13BA"/>
    <w:rsid w:val="B607143E"/>
    <w:rsid w:val="B9EF470F"/>
    <w:rsid w:val="B9FBB6F5"/>
    <w:rsid w:val="BBD2EF85"/>
    <w:rsid w:val="BBDFA2AC"/>
    <w:rsid w:val="BBE71E91"/>
    <w:rsid w:val="BBEFCF0F"/>
    <w:rsid w:val="BE3FA6E1"/>
    <w:rsid w:val="BEF7E26B"/>
    <w:rsid w:val="BFB625DB"/>
    <w:rsid w:val="BFCF4B29"/>
    <w:rsid w:val="BFE7454C"/>
    <w:rsid w:val="BFFB4A37"/>
    <w:rsid w:val="CB39851A"/>
    <w:rsid w:val="CBFB3E18"/>
    <w:rsid w:val="CEFD3F3D"/>
    <w:rsid w:val="CFFBAAFA"/>
    <w:rsid w:val="CFFC3180"/>
    <w:rsid w:val="D5F57119"/>
    <w:rsid w:val="D79B945B"/>
    <w:rsid w:val="D7F60DC7"/>
    <w:rsid w:val="DA7F5DE8"/>
    <w:rsid w:val="DDEF193D"/>
    <w:rsid w:val="DEF5C046"/>
    <w:rsid w:val="DF7F5E15"/>
    <w:rsid w:val="E4D7CDDE"/>
    <w:rsid w:val="E75F9214"/>
    <w:rsid w:val="EA3F77F2"/>
    <w:rsid w:val="EAF708CE"/>
    <w:rsid w:val="EDDDB9C5"/>
    <w:rsid w:val="EEFE5989"/>
    <w:rsid w:val="EF7DAEBD"/>
    <w:rsid w:val="EFCF3EAE"/>
    <w:rsid w:val="EFEF9281"/>
    <w:rsid w:val="EFFEC34F"/>
    <w:rsid w:val="F1AF0DE2"/>
    <w:rsid w:val="F34FD77E"/>
    <w:rsid w:val="F364ED14"/>
    <w:rsid w:val="F5B764A2"/>
    <w:rsid w:val="F5FB61A1"/>
    <w:rsid w:val="F65F5D63"/>
    <w:rsid w:val="F6E52130"/>
    <w:rsid w:val="F77F09F4"/>
    <w:rsid w:val="F97DF926"/>
    <w:rsid w:val="FCBFCEEC"/>
    <w:rsid w:val="FCFD5E65"/>
    <w:rsid w:val="FD6B7949"/>
    <w:rsid w:val="FDEAFC57"/>
    <w:rsid w:val="FDFD7E2D"/>
    <w:rsid w:val="FE76B0D7"/>
    <w:rsid w:val="FEC7A8AD"/>
    <w:rsid w:val="FECDA117"/>
    <w:rsid w:val="FEFFCF9D"/>
    <w:rsid w:val="FF140C79"/>
    <w:rsid w:val="FF5FBA2B"/>
    <w:rsid w:val="FF78FA45"/>
    <w:rsid w:val="FFBF3342"/>
    <w:rsid w:val="FFCF524F"/>
    <w:rsid w:val="FFD7BFFC"/>
    <w:rsid w:val="FFED5CA8"/>
    <w:rsid w:val="FFEF8698"/>
    <w:rsid w:val="FFF661CE"/>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annotation text"/>
    <w:basedOn w:val="1"/>
    <w:qFormat/>
    <w:uiPriority w:val="0"/>
    <w:pPr>
      <w:jc w:val="left"/>
    </w:pPr>
  </w:style>
  <w:style w:type="paragraph" w:styleId="5">
    <w:name w:val="Plain Text"/>
    <w:basedOn w:val="1"/>
    <w:next w:val="1"/>
    <w:unhideWhenUsed/>
    <w:qFormat/>
    <w:uiPriority w:val="99"/>
    <w:pPr>
      <w:widowControl w:val="0"/>
      <w:spacing w:line="600" w:lineRule="exact"/>
      <w:ind w:firstLine="880" w:firstLineChars="200"/>
    </w:pPr>
    <w:rPr>
      <w:rFonts w:ascii="宋体" w:hAnsi="Courier New" w:eastAsia="仿宋_GB2312" w:cs="黑体"/>
      <w:sz w:val="32"/>
      <w:szCs w:val="21"/>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0"/>
    <w:rPr>
      <w:color w:val="0000FF"/>
      <w:u w:val="single"/>
    </w:rPr>
  </w:style>
  <w:style w:type="paragraph" w:customStyle="1" w:styleId="12">
    <w:name w:val="列出段落1"/>
    <w:basedOn w:val="1"/>
    <w:qFormat/>
    <w:uiPriority w:val="34"/>
    <w:pPr>
      <w:ind w:firstLine="420" w:firstLineChars="200"/>
    </w:pPr>
    <w:rPr>
      <w:rFonts w:ascii="Calibri" w:hAnsi="Calibri" w:cs="黑体"/>
      <w:szCs w:val="22"/>
    </w:rPr>
  </w:style>
  <w:style w:type="character" w:customStyle="1" w:styleId="13">
    <w:name w:val="font11"/>
    <w:basedOn w:val="10"/>
    <w:qFormat/>
    <w:uiPriority w:val="0"/>
    <w:rPr>
      <w:rFonts w:hint="eastAsia" w:ascii="宋体" w:hAnsi="宋体" w:eastAsia="宋体" w:cs="宋体"/>
      <w:color w:val="000000"/>
      <w:sz w:val="20"/>
      <w:szCs w:val="20"/>
      <w:u w:val="none"/>
    </w:rPr>
  </w:style>
  <w:style w:type="character" w:customStyle="1" w:styleId="14">
    <w:name w:val="font31"/>
    <w:basedOn w:val="10"/>
    <w:qFormat/>
    <w:uiPriority w:val="0"/>
    <w:rPr>
      <w:rFonts w:hint="eastAsia" w:ascii="宋体" w:hAnsi="宋体" w:eastAsia="宋体" w:cs="宋体"/>
      <w:color w:val="000000"/>
      <w:sz w:val="20"/>
      <w:szCs w:val="20"/>
      <w:u w:val="none"/>
    </w:rPr>
  </w:style>
  <w:style w:type="character" w:customStyle="1" w:styleId="15">
    <w:name w:val="font21"/>
    <w:basedOn w:val="10"/>
    <w:qFormat/>
    <w:uiPriority w:val="0"/>
    <w:rPr>
      <w:rFonts w:hint="eastAsia" w:ascii="宋体" w:hAnsi="宋体" w:eastAsia="宋体" w:cs="宋体"/>
      <w:color w:val="000000"/>
      <w:sz w:val="18"/>
      <w:szCs w:val="18"/>
      <w:u w:val="none"/>
    </w:rPr>
  </w:style>
  <w:style w:type="character" w:customStyle="1" w:styleId="16">
    <w:name w:val="font51"/>
    <w:basedOn w:val="10"/>
    <w:qFormat/>
    <w:uiPriority w:val="0"/>
    <w:rPr>
      <w:rFonts w:hint="eastAsia" w:ascii="宋体" w:hAnsi="宋体" w:eastAsia="宋体" w:cs="宋体"/>
      <w:b/>
      <w:bCs/>
      <w:color w:val="000000"/>
      <w:sz w:val="18"/>
      <w:szCs w:val="18"/>
      <w:u w:val="none"/>
    </w:rPr>
  </w:style>
  <w:style w:type="character" w:customStyle="1" w:styleId="17">
    <w:name w:val="font61"/>
    <w:basedOn w:val="10"/>
    <w:qFormat/>
    <w:uiPriority w:val="0"/>
    <w:rPr>
      <w:rFonts w:hint="eastAsia" w:ascii="宋体" w:hAnsi="宋体" w:eastAsia="宋体" w:cs="宋体"/>
      <w:color w:val="FF0000"/>
      <w:sz w:val="20"/>
      <w:szCs w:val="20"/>
      <w:u w:val="none"/>
    </w:rPr>
  </w:style>
  <w:style w:type="character" w:customStyle="1" w:styleId="18">
    <w:name w:val="font4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8230</Words>
  <Characters>8837</Characters>
  <Lines>0</Lines>
  <Paragraphs>0</Paragraphs>
  <TotalTime>1</TotalTime>
  <ScaleCrop>false</ScaleCrop>
  <LinksUpToDate>false</LinksUpToDate>
  <CharactersWithSpaces>8976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2022-03-13T03:16:00Z</dcterms:created>
  <dc:creator>user</dc:creator>
  <cp:lastModifiedBy>uos</cp:lastModifiedBy>
  <cp:lastPrinted>2022-03-27T10:01:00Z</cp:lastPrinted>
  <dcterms:modified xsi:type="dcterms:W3CDTF">2025-08-25T18:11:43Z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470402CE23DD4BE0A1EC7B0292971D60_13</vt:lpwstr>
  </property>
  <property fmtid="{D5CDD505-2E9C-101B-9397-08002B2CF9AE}" pid="4" name="KSOTemplateDocerSaveRecord">
    <vt:lpwstr>eyJoZGlkIjoiYzJkMjk0MDA3NjAyMGFmMzk3Yjg0YzkwNDI3NDRhMjkifQ==</vt:lpwstr>
  </property>
</Properties>
</file>