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outlineLvl w:val="0"/>
        <w:rPr>
          <w:rFonts w:hint="eastAsia" w:ascii="方正小标宋简体" w:eastAsia="方正小标宋简体"/>
          <w:sz w:val="36"/>
          <w:szCs w:val="36"/>
        </w:rPr>
      </w:pPr>
      <w:r>
        <w:rPr>
          <w:rFonts w:hint="eastAsia" w:ascii="黑体" w:hAnsi="黑体" w:eastAsia="黑体"/>
          <w:sz w:val="32"/>
          <w:szCs w:val="32"/>
        </w:rPr>
        <w:t>附件1</w:t>
      </w:r>
      <w:r>
        <w:rPr>
          <w:rFonts w:hint="eastAsia" w:ascii="黑体" w:hAnsi="黑体" w:eastAsia="黑体"/>
          <w:sz w:val="32"/>
          <w:szCs w:val="32"/>
          <w:lang w:val="en-US" w:eastAsia="zh-CN"/>
        </w:rPr>
        <w:t>-3</w:t>
      </w:r>
    </w:p>
    <w:p>
      <w:pPr>
        <w:spacing w:line="560" w:lineRule="exact"/>
        <w:jc w:val="center"/>
        <w:outlineLvl w:val="0"/>
        <w:rPr>
          <w:rFonts w:hint="eastAsia" w:ascii="方正小标宋简体" w:eastAsia="方正小标宋简体"/>
          <w:sz w:val="36"/>
          <w:szCs w:val="36"/>
        </w:rPr>
      </w:pP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jc w:val="center"/>
        <w:rPr>
          <w:rFonts w:ascii="仿宋_GB2312"/>
          <w:szCs w:val="30"/>
        </w:rPr>
      </w:pPr>
    </w:p>
    <w:p>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outlineLvl w:val="1"/>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机构设置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共中央、国务院批准的北京市人民政府机构改革方案和《北京市人民政府关于机构设置的通知》(京政发〔2009〕2号)，设立北京市园林绿化局，挂首都绿化委员会办公室牌子。北京市园林绿化局(首都绿化委员会办公室)是负责本市园林绿化工作的市政府直属机构。首都绿化委员会办公室内设2个处室，分别为联络处和义务植树处。</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年纳入本部门决算汇编的独立核算单位共1个，</w:t>
      </w:r>
      <w:r>
        <w:rPr>
          <w:rFonts w:hint="eastAsia" w:ascii="仿宋_GB2312" w:hAnsi="仿宋_GB2312" w:eastAsia="仿宋_GB2312" w:cs="仿宋_GB2312"/>
          <w:sz w:val="32"/>
          <w:szCs w:val="32"/>
          <w:lang w:val="en-US" w:eastAsia="zh-CN"/>
        </w:rPr>
        <w:t>与上年一致</w:t>
      </w:r>
      <w:r>
        <w:rPr>
          <w:rFonts w:hint="eastAsia" w:ascii="仿宋_GB2312" w:hAnsi="仿宋_GB2312" w:eastAsia="仿宋_GB2312" w:cs="仿宋_GB2312"/>
          <w:sz w:val="32"/>
          <w:szCs w:val="32"/>
        </w:rPr>
        <w:t>。</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职责工作任务</w:t>
      </w:r>
    </w:p>
    <w:p>
      <w:pPr>
        <w:spacing w:line="60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负责首都全民义务植树活动的宣传发动、组织协调、监督检查和评比表彰工作。承担首都绿化委员会的具体工作。</w:t>
      </w:r>
    </w:p>
    <w:p>
      <w:pPr>
        <w:spacing w:line="60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织编制首都绿化美化年度计划。组织协调中直机关、中央国家机关、解放军、武警部队等驻京单位和社会其他组织、国际友人等义务植树活动。组织协调有关单位开展绿化工作和对外交流及相关联络工作。协调开展绿化美化宣传。组织开展首都绿化美化和义务植树工作。组织本市公益性绿地、林地和树木的认建认养工作。承担纪念林监督管理工作。组织开展绿化美化检查验收和评比表彰。组织开展群众性绿化美化创建工作。负责古树名木保护管理工作。</w:t>
      </w:r>
    </w:p>
    <w:p>
      <w:pPr>
        <w:spacing w:line="600" w:lineRule="exact"/>
        <w:ind w:firstLine="640" w:firstLineChars="200"/>
        <w:outlineLvl w:val="1"/>
        <w:rPr>
          <w:rFonts w:hint="eastAsia" w:ascii="楷体_GB2312" w:eastAsia="楷体_GB2312"/>
          <w:sz w:val="32"/>
          <w:szCs w:val="32"/>
        </w:rPr>
      </w:pPr>
      <w:r>
        <w:rPr>
          <w:rFonts w:hint="eastAsia" w:ascii="楷体_GB2312" w:eastAsia="楷体_GB2312"/>
          <w:sz w:val="32"/>
          <w:szCs w:val="32"/>
        </w:rPr>
        <w:t>（二）部门整体绩效目标设立情况</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目标1：高质量完成重大植树活动服务保障工作，不断提升全市人民参与义务植树活动、美化首都环境的热情，增强民众改善生态的责任意识、关注生态的忧患意识、保护生态的法律意识，掀起首都绿化美化新高潮；</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目标2：经市政府和</w:t>
      </w:r>
      <w:r>
        <w:rPr>
          <w:rFonts w:hint="eastAsia" w:ascii="仿宋_GB2312" w:hAnsi="仿宋_GB2312" w:eastAsia="仿宋_GB2312" w:cs="仿宋_GB2312"/>
          <w:sz w:val="32"/>
          <w:szCs w:val="32"/>
          <w:lang w:val="en-US" w:eastAsia="zh-CN"/>
        </w:rPr>
        <w:t>首都绿化委员会办公室</w:t>
      </w:r>
      <w:r>
        <w:rPr>
          <w:rFonts w:hint="eastAsia" w:ascii="仿宋_GB2312" w:hAnsi="仿宋_GB2312" w:eastAsia="仿宋_GB2312" w:cs="仿宋_GB2312"/>
          <w:sz w:val="32"/>
          <w:szCs w:val="32"/>
          <w:highlight w:val="none"/>
        </w:rPr>
        <w:t>批准，评选首都绿化美化先进个人500名，发挥评比表彰的激励作用，动员更多的社会力量投身首都绿化美化建设中；</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目标3：满足首都重大活动苗木保障需要，充分发挥</w:t>
      </w:r>
      <w:r>
        <w:rPr>
          <w:rFonts w:hint="eastAsia" w:ascii="仿宋_GB2312" w:hAnsi="仿宋_GB2312" w:eastAsia="仿宋_GB2312" w:cs="仿宋_GB2312"/>
          <w:sz w:val="32"/>
          <w:szCs w:val="32"/>
          <w:lang w:val="en-US" w:eastAsia="zh-CN"/>
        </w:rPr>
        <w:t>首都绿化委员会办公室</w:t>
      </w:r>
      <w:r>
        <w:rPr>
          <w:rFonts w:hint="eastAsia" w:ascii="仿宋_GB2312" w:hAnsi="仿宋_GB2312" w:eastAsia="仿宋_GB2312" w:cs="仿宋_GB2312"/>
          <w:sz w:val="32"/>
          <w:szCs w:val="32"/>
          <w:highlight w:val="none"/>
        </w:rPr>
        <w:t>管理职能，坚持保护优先、属地管理、科学管护、部门联动等原则，实现管理过程相关信息的智能化展示和精细化管理，探索首都森林村庄绿化美化调查研究模式，开展首都绿化美化群众创建评比精细化管理工作；</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目标4：围绕首都全民义务植树、城市森林创建等重点工作，进行首都绿化美化主题宣传；</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目标5:对国市级基地运维和活动以及森林城市体验中心建设进行资金补助，对拟创建花园式社区和首都森林村庄的单位进行实物补助,进一步提高绿化美化水平，助力社区建设乡村振兴； </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目标6：全面加强首都地区生态文明建设，推广园艺文化，使更多的社会组织和公众理解体会生态文明建设的重要性；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目标7：开展古油松重点保护技术调查评价</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rPr>
        <w:t>，精准研发保护性古树复壮与活力促进关键技术，建立健康评价体系，提升北京古树复壮技术水平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落实古树名木保护管理巡查检查工作机制，提高管护责任单位和管护责任人的保护意识，监督引导古树名木管护单位高质量开展古树名木的日常管护工作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完成古树文化现代传播体系构建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实现朝阳区古树名木数据库与北京市古树名木保护智慧管理系统的数据畅通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完成北京市古树保护小区概念、类型、建设内容等研究；</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目标8：通过第三方机构</w:t>
      </w:r>
      <w:r>
        <w:rPr>
          <w:rFonts w:hint="eastAsia" w:ascii="仿宋_GB2312" w:hAnsi="仿宋_GB2312" w:eastAsia="仿宋_GB2312" w:cs="仿宋_GB2312"/>
          <w:sz w:val="32"/>
          <w:szCs w:val="32"/>
          <w:lang w:val="en-US" w:eastAsia="zh-CN"/>
        </w:rPr>
        <w:t>开展事前绩效评估、</w:t>
      </w:r>
      <w:r>
        <w:rPr>
          <w:rFonts w:hint="eastAsia" w:ascii="仿宋_GB2312" w:hAnsi="仿宋_GB2312" w:eastAsia="仿宋_GB2312" w:cs="仿宋_GB2312"/>
          <w:sz w:val="32"/>
          <w:szCs w:val="32"/>
        </w:rPr>
        <w:t>预算评审、绩效运行监控，内部审计</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绩效评价</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rPr>
        <w:t>，对相关内控制度进行完善及自评。</w:t>
      </w:r>
    </w:p>
    <w:p>
      <w:pPr>
        <w:spacing w:line="60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hint="eastAsia" w:ascii="仿宋_GB2312" w:hAnsi="宋体" w:eastAsia="仿宋_GB2312" w:cs="仿宋_GB2312"/>
          <w:i w:val="0"/>
          <w:iCs w:val="0"/>
          <w:color w:val="000000"/>
          <w:kern w:val="0"/>
          <w:sz w:val="32"/>
          <w:szCs w:val="32"/>
          <w:highlight w:val="none"/>
          <w:u w:val="none"/>
          <w:lang w:val="en-US" w:eastAsia="zh-CN" w:bidi="ar"/>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w:t>
      </w:r>
      <w:r>
        <w:rPr>
          <w:rFonts w:hint="eastAsia" w:ascii="仿宋_GB2312" w:hAnsi="仿宋" w:eastAsia="仿宋_GB2312"/>
          <w:sz w:val="32"/>
          <w:szCs w:val="32"/>
          <w:highlight w:val="none"/>
        </w:rPr>
        <w:t>4</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891.04万</w:t>
      </w:r>
      <w:r>
        <w:rPr>
          <w:rFonts w:hint="eastAsia" w:ascii="仿宋_GB2312" w:hAnsi="宋体" w:eastAsia="仿宋_GB2312" w:cs="宋体"/>
          <w:color w:val="000000"/>
          <w:kern w:val="0"/>
          <w:sz w:val="32"/>
          <w:szCs w:val="32"/>
          <w:highlight w:val="none"/>
        </w:rPr>
        <w:t>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仿宋" w:eastAsia="仿宋_GB2312"/>
          <w:sz w:val="32"/>
          <w:szCs w:val="32"/>
          <w:highlight w:val="none"/>
          <w:lang w:val="en-US" w:eastAsia="zh-CN"/>
        </w:rPr>
        <w:t>921.74</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w:t>
      </w:r>
      <w:r>
        <w:rPr>
          <w:rFonts w:hint="eastAsia" w:ascii="仿宋_GB2312" w:hAnsi="仿宋" w:eastAsia="仿宋_GB2312"/>
          <w:sz w:val="32"/>
          <w:szCs w:val="32"/>
          <w:highlight w:val="none"/>
        </w:rPr>
        <w:t>3</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969.3</w:t>
      </w:r>
      <w:r>
        <w:rPr>
          <w:rFonts w:hint="eastAsia" w:ascii="仿宋_GB2312" w:hAnsi="仿宋" w:eastAsia="仿宋_GB2312"/>
          <w:sz w:val="32"/>
          <w:szCs w:val="32"/>
          <w:highlight w:val="none"/>
          <w:lang w:val="en-US" w:eastAsia="zh-CN"/>
        </w:rPr>
        <w:t>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w:t>
      </w:r>
      <w:r>
        <w:rPr>
          <w:rFonts w:hint="eastAsia" w:ascii="仿宋_GB2312" w:hAnsi="仿宋" w:eastAsia="仿宋_GB2312"/>
          <w:sz w:val="32"/>
          <w:szCs w:val="32"/>
          <w:highlight w:val="none"/>
        </w:rPr>
        <w:t>4</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690.97</w:t>
      </w:r>
      <w:r>
        <w:rPr>
          <w:rFonts w:ascii="仿宋_GB2312" w:hAnsi="宋体" w:eastAsia="仿宋_GB2312" w:cs="宋体"/>
          <w:color w:val="000000"/>
          <w:kern w:val="0"/>
          <w:sz w:val="32"/>
          <w:szCs w:val="32"/>
          <w:highlight w:val="none"/>
        </w:rPr>
        <w:t>万元，其中，基本支出</w:t>
      </w:r>
      <w:r>
        <w:rPr>
          <w:rFonts w:hint="eastAsia" w:ascii="仿宋_GB2312" w:hAnsi="仿宋" w:eastAsia="仿宋_GB2312"/>
          <w:sz w:val="32"/>
          <w:szCs w:val="32"/>
          <w:highlight w:val="none"/>
        </w:rPr>
        <w:t>858.42</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w:t>
      </w:r>
      <w:r>
        <w:rPr>
          <w:rFonts w:hint="eastAsia" w:ascii="仿宋_GB2312" w:hAnsi="仿宋" w:eastAsia="仿宋_GB2312"/>
          <w:sz w:val="32"/>
          <w:szCs w:val="32"/>
          <w:highlight w:val="none"/>
        </w:rPr>
        <w:t>3</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832.55</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95.91%，主要原</w:t>
      </w:r>
      <w:r>
        <w:rPr>
          <w:rFonts w:hint="eastAsia" w:ascii="仿宋_GB2312" w:hAnsi="宋体" w:eastAsia="仿宋_GB2312" w:cs="仿宋_GB2312"/>
          <w:i w:val="0"/>
          <w:iCs w:val="0"/>
          <w:color w:val="000000"/>
          <w:kern w:val="0"/>
          <w:sz w:val="32"/>
          <w:szCs w:val="32"/>
          <w:highlight w:val="none"/>
          <w:u w:val="none"/>
          <w:lang w:val="en-US" w:eastAsia="zh-CN" w:bidi="ar"/>
        </w:rPr>
        <w:t>因为部分项目支出数额调整，项目支出减少。</w:t>
      </w:r>
    </w:p>
    <w:p>
      <w:pPr>
        <w:spacing w:line="600" w:lineRule="exact"/>
        <w:ind w:left="105" w:leftChars="50" w:firstLine="480" w:firstLineChars="15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（一）产出完成情况分析</w:t>
      </w:r>
    </w:p>
    <w:p>
      <w:pPr>
        <w:spacing w:line="600" w:lineRule="exact"/>
        <w:ind w:firstLine="640" w:firstLineChars="200"/>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1.产出</w:t>
      </w:r>
      <w:r>
        <w:rPr>
          <w:rFonts w:hint="eastAsia" w:ascii="仿宋_GB2312" w:hAnsi="宋体" w:eastAsia="仿宋_GB2312" w:cs="宋体"/>
          <w:color w:val="000000"/>
          <w:kern w:val="0"/>
          <w:sz w:val="32"/>
          <w:szCs w:val="32"/>
          <w:highlight w:val="none"/>
          <w:lang w:eastAsia="zh-CN"/>
        </w:rPr>
        <w:t>数量</w:t>
      </w:r>
      <w:r>
        <w:rPr>
          <w:rFonts w:hint="eastAsia" w:ascii="仿宋_GB2312" w:hAnsi="宋体" w:eastAsia="仿宋_GB2312" w:cs="宋体"/>
          <w:color w:val="000000"/>
          <w:kern w:val="0"/>
          <w:sz w:val="32"/>
          <w:szCs w:val="32"/>
          <w:highlight w:val="none"/>
          <w:lang w:val="en-US" w:eastAsia="zh-CN"/>
        </w:rPr>
        <w:t>：完成单位履职交通服务，劳务派遣驾驶员2名，保障在职职工用餐，副中心伙食补贴26人；完成内控制度手册、预算评审报告、绩效评价报告等专项咨询工作成果共计53份；评选482名先进个人并进行表彰；引进栽植苗木花卉29105株，保障重大植树活动顺利进行；完成古树复壮工程技术开发与应用、古树健康评价体系构建及应用、北京市古树保护小区建设标准研究报告等古树名木研究成果共计25项，古油松保护技术专题培训120人次，应急抢救保护古树名木10090株；完成村庄调查研究报告、技术指导手册、重点纪念林数据档案等履职成果共计8项，</w:t>
      </w:r>
      <w:r>
        <w:rPr>
          <w:rFonts w:hint="eastAsia" w:ascii="仿宋_GB2312" w:hAnsi="宋体" w:eastAsia="仿宋_GB2312" w:cs="宋体"/>
          <w:color w:val="000000"/>
          <w:kern w:val="0"/>
          <w:sz w:val="32"/>
          <w:szCs w:val="32"/>
          <w:highlight w:val="none"/>
        </w:rPr>
        <w:t>示范样地绿色空间总面积2600平方米</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绿化提质典型模式19种，全面梳理花园式社区551个，指导新建花园式社区35个、花园式单位41个、花园式街道2个，保障性苗木储备1500株，抚育管护绿地面积16公顷；印制300套《2023年北京古树名木故事集》，在北京日报刊发表专版3篇，订阅2023年《国土绿化》杂志1000份，全年微信内容发布531条，完成国家森林城市申报材料专家咨询报告、顺义区和海淀区创森达标及综合测评情况调研报告等报告共计16份；开展生态文明宣传教育活动900余场，征集自然笔记作品10629份，制作生态礼物展架30个，优选生态导览路线3条；开展《北京全域森林城市高质量发展规划（2023年-2035年）》编制文本、多媒体、图集共3套，</w:t>
      </w:r>
      <w:r>
        <w:rPr>
          <w:rFonts w:hint="eastAsia" w:ascii="仿宋_GB2312" w:hAnsi="宋体" w:eastAsia="仿宋_GB2312" w:cs="宋体"/>
          <w:color w:val="000000"/>
          <w:kern w:val="0"/>
          <w:sz w:val="32"/>
          <w:szCs w:val="32"/>
          <w:lang w:val="en-US" w:eastAsia="zh-CN"/>
        </w:rPr>
        <w:t>已按照各项目要求完成全部数量指标</w:t>
      </w:r>
      <w:r>
        <w:rPr>
          <w:rFonts w:hint="eastAsia" w:ascii="仿宋_GB2312" w:hAnsi="宋体" w:eastAsia="仿宋_GB2312" w:cs="宋体"/>
          <w:color w:val="000000"/>
          <w:kern w:val="0"/>
          <w:sz w:val="32"/>
          <w:szCs w:val="32"/>
          <w:highlight w:val="none"/>
          <w:lang w:val="en-US" w:eastAsia="zh-CN"/>
        </w:rPr>
        <w:t>。</w:t>
      </w:r>
    </w:p>
    <w:p>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2.产出质量：</w:t>
      </w:r>
      <w:r>
        <w:rPr>
          <w:rFonts w:hint="eastAsia" w:ascii="仿宋_GB2312" w:hAnsi="宋体" w:eastAsia="仿宋_GB2312" w:cs="宋体"/>
          <w:color w:val="000000"/>
          <w:kern w:val="0"/>
          <w:sz w:val="32"/>
          <w:szCs w:val="32"/>
          <w:lang w:val="en-US" w:eastAsia="zh-CN"/>
        </w:rPr>
        <w:t>完成</w:t>
      </w:r>
      <w:r>
        <w:rPr>
          <w:rFonts w:hint="eastAsia" w:ascii="仿宋_GB2312" w:hAnsi="宋体" w:eastAsia="仿宋_GB2312" w:cs="宋体"/>
          <w:color w:val="000000"/>
          <w:kern w:val="0"/>
          <w:sz w:val="32"/>
          <w:szCs w:val="32"/>
          <w:highlight w:val="none"/>
          <w:lang w:val="en-US" w:eastAsia="zh-CN"/>
        </w:rPr>
        <w:t>派遣驾驶员、副中心伙食补贴，</w:t>
      </w:r>
      <w:r>
        <w:rPr>
          <w:rFonts w:hint="eastAsia" w:ascii="仿宋_GB2312" w:hAnsi="宋体" w:eastAsia="仿宋_GB2312" w:cs="宋体"/>
          <w:color w:val="000000"/>
          <w:kern w:val="0"/>
          <w:sz w:val="32"/>
          <w:szCs w:val="32"/>
          <w:lang w:val="en-US" w:eastAsia="zh-CN"/>
        </w:rPr>
        <w:t>保障机关正常运转；各项咨询报告符合相关文件标准；</w:t>
      </w:r>
      <w:r>
        <w:rPr>
          <w:rFonts w:hint="eastAsia" w:ascii="仿宋_GB2312" w:hAnsi="宋体" w:eastAsia="仿宋_GB2312" w:cs="宋体"/>
          <w:color w:val="000000"/>
          <w:kern w:val="0"/>
          <w:sz w:val="32"/>
          <w:szCs w:val="32"/>
          <w:lang w:eastAsia="zh-CN"/>
        </w:rPr>
        <w:t>先进个人评选严格按照评选标准评判；</w:t>
      </w:r>
      <w:r>
        <w:rPr>
          <w:rFonts w:hint="eastAsia" w:ascii="仿宋_GB2312" w:hAnsi="宋体" w:eastAsia="仿宋_GB2312" w:cs="宋体"/>
          <w:color w:val="000000"/>
          <w:kern w:val="0"/>
          <w:sz w:val="32"/>
          <w:szCs w:val="32"/>
          <w:lang w:val="en-US" w:eastAsia="zh-CN"/>
        </w:rPr>
        <w:t>重大植树活动苗木成活率达到100%；各项古树名木研究成果验收合格；</w:t>
      </w:r>
      <w:r>
        <w:rPr>
          <w:rFonts w:hint="eastAsia" w:ascii="仿宋_GB2312" w:hAnsi="宋体" w:eastAsia="仿宋_GB2312" w:cs="宋体"/>
          <w:color w:val="000000"/>
          <w:kern w:val="0"/>
          <w:sz w:val="32"/>
          <w:szCs w:val="32"/>
          <w:lang w:eastAsia="zh-CN"/>
        </w:rPr>
        <w:t>典型绿化提质模式林木绿化率</w:t>
      </w:r>
      <w:r>
        <w:rPr>
          <w:rFonts w:hint="eastAsia" w:ascii="仿宋_GB2312" w:hAnsi="宋体" w:eastAsia="仿宋_GB2312" w:cs="宋体"/>
          <w:color w:val="000000"/>
          <w:kern w:val="0"/>
          <w:sz w:val="32"/>
          <w:szCs w:val="32"/>
          <w:lang w:val="en-US" w:eastAsia="zh-CN"/>
        </w:rPr>
        <w:t>达到</w:t>
      </w:r>
      <w:r>
        <w:rPr>
          <w:rFonts w:hint="eastAsia" w:ascii="仿宋_GB2312" w:hAnsi="宋体" w:eastAsia="仿宋_GB2312" w:cs="宋体"/>
          <w:color w:val="000000"/>
          <w:kern w:val="0"/>
          <w:sz w:val="32"/>
          <w:szCs w:val="32"/>
          <w:lang w:eastAsia="zh-CN"/>
        </w:rPr>
        <w:t>32.5%，典型绿化提质模式乡土植物占比</w:t>
      </w:r>
      <w:r>
        <w:rPr>
          <w:rFonts w:hint="eastAsia" w:ascii="仿宋_GB2312" w:hAnsi="宋体" w:eastAsia="仿宋_GB2312" w:cs="宋体"/>
          <w:color w:val="000000"/>
          <w:kern w:val="0"/>
          <w:sz w:val="32"/>
          <w:szCs w:val="32"/>
          <w:lang w:val="en-US" w:eastAsia="zh-CN"/>
        </w:rPr>
        <w:t>达到</w:t>
      </w:r>
      <w:r>
        <w:rPr>
          <w:rFonts w:hint="eastAsia" w:ascii="仿宋_GB2312" w:hAnsi="宋体" w:eastAsia="仿宋_GB2312" w:cs="宋体"/>
          <w:color w:val="000000"/>
          <w:kern w:val="0"/>
          <w:sz w:val="32"/>
          <w:szCs w:val="32"/>
          <w:lang w:eastAsia="zh-CN"/>
        </w:rPr>
        <w:t>95%；</w:t>
      </w:r>
      <w:r>
        <w:rPr>
          <w:rFonts w:hint="eastAsia" w:ascii="仿宋_GB2312" w:hAnsi="宋体" w:eastAsia="仿宋_GB2312" w:cs="宋体"/>
          <w:color w:val="000000"/>
          <w:kern w:val="0"/>
          <w:sz w:val="32"/>
          <w:szCs w:val="32"/>
          <w:lang w:val="en-US" w:eastAsia="zh-CN"/>
        </w:rPr>
        <w:t>宣传工作</w:t>
      </w:r>
      <w:r>
        <w:rPr>
          <w:rFonts w:hint="eastAsia" w:ascii="仿宋_GB2312" w:hAnsi="宋体" w:eastAsia="仿宋_GB2312" w:cs="宋体"/>
          <w:color w:val="000000"/>
          <w:kern w:val="0"/>
          <w:sz w:val="32"/>
          <w:szCs w:val="32"/>
          <w:lang w:val="zh-TW" w:eastAsia="zh-CN"/>
        </w:rPr>
        <w:t>符合发布</w:t>
      </w:r>
      <w:r>
        <w:rPr>
          <w:rFonts w:hint="eastAsia" w:ascii="仿宋_GB2312" w:hAnsi="宋体" w:eastAsia="仿宋_GB2312" w:cs="宋体"/>
          <w:color w:val="000000"/>
          <w:kern w:val="0"/>
          <w:sz w:val="32"/>
          <w:szCs w:val="32"/>
          <w:lang w:val="en-US" w:eastAsia="zh-CN"/>
        </w:rPr>
        <w:t>要求；生态文明宣传活动交流出席率达到100%，无安全事故；《北京全域森林城市高质量发展规划（2023年-2035年）》验收通过率达到100%。</w:t>
      </w:r>
    </w:p>
    <w:p>
      <w:pPr>
        <w:spacing w:line="600" w:lineRule="exac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已按照各项目要求完成全部质量指标。</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r>
        <w:rPr>
          <w:rFonts w:hint="eastAsia" w:ascii="仿宋_GB2312" w:hAnsi="宋体" w:eastAsia="仿宋_GB2312" w:cs="宋体"/>
          <w:color w:val="000000"/>
          <w:kern w:val="0"/>
          <w:sz w:val="32"/>
          <w:szCs w:val="32"/>
          <w:lang w:eastAsia="zh-CN"/>
        </w:rPr>
        <w:t>：各项重大义务植树活动</w:t>
      </w:r>
      <w:r>
        <w:rPr>
          <w:rFonts w:hint="eastAsia" w:ascii="仿宋_GB2312" w:hAnsi="宋体" w:eastAsia="仿宋_GB2312" w:cs="宋体"/>
          <w:color w:val="000000"/>
          <w:kern w:val="0"/>
          <w:sz w:val="32"/>
          <w:szCs w:val="32"/>
          <w:lang w:val="en-US" w:eastAsia="zh-CN"/>
        </w:rPr>
        <w:t>于</w:t>
      </w:r>
      <w:r>
        <w:rPr>
          <w:rFonts w:hint="eastAsia" w:ascii="仿宋_GB2312" w:hAnsi="宋体" w:eastAsia="仿宋_GB2312" w:cs="宋体"/>
          <w:color w:val="000000"/>
          <w:kern w:val="0"/>
          <w:sz w:val="32"/>
          <w:szCs w:val="32"/>
          <w:lang w:eastAsia="zh-CN"/>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lang w:eastAsia="zh-CN"/>
        </w:rPr>
        <w:t>年3月至4月期间陆续开展；其余各项工作均按照计划进行；</w:t>
      </w:r>
    </w:p>
    <w:p>
      <w:pPr>
        <w:widowControl/>
        <w:ind w:firstLine="640" w:firstLineChars="200"/>
        <w:jc w:val="left"/>
        <w:rPr>
          <w:rFonts w:ascii="宋体" w:hAnsi="宋体" w:cs="宋体"/>
          <w:b/>
          <w:bCs/>
          <w:kern w:val="0"/>
          <w:sz w:val="28"/>
          <w:szCs w:val="28"/>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项目全年预算数3,969.30万元，项目决算数3,782.55</w:t>
      </w:r>
      <w:r>
        <w:rPr>
          <w:rFonts w:hint="eastAsia"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lang w:val="en-US" w:eastAsia="zh-CN"/>
        </w:rPr>
        <w:t>具体支出详见附件1：部门整体项目预算执行情况表。</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outlineLvl w:val="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1.效益指标</w:t>
      </w:r>
    </w:p>
    <w:p>
      <w:pPr>
        <w:spacing w:line="600" w:lineRule="exact"/>
        <w:ind w:left="105" w:leftChars="50" w:firstLine="480" w:firstLineChars="150"/>
        <w:outlineLvl w:val="9"/>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1）</w:t>
      </w:r>
      <w:r>
        <w:rPr>
          <w:rFonts w:hint="eastAsia" w:ascii="仿宋_GB2312" w:hAnsi="宋体" w:eastAsia="仿宋_GB2312" w:cs="宋体"/>
          <w:color w:val="000000"/>
          <w:kern w:val="0"/>
          <w:sz w:val="32"/>
          <w:szCs w:val="32"/>
          <w:highlight w:val="none"/>
          <w:lang w:eastAsia="zh-CN"/>
        </w:rPr>
        <w:t>圆满完成重大义务植树活动服务保障任务。全国人大领导、全国政协领导、中央军委领导、中央和国家机关部级以上领导带头落实习近平总书记指示要求，共有47位党和国家领导人、87位将军、200余位部级领导干部参加首都义务植树活动，新增重点纪念林220亩。首都社会各界积极响应习近平总书记的号召，争做生态文明建设的实践者、推动者，以多种形式参与义务植树活动,全年共举办各类义务植树活动6500余场；</w:t>
      </w:r>
    </w:p>
    <w:p>
      <w:pPr>
        <w:spacing w:line="600" w:lineRule="exact"/>
        <w:ind w:left="105" w:leftChars="50" w:firstLine="480" w:firstLineChars="150"/>
        <w:outlineLvl w:val="9"/>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lang w:eastAsia="zh-CN"/>
        </w:rPr>
        <w:t>将古树名木保护管理纳入林长制督查考核，建立问题台账。加强市级日常巡查检查力度，推动巡查检查机制化、规范化。建设古树及其生境保护试点35处，门头沟潭柘寺“帝王银杏”、密云“九搂十八杈”古侧柏和中轴线古树群、北京大学古树群、昌平十三陵古树群、房山上方山古树群入选全国“双百”古树推选宣传活动。古树名木保护与管理质量得到明显提升；</w:t>
      </w:r>
    </w:p>
    <w:p>
      <w:pPr>
        <w:spacing w:line="600" w:lineRule="exact"/>
        <w:ind w:left="105" w:leftChars="50" w:firstLine="480" w:firstLineChars="150"/>
        <w:outlineLvl w:val="9"/>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lang w:eastAsia="zh-CN"/>
        </w:rPr>
        <w:t>全年新增造林绿化面积1.5万亩、城市绿地200公顷，全市森林覆盖率达到44.9%，城市绿化覆盖率达到 49.8 %，人均公园绿地面积达到16.9平方米。市域绿色空间进一步优化，城乡环境更加美丽，市民绿色获得感明显增强，推动社会主义绿化建设，持续深入健康发展，建立长效机制效果明显，充分履行</w:t>
      </w:r>
      <w:r>
        <w:rPr>
          <w:rFonts w:hint="eastAsia" w:ascii="仿宋_GB2312" w:hAnsi="宋体" w:eastAsia="仿宋_GB2312" w:cs="宋体"/>
          <w:color w:val="000000"/>
          <w:kern w:val="0"/>
          <w:sz w:val="32"/>
          <w:szCs w:val="32"/>
          <w:highlight w:val="none"/>
          <w:lang w:val="en-US" w:eastAsia="zh-CN"/>
        </w:rPr>
        <w:t>首都绿化委员会办公室</w:t>
      </w:r>
      <w:r>
        <w:rPr>
          <w:rFonts w:hint="eastAsia" w:ascii="仿宋_GB2312" w:hAnsi="宋体" w:eastAsia="仿宋_GB2312" w:cs="宋体"/>
          <w:color w:val="000000"/>
          <w:kern w:val="0"/>
          <w:sz w:val="32"/>
          <w:szCs w:val="32"/>
          <w:highlight w:val="none"/>
          <w:lang w:eastAsia="zh-CN"/>
        </w:rPr>
        <w:t>职能；</w:t>
      </w:r>
    </w:p>
    <w:p>
      <w:pPr>
        <w:spacing w:line="600" w:lineRule="exact"/>
        <w:ind w:left="105" w:leftChars="50" w:firstLine="480" w:firstLineChars="150"/>
        <w:outlineLvl w:val="9"/>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lang w:eastAsia="zh-CN"/>
        </w:rPr>
        <w:t>通过第三方评价及自评提升财政资金使用率，完善内部控制；</w:t>
      </w:r>
    </w:p>
    <w:p>
      <w:pPr>
        <w:spacing w:line="600" w:lineRule="exact"/>
        <w:ind w:left="105" w:leftChars="50" w:firstLine="480" w:firstLineChars="150"/>
        <w:outlineLvl w:val="9"/>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5）</w:t>
      </w:r>
      <w:r>
        <w:rPr>
          <w:rFonts w:hint="eastAsia" w:ascii="仿宋_GB2312" w:hAnsi="宋体" w:eastAsia="仿宋_GB2312" w:cs="宋体"/>
          <w:color w:val="000000"/>
          <w:kern w:val="0"/>
          <w:sz w:val="32"/>
          <w:szCs w:val="32"/>
          <w:highlight w:val="none"/>
          <w:lang w:eastAsia="zh-CN"/>
        </w:rPr>
        <w:t>首都绿化美化重大政策制度、重要信息及时发布效果明显，促进全社会提高爱绿、护绿意识，形成全民开展绿化、美化工作氛围的效果明显。</w:t>
      </w:r>
    </w:p>
    <w:p>
      <w:pPr>
        <w:spacing w:line="600" w:lineRule="exact"/>
        <w:ind w:left="105" w:leftChars="50" w:firstLine="480" w:firstLineChars="150"/>
        <w:outlineLvl w:val="9"/>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6）</w:t>
      </w:r>
      <w:r>
        <w:rPr>
          <w:rFonts w:hint="eastAsia" w:ascii="仿宋_GB2312" w:hAnsi="宋体" w:eastAsia="仿宋_GB2312" w:cs="宋体"/>
          <w:color w:val="000000"/>
          <w:kern w:val="0"/>
          <w:sz w:val="32"/>
          <w:szCs w:val="32"/>
          <w:highlight w:val="none"/>
          <w:lang w:eastAsia="zh-CN"/>
        </w:rPr>
        <w:t>提高首都广大干部群众积极参与义务植树的热情，增加首都地区绿化总量，提升绿化质量，改善首都城乡生态环境面貌；</w:t>
      </w:r>
    </w:p>
    <w:p>
      <w:pPr>
        <w:spacing w:line="600" w:lineRule="exact"/>
        <w:ind w:left="105" w:leftChars="50" w:firstLine="480" w:firstLineChars="150"/>
        <w:outlineLvl w:val="9"/>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7）</w:t>
      </w:r>
      <w:r>
        <w:rPr>
          <w:rFonts w:hint="eastAsia" w:ascii="仿宋_GB2312" w:hAnsi="宋体" w:eastAsia="仿宋_GB2312" w:cs="宋体"/>
          <w:color w:val="000000"/>
          <w:kern w:val="0"/>
          <w:sz w:val="32"/>
          <w:szCs w:val="32"/>
          <w:highlight w:val="none"/>
          <w:lang w:eastAsia="zh-CN"/>
        </w:rPr>
        <w:t>进一步开展生态文明与绿化美化宣传教育，将绿色发展方式的理念融入市民生活，引导全民参与首都绿化，促进首都城乡生态环境建设发展的效果显著；</w:t>
      </w:r>
    </w:p>
    <w:p>
      <w:pPr>
        <w:spacing w:line="600" w:lineRule="exact"/>
        <w:ind w:left="105" w:leftChars="50" w:firstLine="480" w:firstLineChars="150"/>
        <w:outlineLvl w:val="9"/>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8）</w:t>
      </w:r>
      <w:r>
        <w:rPr>
          <w:rFonts w:hint="eastAsia" w:ascii="仿宋_GB2312" w:hAnsi="宋体" w:eastAsia="仿宋_GB2312" w:cs="宋体"/>
          <w:color w:val="000000"/>
          <w:kern w:val="0"/>
          <w:sz w:val="32"/>
          <w:szCs w:val="32"/>
          <w:highlight w:val="none"/>
          <w:lang w:eastAsia="zh-CN"/>
        </w:rPr>
        <w:t>创新开展植树尽责活动。进一步丰富“八大类37种”尽责内容，发挥好“春植、夏认、秋抚、冬防”全年尽责品牌，鼓舞首都军民绿化家园、美化环境的热情，推动首都全民义务植树运动更加广泛而深入开展</w:t>
      </w:r>
      <w:r>
        <w:rPr>
          <w:rFonts w:hint="eastAsia" w:ascii="仿宋_GB2312" w:hAnsi="宋体" w:eastAsia="仿宋_GB2312" w:cs="宋体"/>
          <w:color w:val="000000"/>
          <w:kern w:val="0"/>
          <w:sz w:val="32"/>
          <w:szCs w:val="32"/>
          <w:highlight w:val="none"/>
          <w:lang w:val="en-US" w:eastAsia="zh-CN"/>
        </w:rPr>
        <w:t>的</w:t>
      </w:r>
      <w:r>
        <w:rPr>
          <w:rFonts w:hint="eastAsia" w:ascii="仿宋_GB2312" w:hAnsi="宋体" w:eastAsia="仿宋_GB2312" w:cs="宋体"/>
          <w:color w:val="000000"/>
          <w:kern w:val="0"/>
          <w:sz w:val="32"/>
          <w:szCs w:val="32"/>
          <w:highlight w:val="none"/>
          <w:lang w:eastAsia="zh-CN"/>
        </w:rPr>
        <w:t>效果显著，增加首都地区绿化总量，提升绿化质量，改善首都城乡生态环境面貌</w:t>
      </w:r>
      <w:r>
        <w:rPr>
          <w:rFonts w:hint="eastAsia" w:ascii="仿宋_GB2312" w:hAnsi="宋体" w:eastAsia="仿宋_GB2312" w:cs="宋体"/>
          <w:color w:val="000000"/>
          <w:kern w:val="0"/>
          <w:sz w:val="32"/>
          <w:szCs w:val="32"/>
          <w:highlight w:val="none"/>
          <w:lang w:val="en-US" w:eastAsia="zh-CN"/>
        </w:rPr>
        <w:t>的</w:t>
      </w:r>
      <w:r>
        <w:rPr>
          <w:rFonts w:hint="eastAsia" w:ascii="仿宋_GB2312" w:hAnsi="宋体" w:eastAsia="仿宋_GB2312" w:cs="宋体"/>
          <w:color w:val="000000"/>
          <w:kern w:val="0"/>
          <w:sz w:val="32"/>
          <w:szCs w:val="32"/>
          <w:highlight w:val="none"/>
          <w:lang w:eastAsia="zh-CN"/>
        </w:rPr>
        <w:t>效果显著。</w:t>
      </w:r>
    </w:p>
    <w:p>
      <w:pPr>
        <w:pStyle w:val="2"/>
        <w:rPr>
          <w:rFonts w:hint="default"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9）</w:t>
      </w:r>
      <w:r>
        <w:rPr>
          <w:rFonts w:hint="eastAsia" w:ascii="仿宋_GB2312" w:hAnsi="宋体" w:eastAsia="仿宋_GB2312" w:cs="宋体"/>
          <w:color w:val="000000"/>
          <w:kern w:val="0"/>
          <w:sz w:val="32"/>
          <w:szCs w:val="32"/>
          <w:highlight w:val="none"/>
          <w:lang w:val="en-US" w:eastAsia="zh-CN" w:bidi="ar-SA"/>
        </w:rPr>
        <w:t>完成开展首都绿化美化先进奖评选表彰工作，进一步发挥评比表彰的激励作用，动员更多的社会力量投身首都绿化美化建设中，为建设环境优美、和谐宜居的美丽北京做出更大贡献。</w:t>
      </w:r>
    </w:p>
    <w:p>
      <w:pPr>
        <w:numPr>
          <w:ilvl w:val="0"/>
          <w:numId w:val="0"/>
        </w:numPr>
        <w:spacing w:line="600" w:lineRule="exact"/>
        <w:ind w:firstLine="640" w:firstLineChars="200"/>
        <w:rPr>
          <w:rFonts w:hint="eastAsia"/>
          <w:lang w:eastAsia="zh-CN"/>
        </w:rPr>
      </w:pPr>
      <w:r>
        <w:rPr>
          <w:rFonts w:hint="eastAsia" w:ascii="仿宋_GB2312" w:hAnsi="宋体" w:eastAsia="仿宋_GB2312" w:cs="宋体"/>
          <w:color w:val="000000"/>
          <w:kern w:val="0"/>
          <w:sz w:val="32"/>
          <w:szCs w:val="32"/>
          <w:highlight w:val="none"/>
          <w:lang w:val="en-US" w:eastAsia="zh-CN"/>
        </w:rPr>
        <w:t>2.</w:t>
      </w:r>
      <w:r>
        <w:rPr>
          <w:rFonts w:hint="default" w:ascii="仿宋_GB2312" w:hAnsi="宋体" w:eastAsia="仿宋_GB2312" w:cs="宋体"/>
          <w:color w:val="000000"/>
          <w:kern w:val="0"/>
          <w:sz w:val="32"/>
          <w:szCs w:val="32"/>
          <w:highlight w:val="none"/>
          <w:lang w:val="en-US" w:eastAsia="zh-CN"/>
        </w:rPr>
        <w:t>服务对象满意度指标</w:t>
      </w:r>
      <w:r>
        <w:rPr>
          <w:rFonts w:hint="eastAsia" w:ascii="仿宋_GB2312" w:hAnsi="宋体" w:eastAsia="仿宋_GB2312" w:cs="宋体"/>
          <w:color w:val="000000"/>
          <w:kern w:val="0"/>
          <w:sz w:val="32"/>
          <w:szCs w:val="32"/>
          <w:highlight w:val="none"/>
          <w:lang w:val="en-US" w:eastAsia="zh-CN"/>
        </w:rPr>
        <w:t>：</w:t>
      </w:r>
      <w:r>
        <w:rPr>
          <w:rFonts w:hint="default" w:ascii="仿宋_GB2312" w:hAnsi="宋体" w:eastAsia="仿宋_GB2312" w:cs="宋体"/>
          <w:color w:val="000000"/>
          <w:kern w:val="0"/>
          <w:sz w:val="32"/>
          <w:szCs w:val="32"/>
          <w:lang w:val="en-US" w:eastAsia="zh-CN"/>
        </w:rPr>
        <w:t>各服务对象的满意度</w:t>
      </w:r>
      <w:r>
        <w:rPr>
          <w:rFonts w:hint="eastAsia" w:ascii="仿宋_GB2312" w:hAnsi="宋体" w:eastAsia="仿宋_GB2312" w:cs="宋体"/>
          <w:color w:val="000000"/>
          <w:kern w:val="0"/>
          <w:sz w:val="32"/>
          <w:szCs w:val="32"/>
          <w:lang w:val="en-US" w:eastAsia="zh-CN"/>
        </w:rPr>
        <w:t>均达到预期设定。</w:t>
      </w:r>
    </w:p>
    <w:p>
      <w:pPr>
        <w:spacing w:line="600" w:lineRule="exact"/>
        <w:ind w:left="105" w:leftChars="50" w:firstLine="480" w:firstLineChars="15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outlineLvl w:val="1"/>
        <w:rPr>
          <w:rFonts w:ascii="楷体_GB2312" w:eastAsia="楷体_GB2312"/>
          <w:sz w:val="32"/>
          <w:szCs w:val="32"/>
          <w:highlight w:val="none"/>
        </w:rPr>
      </w:pPr>
      <w:r>
        <w:rPr>
          <w:rFonts w:hint="eastAsia" w:ascii="楷体_GB2312" w:eastAsia="楷体_GB2312"/>
          <w:sz w:val="32"/>
          <w:szCs w:val="32"/>
          <w:highlight w:val="none"/>
        </w:rPr>
        <w:t>（一）财务管理</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pPr>
        <w:pStyle w:val="4"/>
        <w:rPr>
          <w:rFonts w:hint="default" w:ascii="仿宋_GB2312" w:hAnsi="宋体" w:cs="宋体"/>
          <w:color w:val="000000"/>
          <w:kern w:val="0"/>
          <w:sz w:val="32"/>
          <w:szCs w:val="32"/>
          <w:highlight w:val="none"/>
          <w:lang w:val="en-US" w:eastAsia="zh-CN" w:bidi="ar-SA"/>
        </w:rPr>
      </w:pPr>
      <w:r>
        <w:rPr>
          <w:rFonts w:hint="eastAsia" w:ascii="仿宋_GB2312" w:hAnsi="宋体" w:cs="宋体"/>
          <w:color w:val="000000"/>
          <w:kern w:val="0"/>
          <w:sz w:val="32"/>
          <w:szCs w:val="32"/>
          <w:highlight w:val="none"/>
          <w:lang w:val="en-US" w:eastAsia="zh-CN"/>
        </w:rPr>
        <w:t>本部门于202</w:t>
      </w:r>
      <w:r>
        <w:rPr>
          <w:rFonts w:hint="eastAsia" w:ascii="仿宋_GB2312" w:hAnsi="宋体" w:cs="宋体"/>
          <w:color w:val="000000"/>
          <w:kern w:val="0"/>
          <w:sz w:val="32"/>
          <w:szCs w:val="32"/>
          <w:highlight w:val="none"/>
          <w:lang w:val="en-US" w:eastAsia="zh-CN" w:bidi="ar-SA"/>
        </w:rPr>
        <w:t>3</w:t>
      </w:r>
      <w:r>
        <w:rPr>
          <w:rFonts w:hint="eastAsia" w:ascii="仿宋_GB2312" w:hAnsi="宋体" w:eastAsia="仿宋_GB2312" w:cs="宋体"/>
          <w:color w:val="000000"/>
          <w:kern w:val="0"/>
          <w:sz w:val="32"/>
          <w:szCs w:val="32"/>
          <w:highlight w:val="none"/>
          <w:lang w:val="en-US" w:eastAsia="zh-CN" w:bidi="ar-SA"/>
        </w:rPr>
        <w:t>年</w:t>
      </w:r>
      <w:r>
        <w:rPr>
          <w:rFonts w:hint="eastAsia" w:ascii="仿宋_GB2312" w:hAnsi="宋体" w:cs="宋体"/>
          <w:color w:val="000000"/>
          <w:kern w:val="0"/>
          <w:sz w:val="32"/>
          <w:szCs w:val="32"/>
          <w:highlight w:val="none"/>
          <w:lang w:val="en-US" w:eastAsia="zh-CN" w:bidi="ar-SA"/>
        </w:rPr>
        <w:t>7至12月对《</w:t>
      </w:r>
      <w:r>
        <w:rPr>
          <w:rFonts w:hint="eastAsia" w:ascii="仿宋_GB2312" w:eastAsia="仿宋_GB2312"/>
          <w:bCs/>
          <w:sz w:val="32"/>
          <w:szCs w:val="32"/>
          <w:highlight w:val="none"/>
          <w:lang w:eastAsia="zh-CN"/>
        </w:rPr>
        <w:t>首都绿化委员会办公室</w:t>
      </w:r>
      <w:r>
        <w:rPr>
          <w:rFonts w:hint="default" w:ascii="仿宋_GB2312" w:hAnsi="宋体" w:eastAsia="仿宋_GB2312" w:cs="宋体"/>
          <w:color w:val="000000"/>
          <w:kern w:val="0"/>
          <w:sz w:val="32"/>
          <w:szCs w:val="32"/>
          <w:highlight w:val="none"/>
          <w:lang w:val="en-US" w:eastAsia="zh-CN" w:bidi="ar-SA"/>
        </w:rPr>
        <w:t>内控制度手册</w:t>
      </w:r>
      <w:r>
        <w:rPr>
          <w:rFonts w:hint="eastAsia" w:ascii="仿宋_GB2312" w:hAnsi="宋体" w:cs="宋体"/>
          <w:color w:val="000000"/>
          <w:kern w:val="0"/>
          <w:sz w:val="32"/>
          <w:szCs w:val="32"/>
          <w:highlight w:val="none"/>
          <w:lang w:val="en-US" w:eastAsia="zh-CN" w:bidi="ar-SA"/>
        </w:rPr>
        <w:t>》进行修订，完善</w:t>
      </w:r>
      <w:r>
        <w:rPr>
          <w:rFonts w:hint="eastAsia" w:ascii="仿宋_GB2312" w:hAnsi="宋体" w:cs="宋体"/>
          <w:color w:val="000000"/>
          <w:kern w:val="0"/>
          <w:sz w:val="32"/>
          <w:szCs w:val="32"/>
          <w:highlight w:val="none"/>
          <w:lang w:val="en-US" w:eastAsia="zh-CN"/>
        </w:rPr>
        <w:t>了内部控制体系，增加了《首都绿化委员会办公室内部审计管理暂行办法</w:t>
      </w:r>
      <w:r>
        <w:rPr>
          <w:rFonts w:hint="eastAsia" w:ascii="仿宋_GB2312" w:hAnsi="宋体" w:cs="宋体"/>
          <w:color w:val="000000"/>
          <w:kern w:val="0"/>
          <w:sz w:val="32"/>
          <w:szCs w:val="32"/>
          <w:highlight w:val="none"/>
          <w:lang w:val="en-US" w:eastAsia="zh-CN" w:bidi="ar-SA"/>
        </w:rPr>
        <w:t>》，对本单位内部审计的职责、程序和步骤、结果运用及责任追究进行了明确。进一步提高了部门财务管理能力和水平。</w:t>
      </w:r>
    </w:p>
    <w:p>
      <w:pPr>
        <w:spacing w:line="600" w:lineRule="exact"/>
        <w:ind w:left="105" w:leftChars="50" w:firstLine="480" w:firstLineChars="150"/>
        <w:rPr>
          <w:rFonts w:hint="eastAsia"/>
          <w:highlight w:val="none"/>
        </w:rPr>
      </w:pPr>
      <w:r>
        <w:rPr>
          <w:rFonts w:hint="eastAsia" w:ascii="仿宋_GB2312" w:hAnsi="宋体" w:eastAsia="仿宋_GB2312" w:cs="宋体"/>
          <w:color w:val="000000"/>
          <w:kern w:val="0"/>
          <w:sz w:val="32"/>
          <w:szCs w:val="32"/>
          <w:highlight w:val="none"/>
        </w:rPr>
        <w:t>2.资金使用合规性</w:t>
      </w:r>
      <w:r>
        <w:rPr>
          <w:rFonts w:ascii="仿宋_GB2312" w:hAnsi="宋体" w:eastAsia="仿宋_GB2312" w:cs="宋体"/>
          <w:color w:val="000000"/>
          <w:kern w:val="0"/>
          <w:sz w:val="32"/>
          <w:szCs w:val="32"/>
          <w:highlight w:val="none"/>
        </w:rPr>
        <w:t>和安全性</w:t>
      </w:r>
    </w:p>
    <w:p>
      <w:pPr>
        <w:pStyle w:val="4"/>
        <w:rPr>
          <w:highlight w:val="none"/>
        </w:rPr>
      </w:pPr>
      <w:r>
        <w:rPr>
          <w:rFonts w:hint="eastAsia"/>
          <w:highlight w:val="none"/>
        </w:rPr>
        <w:t>资金使用严格遵照国家法律法规和有关管理制度执行，资金拨付审批程序完整规范，资金使用安全合规。对财政支出实行事先预算、事中监控和事后审查</w:t>
      </w:r>
      <w:r>
        <w:rPr>
          <w:rFonts w:hint="eastAsia"/>
          <w:highlight w:val="none"/>
          <w:lang w:val="en-US" w:eastAsia="zh-CN"/>
        </w:rPr>
        <w:t>的原则</w:t>
      </w:r>
      <w:r>
        <w:rPr>
          <w:rFonts w:hint="eastAsia"/>
          <w:highlight w:val="none"/>
        </w:rPr>
        <w:t>，加大监督检查力度，依法查处违法违规使用财政资金的行为，提高财政资金使用的规范性、安全性和有效性</w:t>
      </w:r>
      <w:r>
        <w:rPr>
          <w:rFonts w:hint="eastAsia"/>
          <w:highlight w:val="none"/>
          <w:lang w:eastAsia="zh-CN"/>
        </w:rPr>
        <w:t>；</w:t>
      </w:r>
      <w:r>
        <w:rPr>
          <w:rFonts w:hint="eastAsia"/>
          <w:highlight w:val="none"/>
        </w:rPr>
        <w:t>完善内部运行机制，以岗位职责为纽带，遵循“决策-执行-监督”相分离的原则，确保各项财政业务始终在科学、合理、严密的内控下运作</w:t>
      </w:r>
      <w:r>
        <w:rPr>
          <w:rFonts w:hint="eastAsia"/>
          <w:highlight w:val="none"/>
          <w:lang w:eastAsia="zh-CN"/>
        </w:rPr>
        <w:t>；</w:t>
      </w:r>
      <w:r>
        <w:rPr>
          <w:rFonts w:hint="eastAsia"/>
          <w:highlight w:val="none"/>
        </w:rPr>
        <w:t>强化机关内部监督</w:t>
      </w:r>
      <w:r>
        <w:rPr>
          <w:rFonts w:hint="eastAsia"/>
          <w:highlight w:val="none"/>
          <w:lang w:val="en-US" w:eastAsia="zh-CN"/>
        </w:rPr>
        <w:t>职责</w:t>
      </w:r>
      <w:r>
        <w:rPr>
          <w:rFonts w:hint="eastAsia"/>
          <w:highlight w:val="none"/>
        </w:rPr>
        <w:t>，定期、不定期地对各科室基础工作情况、计划执行情况、资金管理情况重点进行严格、全面</w:t>
      </w:r>
      <w:r>
        <w:rPr>
          <w:rFonts w:hint="eastAsia"/>
          <w:highlight w:val="none"/>
          <w:lang w:val="en-US" w:eastAsia="zh-CN"/>
        </w:rPr>
        <w:t>地</w:t>
      </w:r>
      <w:r>
        <w:rPr>
          <w:rFonts w:hint="eastAsia"/>
          <w:highlight w:val="none"/>
        </w:rPr>
        <w:t>检查，规范内部财务和会计管理</w:t>
      </w:r>
      <w:r>
        <w:rPr>
          <w:rFonts w:hint="eastAsia"/>
          <w:highlight w:val="none"/>
          <w:lang w:val="en-US" w:eastAsia="zh-CN"/>
        </w:rPr>
        <w:t>体系</w:t>
      </w:r>
      <w:r>
        <w:rPr>
          <w:rFonts w:hint="eastAsia"/>
          <w:highlight w:val="none"/>
        </w:rPr>
        <w:t>，确保财政资金安全运转和有效使用。</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pPr>
        <w:pStyle w:val="4"/>
        <w:rPr>
          <w:rFonts w:hint="eastAsia"/>
          <w:highlight w:val="none"/>
          <w:lang w:val="en-US" w:eastAsia="zh-CN"/>
        </w:rPr>
      </w:pPr>
      <w:r>
        <w:rPr>
          <w:rFonts w:hint="eastAsia"/>
          <w:highlight w:val="none"/>
          <w:lang w:val="en-US" w:eastAsia="zh-CN"/>
        </w:rPr>
        <w:t>本部门执行《政府会计准则制度》，按照规定设置和使用会计科目、填制会计凭证、登记会计账簿，财务会计报表的编制以权责发生制为基础，以单位财务会计核算生成的数据为准，预算会计报表的编制以收付实现制为基础，以单位预算会计核算生成的数据为准，各项收支业务符合要求，会计基础信息完整准确。</w:t>
      </w:r>
    </w:p>
    <w:p>
      <w:pPr>
        <w:spacing w:line="600" w:lineRule="exact"/>
        <w:ind w:left="105" w:leftChars="50" w:firstLine="480" w:firstLineChars="150"/>
        <w:outlineLvl w:val="1"/>
        <w:rPr>
          <w:rFonts w:hint="eastAsia" w:ascii="楷体_GB2312" w:eastAsia="楷体_GB2312"/>
          <w:sz w:val="32"/>
          <w:szCs w:val="32"/>
          <w:highlight w:val="none"/>
        </w:rPr>
      </w:pPr>
      <w:r>
        <w:rPr>
          <w:rFonts w:hint="eastAsia" w:ascii="楷体_GB2312" w:eastAsia="楷体_GB2312"/>
          <w:sz w:val="32"/>
          <w:szCs w:val="32"/>
          <w:highlight w:val="none"/>
        </w:rPr>
        <w:t>（二）资产管理</w:t>
      </w:r>
    </w:p>
    <w:p>
      <w:pPr>
        <w:adjustRightInd w:val="0"/>
        <w:spacing w:line="360" w:lineRule="auto"/>
        <w:ind w:firstLine="640"/>
        <w:outlineLvl w:val="2"/>
        <w:rPr>
          <w:rFonts w:hint="eastAsia" w:ascii="仿宋_GB2312" w:hAnsi="Times New Roman" w:eastAsia="仿宋_GB2312"/>
          <w:sz w:val="32"/>
          <w:szCs w:val="32"/>
        </w:rPr>
      </w:pPr>
      <w:r>
        <w:rPr>
          <w:rFonts w:hint="eastAsia" w:ascii="仿宋_GB2312" w:hAnsi="Times New Roman" w:eastAsia="仿宋_GB2312"/>
          <w:bCs/>
          <w:sz w:val="32"/>
          <w:szCs w:val="32"/>
        </w:rPr>
        <w:t>1.</w:t>
      </w:r>
      <w:r>
        <w:rPr>
          <w:rFonts w:hint="eastAsia" w:ascii="仿宋_GB2312" w:hAnsi="Times New Roman" w:eastAsia="仿宋_GB2312"/>
          <w:sz w:val="32"/>
          <w:szCs w:val="32"/>
        </w:rPr>
        <w:t>资产配置的合理性</w:t>
      </w:r>
    </w:p>
    <w:p>
      <w:pPr>
        <w:adjustRightInd w:val="0"/>
        <w:spacing w:line="360" w:lineRule="auto"/>
        <w:ind w:firstLine="640"/>
        <w:rPr>
          <w:rFonts w:hint="eastAsia" w:ascii="仿宋_GB2312" w:hAnsi="Times New Roman" w:eastAsia="仿宋_GB2312"/>
          <w:bCs/>
          <w:sz w:val="32"/>
          <w:szCs w:val="32"/>
        </w:rPr>
      </w:pPr>
      <w:r>
        <w:rPr>
          <w:rFonts w:hint="eastAsia" w:ascii="仿宋_GB2312" w:hAnsi="Times New Roman" w:eastAsia="仿宋_GB2312"/>
          <w:bCs/>
          <w:sz w:val="32"/>
          <w:szCs w:val="32"/>
        </w:rPr>
        <w:t>截至202</w:t>
      </w:r>
      <w:r>
        <w:rPr>
          <w:rFonts w:hint="eastAsia" w:ascii="仿宋_GB2312" w:eastAsia="仿宋_GB2312"/>
          <w:bCs/>
          <w:sz w:val="32"/>
          <w:szCs w:val="32"/>
          <w:lang w:val="en-US" w:eastAsia="zh-CN"/>
        </w:rPr>
        <w:t>3</w:t>
      </w:r>
      <w:r>
        <w:rPr>
          <w:rFonts w:hint="eastAsia" w:ascii="仿宋_GB2312" w:hAnsi="Times New Roman" w:eastAsia="仿宋_GB2312"/>
          <w:bCs/>
          <w:sz w:val="32"/>
          <w:szCs w:val="32"/>
        </w:rPr>
        <w:t>年年末，</w:t>
      </w: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资产总额为</w:t>
      </w:r>
      <w:r>
        <w:rPr>
          <w:rFonts w:hint="eastAsia" w:ascii="仿宋_GB2312" w:hAnsi="仿宋" w:eastAsia="仿宋_GB2312"/>
          <w:color w:val="auto"/>
          <w:sz w:val="32"/>
          <w:szCs w:val="32"/>
        </w:rPr>
        <w:t>263.93</w:t>
      </w:r>
      <w:r>
        <w:rPr>
          <w:rFonts w:hint="eastAsia" w:ascii="仿宋_GB2312" w:hAnsi="仿宋" w:eastAsia="仿宋_GB2312" w:cs="仿宋"/>
          <w:sz w:val="32"/>
          <w:szCs w:val="32"/>
          <w:lang w:val="en-US" w:eastAsia="zh-CN"/>
        </w:rPr>
        <w:t>万</w:t>
      </w:r>
      <w:r>
        <w:rPr>
          <w:rFonts w:hint="eastAsia" w:ascii="仿宋_GB2312" w:hAnsi="Times New Roman" w:eastAsia="仿宋_GB2312"/>
          <w:bCs/>
          <w:sz w:val="32"/>
          <w:szCs w:val="32"/>
        </w:rPr>
        <w:t>元，其中流动资产</w:t>
      </w:r>
      <w:r>
        <w:rPr>
          <w:rFonts w:hint="eastAsia" w:ascii="仿宋_GB2312" w:hAnsi="仿宋" w:eastAsia="仿宋_GB2312"/>
          <w:sz w:val="32"/>
          <w:szCs w:val="32"/>
        </w:rPr>
        <w:t>256.93万元</w:t>
      </w:r>
      <w:r>
        <w:rPr>
          <w:rFonts w:hint="eastAsia" w:ascii="仿宋_GB2312" w:hAnsi="Times New Roman" w:eastAsia="仿宋_GB2312"/>
          <w:bCs/>
          <w:sz w:val="32"/>
          <w:szCs w:val="32"/>
        </w:rPr>
        <w:t>、</w:t>
      </w:r>
      <w:r>
        <w:rPr>
          <w:rFonts w:hint="eastAsia" w:ascii="仿宋_GB2312" w:hAnsi="仿宋" w:eastAsia="仿宋_GB2312"/>
          <w:sz w:val="32"/>
          <w:szCs w:val="32"/>
          <w:lang w:val="en-US" w:eastAsia="zh-CN"/>
        </w:rPr>
        <w:t>固定资产净值</w:t>
      </w:r>
      <w:r>
        <w:rPr>
          <w:rFonts w:hint="eastAsia" w:ascii="仿宋_GB2312" w:hAnsi="仿宋" w:eastAsia="仿宋_GB2312"/>
          <w:sz w:val="32"/>
          <w:szCs w:val="32"/>
          <w:lang w:eastAsia="zh-CN"/>
        </w:rPr>
        <w:t>7.00</w:t>
      </w:r>
      <w:r>
        <w:rPr>
          <w:rFonts w:hint="eastAsia" w:ascii="仿宋_GB2312" w:hAnsi="仿宋" w:eastAsia="仿宋_GB2312"/>
          <w:sz w:val="32"/>
          <w:szCs w:val="32"/>
          <w:lang w:val="en-US" w:eastAsia="zh-CN"/>
        </w:rPr>
        <w:t>万元</w:t>
      </w:r>
      <w:r>
        <w:rPr>
          <w:rFonts w:hint="eastAsia" w:ascii="仿宋_GB2312" w:hAnsi="Times New Roman" w:eastAsia="仿宋_GB2312"/>
          <w:bCs/>
          <w:sz w:val="32"/>
          <w:szCs w:val="32"/>
        </w:rPr>
        <w:t>。在资产管理工作中，</w:t>
      </w: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严格按照资产配置标准配置资产。</w:t>
      </w:r>
    </w:p>
    <w:p>
      <w:pPr>
        <w:adjustRightInd w:val="0"/>
        <w:spacing w:line="360" w:lineRule="auto"/>
        <w:ind w:firstLine="640"/>
        <w:outlineLvl w:val="2"/>
        <w:rPr>
          <w:rFonts w:hint="eastAsia" w:ascii="仿宋_GB2312" w:hAnsi="Times New Roman" w:eastAsia="仿宋_GB2312"/>
          <w:bCs/>
          <w:sz w:val="32"/>
          <w:szCs w:val="32"/>
        </w:rPr>
      </w:pPr>
      <w:r>
        <w:rPr>
          <w:rFonts w:hint="eastAsia" w:ascii="仿宋_GB2312" w:hAnsi="Times New Roman" w:eastAsia="仿宋_GB2312"/>
          <w:bCs/>
          <w:sz w:val="32"/>
          <w:szCs w:val="32"/>
        </w:rPr>
        <w:t>2.资产使用的</w:t>
      </w:r>
      <w:r>
        <w:rPr>
          <w:rFonts w:hint="eastAsia" w:ascii="仿宋_GB2312" w:hAnsi="Times New Roman" w:eastAsia="仿宋_GB2312"/>
          <w:bCs/>
          <w:color w:val="000000"/>
          <w:sz w:val="32"/>
          <w:szCs w:val="32"/>
        </w:rPr>
        <w:t>规范性</w:t>
      </w:r>
    </w:p>
    <w:p>
      <w:pPr>
        <w:adjustRightInd w:val="0"/>
        <w:spacing w:line="360" w:lineRule="auto"/>
        <w:ind w:firstLine="640"/>
        <w:outlineLvl w:val="2"/>
        <w:rPr>
          <w:rFonts w:hint="eastAsia" w:ascii="仿宋_GB2312" w:hAnsi="Times New Roman" w:eastAsia="仿宋_GB2312"/>
          <w:bCs/>
          <w:sz w:val="32"/>
          <w:szCs w:val="32"/>
        </w:rPr>
      </w:pPr>
      <w:r>
        <w:rPr>
          <w:rFonts w:hint="eastAsia" w:ascii="仿宋_GB2312" w:hAnsi="Times New Roman" w:eastAsia="仿宋_GB2312"/>
          <w:bCs/>
          <w:color w:val="000000"/>
          <w:sz w:val="32"/>
          <w:szCs w:val="32"/>
        </w:rPr>
        <w:t>《</w:t>
      </w:r>
      <w:r>
        <w:rPr>
          <w:rFonts w:hint="eastAsia" w:ascii="仿宋_GB2312" w:eastAsia="仿宋_GB2312"/>
          <w:bCs/>
          <w:sz w:val="32"/>
          <w:szCs w:val="32"/>
          <w:lang w:eastAsia="zh-CN"/>
        </w:rPr>
        <w:t>首都绿化委员会办公室</w:t>
      </w:r>
      <w:r>
        <w:rPr>
          <w:rFonts w:hint="eastAsia" w:ascii="仿宋_GB2312" w:eastAsia="仿宋_GB2312"/>
          <w:bCs/>
          <w:sz w:val="32"/>
          <w:szCs w:val="32"/>
          <w:lang w:val="en-US" w:eastAsia="zh-CN"/>
        </w:rPr>
        <w:t>内控制度手册</w:t>
      </w:r>
      <w:r>
        <w:rPr>
          <w:rFonts w:hint="eastAsia" w:ascii="仿宋_GB2312" w:hAnsi="Times New Roman" w:eastAsia="仿宋_GB2312"/>
          <w:bCs/>
          <w:color w:val="000000"/>
          <w:sz w:val="32"/>
          <w:szCs w:val="32"/>
        </w:rPr>
        <w:t>》明确了固定资产的管理要求，</w:t>
      </w:r>
      <w:r>
        <w:rPr>
          <w:rFonts w:hint="eastAsia" w:ascii="仿宋_GB2312" w:hAnsi="仿宋" w:eastAsia="仿宋_GB2312" w:cs="仿宋_GB2312"/>
          <w:sz w:val="32"/>
          <w:szCs w:val="32"/>
        </w:rPr>
        <w:t>从固定资产的购置、入库、领用、转移、回收、清查、丢失损坏处置、报废等均有明确的规定和流程</w:t>
      </w:r>
      <w:r>
        <w:rPr>
          <w:rFonts w:hint="eastAsia" w:ascii="仿宋_GB2312" w:hAnsi="仿宋" w:eastAsia="仿宋_GB2312" w:cs="仿宋_GB2312"/>
          <w:sz w:val="32"/>
          <w:szCs w:val="32"/>
          <w:lang w:eastAsia="zh-CN"/>
        </w:rPr>
        <w:t>，</w:t>
      </w:r>
      <w:r>
        <w:rPr>
          <w:rFonts w:hint="eastAsia" w:ascii="仿宋_GB2312" w:hAnsi="Times New Roman" w:eastAsia="仿宋_GB2312"/>
          <w:bCs/>
          <w:sz w:val="32"/>
          <w:szCs w:val="32"/>
        </w:rPr>
        <w:t>资产使用</w:t>
      </w:r>
      <w:r>
        <w:rPr>
          <w:rFonts w:hint="eastAsia" w:ascii="仿宋_GB2312" w:eastAsia="仿宋_GB2312"/>
          <w:bCs/>
          <w:sz w:val="32"/>
          <w:szCs w:val="32"/>
          <w:lang w:val="en-US" w:eastAsia="zh-CN"/>
        </w:rPr>
        <w:t>符合相关管理规定</w:t>
      </w:r>
      <w:r>
        <w:rPr>
          <w:rFonts w:hint="eastAsia" w:ascii="仿宋_GB2312" w:hAnsi="Times New Roman" w:eastAsia="仿宋_GB2312"/>
          <w:bCs/>
          <w:sz w:val="32"/>
          <w:szCs w:val="32"/>
        </w:rPr>
        <w:t>。</w:t>
      </w:r>
    </w:p>
    <w:p>
      <w:pPr>
        <w:spacing w:line="360" w:lineRule="auto"/>
        <w:ind w:firstLine="640"/>
        <w:outlineLvl w:val="2"/>
        <w:rPr>
          <w:rFonts w:hint="eastAsia" w:ascii="仿宋_GB2312" w:hAnsi="Times New Roman" w:eastAsia="仿宋_GB2312"/>
          <w:bCs/>
          <w:sz w:val="32"/>
          <w:szCs w:val="32"/>
        </w:rPr>
      </w:pPr>
      <w:r>
        <w:rPr>
          <w:rFonts w:hint="eastAsia" w:ascii="仿宋_GB2312" w:hAnsi="Times New Roman" w:eastAsia="仿宋_GB2312"/>
          <w:bCs/>
          <w:sz w:val="32"/>
          <w:szCs w:val="32"/>
        </w:rPr>
        <w:t>3.资产利用的有效性</w:t>
      </w:r>
    </w:p>
    <w:p>
      <w:pPr>
        <w:pStyle w:val="2"/>
        <w:rPr>
          <w:rFonts w:hint="eastAsia" w:ascii="仿宋_GB2312" w:eastAsia="仿宋_GB2312"/>
          <w:bCs/>
          <w:sz w:val="32"/>
          <w:szCs w:val="32"/>
          <w:lang w:eastAsia="zh-CN"/>
        </w:rPr>
      </w:pP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固定资产管理制度比较明确，相关部门和岗位的职责权限明晰</w:t>
      </w:r>
      <w:r>
        <w:rPr>
          <w:rFonts w:hint="eastAsia" w:ascii="仿宋_GB2312" w:eastAsia="仿宋_GB2312"/>
          <w:bCs/>
          <w:sz w:val="32"/>
          <w:szCs w:val="32"/>
          <w:lang w:eastAsia="zh-CN"/>
        </w:rPr>
        <w:t>，资产</w:t>
      </w:r>
      <w:r>
        <w:rPr>
          <w:rFonts w:hint="eastAsia" w:ascii="仿宋_GB2312" w:eastAsia="仿宋_GB2312"/>
          <w:bCs/>
          <w:sz w:val="32"/>
          <w:szCs w:val="32"/>
          <w:lang w:val="en-US" w:eastAsia="zh-CN"/>
        </w:rPr>
        <w:t>利用</w:t>
      </w:r>
      <w:r>
        <w:rPr>
          <w:rFonts w:hint="eastAsia" w:ascii="仿宋_GB2312" w:eastAsia="仿宋_GB2312"/>
          <w:bCs/>
          <w:sz w:val="32"/>
          <w:szCs w:val="32"/>
          <w:lang w:eastAsia="zh-CN"/>
        </w:rPr>
        <w:t>情况的统计数据及有效性分析具备较高水平。</w:t>
      </w:r>
    </w:p>
    <w:p>
      <w:pPr>
        <w:spacing w:line="60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adjustRightInd w:val="0"/>
        <w:spacing w:line="360" w:lineRule="auto"/>
        <w:ind w:firstLine="640"/>
        <w:rPr>
          <w:rFonts w:ascii="楷体_GB2312" w:eastAsia="楷体_GB2312"/>
          <w:sz w:val="32"/>
          <w:szCs w:val="32"/>
        </w:rPr>
      </w:pPr>
      <w:r>
        <w:rPr>
          <w:rFonts w:hint="eastAsia" w:ascii="仿宋_GB2312" w:hAnsi="Times New Roman" w:eastAsia="仿宋_GB2312"/>
          <w:bCs/>
          <w:sz w:val="32"/>
          <w:szCs w:val="32"/>
        </w:rPr>
        <w:t>为进一步加强</w:t>
      </w: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整体支出绩效管理工作，建立科学、合理的预算绩效</w:t>
      </w:r>
      <w:r>
        <w:rPr>
          <w:rFonts w:hint="eastAsia" w:ascii="仿宋_GB2312" w:eastAsia="仿宋_GB2312"/>
          <w:bCs/>
          <w:sz w:val="32"/>
          <w:szCs w:val="32"/>
          <w:lang w:val="en-US" w:eastAsia="zh-CN"/>
        </w:rPr>
        <w:t>运行监控</w:t>
      </w:r>
      <w:r>
        <w:rPr>
          <w:rFonts w:hint="eastAsia" w:ascii="仿宋_GB2312" w:hAnsi="Times New Roman" w:eastAsia="仿宋_GB2312"/>
          <w:bCs/>
          <w:sz w:val="32"/>
          <w:szCs w:val="32"/>
        </w:rPr>
        <w:t>管理机制，有效增强预算执行的科学性、合理性、规范性，提高财政资金使用效益，</w:t>
      </w: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认真贯彻有关预算绩效管理工作的规章制度和最新要求，制定预算绩效管理工作的实施方案等。部门整体绩效管理与</w:t>
      </w:r>
      <w:r>
        <w:rPr>
          <w:rFonts w:hint="eastAsia" w:ascii="仿宋_GB2312" w:eastAsia="仿宋_GB2312"/>
          <w:bCs/>
          <w:sz w:val="32"/>
          <w:szCs w:val="32"/>
          <w:lang w:eastAsia="zh-CN"/>
        </w:rPr>
        <w:t>首都绿化</w:t>
      </w:r>
      <w:r>
        <w:rPr>
          <w:rFonts w:hint="eastAsia" w:ascii="仿宋_GB2312" w:hAnsi="Times New Roman" w:eastAsia="仿宋_GB2312"/>
          <w:bCs/>
          <w:sz w:val="32"/>
          <w:szCs w:val="32"/>
          <w:lang w:eastAsia="zh-CN"/>
        </w:rPr>
        <w:t>委员会办公室</w:t>
      </w:r>
      <w:r>
        <w:rPr>
          <w:rFonts w:hint="eastAsia" w:ascii="仿宋_GB2312" w:hAnsi="Times New Roman" w:eastAsia="仿宋_GB2312"/>
          <w:bCs/>
          <w:sz w:val="32"/>
          <w:szCs w:val="32"/>
        </w:rPr>
        <w:t>日常管理工作有效结合，</w:t>
      </w:r>
      <w:r>
        <w:rPr>
          <w:rFonts w:hint="eastAsia" w:ascii="仿宋_GB2312" w:eastAsia="仿宋_GB2312"/>
          <w:bCs/>
          <w:sz w:val="32"/>
          <w:szCs w:val="32"/>
          <w:lang w:val="en-US" w:eastAsia="zh-CN"/>
        </w:rPr>
        <w:t>有助于</w:t>
      </w:r>
      <w:r>
        <w:rPr>
          <w:rFonts w:hint="eastAsia" w:ascii="仿宋_GB2312" w:hAnsi="Times New Roman" w:eastAsia="仿宋_GB2312"/>
          <w:bCs/>
          <w:sz w:val="32"/>
          <w:szCs w:val="32"/>
        </w:rPr>
        <w:t>提高财政资金使用效益。</w:t>
      </w:r>
    </w:p>
    <w:p>
      <w:pPr>
        <w:spacing w:line="600" w:lineRule="exact"/>
        <w:ind w:left="105" w:leftChars="50" w:firstLine="480" w:firstLineChars="150"/>
        <w:outlineLvl w:val="1"/>
        <w:rPr>
          <w:rFonts w:hint="eastAsia" w:ascii="楷体_GB2312" w:eastAsia="楷体_GB2312"/>
          <w:sz w:val="32"/>
          <w:szCs w:val="32"/>
        </w:rPr>
      </w:pPr>
      <w:r>
        <w:rPr>
          <w:rFonts w:hint="eastAsia" w:ascii="楷体_GB2312" w:eastAsia="楷体_GB2312"/>
          <w:sz w:val="32"/>
          <w:szCs w:val="32"/>
        </w:rPr>
        <w:t>（四）结转结余率</w:t>
      </w:r>
    </w:p>
    <w:p>
      <w:pPr>
        <w:pStyle w:val="4"/>
        <w:rPr>
          <w:rFonts w:hint="default"/>
          <w:lang w:val="en-US" w:eastAsia="zh-CN"/>
        </w:rPr>
      </w:pPr>
      <w:r>
        <w:rPr>
          <w:rFonts w:hint="eastAsia" w:ascii="仿宋_GB2312" w:hAnsi="Times New Roman" w:eastAsia="仿宋_GB2312" w:cs="Times New Roman"/>
          <w:bCs/>
          <w:sz w:val="32"/>
          <w:szCs w:val="32"/>
          <w:lang w:eastAsia="zh-CN"/>
        </w:rPr>
        <w:t>首都绿化委员会办公室</w:t>
      </w:r>
      <w:r>
        <w:rPr>
          <w:rFonts w:hint="eastAsia" w:ascii="仿宋_GB2312" w:hAnsi="Times New Roman" w:eastAsia="仿宋_GB2312" w:cs="Times New Roman"/>
          <w:bCs/>
          <w:sz w:val="32"/>
          <w:szCs w:val="32"/>
          <w:lang w:val="en-US" w:eastAsia="zh-CN"/>
        </w:rPr>
        <w:t>202</w:t>
      </w:r>
      <w:r>
        <w:rPr>
          <w:rFonts w:hint="eastAsia" w:ascii="仿宋_GB2312" w:eastAsia="仿宋_GB2312" w:cs="Times New Roman"/>
          <w:bCs/>
          <w:sz w:val="32"/>
          <w:szCs w:val="32"/>
          <w:lang w:val="en-US" w:eastAsia="zh-CN"/>
        </w:rPr>
        <w:t>3</w:t>
      </w:r>
      <w:r>
        <w:rPr>
          <w:rFonts w:hint="eastAsia" w:ascii="仿宋_GB2312" w:hAnsi="Times New Roman" w:eastAsia="仿宋_GB2312" w:cs="Times New Roman"/>
          <w:bCs/>
          <w:sz w:val="32"/>
          <w:szCs w:val="32"/>
          <w:lang w:val="en-US" w:eastAsia="zh-CN"/>
        </w:rPr>
        <w:t>年</w:t>
      </w:r>
      <w:r>
        <w:rPr>
          <w:rFonts w:hint="default"/>
          <w:lang w:val="en-US" w:eastAsia="zh-CN"/>
        </w:rPr>
        <w:t>年末资金结转0.04万元，结余250.06万元。分别是基本经费结余63.31万元，结转0.04万元，项目经费结余186.75万元，主要原因：根据事业发展需求，基本支出及机动经费支出减少。</w:t>
      </w:r>
    </w:p>
    <w:p>
      <w:pPr>
        <w:spacing w:line="600" w:lineRule="exact"/>
        <w:ind w:left="105" w:leftChars="50" w:firstLine="480" w:firstLineChars="150"/>
        <w:outlineLvl w:val="1"/>
        <w:rPr>
          <w:rFonts w:hint="eastAsia" w:ascii="楷体_GB2312" w:eastAsia="楷体_GB2312"/>
          <w:sz w:val="32"/>
          <w:szCs w:val="32"/>
        </w:rPr>
      </w:pPr>
      <w:r>
        <w:rPr>
          <w:rFonts w:hint="eastAsia" w:ascii="楷体_GB2312" w:eastAsia="楷体_GB2312"/>
          <w:sz w:val="32"/>
          <w:szCs w:val="32"/>
        </w:rPr>
        <w:t>（五）</w:t>
      </w:r>
      <w:r>
        <w:rPr>
          <w:rFonts w:hint="eastAsia" w:ascii="楷体_GB2312" w:eastAsia="楷体_GB2312"/>
          <w:sz w:val="32"/>
          <w:szCs w:val="32"/>
          <w:lang w:val="en-US" w:eastAsia="zh-CN"/>
        </w:rPr>
        <w:t>部门</w:t>
      </w:r>
      <w:r>
        <w:rPr>
          <w:rFonts w:hint="default" w:ascii="楷体_GB2312" w:eastAsia="楷体_GB2312"/>
          <w:sz w:val="32"/>
          <w:szCs w:val="32"/>
          <w:lang w:val="en-US" w:eastAsia="zh-CN"/>
        </w:rPr>
        <w:t>预决</w:t>
      </w:r>
      <w:r>
        <w:rPr>
          <w:rFonts w:hint="eastAsia" w:ascii="楷体_GB2312" w:eastAsia="楷体_GB2312"/>
          <w:sz w:val="32"/>
          <w:szCs w:val="32"/>
        </w:rPr>
        <w:t>算差异率</w:t>
      </w:r>
    </w:p>
    <w:p>
      <w:pPr>
        <w:spacing w:line="600" w:lineRule="exact"/>
        <w:ind w:left="105" w:leftChars="50" w:firstLine="480" w:firstLineChars="150"/>
        <w:outlineLvl w:val="9"/>
        <w:rPr>
          <w:rFonts w:hint="eastAsia" w:ascii="仿宋_GB2312" w:hAnsi="宋体" w:eastAsia="仿宋_GB2312" w:cs="仿宋_GB2312"/>
          <w:i w:val="0"/>
          <w:iCs w:val="0"/>
          <w:color w:val="000000"/>
          <w:kern w:val="0"/>
          <w:sz w:val="32"/>
          <w:szCs w:val="32"/>
          <w:highlight w:val="none"/>
          <w:u w:val="none"/>
          <w:lang w:val="en-US" w:eastAsia="zh-CN" w:bidi="ar"/>
        </w:rPr>
      </w:pPr>
      <w:r>
        <w:rPr>
          <w:rFonts w:hint="eastAsia" w:ascii="仿宋_GB2312" w:hAnsi="宋体" w:eastAsia="仿宋_GB2312" w:cs="宋体"/>
          <w:color w:val="000000"/>
          <w:kern w:val="0"/>
          <w:sz w:val="32"/>
          <w:szCs w:val="32"/>
        </w:rPr>
        <w:t>20</w:t>
      </w:r>
      <w:r>
        <w:rPr>
          <w:rFonts w:hint="eastAsia" w:ascii="仿宋_GB2312" w:hAnsi="宋体" w:eastAsia="仿宋_GB2312" w:cs="宋体"/>
          <w:color w:val="000000"/>
          <w:kern w:val="0"/>
          <w:sz w:val="32"/>
          <w:szCs w:val="32"/>
          <w:lang w:val="en-US" w:eastAsia="zh-CN"/>
        </w:rPr>
        <w:t>23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eastAsia="仿宋_GB2312"/>
          <w:sz w:val="32"/>
          <w:szCs w:val="32"/>
          <w:lang w:val="en-US" w:eastAsia="zh-CN"/>
        </w:rPr>
        <w:t>4,891.04</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决算数</w:t>
      </w:r>
      <w:r>
        <w:rPr>
          <w:rFonts w:hint="eastAsia" w:ascii="仿宋_GB2312" w:hAnsi="仿宋" w:eastAsia="仿宋_GB2312"/>
          <w:sz w:val="32"/>
          <w:szCs w:val="32"/>
        </w:rPr>
        <w:t>4,690.97</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，部</w:t>
      </w:r>
      <w:r>
        <w:rPr>
          <w:rFonts w:hint="eastAsia" w:ascii="仿宋_GB2312" w:hAnsi="宋体" w:eastAsia="仿宋_GB2312" w:cs="宋体"/>
          <w:color w:val="000000"/>
          <w:kern w:val="0"/>
          <w:sz w:val="32"/>
          <w:szCs w:val="32"/>
          <w:lang w:val="en-US" w:eastAsia="zh-CN"/>
        </w:rPr>
        <w:t>门</w:t>
      </w:r>
      <w:r>
        <w:rPr>
          <w:rFonts w:hint="eastAsia" w:ascii="仿宋_GB2312" w:hAnsi="宋体" w:eastAsia="仿宋_GB2312" w:cs="宋体"/>
          <w:color w:val="000000"/>
          <w:kern w:val="0"/>
          <w:sz w:val="32"/>
          <w:szCs w:val="32"/>
        </w:rPr>
        <w:t>预决算差异率为-4.09%</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部</w:t>
      </w:r>
      <w:r>
        <w:rPr>
          <w:rFonts w:hint="eastAsia" w:ascii="仿宋_GB2312" w:hAnsi="宋体" w:eastAsia="仿宋_GB2312" w:cs="宋体"/>
          <w:color w:val="000000"/>
          <w:kern w:val="0"/>
          <w:sz w:val="32"/>
          <w:szCs w:val="32"/>
          <w:lang w:val="en-US" w:eastAsia="zh-CN"/>
        </w:rPr>
        <w:t>门</w:t>
      </w:r>
      <w:r>
        <w:rPr>
          <w:rFonts w:hint="eastAsia" w:ascii="仿宋_GB2312" w:hAnsi="宋体" w:eastAsia="仿宋_GB2312" w:cs="宋体"/>
          <w:color w:val="000000"/>
          <w:kern w:val="0"/>
          <w:sz w:val="32"/>
          <w:szCs w:val="32"/>
        </w:rPr>
        <w:t>预决算差异率</w:t>
      </w:r>
      <w:r>
        <w:rPr>
          <w:rFonts w:hint="eastAsia" w:ascii="仿宋_GB2312" w:hAnsi="宋体" w:eastAsia="仿宋_GB2312" w:cs="宋体"/>
          <w:color w:val="000000"/>
          <w:kern w:val="0"/>
          <w:sz w:val="32"/>
          <w:szCs w:val="32"/>
          <w:lang w:val="en-US" w:eastAsia="zh-CN"/>
        </w:rPr>
        <w:t>较低，表明</w:t>
      </w:r>
      <w:r>
        <w:rPr>
          <w:rFonts w:hint="eastAsia" w:ascii="仿宋_GB2312" w:hAnsi="宋体" w:eastAsia="仿宋_GB2312" w:cs="宋体"/>
          <w:color w:val="000000"/>
          <w:kern w:val="0"/>
          <w:sz w:val="32"/>
          <w:szCs w:val="32"/>
          <w:highlight w:val="none"/>
          <w:lang w:val="en-US" w:eastAsia="zh-CN"/>
        </w:rPr>
        <w:t>本单位预算执行情况较好</w:t>
      </w:r>
      <w:r>
        <w:rPr>
          <w:rFonts w:hint="eastAsia" w:ascii="仿宋_GB2312" w:hAnsi="宋体" w:eastAsia="仿宋_GB2312" w:cs="仿宋_GB2312"/>
          <w:i w:val="0"/>
          <w:iCs w:val="0"/>
          <w:color w:val="000000"/>
          <w:kern w:val="0"/>
          <w:sz w:val="32"/>
          <w:szCs w:val="32"/>
          <w:highlight w:val="none"/>
          <w:u w:val="none"/>
          <w:lang w:val="en-US" w:eastAsia="zh-CN" w:bidi="ar"/>
        </w:rPr>
        <w:t>。</w:t>
      </w:r>
    </w:p>
    <w:p>
      <w:pPr>
        <w:spacing w:line="600" w:lineRule="exact"/>
        <w:ind w:left="105" w:leftChars="50" w:firstLine="480" w:firstLineChars="150"/>
        <w:outlineLvl w:val="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通过评价，该部门整体支出综合评价得分</w:t>
      </w:r>
      <w:r>
        <w:rPr>
          <w:rFonts w:hint="eastAsia" w:ascii="仿宋_GB2312" w:hAnsi="宋体" w:eastAsia="仿宋_GB2312" w:cs="宋体"/>
          <w:color w:val="000000"/>
          <w:kern w:val="0"/>
          <w:sz w:val="32"/>
          <w:szCs w:val="32"/>
          <w:highlight w:val="none"/>
          <w:lang w:val="en-US" w:eastAsia="zh-CN"/>
        </w:rPr>
        <w:t>90.50</w:t>
      </w:r>
      <w:r>
        <w:rPr>
          <w:rFonts w:hint="eastAsia" w:ascii="仿宋_GB2312" w:hAnsi="宋体" w:eastAsia="仿宋_GB2312" w:cs="宋体"/>
          <w:color w:val="000000"/>
          <w:kern w:val="0"/>
          <w:sz w:val="32"/>
          <w:szCs w:val="32"/>
          <w:highlight w:val="none"/>
        </w:rPr>
        <w:t>分，门整体项目综合绩效评定结论为“</w:t>
      </w:r>
      <w:r>
        <w:rPr>
          <w:rFonts w:hint="eastAsia" w:ascii="仿宋_GB2312" w:hAnsi="宋体" w:eastAsia="仿宋_GB2312" w:cs="宋体"/>
          <w:color w:val="000000"/>
          <w:kern w:val="0"/>
          <w:sz w:val="32"/>
          <w:szCs w:val="32"/>
          <w:highlight w:val="none"/>
          <w:lang w:val="en-US" w:eastAsia="zh-CN"/>
        </w:rPr>
        <w:t>优秀</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具体评分情况见附件。</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1.</w:t>
      </w:r>
      <w:r>
        <w:rPr>
          <w:rFonts w:hint="eastAsia" w:ascii="仿宋_GB2312" w:hAnsi="宋体" w:eastAsia="仿宋_GB2312" w:cs="宋体"/>
          <w:color w:val="000000"/>
          <w:kern w:val="0"/>
          <w:sz w:val="32"/>
          <w:szCs w:val="32"/>
          <w:highlight w:val="none"/>
        </w:rPr>
        <w:t>当年预算执行情况</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该指标分值</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0分，评价得分</w:t>
      </w:r>
      <w:r>
        <w:rPr>
          <w:rFonts w:hint="eastAsia" w:ascii="仿宋_GB2312" w:hAnsi="宋体" w:eastAsia="仿宋_GB2312" w:cs="宋体"/>
          <w:color w:val="000000"/>
          <w:kern w:val="0"/>
          <w:sz w:val="32"/>
          <w:szCs w:val="32"/>
          <w:highlight w:val="none"/>
          <w:lang w:val="en-US" w:eastAsia="zh-CN"/>
        </w:rPr>
        <w:t>19</w:t>
      </w:r>
      <w:r>
        <w:rPr>
          <w:rFonts w:hint="eastAsia" w:ascii="仿宋_GB2312" w:hAnsi="宋体" w:eastAsia="仿宋_GB2312" w:cs="宋体"/>
          <w:color w:val="000000"/>
          <w:kern w:val="0"/>
          <w:sz w:val="32"/>
          <w:szCs w:val="32"/>
          <w:highlight w:val="none"/>
        </w:rPr>
        <w:t>分。</w:t>
      </w:r>
    </w:p>
    <w:p>
      <w:pPr>
        <w:spacing w:line="600" w:lineRule="exact"/>
        <w:ind w:firstLine="640" w:firstLineChars="200"/>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2023年预算收入4,891.04万元（财政拨款4,891.04万元）。2023年预算执行4,690.97 万元，其中：基本支出858.42万元，占总支出18.30%；项目支出3,832.55万元，占总支出81.70%。预算执行率95.91%，预算执行情况良好。</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2.整体绩效目标实现情况。</w:t>
      </w:r>
      <w:r>
        <w:rPr>
          <w:rFonts w:hint="eastAsia" w:ascii="仿宋_GB2312" w:hAnsi="宋体" w:eastAsia="仿宋_GB2312" w:cs="宋体"/>
          <w:color w:val="000000"/>
          <w:kern w:val="0"/>
          <w:sz w:val="32"/>
          <w:szCs w:val="32"/>
          <w:highlight w:val="none"/>
        </w:rPr>
        <w:t>该指标分值</w:t>
      </w:r>
      <w:r>
        <w:rPr>
          <w:rFonts w:hint="eastAsia" w:ascii="仿宋_GB2312" w:hAnsi="宋体" w:eastAsia="仿宋_GB2312" w:cs="宋体"/>
          <w:color w:val="000000"/>
          <w:kern w:val="0"/>
          <w:sz w:val="32"/>
          <w:szCs w:val="32"/>
          <w:highlight w:val="none"/>
          <w:lang w:val="en-US" w:eastAsia="zh-CN"/>
        </w:rPr>
        <w:t>6</w:t>
      </w:r>
      <w:r>
        <w:rPr>
          <w:rFonts w:hint="eastAsia" w:ascii="仿宋_GB2312" w:hAnsi="宋体" w:eastAsia="仿宋_GB2312" w:cs="宋体"/>
          <w:color w:val="000000"/>
          <w:kern w:val="0"/>
          <w:sz w:val="32"/>
          <w:szCs w:val="32"/>
          <w:highlight w:val="none"/>
        </w:rPr>
        <w:t>0分，评价得分</w:t>
      </w:r>
      <w:r>
        <w:rPr>
          <w:rFonts w:hint="eastAsia" w:ascii="仿宋_GB2312" w:hAnsi="宋体" w:eastAsia="仿宋_GB2312" w:cs="宋体"/>
          <w:color w:val="000000"/>
          <w:kern w:val="0"/>
          <w:sz w:val="32"/>
          <w:szCs w:val="32"/>
          <w:highlight w:val="none"/>
          <w:lang w:val="en-US" w:eastAsia="zh-CN"/>
        </w:rPr>
        <w:t>52</w:t>
      </w:r>
      <w:r>
        <w:rPr>
          <w:rFonts w:hint="eastAsia" w:ascii="仿宋_GB2312" w:hAnsi="宋体" w:eastAsia="仿宋_GB2312" w:cs="宋体"/>
          <w:color w:val="000000"/>
          <w:kern w:val="0"/>
          <w:sz w:val="32"/>
          <w:szCs w:val="32"/>
          <w:highlight w:val="none"/>
        </w:rPr>
        <w:t>分。</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该项目成本控制情况良好，工作完成及时；项目的实施基本实现预期年度目标，完成质量较好</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项目实施的社会效益和环境效益较显著，但项目单位在申报项目时效益指标设置细化程度不足，应提炼可量化的效益指标，</w:t>
      </w:r>
      <w:r>
        <w:rPr>
          <w:rFonts w:hint="eastAsia" w:ascii="仿宋_GB2312" w:hAnsi="宋体" w:eastAsia="仿宋_GB2312" w:cs="宋体"/>
          <w:color w:val="000000"/>
          <w:kern w:val="0"/>
          <w:sz w:val="32"/>
          <w:szCs w:val="32"/>
          <w:highlight w:val="none"/>
          <w:lang w:val="en-US" w:eastAsia="zh-CN"/>
        </w:rPr>
        <w:t>有</w:t>
      </w:r>
      <w:r>
        <w:rPr>
          <w:rFonts w:hint="eastAsia" w:ascii="仿宋_GB2312" w:hAnsi="宋体" w:eastAsia="仿宋_GB2312" w:cs="宋体"/>
          <w:color w:val="000000"/>
          <w:kern w:val="0"/>
          <w:sz w:val="32"/>
          <w:szCs w:val="32"/>
          <w:highlight w:val="none"/>
        </w:rPr>
        <w:t>利于指导该项目有效实施</w:t>
      </w:r>
      <w:r>
        <w:rPr>
          <w:rFonts w:hint="eastAsia" w:ascii="仿宋_GB2312" w:hAnsi="宋体" w:eastAsia="仿宋_GB2312" w:cs="宋体"/>
          <w:color w:val="000000"/>
          <w:kern w:val="0"/>
          <w:sz w:val="32"/>
          <w:szCs w:val="32"/>
          <w:highlight w:val="none"/>
          <w:lang w:val="en-US" w:eastAsia="zh-CN"/>
        </w:rPr>
        <w:t>并</w:t>
      </w:r>
      <w:r>
        <w:rPr>
          <w:rFonts w:hint="eastAsia" w:ascii="仿宋_GB2312" w:hAnsi="宋体" w:eastAsia="仿宋_GB2312" w:cs="宋体"/>
          <w:color w:val="000000"/>
          <w:kern w:val="0"/>
          <w:sz w:val="32"/>
          <w:szCs w:val="32"/>
          <w:highlight w:val="none"/>
        </w:rPr>
        <w:t>对该项目</w:t>
      </w:r>
      <w:r>
        <w:rPr>
          <w:rFonts w:hint="eastAsia" w:ascii="仿宋_GB2312" w:hAnsi="宋体" w:eastAsia="仿宋_GB2312" w:cs="宋体"/>
          <w:color w:val="000000"/>
          <w:kern w:val="0"/>
          <w:sz w:val="32"/>
          <w:szCs w:val="32"/>
          <w:highlight w:val="none"/>
          <w:lang w:val="en-US" w:eastAsia="zh-CN"/>
        </w:rPr>
        <w:t>效益</w:t>
      </w:r>
      <w:r>
        <w:rPr>
          <w:rFonts w:hint="eastAsia" w:ascii="仿宋_GB2312" w:hAnsi="宋体" w:eastAsia="仿宋_GB2312" w:cs="宋体"/>
          <w:color w:val="000000"/>
          <w:kern w:val="0"/>
          <w:sz w:val="32"/>
          <w:szCs w:val="32"/>
          <w:highlight w:val="none"/>
        </w:rPr>
        <w:t>指标进行评价。</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预算管理情况</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该指标分值</w:t>
      </w:r>
      <w:r>
        <w:rPr>
          <w:rFonts w:hint="eastAsia" w:ascii="仿宋_GB2312" w:hAnsi="宋体" w:eastAsia="仿宋_GB2312" w:cs="宋体"/>
          <w:color w:val="000000"/>
          <w:kern w:val="0"/>
          <w:sz w:val="32"/>
          <w:szCs w:val="32"/>
          <w:highlight w:val="none"/>
          <w:lang w:val="en-US" w:eastAsia="zh-CN"/>
        </w:rPr>
        <w:t>20</w:t>
      </w:r>
      <w:r>
        <w:rPr>
          <w:rFonts w:hint="eastAsia" w:ascii="仿宋_GB2312" w:hAnsi="宋体" w:eastAsia="仿宋_GB2312" w:cs="宋体"/>
          <w:color w:val="000000"/>
          <w:kern w:val="0"/>
          <w:sz w:val="32"/>
          <w:szCs w:val="32"/>
          <w:highlight w:val="none"/>
        </w:rPr>
        <w:t>分，评价得分</w:t>
      </w:r>
      <w:r>
        <w:rPr>
          <w:rFonts w:hint="eastAsia" w:ascii="仿宋_GB2312" w:hAnsi="宋体" w:eastAsia="仿宋_GB2312" w:cs="宋体"/>
          <w:color w:val="000000"/>
          <w:kern w:val="0"/>
          <w:sz w:val="32"/>
          <w:szCs w:val="32"/>
          <w:highlight w:val="none"/>
          <w:lang w:val="en-US" w:eastAsia="zh-CN"/>
        </w:rPr>
        <w:t>19.50</w:t>
      </w:r>
      <w:r>
        <w:rPr>
          <w:rFonts w:hint="eastAsia" w:ascii="仿宋_GB2312" w:hAnsi="宋体" w:eastAsia="仿宋_GB2312" w:cs="宋体"/>
          <w:color w:val="000000"/>
          <w:kern w:val="0"/>
          <w:sz w:val="32"/>
          <w:szCs w:val="32"/>
          <w:highlight w:val="none"/>
        </w:rPr>
        <w:t>分。</w:t>
      </w:r>
    </w:p>
    <w:p>
      <w:p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val="en-US" w:eastAsia="zh-CN"/>
        </w:rPr>
        <w:t>财务管理方面：部分项目未制定针对该项目的资金管理办法，项目管理规范性有待进一步加强，管理制度需要进一步完善；</w:t>
      </w:r>
      <w:r>
        <w:rPr>
          <w:rFonts w:hint="eastAsia" w:ascii="仿宋_GB2312" w:hAnsi="宋体" w:eastAsia="仿宋_GB2312" w:cs="宋体"/>
          <w:color w:val="000000"/>
          <w:kern w:val="0"/>
          <w:sz w:val="32"/>
          <w:szCs w:val="32"/>
          <w:highlight w:val="none"/>
        </w:rPr>
        <w:t>资金使用符合相关的预算财务管理制度的规定，符合相关规定的开支范围</w:t>
      </w:r>
      <w:r>
        <w:rPr>
          <w:rFonts w:hint="eastAsia" w:ascii="仿宋_GB2312" w:hAnsi="宋体" w:eastAsia="仿宋_GB2312" w:cs="宋体"/>
          <w:color w:val="000000"/>
          <w:kern w:val="0"/>
          <w:sz w:val="32"/>
          <w:szCs w:val="32"/>
          <w:highlight w:val="none"/>
          <w:lang w:eastAsia="zh-CN"/>
        </w:rPr>
        <w:t>；基础数据信息和会计信息资料真实、完整、准确。</w:t>
      </w:r>
    </w:p>
    <w:p>
      <w:p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资产管理</w:t>
      </w:r>
      <w:r>
        <w:rPr>
          <w:rFonts w:hint="eastAsia" w:ascii="仿宋_GB2312" w:hAnsi="宋体" w:eastAsia="仿宋_GB2312" w:cs="宋体"/>
          <w:color w:val="000000"/>
          <w:kern w:val="0"/>
          <w:sz w:val="32"/>
          <w:szCs w:val="32"/>
          <w:highlight w:val="none"/>
          <w:lang w:val="en-US" w:eastAsia="zh-CN"/>
        </w:rPr>
        <w:t>方面</w:t>
      </w:r>
      <w:r>
        <w:rPr>
          <w:rFonts w:hint="eastAsia" w:ascii="仿宋_GB2312" w:hAnsi="宋体" w:eastAsia="仿宋_GB2312" w:cs="宋体"/>
          <w:color w:val="000000"/>
          <w:kern w:val="0"/>
          <w:sz w:val="32"/>
          <w:szCs w:val="32"/>
          <w:highlight w:val="none"/>
          <w:lang w:eastAsia="zh-CN"/>
        </w:rPr>
        <w:t>：部门的资产保持安全完整，资产配置合理，资产使用和资产处理规</w:t>
      </w:r>
      <w:r>
        <w:rPr>
          <w:rFonts w:hint="eastAsia" w:ascii="仿宋_GB2312" w:hAnsi="宋体" w:eastAsia="仿宋_GB2312" w:cs="宋体"/>
          <w:color w:val="000000"/>
          <w:kern w:val="0"/>
          <w:sz w:val="32"/>
          <w:szCs w:val="32"/>
          <w:highlight w:val="none"/>
        </w:rPr>
        <w:t>范</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不存在管理不当发生严重资产损失和丢失、超标准配置资产等情况</w:t>
      </w:r>
      <w:r>
        <w:rPr>
          <w:rFonts w:hint="eastAsia" w:ascii="仿宋_GB2312" w:hAnsi="宋体" w:eastAsia="仿宋_GB2312" w:cs="宋体"/>
          <w:color w:val="000000"/>
          <w:kern w:val="0"/>
          <w:sz w:val="32"/>
          <w:szCs w:val="32"/>
          <w:highlight w:val="none"/>
          <w:lang w:eastAsia="zh-CN"/>
        </w:rPr>
        <w:t>。</w:t>
      </w: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eastAsia="zh-CN"/>
        </w:rPr>
        <w:t>绩效管理</w:t>
      </w:r>
      <w:r>
        <w:rPr>
          <w:rFonts w:hint="eastAsia" w:ascii="仿宋_GB2312" w:hAnsi="宋体" w:eastAsia="仿宋_GB2312" w:cs="宋体"/>
          <w:color w:val="000000"/>
          <w:kern w:val="0"/>
          <w:sz w:val="32"/>
          <w:szCs w:val="32"/>
          <w:highlight w:val="none"/>
          <w:lang w:val="en-US" w:eastAsia="zh-CN"/>
        </w:rPr>
        <w:t>方面：</w:t>
      </w:r>
      <w:r>
        <w:rPr>
          <w:rFonts w:hint="eastAsia" w:ascii="仿宋_GB2312" w:hAnsi="宋体" w:eastAsia="仿宋_GB2312" w:cs="宋体"/>
          <w:color w:val="000000"/>
          <w:kern w:val="0"/>
          <w:sz w:val="32"/>
          <w:szCs w:val="32"/>
          <w:highlight w:val="none"/>
          <w:lang w:eastAsia="zh-CN"/>
        </w:rPr>
        <w:t>部门</w:t>
      </w:r>
      <w:r>
        <w:rPr>
          <w:rFonts w:hint="eastAsia" w:ascii="仿宋_GB2312" w:hAnsi="宋体" w:eastAsia="仿宋_GB2312" w:cs="宋体"/>
          <w:color w:val="000000"/>
          <w:kern w:val="0"/>
          <w:sz w:val="32"/>
          <w:szCs w:val="32"/>
          <w:highlight w:val="none"/>
          <w:lang w:val="en-US" w:eastAsia="zh-CN"/>
        </w:rPr>
        <w:t>已</w:t>
      </w:r>
      <w:r>
        <w:rPr>
          <w:rFonts w:hint="eastAsia" w:ascii="仿宋_GB2312" w:hAnsi="宋体" w:eastAsia="仿宋_GB2312" w:cs="宋体"/>
          <w:color w:val="000000"/>
          <w:kern w:val="0"/>
          <w:sz w:val="32"/>
          <w:szCs w:val="32"/>
          <w:highlight w:val="none"/>
          <w:lang w:eastAsia="zh-CN"/>
        </w:rPr>
        <w:t>及时对绩效信息进行汇总分析，</w:t>
      </w:r>
      <w:r>
        <w:rPr>
          <w:rFonts w:hint="eastAsia" w:ascii="仿宋_GB2312" w:hAnsi="宋体" w:eastAsia="仿宋_GB2312" w:cs="宋体"/>
          <w:color w:val="000000"/>
          <w:kern w:val="0"/>
          <w:sz w:val="32"/>
          <w:szCs w:val="32"/>
          <w:highlight w:val="none"/>
          <w:lang w:val="en-US" w:eastAsia="zh-CN"/>
        </w:rPr>
        <w:t>未发现</w:t>
      </w:r>
      <w:r>
        <w:rPr>
          <w:rFonts w:hint="eastAsia" w:ascii="仿宋_GB2312" w:hAnsi="宋体" w:eastAsia="仿宋_GB2312" w:cs="宋体"/>
          <w:color w:val="000000"/>
          <w:kern w:val="0"/>
          <w:sz w:val="32"/>
          <w:szCs w:val="32"/>
          <w:highlight w:val="none"/>
          <w:lang w:eastAsia="zh-CN"/>
        </w:rPr>
        <w:t>绩效目标偏离情况</w:t>
      </w:r>
      <w:r>
        <w:rPr>
          <w:rFonts w:hint="eastAsia" w:ascii="仿宋_GB2312" w:hAnsi="宋体" w:eastAsia="仿宋_GB2312" w:cs="宋体"/>
          <w:color w:val="000000"/>
          <w:kern w:val="0"/>
          <w:sz w:val="32"/>
          <w:szCs w:val="32"/>
          <w:highlight w:val="none"/>
          <w:lang w:val="en-US" w:eastAsia="zh-CN"/>
        </w:rPr>
        <w:t>等情况</w:t>
      </w:r>
      <w:r>
        <w:rPr>
          <w:rFonts w:hint="eastAsia" w:ascii="仿宋_GB2312" w:hAnsi="宋体" w:eastAsia="仿宋_GB2312" w:cs="宋体"/>
          <w:color w:val="000000"/>
          <w:kern w:val="0"/>
          <w:sz w:val="32"/>
          <w:szCs w:val="32"/>
          <w:highlight w:val="none"/>
          <w:lang w:eastAsia="zh-CN"/>
        </w:rPr>
        <w:t>。</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（二）存在的问题及原因分析</w:t>
      </w: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1.项目预算编制不够细化。部分项目仅对相关支出类别金额进行明确，均未细化到具体的数量及单价，无法对该项目的预算额度进行合理性确认。资金测算过程充分性不足。</w:t>
      </w:r>
    </w:p>
    <w:p>
      <w:pPr>
        <w:spacing w:line="60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highlight w:val="none"/>
          <w:lang w:val="en-US" w:eastAsia="zh-CN"/>
        </w:rPr>
        <w:t>2.项目支出绩效指标设定不够细化。</w:t>
      </w:r>
      <w:r>
        <w:rPr>
          <w:rFonts w:hint="eastAsia" w:ascii="仿宋_GB2312" w:hAnsi="宋体" w:eastAsia="仿宋_GB2312" w:cs="宋体"/>
          <w:color w:val="000000"/>
          <w:kern w:val="0"/>
          <w:sz w:val="32"/>
          <w:szCs w:val="32"/>
          <w:lang w:val="en-US" w:eastAsia="zh-CN"/>
        </w:rPr>
        <w:t>部分项目产出指标设定不全面，指标值设置合理性不足；部分效益指标未设定具体的经济效益指标、社会效益指标、生态效益指标以及可持续影响指标，并且应提炼可量化的效益指标，有助于对项目完成情况进行考量。</w:t>
      </w: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lang w:val="en-US" w:eastAsia="zh-CN"/>
        </w:rPr>
        <w:t>3.管理制度需要进一步完善</w:t>
      </w:r>
      <w:r>
        <w:rPr>
          <w:rFonts w:hint="eastAsia" w:ascii="仿宋_GB2312" w:hAnsi="宋体" w:eastAsia="仿宋_GB2312" w:cs="宋体"/>
          <w:color w:val="000000"/>
          <w:kern w:val="0"/>
          <w:sz w:val="32"/>
          <w:szCs w:val="32"/>
          <w:highlight w:val="none"/>
          <w:lang w:val="en-US" w:eastAsia="zh-CN"/>
        </w:rPr>
        <w:t>。部分项目的管理办法中未涉及资金使用及管理的情况</w:t>
      </w:r>
      <w:bookmarkStart w:id="2" w:name="_GoBack"/>
      <w:bookmarkEnd w:id="2"/>
      <w:r>
        <w:rPr>
          <w:rFonts w:hint="eastAsia" w:ascii="仿宋_GB2312" w:hAnsi="宋体" w:eastAsia="仿宋_GB2312" w:cs="宋体"/>
          <w:color w:val="000000"/>
          <w:kern w:val="0"/>
          <w:sz w:val="32"/>
          <w:szCs w:val="32"/>
          <w:highlight w:val="none"/>
          <w:lang w:val="en-US" w:eastAsia="zh-CN"/>
        </w:rPr>
        <w:t>。</w:t>
      </w:r>
    </w:p>
    <w:p>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建议细化预算编制</w:t>
      </w:r>
    </w:p>
    <w:p>
      <w:pPr>
        <w:pStyle w:val="2"/>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建议进一步细化预算，各项支出明细应全面、完整列示，以便更好地反映本单位的实际需求和支出情况，有助于提高预算编制的准确性和完整性，不仅能保证资金的有效利用，还能为后续的预算执行情况分析提供更为准确的数据支持，有助于加强预算执行的监督和管理，完善内部控制建设，提升财务管理水平、优化资源配置。</w:t>
      </w:r>
    </w:p>
    <w:p>
      <w:pPr>
        <w:spacing w:line="60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2.强绩效指标设置</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bidi="ar-SA"/>
        </w:rPr>
        <w:t>进一步加强对绩效指标设置的精细化与科学化。</w:t>
      </w:r>
      <w:r>
        <w:rPr>
          <w:rFonts w:hint="eastAsia" w:ascii="仿宋_GB2312" w:hAnsi="宋体" w:eastAsia="仿宋_GB2312" w:cs="宋体"/>
          <w:color w:val="000000"/>
          <w:kern w:val="0"/>
          <w:sz w:val="32"/>
          <w:szCs w:val="32"/>
          <w:highlight w:val="none"/>
        </w:rPr>
        <w:t>能清晰反映预算资金的预期产出和效果，并以相应的绩效指标予以细化、量化描述。</w:t>
      </w:r>
      <w:r>
        <w:rPr>
          <w:rFonts w:hint="eastAsia" w:ascii="仿宋_GB2312" w:hAnsi="宋体" w:eastAsia="仿宋_GB2312" w:cs="宋体"/>
          <w:color w:val="000000"/>
          <w:kern w:val="0"/>
          <w:sz w:val="32"/>
          <w:szCs w:val="32"/>
          <w:highlight w:val="none"/>
          <w:lang w:val="en-US" w:eastAsia="zh-CN" w:bidi="ar-SA"/>
        </w:rPr>
        <w:t>并针对各项目的独特性和实际需求，确保指标既符合项目的整体目标，又能充分反映项目的实际成效，科学合理地设置可衡量性、可考核性的绩效指标。</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建立健全项目管理制度。</w:t>
      </w:r>
    </w:p>
    <w:p>
      <w:pPr>
        <w:pStyle w:val="4"/>
        <w:rPr>
          <w:rFonts w:hint="eastAsia"/>
          <w:highlight w:val="none"/>
        </w:rPr>
      </w:pPr>
      <w:r>
        <w:rPr>
          <w:rFonts w:hint="eastAsia" w:ascii="仿宋_GB2312" w:hAnsi="宋体" w:eastAsia="仿宋_GB2312" w:cs="宋体"/>
          <w:color w:val="000000"/>
          <w:kern w:val="0"/>
          <w:sz w:val="32"/>
          <w:szCs w:val="32"/>
          <w:highlight w:val="none"/>
        </w:rPr>
        <w:t>建议进一步完善财务和项目管理制度，对</w:t>
      </w:r>
      <w:r>
        <w:rPr>
          <w:rFonts w:hint="eastAsia" w:ascii="仿宋_GB2312" w:hAnsi="宋体" w:cs="宋体"/>
          <w:color w:val="000000"/>
          <w:kern w:val="0"/>
          <w:sz w:val="32"/>
          <w:szCs w:val="32"/>
          <w:highlight w:val="none"/>
          <w:lang w:val="en-US" w:eastAsia="zh-CN"/>
        </w:rPr>
        <w:t>相关</w:t>
      </w:r>
      <w:r>
        <w:rPr>
          <w:rFonts w:hint="eastAsia" w:ascii="仿宋_GB2312" w:hAnsi="宋体" w:eastAsia="仿宋_GB2312" w:cs="宋体"/>
          <w:color w:val="000000"/>
          <w:kern w:val="0"/>
          <w:sz w:val="32"/>
          <w:szCs w:val="32"/>
          <w:highlight w:val="none"/>
        </w:rPr>
        <w:t>项目的管理制度进行全面梳理，并依据现行法律法规要求，结合首都绿化委员会办公室实际情况，修订和完善项目管理办法中资金使用情况，明确项目资金使用范围，有助于单位合理规划、分配资金，提高资金使用效率，规范资金支出依据，有助于单位提高财政资金使用的合理性及安全性，规范财务审批流程，有助于提高审批效率，减少不必要的资金滞留，确保项目资金的及时到位和有效使用。完善财务和项目管理制度能够强化单位的内部控制建设，有助于提升财务管理水平。</w:t>
      </w:r>
    </w:p>
    <w:p>
      <w:pPr>
        <w:rPr>
          <w:rFonts w:hint="eastAsia"/>
        </w:rPr>
      </w:pPr>
    </w:p>
    <w:p>
      <w:pPr>
        <w:pStyle w:val="4"/>
        <w:rPr>
          <w:rFonts w:hint="eastAsia"/>
        </w:rPr>
      </w:pPr>
    </w:p>
    <w:p>
      <w:pPr>
        <w:rPr>
          <w:rFonts w:hint="eastAsia"/>
        </w:rPr>
      </w:pPr>
    </w:p>
    <w:p>
      <w:r>
        <w:rPr>
          <w:rFonts w:hint="eastAsia" w:ascii="方正小标宋简体" w:eastAsia="方正小标宋简体"/>
          <w:sz w:val="36"/>
          <w:szCs w:val="36"/>
        </w:rPr>
        <w:t xml:space="preserve"> </w:t>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附件：1.部门整体项目预算执行情况表</w:t>
      </w:r>
    </w:p>
    <w:p>
      <w:pPr>
        <w:spacing w:line="360" w:lineRule="auto"/>
        <w:ind w:firstLine="492" w:firstLineChars="176"/>
        <w:outlineLvl w:val="0"/>
        <w:rPr>
          <w:rFonts w:hint="eastAsia" w:ascii="宋体" w:hAnsi="宋体" w:cs="仿宋_GB2312"/>
          <w:bCs/>
          <w:color w:val="000000"/>
          <w:sz w:val="28"/>
          <w:szCs w:val="28"/>
        </w:rPr>
      </w:pPr>
      <w:r>
        <w:rPr>
          <w:rFonts w:hint="eastAsia" w:ascii="宋体" w:hAnsi="宋体" w:cs="仿宋_GB2312"/>
          <w:bCs/>
          <w:color w:val="000000"/>
          <w:sz w:val="28"/>
          <w:szCs w:val="28"/>
        </w:rPr>
        <w:t xml:space="preserve">      </w:t>
      </w:r>
      <w:r>
        <w:rPr>
          <w:rFonts w:hint="eastAsia" w:ascii="宋体" w:hAnsi="宋体" w:cs="仿宋_GB2312"/>
          <w:bCs/>
          <w:color w:val="000000"/>
          <w:sz w:val="28"/>
          <w:szCs w:val="28"/>
          <w:lang w:val="en-US" w:eastAsia="zh-CN"/>
        </w:rPr>
        <w:t>2</w:t>
      </w:r>
      <w:r>
        <w:rPr>
          <w:rFonts w:hint="eastAsia" w:ascii="宋体" w:hAnsi="宋体" w:cs="仿宋_GB2312"/>
          <w:bCs/>
          <w:color w:val="000000"/>
          <w:sz w:val="28"/>
          <w:szCs w:val="28"/>
        </w:rPr>
        <w:t>.部门整体绩效评价指标体系评分表</w:t>
      </w:r>
    </w:p>
    <w:p>
      <w:pPr>
        <w:rPr>
          <w:rFonts w:hint="eastAsia" w:ascii="宋体" w:hAnsi="宋体" w:cs="宋体"/>
          <w:kern w:val="0"/>
          <w:sz w:val="24"/>
        </w:rPr>
        <w:sectPr>
          <w:pgSz w:w="11906" w:h="16838"/>
          <w:pgMar w:top="1440" w:right="1797" w:bottom="1440" w:left="179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r>
        <w:rPr>
          <w:rFonts w:hint="eastAsia" w:ascii="宋体" w:hAnsi="宋体" w:cs="宋体"/>
          <w:kern w:val="0"/>
          <w:sz w:val="24"/>
        </w:rPr>
        <w:br w:type="page"/>
      </w:r>
    </w:p>
    <w:p>
      <w:pPr>
        <w:rPr>
          <w:rFonts w:hint="eastAsia" w:ascii="宋体" w:hAnsi="宋体" w:cs="宋体"/>
          <w:kern w:val="0"/>
          <w:sz w:val="24"/>
        </w:rPr>
      </w:pPr>
    </w:p>
    <w:tbl>
      <w:tblPr>
        <w:tblStyle w:val="7"/>
        <w:tblW w:w="16244" w:type="dxa"/>
        <w:tblInd w:w="-825" w:type="dxa"/>
        <w:tblLayout w:type="fixed"/>
        <w:tblCellMar>
          <w:top w:w="0" w:type="dxa"/>
          <w:left w:w="108" w:type="dxa"/>
          <w:bottom w:w="0" w:type="dxa"/>
          <w:right w:w="108" w:type="dxa"/>
        </w:tblCellMar>
      </w:tblPr>
      <w:tblGrid>
        <w:gridCol w:w="1257"/>
        <w:gridCol w:w="750"/>
        <w:gridCol w:w="780"/>
        <w:gridCol w:w="750"/>
        <w:gridCol w:w="730"/>
        <w:gridCol w:w="340"/>
        <w:gridCol w:w="350"/>
        <w:gridCol w:w="880"/>
        <w:gridCol w:w="870"/>
        <w:gridCol w:w="790"/>
        <w:gridCol w:w="780"/>
        <w:gridCol w:w="306"/>
        <w:gridCol w:w="394"/>
        <w:gridCol w:w="598"/>
        <w:gridCol w:w="132"/>
        <w:gridCol w:w="720"/>
        <w:gridCol w:w="347"/>
        <w:gridCol w:w="403"/>
        <w:gridCol w:w="347"/>
        <w:gridCol w:w="103"/>
        <w:gridCol w:w="347"/>
        <w:gridCol w:w="353"/>
        <w:gridCol w:w="347"/>
        <w:gridCol w:w="103"/>
        <w:gridCol w:w="347"/>
        <w:gridCol w:w="393"/>
        <w:gridCol w:w="347"/>
        <w:gridCol w:w="323"/>
        <w:gridCol w:w="347"/>
        <w:gridCol w:w="283"/>
        <w:gridCol w:w="650"/>
        <w:gridCol w:w="430"/>
        <w:gridCol w:w="347"/>
      </w:tblGrid>
      <w:tr>
        <w:tblPrEx>
          <w:tblCellMar>
            <w:top w:w="0" w:type="dxa"/>
            <w:left w:w="108" w:type="dxa"/>
            <w:bottom w:w="0" w:type="dxa"/>
            <w:right w:w="108" w:type="dxa"/>
          </w:tblCellMar>
        </w:tblPrEx>
        <w:trPr>
          <w:gridAfter w:val="1"/>
          <w:wAfter w:w="347" w:type="dxa"/>
          <w:trHeight w:val="285" w:hRule="atLeast"/>
          <w:tblHeader/>
        </w:trPr>
        <w:tc>
          <w:tcPr>
            <w:tcW w:w="15897" w:type="dxa"/>
            <w:gridSpan w:val="32"/>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附件1</w:t>
            </w:r>
          </w:p>
        </w:tc>
      </w:tr>
      <w:tr>
        <w:tblPrEx>
          <w:tblCellMar>
            <w:top w:w="0" w:type="dxa"/>
            <w:left w:w="108" w:type="dxa"/>
            <w:bottom w:w="0" w:type="dxa"/>
            <w:right w:w="108" w:type="dxa"/>
          </w:tblCellMar>
        </w:tblPrEx>
        <w:trPr>
          <w:gridAfter w:val="1"/>
          <w:wAfter w:w="347" w:type="dxa"/>
          <w:trHeight w:val="630" w:hRule="atLeast"/>
          <w:tblHeader/>
        </w:trPr>
        <w:tc>
          <w:tcPr>
            <w:tcW w:w="15897" w:type="dxa"/>
            <w:gridSpan w:val="32"/>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eastAsia="宋体" w:cs="宋体"/>
                <w:b/>
                <w:bCs/>
                <w:kern w:val="0"/>
                <w:sz w:val="28"/>
                <w:szCs w:val="28"/>
              </w:rPr>
              <w:t>部门整体</w:t>
            </w:r>
            <w:r>
              <w:rPr>
                <w:rFonts w:hint="eastAsia" w:ascii="宋体" w:hAnsi="宋体" w:eastAsia="宋体" w:cs="宋体"/>
                <w:b/>
                <w:bCs/>
                <w:kern w:val="0"/>
                <w:sz w:val="28"/>
                <w:szCs w:val="28"/>
                <w:lang w:val="en-US" w:eastAsia="zh-CN"/>
              </w:rPr>
              <w:t>项目</w:t>
            </w:r>
            <w:r>
              <w:rPr>
                <w:rFonts w:hint="eastAsia" w:ascii="宋体" w:hAnsi="宋体" w:eastAsia="宋体" w:cs="宋体"/>
                <w:b/>
                <w:bCs/>
                <w:kern w:val="0"/>
                <w:sz w:val="28"/>
                <w:szCs w:val="28"/>
              </w:rPr>
              <w:t>预</w:t>
            </w:r>
            <w:r>
              <w:rPr>
                <w:rFonts w:hint="eastAsia" w:ascii="宋体" w:hAnsi="宋体" w:cs="宋体"/>
                <w:b/>
                <w:bCs/>
                <w:kern w:val="0"/>
                <w:sz w:val="28"/>
                <w:szCs w:val="28"/>
              </w:rPr>
              <w:t>算执行情况表</w:t>
            </w:r>
          </w:p>
          <w:p>
            <w:pPr>
              <w:widowControl/>
              <w:jc w:val="left"/>
              <w:rPr>
                <w:rFonts w:ascii="宋体" w:hAnsi="宋体" w:cs="宋体"/>
                <w:b/>
                <w:bCs/>
                <w:kern w:val="0"/>
                <w:sz w:val="28"/>
                <w:szCs w:val="28"/>
              </w:rPr>
            </w:pPr>
            <w:r>
              <w:rPr>
                <w:rFonts w:hint="eastAsia" w:ascii="宋体" w:hAnsi="宋体" w:cs="宋体"/>
                <w:kern w:val="0"/>
                <w:sz w:val="18"/>
                <w:szCs w:val="18"/>
              </w:rPr>
              <w:t xml:space="preserve">                                                                                                                               单位：万元</w:t>
            </w:r>
          </w:p>
        </w:tc>
      </w:tr>
      <w:tr>
        <w:tblPrEx>
          <w:tblCellMar>
            <w:top w:w="0" w:type="dxa"/>
            <w:left w:w="108" w:type="dxa"/>
            <w:bottom w:w="0" w:type="dxa"/>
            <w:right w:w="108" w:type="dxa"/>
          </w:tblCellMar>
        </w:tblPrEx>
        <w:trPr>
          <w:trHeight w:val="360" w:hRule="atLeast"/>
          <w:tblHeader/>
        </w:trPr>
        <w:tc>
          <w:tcPr>
            <w:tcW w:w="1257" w:type="dxa"/>
            <w:tcBorders>
              <w:top w:val="nil"/>
              <w:left w:val="nil"/>
              <w:bottom w:val="nil"/>
              <w:right w:val="nil"/>
            </w:tcBorders>
            <w:vAlign w:val="bottom"/>
          </w:tcPr>
          <w:p>
            <w:pPr>
              <w:widowControl/>
              <w:jc w:val="left"/>
              <w:rPr>
                <w:rFonts w:ascii="宋体" w:hAnsi="宋体" w:cs="宋体"/>
                <w:kern w:val="0"/>
                <w:sz w:val="20"/>
                <w:szCs w:val="20"/>
              </w:rPr>
            </w:pPr>
          </w:p>
        </w:tc>
        <w:tc>
          <w:tcPr>
            <w:tcW w:w="1530" w:type="dxa"/>
            <w:gridSpan w:val="2"/>
            <w:tcBorders>
              <w:top w:val="nil"/>
              <w:left w:val="nil"/>
              <w:bottom w:val="nil"/>
              <w:right w:val="nil"/>
            </w:tcBorders>
            <w:vAlign w:val="center"/>
          </w:tcPr>
          <w:p>
            <w:pPr>
              <w:widowControl/>
              <w:jc w:val="center"/>
              <w:rPr>
                <w:rFonts w:ascii="宋体" w:hAnsi="宋体" w:cs="宋体"/>
                <w:kern w:val="0"/>
                <w:sz w:val="20"/>
                <w:szCs w:val="20"/>
              </w:rPr>
            </w:pPr>
          </w:p>
        </w:tc>
        <w:tc>
          <w:tcPr>
            <w:tcW w:w="750" w:type="dxa"/>
            <w:tcBorders>
              <w:top w:val="nil"/>
              <w:left w:val="nil"/>
              <w:bottom w:val="nil"/>
              <w:right w:val="nil"/>
            </w:tcBorders>
            <w:vAlign w:val="bottom"/>
          </w:tcPr>
          <w:p>
            <w:pPr>
              <w:widowControl/>
              <w:jc w:val="center"/>
              <w:rPr>
                <w:rFonts w:ascii="宋体" w:hAnsi="宋体" w:cs="宋体"/>
                <w:kern w:val="0"/>
                <w:sz w:val="20"/>
                <w:szCs w:val="20"/>
              </w:rPr>
            </w:pPr>
          </w:p>
        </w:tc>
        <w:tc>
          <w:tcPr>
            <w:tcW w:w="730" w:type="dxa"/>
            <w:tcBorders>
              <w:top w:val="nil"/>
              <w:left w:val="nil"/>
              <w:bottom w:val="nil"/>
              <w:right w:val="nil"/>
            </w:tcBorders>
            <w:vAlign w:val="bottom"/>
          </w:tcPr>
          <w:p>
            <w:pPr>
              <w:widowControl/>
              <w:jc w:val="center"/>
              <w:rPr>
                <w:rFonts w:ascii="宋体" w:hAnsi="宋体" w:cs="宋体"/>
                <w:kern w:val="0"/>
                <w:sz w:val="20"/>
                <w:szCs w:val="20"/>
              </w:rPr>
            </w:pPr>
          </w:p>
        </w:tc>
        <w:tc>
          <w:tcPr>
            <w:tcW w:w="340" w:type="dxa"/>
            <w:tcBorders>
              <w:top w:val="nil"/>
              <w:left w:val="nil"/>
              <w:bottom w:val="nil"/>
              <w:right w:val="nil"/>
            </w:tcBorders>
            <w:vAlign w:val="bottom"/>
          </w:tcPr>
          <w:p>
            <w:pPr>
              <w:widowControl/>
              <w:jc w:val="center"/>
              <w:rPr>
                <w:rFonts w:ascii="宋体" w:hAnsi="宋体" w:cs="宋体"/>
                <w:kern w:val="0"/>
                <w:sz w:val="20"/>
                <w:szCs w:val="20"/>
              </w:rPr>
            </w:pPr>
          </w:p>
        </w:tc>
        <w:tc>
          <w:tcPr>
            <w:tcW w:w="350" w:type="dxa"/>
            <w:tcBorders>
              <w:top w:val="nil"/>
              <w:left w:val="nil"/>
              <w:bottom w:val="nil"/>
              <w:right w:val="nil"/>
            </w:tcBorders>
            <w:vAlign w:val="bottom"/>
          </w:tcPr>
          <w:p>
            <w:pPr>
              <w:widowControl/>
              <w:jc w:val="center"/>
              <w:rPr>
                <w:rFonts w:ascii="宋体" w:hAnsi="宋体" w:cs="宋体"/>
                <w:kern w:val="0"/>
                <w:sz w:val="20"/>
                <w:szCs w:val="20"/>
              </w:rPr>
            </w:pPr>
          </w:p>
        </w:tc>
        <w:tc>
          <w:tcPr>
            <w:tcW w:w="880" w:type="dxa"/>
            <w:tcBorders>
              <w:top w:val="nil"/>
              <w:left w:val="nil"/>
              <w:bottom w:val="nil"/>
              <w:right w:val="nil"/>
            </w:tcBorders>
            <w:vAlign w:val="bottom"/>
          </w:tcPr>
          <w:p>
            <w:pPr>
              <w:widowControl/>
              <w:jc w:val="center"/>
              <w:rPr>
                <w:rFonts w:ascii="宋体" w:hAnsi="宋体" w:cs="宋体"/>
                <w:kern w:val="0"/>
                <w:sz w:val="20"/>
                <w:szCs w:val="20"/>
              </w:rPr>
            </w:pPr>
          </w:p>
        </w:tc>
        <w:tc>
          <w:tcPr>
            <w:tcW w:w="870" w:type="dxa"/>
            <w:tcBorders>
              <w:top w:val="nil"/>
              <w:left w:val="nil"/>
              <w:bottom w:val="nil"/>
              <w:right w:val="nil"/>
            </w:tcBorders>
            <w:vAlign w:val="bottom"/>
          </w:tcPr>
          <w:p>
            <w:pPr>
              <w:widowControl/>
              <w:jc w:val="center"/>
              <w:rPr>
                <w:rFonts w:ascii="宋体" w:hAnsi="宋体" w:cs="宋体"/>
                <w:kern w:val="0"/>
                <w:sz w:val="20"/>
                <w:szCs w:val="20"/>
              </w:rPr>
            </w:pPr>
          </w:p>
        </w:tc>
        <w:tc>
          <w:tcPr>
            <w:tcW w:w="790" w:type="dxa"/>
            <w:tcBorders>
              <w:top w:val="nil"/>
              <w:left w:val="nil"/>
              <w:bottom w:val="nil"/>
              <w:right w:val="nil"/>
            </w:tcBorders>
            <w:vAlign w:val="bottom"/>
          </w:tcPr>
          <w:p>
            <w:pPr>
              <w:widowControl/>
              <w:jc w:val="center"/>
              <w:rPr>
                <w:rFonts w:ascii="宋体" w:hAnsi="宋体" w:cs="宋体"/>
                <w:kern w:val="0"/>
                <w:sz w:val="20"/>
                <w:szCs w:val="20"/>
              </w:rPr>
            </w:pPr>
          </w:p>
        </w:tc>
        <w:tc>
          <w:tcPr>
            <w:tcW w:w="780" w:type="dxa"/>
            <w:tcBorders>
              <w:top w:val="nil"/>
              <w:left w:val="nil"/>
              <w:bottom w:val="nil"/>
              <w:right w:val="nil"/>
            </w:tcBorders>
            <w:vAlign w:val="bottom"/>
          </w:tcPr>
          <w:p>
            <w:pPr>
              <w:widowControl/>
              <w:jc w:val="center"/>
              <w:rPr>
                <w:rFonts w:ascii="宋体" w:hAnsi="宋体" w:cs="宋体"/>
                <w:kern w:val="0"/>
                <w:sz w:val="20"/>
                <w:szCs w:val="20"/>
              </w:rPr>
            </w:pPr>
          </w:p>
        </w:tc>
        <w:tc>
          <w:tcPr>
            <w:tcW w:w="306" w:type="dxa"/>
            <w:tcBorders>
              <w:top w:val="nil"/>
              <w:left w:val="nil"/>
              <w:bottom w:val="nil"/>
              <w:right w:val="nil"/>
            </w:tcBorders>
            <w:vAlign w:val="bottom"/>
          </w:tcPr>
          <w:p>
            <w:pPr>
              <w:widowControl/>
              <w:jc w:val="center"/>
              <w:rPr>
                <w:rFonts w:ascii="宋体" w:hAnsi="宋体" w:cs="宋体"/>
                <w:kern w:val="0"/>
                <w:sz w:val="20"/>
                <w:szCs w:val="20"/>
              </w:rPr>
            </w:pPr>
          </w:p>
        </w:tc>
        <w:tc>
          <w:tcPr>
            <w:tcW w:w="992"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1199" w:type="dxa"/>
            <w:gridSpan w:val="3"/>
            <w:tcBorders>
              <w:top w:val="nil"/>
              <w:left w:val="nil"/>
              <w:bottom w:val="nil"/>
              <w:right w:val="nil"/>
            </w:tcBorders>
            <w:vAlign w:val="bottom"/>
          </w:tcPr>
          <w:p>
            <w:pPr>
              <w:widowControl/>
              <w:jc w:val="center"/>
              <w:rPr>
                <w:rFonts w:ascii="宋体" w:hAnsi="宋体" w:cs="宋体"/>
                <w:kern w:val="0"/>
                <w:sz w:val="20"/>
                <w:szCs w:val="20"/>
              </w:rPr>
            </w:pPr>
          </w:p>
        </w:tc>
        <w:tc>
          <w:tcPr>
            <w:tcW w:w="750"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450"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700"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450"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740"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670"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1710" w:type="dxa"/>
            <w:gridSpan w:val="4"/>
            <w:tcBorders>
              <w:top w:val="nil"/>
              <w:left w:val="nil"/>
              <w:bottom w:val="single" w:color="auto" w:sz="4" w:space="0"/>
              <w:right w:val="nil"/>
            </w:tcBorders>
            <w:vAlign w:val="bottom"/>
          </w:tcPr>
          <w:p>
            <w:pPr>
              <w:widowControl/>
              <w:ind w:right="800"/>
              <w:rPr>
                <w:rFonts w:ascii="宋体" w:hAnsi="宋体" w:cs="宋体"/>
                <w:kern w:val="0"/>
                <w:sz w:val="20"/>
                <w:szCs w:val="20"/>
              </w:rPr>
            </w:pPr>
          </w:p>
        </w:tc>
      </w:tr>
      <w:tr>
        <w:tblPrEx>
          <w:tblCellMar>
            <w:top w:w="0" w:type="dxa"/>
            <w:left w:w="108" w:type="dxa"/>
            <w:bottom w:w="0" w:type="dxa"/>
            <w:right w:w="108" w:type="dxa"/>
          </w:tblCellMar>
        </w:tblPrEx>
        <w:trPr>
          <w:gridAfter w:val="1"/>
          <w:wAfter w:w="347" w:type="dxa"/>
          <w:trHeight w:val="510" w:hRule="atLeast"/>
          <w:tblHeader/>
        </w:trPr>
        <w:tc>
          <w:tcPr>
            <w:tcW w:w="1257"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w:t>
            </w:r>
          </w:p>
        </w:tc>
        <w:tc>
          <w:tcPr>
            <w:tcW w:w="153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预算批复</w:t>
            </w:r>
          </w:p>
        </w:tc>
        <w:tc>
          <w:tcPr>
            <w:tcW w:w="217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资金到位情况 </w:t>
            </w:r>
          </w:p>
        </w:tc>
        <w:tc>
          <w:tcPr>
            <w:tcW w:w="7820" w:type="dxa"/>
            <w:gridSpan w:val="17"/>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预算执行情况</w:t>
            </w:r>
          </w:p>
        </w:tc>
        <w:tc>
          <w:tcPr>
            <w:tcW w:w="740" w:type="dxa"/>
            <w:gridSpan w:val="2"/>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本年支出进度(%)</w:t>
            </w:r>
          </w:p>
        </w:tc>
        <w:tc>
          <w:tcPr>
            <w:tcW w:w="13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执行差额</w:t>
            </w:r>
          </w:p>
        </w:tc>
        <w:tc>
          <w:tcPr>
            <w:tcW w:w="65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资金超支率（%）</w:t>
            </w:r>
          </w:p>
        </w:tc>
        <w:tc>
          <w:tcPr>
            <w:tcW w:w="43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备注</w:t>
            </w:r>
          </w:p>
        </w:tc>
      </w:tr>
      <w:tr>
        <w:tblPrEx>
          <w:tblCellMar>
            <w:top w:w="0" w:type="dxa"/>
            <w:left w:w="108" w:type="dxa"/>
            <w:bottom w:w="0" w:type="dxa"/>
            <w:right w:w="108" w:type="dxa"/>
          </w:tblCellMar>
        </w:tblPrEx>
        <w:trPr>
          <w:gridAfter w:val="1"/>
          <w:wAfter w:w="347" w:type="dxa"/>
          <w:trHeight w:val="450" w:hRule="atLeast"/>
          <w:tblHeader/>
        </w:trPr>
        <w:tc>
          <w:tcPr>
            <w:tcW w:w="125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5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总预算</w:t>
            </w:r>
          </w:p>
        </w:tc>
        <w:tc>
          <w:tcPr>
            <w:tcW w:w="7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75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73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第一、二季度</w:t>
            </w:r>
          </w:p>
        </w:tc>
        <w:tc>
          <w:tcPr>
            <w:tcW w:w="3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第三季度</w:t>
            </w:r>
          </w:p>
        </w:tc>
        <w:tc>
          <w:tcPr>
            <w:tcW w:w="35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第四季度</w:t>
            </w:r>
          </w:p>
        </w:tc>
        <w:tc>
          <w:tcPr>
            <w:tcW w:w="8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340" w:type="dxa"/>
            <w:gridSpan w:val="10"/>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本年支出</w:t>
            </w:r>
          </w:p>
        </w:tc>
        <w:tc>
          <w:tcPr>
            <w:tcW w:w="1600" w:type="dxa"/>
            <w:gridSpan w:val="6"/>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跨年支出</w:t>
            </w:r>
          </w:p>
        </w:tc>
        <w:tc>
          <w:tcPr>
            <w:tcW w:w="74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67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执行差额数</w:t>
            </w:r>
          </w:p>
        </w:tc>
        <w:tc>
          <w:tcPr>
            <w:tcW w:w="63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差额原因</w:t>
            </w:r>
          </w:p>
        </w:tc>
        <w:tc>
          <w:tcPr>
            <w:tcW w:w="6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43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gridAfter w:val="1"/>
          <w:wAfter w:w="347" w:type="dxa"/>
          <w:trHeight w:val="690" w:hRule="atLeast"/>
          <w:tblHeader/>
        </w:trPr>
        <w:tc>
          <w:tcPr>
            <w:tcW w:w="125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3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3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87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79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第一、二季度</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7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第三季度</w:t>
            </w:r>
          </w:p>
        </w:tc>
        <w:tc>
          <w:tcPr>
            <w:tcW w:w="73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第四季度 </w:t>
            </w:r>
          </w:p>
        </w:tc>
        <w:tc>
          <w:tcPr>
            <w:tcW w:w="7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4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c>
          <w:tcPr>
            <w:tcW w:w="7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4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时间 </w:t>
            </w:r>
          </w:p>
        </w:tc>
        <w:tc>
          <w:tcPr>
            <w:tcW w:w="74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67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63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6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43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gridAfter w:val="1"/>
          <w:wAfter w:w="347" w:type="dxa"/>
          <w:trHeight w:val="420" w:hRule="atLeast"/>
          <w:tblHeader/>
        </w:trPr>
        <w:tc>
          <w:tcPr>
            <w:tcW w:w="125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73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34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3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8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87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79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c>
          <w:tcPr>
            <w:tcW w:w="7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11</w:t>
            </w:r>
          </w:p>
        </w:tc>
        <w:tc>
          <w:tcPr>
            <w:tcW w:w="73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13</w:t>
            </w:r>
          </w:p>
        </w:tc>
        <w:tc>
          <w:tcPr>
            <w:tcW w:w="7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14</w:t>
            </w:r>
          </w:p>
        </w:tc>
        <w:tc>
          <w:tcPr>
            <w:tcW w:w="4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15</w:t>
            </w:r>
          </w:p>
        </w:tc>
        <w:tc>
          <w:tcPr>
            <w:tcW w:w="7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4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74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18</w:t>
            </w:r>
          </w:p>
        </w:tc>
        <w:tc>
          <w:tcPr>
            <w:tcW w:w="67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19</w:t>
            </w:r>
          </w:p>
        </w:tc>
        <w:tc>
          <w:tcPr>
            <w:tcW w:w="63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w:t>
            </w:r>
          </w:p>
        </w:tc>
        <w:tc>
          <w:tcPr>
            <w:tcW w:w="6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21</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22</w:t>
            </w:r>
          </w:p>
        </w:tc>
      </w:tr>
      <w:tr>
        <w:tblPrEx>
          <w:tblCellMar>
            <w:top w:w="0" w:type="dxa"/>
            <w:left w:w="108" w:type="dxa"/>
            <w:bottom w:w="0" w:type="dxa"/>
            <w:right w:w="108" w:type="dxa"/>
          </w:tblCellMar>
        </w:tblPrEx>
        <w:trPr>
          <w:gridAfter w:val="1"/>
          <w:wAfter w:w="347" w:type="dxa"/>
          <w:trHeight w:val="986" w:hRule="atLeast"/>
        </w:trPr>
        <w:tc>
          <w:tcPr>
            <w:tcW w:w="1257"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bookmarkStart w:id="0" w:name="OLE_LINK2" w:colFirst="0" w:colLast="0"/>
            <w:r>
              <w:rPr>
                <w:rFonts w:hint="eastAsia" w:ascii="宋体" w:hAnsi="宋体" w:eastAsia="宋体" w:cs="宋体"/>
                <w:kern w:val="0"/>
                <w:sz w:val="20"/>
                <w:szCs w:val="20"/>
                <w:lang w:eastAsia="zh-CN"/>
              </w:rPr>
              <w:t>首都绿化美化先进个人奖励</w:t>
            </w:r>
          </w:p>
        </w:tc>
        <w:tc>
          <w:tcPr>
            <w:tcW w:w="75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100.00</w:t>
            </w:r>
          </w:p>
        </w:tc>
        <w:tc>
          <w:tcPr>
            <w:tcW w:w="7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100.00</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100.00</w:t>
            </w:r>
          </w:p>
        </w:tc>
        <w:tc>
          <w:tcPr>
            <w:tcW w:w="73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100.00</w:t>
            </w:r>
          </w:p>
        </w:tc>
        <w:tc>
          <w:tcPr>
            <w:tcW w:w="34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3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8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bidi="ar-SA"/>
              </w:rPr>
            </w:pPr>
            <w:r>
              <w:rPr>
                <w:rFonts w:hint="default" w:ascii="宋体" w:hAnsi="宋体" w:cs="宋体"/>
                <w:kern w:val="0"/>
                <w:sz w:val="16"/>
                <w:szCs w:val="16"/>
                <w:highlight w:val="none"/>
                <w:lang w:val="en-US" w:eastAsia="zh-CN"/>
              </w:rPr>
              <w:t>9</w:t>
            </w:r>
            <w:r>
              <w:rPr>
                <w:rFonts w:hint="eastAsia" w:ascii="宋体" w:hAnsi="宋体" w:cs="宋体"/>
                <w:kern w:val="0"/>
                <w:sz w:val="16"/>
                <w:szCs w:val="16"/>
                <w:highlight w:val="none"/>
                <w:lang w:val="en-US" w:eastAsia="zh-CN"/>
              </w:rPr>
              <w:t>6</w:t>
            </w:r>
            <w:r>
              <w:rPr>
                <w:rFonts w:hint="default" w:ascii="宋体" w:hAnsi="宋体" w:cs="宋体"/>
                <w:kern w:val="0"/>
                <w:sz w:val="16"/>
                <w:szCs w:val="16"/>
                <w:highlight w:val="none"/>
                <w:lang w:val="en-US" w:eastAsia="zh-CN"/>
              </w:rPr>
              <w:t>.</w:t>
            </w:r>
            <w:r>
              <w:rPr>
                <w:rFonts w:hint="eastAsia" w:ascii="宋体" w:hAnsi="宋体" w:cs="宋体"/>
                <w:kern w:val="0"/>
                <w:sz w:val="16"/>
                <w:szCs w:val="16"/>
                <w:highlight w:val="none"/>
                <w:lang w:val="en-US" w:eastAsia="zh-CN"/>
              </w:rPr>
              <w:t>4</w:t>
            </w:r>
            <w:r>
              <w:rPr>
                <w:rFonts w:hint="default" w:ascii="宋体" w:hAnsi="宋体" w:cs="宋体"/>
                <w:kern w:val="0"/>
                <w:sz w:val="16"/>
                <w:szCs w:val="16"/>
                <w:highlight w:val="none"/>
                <w:lang w:val="en-US" w:eastAsia="zh-CN"/>
              </w:rPr>
              <w:t>0</w:t>
            </w:r>
          </w:p>
        </w:tc>
        <w:tc>
          <w:tcPr>
            <w:tcW w:w="87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default" w:ascii="宋体" w:hAnsi="宋体" w:cs="宋体"/>
                <w:kern w:val="0"/>
                <w:sz w:val="16"/>
                <w:szCs w:val="16"/>
                <w:highlight w:val="none"/>
                <w:lang w:val="en-US" w:eastAsia="zh-CN"/>
              </w:rPr>
              <w:t>9</w:t>
            </w:r>
            <w:r>
              <w:rPr>
                <w:rFonts w:hint="eastAsia" w:ascii="宋体" w:hAnsi="宋体" w:cs="宋体"/>
                <w:kern w:val="0"/>
                <w:sz w:val="16"/>
                <w:szCs w:val="16"/>
                <w:highlight w:val="none"/>
                <w:lang w:val="en-US" w:eastAsia="zh-CN"/>
              </w:rPr>
              <w:t>6</w:t>
            </w:r>
            <w:r>
              <w:rPr>
                <w:rFonts w:hint="default" w:ascii="宋体" w:hAnsi="宋体" w:cs="宋体"/>
                <w:kern w:val="0"/>
                <w:sz w:val="16"/>
                <w:szCs w:val="16"/>
                <w:highlight w:val="none"/>
                <w:lang w:val="en-US" w:eastAsia="zh-CN"/>
              </w:rPr>
              <w:t>.</w:t>
            </w:r>
            <w:r>
              <w:rPr>
                <w:rFonts w:hint="eastAsia" w:ascii="宋体" w:hAnsi="宋体" w:cs="宋体"/>
                <w:kern w:val="0"/>
                <w:sz w:val="16"/>
                <w:szCs w:val="16"/>
                <w:highlight w:val="none"/>
                <w:lang w:val="en-US" w:eastAsia="zh-CN"/>
              </w:rPr>
              <w:t>4</w:t>
            </w:r>
            <w:r>
              <w:rPr>
                <w:rFonts w:hint="default" w:ascii="宋体" w:hAnsi="宋体" w:cs="宋体"/>
                <w:kern w:val="0"/>
                <w:sz w:val="16"/>
                <w:szCs w:val="16"/>
                <w:highlight w:val="none"/>
                <w:lang w:val="en-US" w:eastAsia="zh-CN"/>
              </w:rPr>
              <w:t>0</w:t>
            </w:r>
          </w:p>
        </w:tc>
        <w:tc>
          <w:tcPr>
            <w:tcW w:w="79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default" w:ascii="宋体" w:hAnsi="宋体" w:cs="宋体"/>
                <w:kern w:val="0"/>
                <w:sz w:val="16"/>
                <w:szCs w:val="16"/>
                <w:highlight w:val="none"/>
                <w:lang w:val="en-US" w:eastAsia="zh-CN"/>
              </w:rPr>
              <w:t>9</w:t>
            </w:r>
            <w:r>
              <w:rPr>
                <w:rFonts w:hint="eastAsia" w:ascii="宋体" w:hAnsi="宋体" w:cs="宋体"/>
                <w:kern w:val="0"/>
                <w:sz w:val="16"/>
                <w:szCs w:val="16"/>
                <w:highlight w:val="none"/>
                <w:lang w:val="en-US" w:eastAsia="zh-CN"/>
              </w:rPr>
              <w:t>6</w:t>
            </w:r>
            <w:r>
              <w:rPr>
                <w:rFonts w:hint="default" w:ascii="宋体" w:hAnsi="宋体" w:cs="宋体"/>
                <w:kern w:val="0"/>
                <w:sz w:val="16"/>
                <w:szCs w:val="16"/>
                <w:highlight w:val="none"/>
                <w:lang w:val="en-US" w:eastAsia="zh-CN"/>
              </w:rPr>
              <w:t>.</w:t>
            </w:r>
            <w:r>
              <w:rPr>
                <w:rFonts w:hint="eastAsia" w:ascii="宋体" w:hAnsi="宋体" w:cs="宋体"/>
                <w:kern w:val="0"/>
                <w:sz w:val="16"/>
                <w:szCs w:val="16"/>
                <w:highlight w:val="none"/>
                <w:lang w:val="en-US" w:eastAsia="zh-CN"/>
              </w:rPr>
              <w:t>4</w:t>
            </w:r>
            <w:r>
              <w:rPr>
                <w:rFonts w:hint="default" w:ascii="宋体" w:hAnsi="宋体" w:cs="宋体"/>
                <w:kern w:val="0"/>
                <w:sz w:val="16"/>
                <w:szCs w:val="16"/>
                <w:highlight w:val="none"/>
                <w:lang w:val="en-US" w:eastAsia="zh-CN"/>
              </w:rPr>
              <w:t>0</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default" w:ascii="宋体" w:hAnsi="宋体" w:cs="宋体"/>
                <w:kern w:val="0"/>
                <w:sz w:val="16"/>
                <w:szCs w:val="16"/>
                <w:highlight w:val="none"/>
                <w:lang w:val="en-US" w:eastAsia="zh-CN"/>
              </w:rPr>
              <w:t>9</w:t>
            </w:r>
            <w:r>
              <w:rPr>
                <w:rFonts w:hint="eastAsia" w:ascii="宋体" w:hAnsi="宋体" w:cs="宋体"/>
                <w:kern w:val="0"/>
                <w:sz w:val="16"/>
                <w:szCs w:val="16"/>
                <w:highlight w:val="none"/>
                <w:lang w:val="en-US" w:eastAsia="zh-CN"/>
              </w:rPr>
              <w:t>6</w:t>
            </w:r>
            <w:r>
              <w:rPr>
                <w:rFonts w:hint="default" w:ascii="宋体" w:hAnsi="宋体" w:cs="宋体"/>
                <w:kern w:val="0"/>
                <w:sz w:val="16"/>
                <w:szCs w:val="16"/>
                <w:highlight w:val="none"/>
                <w:lang w:val="en-US" w:eastAsia="zh-CN"/>
              </w:rPr>
              <w:t>.</w:t>
            </w:r>
            <w:r>
              <w:rPr>
                <w:rFonts w:hint="eastAsia" w:ascii="宋体" w:hAnsi="宋体" w:cs="宋体"/>
                <w:kern w:val="0"/>
                <w:sz w:val="16"/>
                <w:szCs w:val="16"/>
                <w:highlight w:val="none"/>
                <w:lang w:val="en-US" w:eastAsia="zh-CN"/>
              </w:rPr>
              <w:t>4</w:t>
            </w:r>
            <w:r>
              <w:rPr>
                <w:rFonts w:hint="default" w:ascii="宋体" w:hAnsi="宋体" w:cs="宋体"/>
                <w:kern w:val="0"/>
                <w:sz w:val="16"/>
                <w:szCs w:val="16"/>
                <w:highlight w:val="none"/>
                <w:lang w:val="en-US" w:eastAsia="zh-CN"/>
              </w:rPr>
              <w:t>0</w:t>
            </w:r>
          </w:p>
        </w:tc>
        <w:tc>
          <w:tcPr>
            <w:tcW w:w="70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p>
        </w:tc>
        <w:tc>
          <w:tcPr>
            <w:tcW w:w="73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2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4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40"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96.40%</w:t>
            </w:r>
          </w:p>
        </w:tc>
        <w:tc>
          <w:tcPr>
            <w:tcW w:w="670"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63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6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43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347" w:type="dxa"/>
          <w:trHeight w:val="761" w:hRule="atLeast"/>
        </w:trPr>
        <w:tc>
          <w:tcPr>
            <w:tcW w:w="1257"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首都全民义务植树补助</w:t>
            </w:r>
          </w:p>
        </w:tc>
        <w:tc>
          <w:tcPr>
            <w:tcW w:w="75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1,100.00</w:t>
            </w:r>
          </w:p>
        </w:tc>
        <w:tc>
          <w:tcPr>
            <w:tcW w:w="7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1,100.00</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1,100.00</w:t>
            </w:r>
          </w:p>
        </w:tc>
        <w:tc>
          <w:tcPr>
            <w:tcW w:w="73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1,100.00</w:t>
            </w:r>
          </w:p>
        </w:tc>
        <w:tc>
          <w:tcPr>
            <w:tcW w:w="34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3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88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1,094.89</w:t>
            </w:r>
          </w:p>
        </w:tc>
        <w:tc>
          <w:tcPr>
            <w:tcW w:w="87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1,094.89</w:t>
            </w:r>
          </w:p>
        </w:tc>
        <w:tc>
          <w:tcPr>
            <w:tcW w:w="79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734.93</w:t>
            </w:r>
          </w:p>
        </w:tc>
        <w:tc>
          <w:tcPr>
            <w:tcW w:w="78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734.93</w:t>
            </w:r>
          </w:p>
        </w:tc>
        <w:tc>
          <w:tcPr>
            <w:tcW w:w="70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6</w:t>
            </w:r>
            <w:r>
              <w:rPr>
                <w:rFonts w:hint="default" w:ascii="宋体" w:hAnsi="宋体" w:cs="宋体"/>
                <w:kern w:val="0"/>
                <w:sz w:val="16"/>
                <w:szCs w:val="16"/>
                <w:highlight w:val="none"/>
                <w:lang w:val="en-US" w:eastAsia="zh-CN"/>
              </w:rPr>
              <w:t>0</w:t>
            </w:r>
            <w:r>
              <w:rPr>
                <w:rFonts w:hint="eastAsia" w:ascii="宋体" w:hAnsi="宋体" w:cs="宋体"/>
                <w:kern w:val="0"/>
                <w:sz w:val="16"/>
                <w:szCs w:val="16"/>
                <w:lang w:val="en-US" w:eastAsia="zh-CN"/>
              </w:rPr>
              <w:t>.00</w:t>
            </w:r>
          </w:p>
        </w:tc>
        <w:tc>
          <w:tcPr>
            <w:tcW w:w="73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6</w:t>
            </w:r>
            <w:r>
              <w:rPr>
                <w:rFonts w:hint="default" w:ascii="宋体" w:hAnsi="宋体" w:cs="宋体"/>
                <w:kern w:val="0"/>
                <w:sz w:val="16"/>
                <w:szCs w:val="16"/>
                <w:highlight w:val="none"/>
                <w:lang w:val="en-US" w:eastAsia="zh-CN"/>
              </w:rPr>
              <w:t>0</w:t>
            </w:r>
            <w:r>
              <w:rPr>
                <w:rFonts w:hint="eastAsia" w:ascii="宋体" w:hAnsi="宋体" w:cs="宋体"/>
                <w:kern w:val="0"/>
                <w:sz w:val="16"/>
                <w:szCs w:val="16"/>
                <w:lang w:val="en-US" w:eastAsia="zh-CN"/>
              </w:rPr>
              <w:t>.00</w:t>
            </w:r>
          </w:p>
        </w:tc>
        <w:tc>
          <w:tcPr>
            <w:tcW w:w="72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299.96</w:t>
            </w:r>
          </w:p>
        </w:tc>
        <w:tc>
          <w:tcPr>
            <w:tcW w:w="7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299.96</w:t>
            </w:r>
          </w:p>
        </w:tc>
        <w:tc>
          <w:tcPr>
            <w:tcW w:w="4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40"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99.54%</w:t>
            </w:r>
          </w:p>
        </w:tc>
        <w:tc>
          <w:tcPr>
            <w:tcW w:w="670"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63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6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43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347" w:type="dxa"/>
          <w:trHeight w:val="986" w:hRule="atLeast"/>
        </w:trPr>
        <w:tc>
          <w:tcPr>
            <w:tcW w:w="125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机关服务保障经费</w:t>
            </w:r>
          </w:p>
        </w:tc>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 xml:space="preserve">56.30 </w:t>
            </w:r>
          </w:p>
        </w:tc>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 xml:space="preserve">56.30 </w:t>
            </w:r>
          </w:p>
        </w:tc>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 xml:space="preserve">56.30 </w:t>
            </w:r>
          </w:p>
        </w:tc>
        <w:tc>
          <w:tcPr>
            <w:tcW w:w="7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 xml:space="preserve">56.30 </w:t>
            </w:r>
          </w:p>
        </w:tc>
        <w:tc>
          <w:tcPr>
            <w:tcW w:w="34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8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 xml:space="preserve">56.30 </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 xml:space="preserve">56.30 </w:t>
            </w:r>
          </w:p>
        </w:tc>
        <w:tc>
          <w:tcPr>
            <w:tcW w:w="79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38.09</w:t>
            </w:r>
          </w:p>
        </w:tc>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38.09</w:t>
            </w:r>
          </w:p>
        </w:tc>
        <w:tc>
          <w:tcPr>
            <w:tcW w:w="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3.83</w:t>
            </w:r>
          </w:p>
        </w:tc>
        <w:tc>
          <w:tcPr>
            <w:tcW w:w="7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3.83</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14.38</w:t>
            </w:r>
          </w:p>
        </w:tc>
        <w:tc>
          <w:tcPr>
            <w:tcW w:w="7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14.38</w:t>
            </w:r>
          </w:p>
        </w:tc>
        <w:tc>
          <w:tcPr>
            <w:tcW w:w="4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4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4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100%</w:t>
            </w:r>
          </w:p>
        </w:tc>
        <w:tc>
          <w:tcPr>
            <w:tcW w:w="67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347" w:type="dxa"/>
          <w:trHeight w:val="986" w:hRule="atLeast"/>
        </w:trPr>
        <w:tc>
          <w:tcPr>
            <w:tcW w:w="125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bookmarkStart w:id="1" w:name="OLE_LINK1" w:colFirst="9" w:colLast="14"/>
            <w:r>
              <w:rPr>
                <w:rFonts w:hint="eastAsia" w:ascii="宋体" w:hAnsi="宋体" w:eastAsia="宋体" w:cs="宋体"/>
                <w:kern w:val="0"/>
                <w:sz w:val="20"/>
                <w:szCs w:val="20"/>
                <w:lang w:eastAsia="zh-CN"/>
              </w:rPr>
              <w:t>专业咨询类项目</w:t>
            </w:r>
          </w:p>
        </w:tc>
        <w:tc>
          <w:tcPr>
            <w:tcW w:w="750"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131.00</w:t>
            </w:r>
          </w:p>
        </w:tc>
        <w:tc>
          <w:tcPr>
            <w:tcW w:w="78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cs="宋体"/>
                <w:kern w:val="0"/>
                <w:sz w:val="16"/>
                <w:szCs w:val="16"/>
                <w:lang w:val="en-US" w:eastAsia="zh-CN"/>
              </w:rPr>
              <w:t>131.00</w:t>
            </w:r>
          </w:p>
        </w:tc>
        <w:tc>
          <w:tcPr>
            <w:tcW w:w="7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cs="宋体"/>
                <w:kern w:val="0"/>
                <w:sz w:val="16"/>
                <w:szCs w:val="16"/>
                <w:lang w:val="en-US" w:eastAsia="zh-CN"/>
              </w:rPr>
              <w:t>131.00</w:t>
            </w:r>
          </w:p>
        </w:tc>
        <w:tc>
          <w:tcPr>
            <w:tcW w:w="7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cs="宋体"/>
                <w:kern w:val="0"/>
                <w:sz w:val="16"/>
                <w:szCs w:val="16"/>
                <w:lang w:val="en-US" w:eastAsia="zh-CN"/>
              </w:rPr>
              <w:t>131.00</w:t>
            </w:r>
          </w:p>
        </w:tc>
        <w:tc>
          <w:tcPr>
            <w:tcW w:w="34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3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880"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bidi="ar-SA"/>
              </w:rPr>
            </w:pPr>
            <w:r>
              <w:rPr>
                <w:rFonts w:hint="eastAsia" w:ascii="宋体" w:hAnsi="宋体" w:cs="宋体"/>
                <w:kern w:val="0"/>
                <w:sz w:val="16"/>
                <w:szCs w:val="16"/>
                <w:lang w:val="en-US" w:eastAsia="zh-CN"/>
              </w:rPr>
              <w:t>131.00</w:t>
            </w:r>
          </w:p>
        </w:tc>
        <w:tc>
          <w:tcPr>
            <w:tcW w:w="87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cs="宋体"/>
                <w:kern w:val="0"/>
                <w:sz w:val="16"/>
                <w:szCs w:val="16"/>
                <w:lang w:val="en-US" w:eastAsia="zh-CN"/>
              </w:rPr>
              <w:t>131.00</w:t>
            </w:r>
          </w:p>
        </w:tc>
        <w:tc>
          <w:tcPr>
            <w:tcW w:w="790"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23.00</w:t>
            </w:r>
          </w:p>
        </w:tc>
        <w:tc>
          <w:tcPr>
            <w:tcW w:w="780"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23.00</w:t>
            </w:r>
          </w:p>
        </w:tc>
        <w:tc>
          <w:tcPr>
            <w:tcW w:w="700"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48.00</w:t>
            </w:r>
          </w:p>
        </w:tc>
        <w:tc>
          <w:tcPr>
            <w:tcW w:w="730"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48.00</w:t>
            </w:r>
          </w:p>
        </w:tc>
        <w:tc>
          <w:tcPr>
            <w:tcW w:w="720"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60.00</w:t>
            </w:r>
          </w:p>
        </w:tc>
        <w:tc>
          <w:tcPr>
            <w:tcW w:w="750"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60.00</w:t>
            </w:r>
          </w:p>
        </w:tc>
        <w:tc>
          <w:tcPr>
            <w:tcW w:w="4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5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4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100%</w:t>
            </w:r>
          </w:p>
        </w:tc>
        <w:tc>
          <w:tcPr>
            <w:tcW w:w="67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63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6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43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bookmarkEnd w:id="1"/>
      <w:tr>
        <w:tblPrEx>
          <w:tblCellMar>
            <w:top w:w="0" w:type="dxa"/>
            <w:left w:w="108" w:type="dxa"/>
            <w:bottom w:w="0" w:type="dxa"/>
            <w:right w:w="108" w:type="dxa"/>
          </w:tblCellMar>
        </w:tblPrEx>
        <w:trPr>
          <w:gridAfter w:val="1"/>
          <w:wAfter w:w="347" w:type="dxa"/>
          <w:trHeight w:val="1110" w:hRule="atLeast"/>
        </w:trPr>
        <w:tc>
          <w:tcPr>
            <w:tcW w:w="1257"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古树名木保护与管理</w:t>
            </w:r>
          </w:p>
        </w:tc>
        <w:tc>
          <w:tcPr>
            <w:tcW w:w="75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480.00</w:t>
            </w:r>
          </w:p>
        </w:tc>
        <w:tc>
          <w:tcPr>
            <w:tcW w:w="7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480.00</w:t>
            </w:r>
          </w:p>
        </w:tc>
        <w:tc>
          <w:tcPr>
            <w:tcW w:w="75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480v</w:t>
            </w:r>
          </w:p>
        </w:tc>
        <w:tc>
          <w:tcPr>
            <w:tcW w:w="73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480.00</w:t>
            </w:r>
          </w:p>
        </w:tc>
        <w:tc>
          <w:tcPr>
            <w:tcW w:w="34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3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8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477.71</w:t>
            </w:r>
          </w:p>
        </w:tc>
        <w:tc>
          <w:tcPr>
            <w:tcW w:w="87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477.71</w:t>
            </w:r>
          </w:p>
        </w:tc>
        <w:tc>
          <w:tcPr>
            <w:tcW w:w="79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149.60</w:t>
            </w:r>
          </w:p>
        </w:tc>
        <w:tc>
          <w:tcPr>
            <w:tcW w:w="78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149.60</w:t>
            </w:r>
          </w:p>
        </w:tc>
        <w:tc>
          <w:tcPr>
            <w:tcW w:w="70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89.26</w:t>
            </w:r>
          </w:p>
        </w:tc>
        <w:tc>
          <w:tcPr>
            <w:tcW w:w="73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89.26</w:t>
            </w:r>
          </w:p>
        </w:tc>
        <w:tc>
          <w:tcPr>
            <w:tcW w:w="72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238.85</w:t>
            </w:r>
          </w:p>
        </w:tc>
        <w:tc>
          <w:tcPr>
            <w:tcW w:w="75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238.85</w:t>
            </w:r>
          </w:p>
        </w:tc>
        <w:tc>
          <w:tcPr>
            <w:tcW w:w="4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0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4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40"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99.52%</w:t>
            </w:r>
          </w:p>
        </w:tc>
        <w:tc>
          <w:tcPr>
            <w:tcW w:w="67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3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6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43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347" w:type="dxa"/>
          <w:trHeight w:val="986" w:hRule="atLeast"/>
        </w:trPr>
        <w:tc>
          <w:tcPr>
            <w:tcW w:w="1257"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首都绿化美化宣传费</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352.00</w:t>
            </w:r>
          </w:p>
        </w:tc>
        <w:tc>
          <w:tcPr>
            <w:tcW w:w="7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352.00</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cs="宋体"/>
                <w:kern w:val="0"/>
                <w:sz w:val="16"/>
                <w:szCs w:val="16"/>
                <w:lang w:val="en-US" w:eastAsia="zh-CN"/>
              </w:rPr>
              <w:t>352.00</w:t>
            </w:r>
          </w:p>
        </w:tc>
        <w:tc>
          <w:tcPr>
            <w:tcW w:w="7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cs="宋体"/>
                <w:kern w:val="0"/>
                <w:sz w:val="16"/>
                <w:szCs w:val="16"/>
                <w:lang w:val="en-US" w:eastAsia="zh-CN"/>
              </w:rPr>
              <w:t>352.00</w:t>
            </w:r>
          </w:p>
        </w:tc>
        <w:tc>
          <w:tcPr>
            <w:tcW w:w="34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3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88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351.50</w:t>
            </w:r>
          </w:p>
        </w:tc>
        <w:tc>
          <w:tcPr>
            <w:tcW w:w="87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351.50</w:t>
            </w:r>
          </w:p>
        </w:tc>
        <w:tc>
          <w:tcPr>
            <w:tcW w:w="79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223.75</w:t>
            </w:r>
          </w:p>
        </w:tc>
        <w:tc>
          <w:tcPr>
            <w:tcW w:w="78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223.75</w:t>
            </w:r>
          </w:p>
        </w:tc>
        <w:tc>
          <w:tcPr>
            <w:tcW w:w="70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p>
        </w:tc>
        <w:tc>
          <w:tcPr>
            <w:tcW w:w="73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p>
        </w:tc>
        <w:tc>
          <w:tcPr>
            <w:tcW w:w="72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default" w:ascii="宋体" w:hAnsi="宋体" w:cs="宋体"/>
                <w:kern w:val="0"/>
                <w:sz w:val="16"/>
                <w:szCs w:val="16"/>
                <w:lang w:val="en-US" w:eastAsia="zh-CN"/>
              </w:rPr>
              <w:t>12</w:t>
            </w:r>
            <w:r>
              <w:rPr>
                <w:rFonts w:hint="eastAsia" w:ascii="宋体" w:hAnsi="宋体" w:cs="宋体"/>
                <w:kern w:val="0"/>
                <w:sz w:val="16"/>
                <w:szCs w:val="16"/>
                <w:lang w:val="en-US" w:eastAsia="zh-CN"/>
              </w:rPr>
              <w:t>7</w:t>
            </w:r>
            <w:r>
              <w:rPr>
                <w:rFonts w:hint="default" w:ascii="宋体" w:hAnsi="宋体" w:cs="宋体"/>
                <w:kern w:val="0"/>
                <w:sz w:val="16"/>
                <w:szCs w:val="16"/>
                <w:lang w:val="en-US" w:eastAsia="zh-CN"/>
              </w:rPr>
              <w:t>.</w:t>
            </w:r>
            <w:r>
              <w:rPr>
                <w:rFonts w:hint="eastAsia" w:ascii="宋体" w:hAnsi="宋体" w:cs="宋体"/>
                <w:kern w:val="0"/>
                <w:sz w:val="16"/>
                <w:szCs w:val="16"/>
                <w:lang w:val="en-US" w:eastAsia="zh-CN"/>
              </w:rPr>
              <w:t>75</w:t>
            </w:r>
          </w:p>
        </w:tc>
        <w:tc>
          <w:tcPr>
            <w:tcW w:w="7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default" w:ascii="宋体" w:hAnsi="宋体" w:cs="宋体"/>
                <w:kern w:val="0"/>
                <w:sz w:val="16"/>
                <w:szCs w:val="16"/>
                <w:lang w:val="en-US" w:eastAsia="zh-CN"/>
              </w:rPr>
              <w:t>12</w:t>
            </w:r>
            <w:r>
              <w:rPr>
                <w:rFonts w:hint="eastAsia" w:ascii="宋体" w:hAnsi="宋体" w:cs="宋体"/>
                <w:kern w:val="0"/>
                <w:sz w:val="16"/>
                <w:szCs w:val="16"/>
                <w:lang w:val="en-US" w:eastAsia="zh-CN"/>
              </w:rPr>
              <w:t>7</w:t>
            </w:r>
            <w:r>
              <w:rPr>
                <w:rFonts w:hint="default" w:ascii="宋体" w:hAnsi="宋体" w:cs="宋体"/>
                <w:kern w:val="0"/>
                <w:sz w:val="16"/>
                <w:szCs w:val="16"/>
                <w:lang w:val="en-US" w:eastAsia="zh-CN"/>
              </w:rPr>
              <w:t>.</w:t>
            </w:r>
            <w:r>
              <w:rPr>
                <w:rFonts w:hint="eastAsia" w:ascii="宋体" w:hAnsi="宋体" w:cs="宋体"/>
                <w:kern w:val="0"/>
                <w:sz w:val="16"/>
                <w:szCs w:val="16"/>
                <w:lang w:val="en-US" w:eastAsia="zh-CN"/>
              </w:rPr>
              <w:t>75</w:t>
            </w:r>
          </w:p>
        </w:tc>
        <w:tc>
          <w:tcPr>
            <w:tcW w:w="45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p>
        </w:tc>
        <w:tc>
          <w:tcPr>
            <w:tcW w:w="70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p>
        </w:tc>
        <w:tc>
          <w:tcPr>
            <w:tcW w:w="4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40"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99.86%</w:t>
            </w:r>
          </w:p>
        </w:tc>
        <w:tc>
          <w:tcPr>
            <w:tcW w:w="67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3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6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43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347" w:type="dxa"/>
          <w:trHeight w:val="986" w:hRule="atLeast"/>
        </w:trPr>
        <w:tc>
          <w:tcPr>
            <w:tcW w:w="1257"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履行首绿委职能经费</w:t>
            </w:r>
          </w:p>
        </w:tc>
        <w:tc>
          <w:tcPr>
            <w:tcW w:w="75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830.00</w:t>
            </w:r>
          </w:p>
        </w:tc>
        <w:tc>
          <w:tcPr>
            <w:tcW w:w="7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830.00</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830.00</w:t>
            </w:r>
          </w:p>
        </w:tc>
        <w:tc>
          <w:tcPr>
            <w:tcW w:w="73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830.00</w:t>
            </w:r>
          </w:p>
        </w:tc>
        <w:tc>
          <w:tcPr>
            <w:tcW w:w="34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3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8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789.24</w:t>
            </w:r>
          </w:p>
        </w:tc>
        <w:tc>
          <w:tcPr>
            <w:tcW w:w="87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789.24</w:t>
            </w:r>
          </w:p>
        </w:tc>
        <w:tc>
          <w:tcPr>
            <w:tcW w:w="79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446.91</w:t>
            </w:r>
          </w:p>
        </w:tc>
        <w:tc>
          <w:tcPr>
            <w:tcW w:w="7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446.91</w:t>
            </w:r>
          </w:p>
        </w:tc>
        <w:tc>
          <w:tcPr>
            <w:tcW w:w="70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169.76</w:t>
            </w:r>
          </w:p>
        </w:tc>
        <w:tc>
          <w:tcPr>
            <w:tcW w:w="73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169.76</w:t>
            </w:r>
          </w:p>
        </w:tc>
        <w:tc>
          <w:tcPr>
            <w:tcW w:w="72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172.57</w:t>
            </w:r>
          </w:p>
        </w:tc>
        <w:tc>
          <w:tcPr>
            <w:tcW w:w="7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172.57</w:t>
            </w:r>
          </w:p>
        </w:tc>
        <w:tc>
          <w:tcPr>
            <w:tcW w:w="4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0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4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40"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95.09%</w:t>
            </w:r>
          </w:p>
        </w:tc>
        <w:tc>
          <w:tcPr>
            <w:tcW w:w="67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3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6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43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347" w:type="dxa"/>
          <w:trHeight w:val="986" w:hRule="atLeast"/>
        </w:trPr>
        <w:tc>
          <w:tcPr>
            <w:tcW w:w="1257"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首都生态文明宣传教育活动补助</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140</w:t>
            </w:r>
            <w:r>
              <w:rPr>
                <w:rFonts w:hint="eastAsia" w:ascii="宋体" w:hAnsi="宋体" w:cs="宋体"/>
                <w:kern w:val="0"/>
                <w:sz w:val="16"/>
                <w:szCs w:val="16"/>
                <w:lang w:val="en-US" w:eastAsia="zh-CN"/>
              </w:rPr>
              <w:t>.00</w:t>
            </w:r>
          </w:p>
        </w:tc>
        <w:tc>
          <w:tcPr>
            <w:tcW w:w="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140</w:t>
            </w:r>
            <w:r>
              <w:rPr>
                <w:rFonts w:hint="eastAsia" w:ascii="宋体" w:hAnsi="宋体" w:cs="宋体"/>
                <w:kern w:val="0"/>
                <w:sz w:val="16"/>
                <w:szCs w:val="16"/>
                <w:lang w:val="en-US" w:eastAsia="zh-CN"/>
              </w:rPr>
              <w:t>.00</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140</w:t>
            </w:r>
            <w:r>
              <w:rPr>
                <w:rFonts w:hint="eastAsia" w:ascii="宋体" w:hAnsi="宋体" w:cs="宋体"/>
                <w:kern w:val="0"/>
                <w:sz w:val="16"/>
                <w:szCs w:val="16"/>
                <w:lang w:val="en-US" w:eastAsia="zh-CN"/>
              </w:rPr>
              <w:t>.00</w:t>
            </w:r>
          </w:p>
        </w:tc>
        <w:tc>
          <w:tcPr>
            <w:tcW w:w="7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140</w:t>
            </w:r>
            <w:r>
              <w:rPr>
                <w:rFonts w:hint="eastAsia" w:ascii="宋体" w:hAnsi="宋体" w:cs="宋体"/>
                <w:kern w:val="0"/>
                <w:sz w:val="16"/>
                <w:szCs w:val="16"/>
                <w:lang w:val="en-US" w:eastAsia="zh-CN"/>
              </w:rPr>
              <w:t>.00</w:t>
            </w:r>
          </w:p>
        </w:tc>
        <w:tc>
          <w:tcPr>
            <w:tcW w:w="34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3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8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139.53</w:t>
            </w:r>
          </w:p>
        </w:tc>
        <w:tc>
          <w:tcPr>
            <w:tcW w:w="87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139.53</w:t>
            </w:r>
          </w:p>
        </w:tc>
        <w:tc>
          <w:tcPr>
            <w:tcW w:w="79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0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p>
        </w:tc>
        <w:tc>
          <w:tcPr>
            <w:tcW w:w="73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20"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139.53</w:t>
            </w:r>
          </w:p>
        </w:tc>
        <w:tc>
          <w:tcPr>
            <w:tcW w:w="7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139.53</w:t>
            </w:r>
          </w:p>
        </w:tc>
        <w:tc>
          <w:tcPr>
            <w:tcW w:w="4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40"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99.66%</w:t>
            </w:r>
          </w:p>
        </w:tc>
        <w:tc>
          <w:tcPr>
            <w:tcW w:w="67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lang w:val="en-US" w:eastAsia="zh-CN"/>
              </w:rPr>
            </w:pPr>
          </w:p>
        </w:tc>
        <w:tc>
          <w:tcPr>
            <w:tcW w:w="63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6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43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347" w:type="dxa"/>
          <w:trHeight w:val="986" w:hRule="atLeast"/>
        </w:trPr>
        <w:tc>
          <w:tcPr>
            <w:tcW w:w="125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重大义务植树活动保障经费</w:t>
            </w:r>
          </w:p>
        </w:tc>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600</w:t>
            </w:r>
            <w:r>
              <w:rPr>
                <w:rFonts w:hint="eastAsia" w:ascii="宋体" w:hAnsi="宋体" w:cs="宋体"/>
                <w:kern w:val="0"/>
                <w:sz w:val="16"/>
                <w:szCs w:val="16"/>
                <w:lang w:val="en-US" w:eastAsia="zh-CN"/>
              </w:rPr>
              <w:t>.00</w:t>
            </w:r>
          </w:p>
        </w:tc>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600</w:t>
            </w:r>
            <w:r>
              <w:rPr>
                <w:rFonts w:hint="eastAsia" w:ascii="宋体" w:hAnsi="宋体" w:cs="宋体"/>
                <w:kern w:val="0"/>
                <w:sz w:val="16"/>
                <w:szCs w:val="16"/>
                <w:lang w:val="en-US" w:eastAsia="zh-CN"/>
              </w:rPr>
              <w:t>.00</w:t>
            </w:r>
          </w:p>
        </w:tc>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600</w:t>
            </w:r>
            <w:r>
              <w:rPr>
                <w:rFonts w:hint="eastAsia" w:ascii="宋体" w:hAnsi="宋体" w:cs="宋体"/>
                <w:kern w:val="0"/>
                <w:sz w:val="16"/>
                <w:szCs w:val="16"/>
                <w:lang w:val="en-US" w:eastAsia="zh-CN"/>
              </w:rPr>
              <w:t>.00</w:t>
            </w:r>
          </w:p>
        </w:tc>
        <w:tc>
          <w:tcPr>
            <w:tcW w:w="7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600</w:t>
            </w:r>
            <w:r>
              <w:rPr>
                <w:rFonts w:hint="eastAsia" w:ascii="宋体" w:hAnsi="宋体" w:cs="宋体"/>
                <w:kern w:val="0"/>
                <w:sz w:val="16"/>
                <w:szCs w:val="16"/>
                <w:lang w:val="en-US" w:eastAsia="zh-CN"/>
              </w:rPr>
              <w:t>.00</w:t>
            </w:r>
          </w:p>
        </w:tc>
        <w:tc>
          <w:tcPr>
            <w:tcW w:w="34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8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595.97</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595.97</w:t>
            </w:r>
          </w:p>
        </w:tc>
        <w:tc>
          <w:tcPr>
            <w:tcW w:w="79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350.98</w:t>
            </w:r>
          </w:p>
        </w:tc>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350.98</w:t>
            </w:r>
          </w:p>
        </w:tc>
        <w:tc>
          <w:tcPr>
            <w:tcW w:w="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233.99</w:t>
            </w:r>
          </w:p>
        </w:tc>
        <w:tc>
          <w:tcPr>
            <w:tcW w:w="7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233.99</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11.00</w:t>
            </w:r>
          </w:p>
        </w:tc>
        <w:tc>
          <w:tcPr>
            <w:tcW w:w="7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11.00</w:t>
            </w:r>
          </w:p>
        </w:tc>
        <w:tc>
          <w:tcPr>
            <w:tcW w:w="4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4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74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99.33%</w:t>
            </w:r>
          </w:p>
        </w:tc>
        <w:tc>
          <w:tcPr>
            <w:tcW w:w="67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347" w:type="dxa"/>
          <w:trHeight w:val="986" w:hRule="atLeast"/>
        </w:trPr>
        <w:tc>
          <w:tcPr>
            <w:tcW w:w="1257" w:type="dxa"/>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机动经费</w:t>
            </w:r>
          </w:p>
        </w:tc>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 xml:space="preserve">180 </w:t>
            </w:r>
            <w:r>
              <w:rPr>
                <w:rFonts w:hint="eastAsia" w:ascii="宋体" w:hAnsi="宋体" w:cs="宋体"/>
                <w:kern w:val="0"/>
                <w:sz w:val="16"/>
                <w:szCs w:val="16"/>
                <w:lang w:val="en-US" w:eastAsia="zh-CN"/>
              </w:rPr>
              <w:t>.00</w:t>
            </w:r>
          </w:p>
        </w:tc>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180</w:t>
            </w:r>
            <w:r>
              <w:rPr>
                <w:rFonts w:hint="eastAsia" w:ascii="宋体" w:hAnsi="宋体" w:cs="宋体"/>
                <w:kern w:val="0"/>
                <w:sz w:val="16"/>
                <w:szCs w:val="16"/>
                <w:lang w:val="en-US" w:eastAsia="zh-CN"/>
              </w:rPr>
              <w:t>.00</w:t>
            </w:r>
          </w:p>
        </w:tc>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180</w:t>
            </w:r>
            <w:r>
              <w:rPr>
                <w:rFonts w:hint="eastAsia" w:ascii="宋体" w:hAnsi="宋体" w:cs="宋体"/>
                <w:kern w:val="0"/>
                <w:sz w:val="16"/>
                <w:szCs w:val="16"/>
                <w:lang w:val="en-US" w:eastAsia="zh-CN"/>
              </w:rPr>
              <w:t>.00</w:t>
            </w:r>
            <w:r>
              <w:rPr>
                <w:rFonts w:hint="eastAsia" w:ascii="宋体" w:hAnsi="宋体" w:eastAsia="宋体" w:cs="宋体"/>
                <w:kern w:val="0"/>
                <w:sz w:val="16"/>
                <w:szCs w:val="16"/>
                <w:lang w:val="en-US" w:eastAsia="zh-CN"/>
              </w:rPr>
              <w:t xml:space="preserve"> </w:t>
            </w:r>
          </w:p>
        </w:tc>
        <w:tc>
          <w:tcPr>
            <w:tcW w:w="7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180</w:t>
            </w:r>
            <w:r>
              <w:rPr>
                <w:rFonts w:hint="eastAsia" w:ascii="宋体" w:hAnsi="宋体" w:cs="宋体"/>
                <w:kern w:val="0"/>
                <w:sz w:val="16"/>
                <w:szCs w:val="16"/>
                <w:lang w:val="en-US" w:eastAsia="zh-CN"/>
              </w:rPr>
              <w:t>.00</w:t>
            </w:r>
          </w:p>
        </w:tc>
        <w:tc>
          <w:tcPr>
            <w:tcW w:w="34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8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50.00</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cs="宋体"/>
                <w:kern w:val="0"/>
                <w:sz w:val="16"/>
                <w:szCs w:val="16"/>
                <w:lang w:val="en-US" w:eastAsia="zh-CN"/>
              </w:rPr>
              <w:t>50.00</w:t>
            </w:r>
          </w:p>
        </w:tc>
        <w:tc>
          <w:tcPr>
            <w:tcW w:w="79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7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50.00</w:t>
            </w:r>
          </w:p>
        </w:tc>
        <w:tc>
          <w:tcPr>
            <w:tcW w:w="7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50.00</w:t>
            </w:r>
          </w:p>
        </w:tc>
        <w:tc>
          <w:tcPr>
            <w:tcW w:w="4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4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74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27.78%</w:t>
            </w:r>
          </w:p>
        </w:tc>
        <w:tc>
          <w:tcPr>
            <w:tcW w:w="67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kern w:val="0"/>
                <w:sz w:val="18"/>
                <w:szCs w:val="18"/>
              </w:rPr>
            </w:pPr>
          </w:p>
        </w:tc>
      </w:tr>
      <w:bookmarkEnd w:id="0"/>
    </w:tbl>
    <w:p>
      <w:pPr>
        <w:sectPr>
          <w:pgSz w:w="16838" w:h="11906" w:orient="landscape"/>
          <w:pgMar w:top="1797" w:right="1440" w:bottom="1797" w:left="1440"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r>
        <w:rPr>
          <w:rFonts w:hint="eastAsia" w:ascii="宋体" w:hAnsi="宋体" w:cs="宋体"/>
          <w:kern w:val="0"/>
        </w:rPr>
        <w:t>注：1.此表按项目支出年度分项目进行填写；</w:t>
      </w:r>
      <w:r>
        <w:rPr>
          <w:rFonts w:hint="eastAsia" w:ascii="宋体" w:hAnsi="宋体" w:cs="宋体"/>
          <w:kern w:val="0"/>
        </w:rPr>
        <w:br w:type="textWrapping"/>
      </w:r>
      <w:r>
        <w:rPr>
          <w:rFonts w:hint="eastAsia" w:ascii="宋体" w:hAnsi="宋体" w:cs="宋体"/>
          <w:kern w:val="0"/>
        </w:rPr>
        <w:t xml:space="preserve">    2.“跨年支出”是指个别特殊性项目，当年预算未执行完毕，在下一年度支出的预算资金，时间填列到最后一次支出的日期；</w:t>
      </w:r>
      <w:r>
        <w:rPr>
          <w:rFonts w:hint="eastAsia" w:ascii="宋体" w:hAnsi="宋体" w:cs="宋体"/>
          <w:kern w:val="0"/>
        </w:rPr>
        <w:br w:type="textWrapping"/>
      </w:r>
      <w:r>
        <w:rPr>
          <w:rFonts w:hint="eastAsia" w:ascii="宋体" w:hAnsi="宋体" w:cs="宋体"/>
          <w:kern w:val="0"/>
        </w:rPr>
        <w:t xml:space="preserve">    3.执行差额数=预算执行-预算批复（19=7-1）；</w:t>
      </w:r>
      <w:r>
        <w:rPr>
          <w:rFonts w:hint="eastAsia" w:ascii="宋体" w:hAnsi="宋体" w:cs="宋体"/>
          <w:kern w:val="0"/>
        </w:rPr>
        <w:br w:type="textWrapping"/>
      </w:r>
      <w:r>
        <w:rPr>
          <w:rFonts w:hint="eastAsia" w:ascii="宋体" w:hAnsi="宋体" w:cs="宋体"/>
          <w:kern w:val="0"/>
        </w:rPr>
        <w:t xml:space="preserve">    4.本年支出小计:8=9+11+13；预算执行合计:7=8+15；项目本年支出进度:18=8/1*100%；</w:t>
      </w:r>
      <w:r>
        <w:rPr>
          <w:rFonts w:hint="eastAsia" w:ascii="宋体" w:hAnsi="宋体" w:cs="宋体"/>
          <w:kern w:val="0"/>
        </w:rPr>
        <w:br w:type="textWrapping"/>
      </w:r>
      <w:r>
        <w:rPr>
          <w:rFonts w:hint="eastAsia" w:ascii="宋体" w:hAnsi="宋体" w:cs="宋体"/>
          <w:kern w:val="0"/>
        </w:rPr>
        <w:t xml:space="preserve">    5.资金超支率:21=（7-1）/1*100%；</w:t>
      </w:r>
      <w:r>
        <w:rPr>
          <w:rFonts w:hint="eastAsia" w:ascii="宋体" w:hAnsi="宋体" w:cs="宋体"/>
          <w:kern w:val="0"/>
        </w:rPr>
        <w:br w:type="textWrapping"/>
      </w:r>
      <w:r>
        <w:rPr>
          <w:rFonts w:hint="eastAsia" w:ascii="宋体" w:hAnsi="宋体" w:cs="宋体"/>
          <w:kern w:val="0"/>
        </w:rPr>
        <w:t xml:space="preserve">    6.表中数据以单位实际</w:t>
      </w:r>
      <w:r>
        <w:rPr>
          <w:rFonts w:hint="eastAsia" w:ascii="宋体" w:hAnsi="宋体" w:cs="宋体"/>
          <w:kern w:val="0"/>
          <w:lang w:eastAsia="zh-CN"/>
        </w:rPr>
        <w:t>账面</w:t>
      </w:r>
      <w:r>
        <w:rPr>
          <w:rFonts w:hint="eastAsia" w:ascii="宋体" w:hAnsi="宋体" w:cs="宋体"/>
          <w:kern w:val="0"/>
        </w:rPr>
        <w:t>数据为准，保留小数点后两位数字。</w:t>
      </w:r>
    </w:p>
    <w:p>
      <w:pPr>
        <w:rPr>
          <w:rFonts w:hint="default" w:eastAsia="宋体"/>
          <w:lang w:val="en-US" w:eastAsia="zh-CN"/>
        </w:rPr>
      </w:pPr>
      <w:r>
        <w:rPr>
          <w:rFonts w:hint="eastAsia"/>
          <w:lang w:val="en-US" w:eastAsia="zh-CN"/>
        </w:rPr>
        <w:t>附件2</w:t>
      </w:r>
    </w:p>
    <w:tbl>
      <w:tblPr>
        <w:tblStyle w:val="7"/>
        <w:tblW w:w="5062" w:type="pct"/>
        <w:tblInd w:w="-176" w:type="dxa"/>
        <w:tblLayout w:type="fixed"/>
        <w:tblCellMar>
          <w:top w:w="0" w:type="dxa"/>
          <w:left w:w="108" w:type="dxa"/>
          <w:bottom w:w="0" w:type="dxa"/>
          <w:right w:w="108" w:type="dxa"/>
        </w:tblCellMar>
      </w:tblPr>
      <w:tblGrid>
        <w:gridCol w:w="1172"/>
        <w:gridCol w:w="706"/>
        <w:gridCol w:w="1064"/>
        <w:gridCol w:w="3759"/>
        <w:gridCol w:w="1495"/>
        <w:gridCol w:w="636"/>
        <w:gridCol w:w="637"/>
        <w:gridCol w:w="1991"/>
        <w:gridCol w:w="2890"/>
      </w:tblGrid>
      <w:tr>
        <w:tblPrEx>
          <w:tblCellMar>
            <w:top w:w="0" w:type="dxa"/>
            <w:left w:w="108" w:type="dxa"/>
            <w:bottom w:w="0" w:type="dxa"/>
            <w:right w:w="108" w:type="dxa"/>
          </w:tblCellMar>
        </w:tblPrEx>
        <w:trPr>
          <w:cantSplit/>
          <w:trHeight w:val="90"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highlight w:val="yellow"/>
                <w:lang w:eastAsia="zh-CN"/>
              </w:rPr>
            </w:pPr>
            <w:r>
              <w:rPr>
                <w:rFonts w:hint="eastAsia" w:ascii="方正小标宋简体" w:hAnsi="黑体" w:eastAsia="方正小标宋简体" w:cs="宋体"/>
                <w:color w:val="000000"/>
                <w:kern w:val="0"/>
                <w:sz w:val="44"/>
                <w:szCs w:val="44"/>
                <w:highlight w:val="none"/>
              </w:rPr>
              <w:t>202</w:t>
            </w:r>
            <w:r>
              <w:rPr>
                <w:rFonts w:hint="eastAsia" w:ascii="方正小标宋简体" w:hAnsi="黑体" w:eastAsia="方正小标宋简体" w:cs="宋体"/>
                <w:color w:val="000000"/>
                <w:kern w:val="0"/>
                <w:sz w:val="44"/>
                <w:szCs w:val="44"/>
                <w:highlight w:val="none"/>
                <w:lang w:val="en-US" w:eastAsia="zh-CN"/>
              </w:rPr>
              <w:t>3</w:t>
            </w:r>
            <w:r>
              <w:rPr>
                <w:rFonts w:hint="eastAsia" w:ascii="方正小标宋简体" w:hAnsi="黑体" w:eastAsia="方正小标宋简体" w:cs="宋体"/>
                <w:color w:val="000000"/>
                <w:kern w:val="0"/>
                <w:sz w:val="44"/>
                <w:szCs w:val="44"/>
                <w:highlight w:val="none"/>
              </w:rPr>
              <w:t>年部门整体绩效评价指标体系评分表</w:t>
            </w:r>
          </w:p>
        </w:tc>
      </w:tr>
      <w:tr>
        <w:tblPrEx>
          <w:tblCellMar>
            <w:top w:w="0" w:type="dxa"/>
            <w:left w:w="108" w:type="dxa"/>
            <w:bottom w:w="0" w:type="dxa"/>
            <w:right w:w="108" w:type="dxa"/>
          </w:tblCellMar>
        </w:tblPrEx>
        <w:trPr>
          <w:cantSplit/>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cantSplit/>
          <w:trHeight w:val="660" w:hRule="atLeast"/>
        </w:trPr>
        <w:tc>
          <w:tcPr>
            <w:tcW w:w="40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22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2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100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cantSplit/>
          <w:trHeight w:val="630" w:hRule="atLeast"/>
        </w:trPr>
        <w:tc>
          <w:tcPr>
            <w:tcW w:w="408"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2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3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w:t>
            </w:r>
            <w:r>
              <w:rPr>
                <w:rFonts w:hint="default" w:ascii="宋体" w:hAnsi="宋体" w:eastAsia="宋体" w:cs="宋体"/>
                <w:i w:val="0"/>
                <w:iCs w:val="0"/>
                <w:color w:val="000000"/>
                <w:kern w:val="0"/>
                <w:sz w:val="20"/>
                <w:szCs w:val="20"/>
                <w:u w:val="none"/>
                <w:lang w:val="en-US" w:eastAsia="zh-CN" w:bidi="ar"/>
              </w:rPr>
              <w:t>891.04</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xml:space="preserve"> 4,690.97</w:t>
            </w:r>
            <w:r>
              <w:rPr>
                <w:rFonts w:hint="default" w:ascii="Arial" w:hAnsi="Arial" w:eastAsia="等线" w:cs="Arial"/>
                <w:i w:val="0"/>
                <w:iCs w:val="0"/>
                <w:color w:val="000000"/>
                <w:kern w:val="0"/>
                <w:sz w:val="20"/>
                <w:szCs w:val="20"/>
                <w:u w:val="none"/>
                <w:lang w:val="en-US" w:eastAsia="zh-CN" w:bidi="ar"/>
              </w:rPr>
              <w:t xml:space="preserve"> </w:t>
            </w:r>
          </w:p>
        </w:tc>
        <w:tc>
          <w:tcPr>
            <w:tcW w:w="52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bottom"/>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95.91%</w:t>
            </w:r>
          </w:p>
        </w:tc>
        <w:tc>
          <w:tcPr>
            <w:tcW w:w="22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22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19</w:t>
            </w:r>
          </w:p>
        </w:tc>
        <w:tc>
          <w:tcPr>
            <w:tcW w:w="69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006"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cantSplit/>
          <w:trHeight w:val="600" w:hRule="atLeast"/>
        </w:trPr>
        <w:tc>
          <w:tcPr>
            <w:tcW w:w="40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3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bottom"/>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921.74</w:t>
            </w:r>
          </w:p>
        </w:tc>
        <w:tc>
          <w:tcPr>
            <w:tcW w:w="1309"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right"/>
              <w:textAlignment w:val="bottom"/>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858.42</w:t>
            </w:r>
          </w:p>
        </w:tc>
        <w:tc>
          <w:tcPr>
            <w:tcW w:w="52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15" w:hRule="atLeast"/>
        </w:trPr>
        <w:tc>
          <w:tcPr>
            <w:tcW w:w="40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3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bottom"/>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3,969.3</w:t>
            </w:r>
          </w:p>
        </w:tc>
        <w:tc>
          <w:tcPr>
            <w:tcW w:w="1309"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right"/>
              <w:textAlignment w:val="bottom"/>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3,832.55</w:t>
            </w:r>
          </w:p>
        </w:tc>
        <w:tc>
          <w:tcPr>
            <w:tcW w:w="52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3454" w:hRule="atLeast"/>
        </w:trPr>
        <w:tc>
          <w:tcPr>
            <w:tcW w:w="40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37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0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2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7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cantSplit/>
          <w:trHeight w:val="499" w:hRule="atLeast"/>
        </w:trPr>
        <w:tc>
          <w:tcPr>
            <w:tcW w:w="40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22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2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680" w:hRule="atLeast"/>
        </w:trPr>
        <w:tc>
          <w:tcPr>
            <w:tcW w:w="40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24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37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数量指标</w:t>
            </w:r>
          </w:p>
          <w:p>
            <w:pPr>
              <w:jc w:val="center"/>
              <w:rPr>
                <w:rFonts w:hint="eastAsia" w:ascii="宋体" w:hAnsi="宋体" w:cs="宋体"/>
                <w:color w:val="000000"/>
                <w:kern w:val="0"/>
                <w:sz w:val="20"/>
                <w:szCs w:val="20"/>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劳务派遣驾驶员2名，副中心伙食补贴26人。　</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2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28</w:t>
            </w:r>
            <w:r>
              <w:rPr>
                <w:rFonts w:hint="eastAsia" w:ascii="宋体" w:hAnsi="宋体" w:cs="宋体"/>
                <w:color w:val="000000"/>
                <w:kern w:val="0"/>
                <w:sz w:val="20"/>
                <w:szCs w:val="20"/>
              </w:rPr>
              <w:t>　</w:t>
            </w:r>
          </w:p>
        </w:tc>
        <w:tc>
          <w:tcPr>
            <w:tcW w:w="69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实际完成工作任务的数量。计划工作数：</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00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cantSplit/>
          <w:trHeight w:val="680" w:hRule="atLeast"/>
        </w:trPr>
        <w:tc>
          <w:tcPr>
            <w:tcW w:w="408" w:type="pct"/>
            <w:vMerge w:val="continue"/>
            <w:tcBorders>
              <w:left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245" w:type="pct"/>
            <w:vMerge w:val="continue"/>
            <w:tcBorders>
              <w:left w:val="single" w:color="auto" w:sz="4" w:space="0"/>
              <w:right w:val="single" w:color="auto" w:sz="4" w:space="0"/>
            </w:tcBorders>
            <w:noWrap w:val="0"/>
            <w:vAlign w:val="center"/>
          </w:tcPr>
          <w:p>
            <w:pPr>
              <w:jc w:val="center"/>
              <w:rPr>
                <w:rFonts w:hint="eastAsia" w:ascii="宋体" w:hAnsi="宋体" w:cs="宋体"/>
                <w:color w:val="000000"/>
                <w:kern w:val="0"/>
                <w:sz w:val="20"/>
                <w:szCs w:val="20"/>
              </w:rPr>
            </w:pPr>
          </w:p>
        </w:tc>
        <w:tc>
          <w:tcPr>
            <w:tcW w:w="370" w:type="pct"/>
            <w:vMerge w:val="continue"/>
            <w:tcBorders>
              <w:left w:val="single" w:color="auto" w:sz="4" w:space="0"/>
              <w:right w:val="single" w:color="auto" w:sz="4" w:space="0"/>
            </w:tcBorders>
            <w:noWrap w:val="0"/>
            <w:vAlign w:val="center"/>
          </w:tcPr>
          <w:p>
            <w:pPr>
              <w:jc w:val="center"/>
              <w:rPr>
                <w:rFonts w:hint="eastAsia" w:ascii="宋体" w:hAnsi="宋体" w:cs="宋体"/>
                <w:color w:val="000000"/>
                <w:kern w:val="0"/>
                <w:sz w:val="20"/>
                <w:szCs w:val="20"/>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内控制度手册 、事前绩效评估报告、预算评审报告 、绩效运行监控报告、内控报告、内部审计报告、成本预算绩效分析报告、绩效评价报告及总结不少于41份。</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完成目标</w:t>
            </w:r>
          </w:p>
        </w:tc>
        <w:tc>
          <w:tcPr>
            <w:tcW w:w="221" w:type="pct"/>
            <w:vMerge w:val="continue"/>
            <w:tcBorders>
              <w:left w:val="single" w:color="auto" w:sz="4" w:space="0"/>
              <w:right w:val="single" w:color="auto" w:sz="4" w:space="0"/>
            </w:tcBorders>
            <w:noWrap w:val="0"/>
            <w:vAlign w:val="center"/>
          </w:tcPr>
          <w:p>
            <w:pPr>
              <w:jc w:val="center"/>
              <w:rPr>
                <w:rFonts w:hint="eastAsia" w:ascii="宋体" w:hAnsi="宋体" w:cs="宋体"/>
                <w:color w:val="000000"/>
                <w:kern w:val="0"/>
                <w:sz w:val="20"/>
                <w:szCs w:val="20"/>
              </w:rPr>
            </w:pPr>
          </w:p>
        </w:tc>
        <w:tc>
          <w:tcPr>
            <w:tcW w:w="221" w:type="pct"/>
            <w:vMerge w:val="continue"/>
            <w:tcBorders>
              <w:left w:val="single" w:color="auto" w:sz="4" w:space="0"/>
              <w:right w:val="single" w:color="auto" w:sz="4" w:space="0"/>
            </w:tcBorders>
            <w:noWrap w:val="0"/>
            <w:vAlign w:val="center"/>
          </w:tcPr>
          <w:p>
            <w:pPr>
              <w:jc w:val="center"/>
              <w:rPr>
                <w:rFonts w:hint="eastAsia" w:ascii="宋体" w:hAnsi="宋体" w:cs="宋体"/>
                <w:color w:val="000000"/>
                <w:kern w:val="0"/>
                <w:sz w:val="20"/>
                <w:szCs w:val="20"/>
                <w:lang w:val="en-US" w:eastAsia="zh-CN"/>
              </w:rPr>
            </w:pPr>
          </w:p>
        </w:tc>
        <w:tc>
          <w:tcPr>
            <w:tcW w:w="693" w:type="pct"/>
            <w:vMerge w:val="continue"/>
            <w:tcBorders>
              <w:left w:val="single" w:color="auto" w:sz="4" w:space="0"/>
              <w:right w:val="single" w:color="auto" w:sz="4" w:space="0"/>
            </w:tcBorders>
            <w:noWrap w:val="0"/>
            <w:vAlign w:val="center"/>
          </w:tcPr>
          <w:p>
            <w:pPr>
              <w:widowControl/>
              <w:jc w:val="left"/>
              <w:rPr>
                <w:rFonts w:hint="eastAsia" w:ascii="宋体" w:hAnsi="宋体" w:cs="宋体"/>
                <w:b/>
                <w:bCs/>
                <w:color w:val="000000"/>
                <w:kern w:val="0"/>
                <w:sz w:val="18"/>
                <w:szCs w:val="18"/>
              </w:rPr>
            </w:pPr>
          </w:p>
        </w:tc>
        <w:tc>
          <w:tcPr>
            <w:tcW w:w="1006" w:type="pct"/>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cantSplit/>
          <w:trHeight w:val="113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评选首都绿化美化先进个人500人。</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本年度评选482名先进个人，其余均不达标。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96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重大义务植树活动计划增加树苗花卉2.9万余株，水桶、铁锹等工具1840个。</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96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北京市古树保护小区建设标准研究报告、古树文化促进乡村振兴产业发展研究、古树绘本或掌上书籍、古树文化宣传策划共4份，应急抢救复壮20株，四个阶段及年终检查考核，应急抢救保护不少于8000株，古油松保护技术专题培训100次。</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96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eastAsia="仿宋_GB2312" w:cs="宋体"/>
                <w:color w:val="000000"/>
                <w:kern w:val="0"/>
                <w:sz w:val="20"/>
                <w:szCs w:val="20"/>
                <w:lang w:val="en-US" w:eastAsia="zh-CN"/>
              </w:rPr>
            </w:pPr>
            <w:r>
              <w:rPr>
                <w:rFonts w:hint="eastAsia" w:ascii="宋体" w:hAnsi="宋体" w:cs="宋体"/>
                <w:color w:val="000000"/>
                <w:kern w:val="0"/>
                <w:sz w:val="20"/>
                <w:szCs w:val="20"/>
                <w:lang w:val="en-US" w:eastAsia="zh-CN"/>
              </w:rPr>
              <w:t>村庄调查研究报告、村庄建设推荐植物名录表、首都森林村庄创建实施指引（绿化提质典型模式范例图册）、技术指导手册、相关研究论文共5份，村民绿化期望民意调查表不低于3000份，重点纪念林数据档案、一般纪念林数据档案、重点纪念林落图共3套，梳理花园式社区551个，指导新建花园式社区35个、花园式单位41个、花园式街道2个，引进栽培花卉苗木1470株。</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113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在北京日报刊发专版3篇，在《国土绿化》杂志发专版1期，制作一部2023年重点工作汇报片，“首都全民义务植树”官方微信公众号全年微信内容发布不少于400条。</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1020"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建设4个森林城市体验中心建设，折算尽责66000株，接待22000人次，对85个社区及村庄进行补助。</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1020"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开展生态文明宣传教育活动不少于100场，生态导览路线3条，宣教活动带动100万人次，基地工作汇编1次。</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130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《北京市全域森林城市建设规划》文本1套、《北京市全域森林城市建设规划》多媒体1份、《北京市全域森林城市建设规划》图集1套。</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5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eastAsia="宋体" w:cs="宋体"/>
                <w:kern w:val="0"/>
                <w:sz w:val="20"/>
                <w:szCs w:val="20"/>
                <w:lang w:val="en-US" w:eastAsia="zh-CN"/>
              </w:rPr>
              <w:t>质量指标</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保障机关正常运转。</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5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各报告符合相关文件标准。</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5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严格按照评选标准评选先进个人。</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5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各项宣传活动圆满举行。</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80"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应急抢救复壮验收合格，培训满意度不低于90%，各项研究成果质量较高。</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737"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典型绿化提质模式林木绿化率≥30%，服务接待率，基地培训率100%。</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79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相关报刊、杂志达到出版标准，符合主流媒体播放要求。</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567"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各项植树活动圆满完成，实物（月季和乡土植物）补助社区及村庄全部发放。</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5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研究成果验收通过率100%。</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737"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各项重大植树活动圆满完成，树苗成活率≥95%。</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80"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各工作标准符合相关文件要求，经过专家验证。</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5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进度指标</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各项重大义务植树活动预计2023年3月至4月期间陆续开展；其余各项工作均按照计划进行。</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完成目标</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5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eastAsia="宋体" w:cs="宋体"/>
                <w:kern w:val="0"/>
                <w:sz w:val="20"/>
                <w:szCs w:val="20"/>
                <w:highlight w:val="none"/>
                <w:lang w:val="en-US" w:eastAsia="zh-CN"/>
              </w:rPr>
              <w:t>成本指标</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财政拨款3,969.30万元</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实际支出</w:t>
            </w:r>
            <w:r>
              <w:rPr>
                <w:rFonts w:hint="eastAsia" w:ascii="宋体" w:hAnsi="宋体" w:cs="宋体"/>
                <w:color w:val="000000"/>
                <w:kern w:val="0"/>
                <w:sz w:val="20"/>
                <w:szCs w:val="20"/>
                <w:lang w:val="en-US" w:eastAsia="zh-CN"/>
              </w:rPr>
              <w:t>3,782.55</w:t>
            </w:r>
            <w:r>
              <w:rPr>
                <w:rFonts w:hint="eastAsia" w:ascii="宋体" w:hAnsi="宋体" w:cs="宋体"/>
                <w:color w:val="000000"/>
                <w:kern w:val="0"/>
                <w:sz w:val="20"/>
                <w:szCs w:val="20"/>
              </w:rPr>
              <w:t>万元</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232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通过全过程工作的实施有效提升了财政资金使用效率、发挥项目资金的带动作用；对乡村林业产业引领性发展形成示范作用，带动其他产业发展，提高区域经济发展的环境质量水平，从而带动周边餐饮业、旅游业等相关产业发展，为周边民众提供更多的创业及就业机会。　</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效果显著</w:t>
            </w:r>
          </w:p>
        </w:tc>
        <w:tc>
          <w:tcPr>
            <w:tcW w:w="22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2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24</w:t>
            </w:r>
            <w:r>
              <w:rPr>
                <w:rFonts w:hint="eastAsia" w:ascii="宋体" w:hAnsi="宋体" w:cs="宋体"/>
                <w:color w:val="000000"/>
                <w:kern w:val="0"/>
                <w:sz w:val="20"/>
                <w:szCs w:val="20"/>
              </w:rPr>
              <w:t>　</w:t>
            </w:r>
          </w:p>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9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的服务对象对部门履职效果的满意程度。</w:t>
            </w:r>
          </w:p>
        </w:tc>
        <w:tc>
          <w:tcPr>
            <w:tcW w:w="100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cantSplit/>
          <w:trHeight w:val="3175"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提升个人美化绿化环境的参与度，维护首都绿化美化花园式单位评定等群众创建工作的整体形象，促进林业可持续发展，加强对绿化美化成果的监督和动态管理，提升乡村绿化美化工作精细化管理的水平，推动乡村绿化美化工作健康有序发展，将生态文化、生物多样性和绿色低碳理念充分融入市民生活，引领发展社会单位生态文明建设，更好地让首都市民感受到生活和工作身边的美好环境。</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效果显著</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2154"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环境效益</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通过青少年参与活动，提升青少年爱绿护绿意识，以 “小手拉大手”的形式，提升全社会生态文明意识。全面加强首都地区生态文明宣传教育，持续增强市民生态文明意识。组织基地交流，提升基地工作能力。</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效果显著</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2721"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可持续性影响</w:t>
            </w:r>
          </w:p>
        </w:tc>
        <w:tc>
          <w:tcPr>
            <w:tcW w:w="130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持续保障首都重大植树活动特定苗木花卉需要,为今后古树保护提供新的思路和借鉴，形成古树生态系统保护理念及模式，逐步提高古树保护和利用成效。探索村庄绿化提质典型模式，指导首都森林村庄建设同时推进北京市美丽乡村建设；促进对园林景观行业在未来乡村景观建设中的复合功能的实现。</w:t>
            </w:r>
          </w:p>
        </w:tc>
        <w:tc>
          <w:tcPr>
            <w:tcW w:w="5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效果显著</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top w:val="single" w:color="auto" w:sz="4" w:space="0"/>
              <w:left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75" w:hRule="atLeast"/>
        </w:trPr>
        <w:tc>
          <w:tcPr>
            <w:tcW w:w="4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服务对象满意度</w:t>
            </w:r>
          </w:p>
        </w:tc>
        <w:tc>
          <w:tcPr>
            <w:tcW w:w="1309" w:type="pct"/>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仿宋_GB2312" w:cs="宋体"/>
                <w:color w:val="000000"/>
                <w:kern w:val="0"/>
                <w:sz w:val="20"/>
                <w:szCs w:val="20"/>
                <w:lang w:val="en-US" w:eastAsia="zh-CN"/>
              </w:rPr>
            </w:pPr>
            <w:r>
              <w:rPr>
                <w:rFonts w:hint="eastAsia" w:ascii="宋体" w:hAnsi="宋体" w:cs="宋体"/>
                <w:color w:val="000000"/>
                <w:kern w:val="0"/>
                <w:sz w:val="20"/>
                <w:szCs w:val="20"/>
                <w:lang w:val="en-US" w:eastAsia="zh-CN"/>
              </w:rPr>
              <w:t>各业务处室满意度≧90%,首都绿化美化先进个人满意度≥90%,服务对象、社会满意度≥95%；古树管护单位、园林绿化主管部门、古树产权单位、古树名木纪念林各级管护部门以及群众满意度达到95%以上</w:t>
            </w:r>
          </w:p>
        </w:tc>
        <w:tc>
          <w:tcPr>
            <w:tcW w:w="5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已达到满意度标准</w:t>
            </w:r>
          </w:p>
        </w:tc>
        <w:tc>
          <w:tcPr>
            <w:tcW w:w="2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21" w:type="pct"/>
            <w:vMerge w:val="continue"/>
            <w:tcBorders>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6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0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87"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cantSplit/>
          <w:trHeight w:val="702" w:hRule="atLeast"/>
        </w:trPr>
        <w:tc>
          <w:tcPr>
            <w:tcW w:w="40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37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30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5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21"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21"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6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0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1230" w:hRule="atLeast"/>
        </w:trPr>
        <w:tc>
          <w:tcPr>
            <w:tcW w:w="40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24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37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30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18"/>
                <w:szCs w:val="18"/>
              </w:rPr>
              <w:t>项目实施单位的财务和业务管理制度健全</w:t>
            </w:r>
            <w:r>
              <w:rPr>
                <w:rFonts w:hint="eastAsia" w:ascii="宋体" w:hAnsi="宋体" w:cs="宋体"/>
                <w:color w:val="000000"/>
                <w:kern w:val="0"/>
                <w:sz w:val="18"/>
                <w:szCs w:val="18"/>
                <w:lang w:val="en-US" w:eastAsia="zh-CN"/>
              </w:rPr>
              <w:t>、</w:t>
            </w:r>
            <w:r>
              <w:rPr>
                <w:rFonts w:hint="eastAsia" w:ascii="宋体" w:hAnsi="宋体" w:cs="宋体"/>
                <w:color w:val="000000"/>
                <w:kern w:val="0"/>
                <w:sz w:val="18"/>
                <w:szCs w:val="18"/>
              </w:rPr>
              <w:t>完整、合规。　</w:t>
            </w:r>
          </w:p>
        </w:tc>
        <w:tc>
          <w:tcPr>
            <w:tcW w:w="5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kern w:val="0"/>
                <w:sz w:val="20"/>
                <w:szCs w:val="20"/>
                <w:lang w:val="en-US" w:eastAsia="zh-CN"/>
              </w:rPr>
              <w:t>部分项目</w:t>
            </w:r>
            <w:r>
              <w:rPr>
                <w:rFonts w:hint="eastAsia" w:ascii="宋体" w:hAnsi="宋体" w:eastAsia="宋体" w:cs="宋体"/>
                <w:kern w:val="0"/>
                <w:sz w:val="20"/>
                <w:szCs w:val="20"/>
                <w:lang w:val="en-US" w:eastAsia="zh-CN"/>
              </w:rPr>
              <w:t>管理制度需要进一步完善。</w:t>
            </w:r>
          </w:p>
        </w:tc>
        <w:tc>
          <w:tcPr>
            <w:tcW w:w="221"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21"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0.5</w:t>
            </w:r>
            <w:r>
              <w:rPr>
                <w:rFonts w:hint="eastAsia" w:ascii="宋体" w:hAnsi="宋体" w:cs="宋体"/>
                <w:color w:val="000000"/>
                <w:kern w:val="0"/>
                <w:sz w:val="20"/>
                <w:szCs w:val="20"/>
              </w:rPr>
              <w:t>　</w:t>
            </w:r>
          </w:p>
        </w:tc>
        <w:tc>
          <w:tcPr>
            <w:tcW w:w="69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为加强财务管理、规范财务行为而制定的管理制度。</w:t>
            </w:r>
          </w:p>
        </w:tc>
        <w:tc>
          <w:tcPr>
            <w:tcW w:w="1006"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cantSplit/>
          <w:trHeight w:val="2220" w:hRule="atLeast"/>
        </w:trPr>
        <w:tc>
          <w:tcPr>
            <w:tcW w:w="408"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30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18"/>
                <w:szCs w:val="18"/>
              </w:rPr>
              <w:t>部门使用预算资金符合相关的预算财务管理制度的规定，符合相关规定的开支范围。</w:t>
            </w:r>
          </w:p>
        </w:tc>
        <w:tc>
          <w:tcPr>
            <w:tcW w:w="5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eastAsia="宋体" w:cs="宋体"/>
                <w:kern w:val="0"/>
                <w:sz w:val="20"/>
                <w:szCs w:val="20"/>
                <w:lang w:val="en-US" w:eastAsia="zh-CN"/>
              </w:rPr>
              <w:t>完成目标</w:t>
            </w:r>
            <w:r>
              <w:rPr>
                <w:rFonts w:hint="eastAsia" w:ascii="宋体" w:hAnsi="宋体" w:cs="宋体"/>
                <w:color w:val="000000"/>
                <w:kern w:val="0"/>
                <w:sz w:val="20"/>
                <w:szCs w:val="20"/>
              </w:rPr>
              <w:t>　</w:t>
            </w:r>
          </w:p>
        </w:tc>
        <w:tc>
          <w:tcPr>
            <w:tcW w:w="221"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221"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69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使用预算资金是否符合相关的预算财务管理制度的规定，是否符合相关规定的开支范围，用以反映考核</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预算资金的规范运行和安全运行情况。</w:t>
            </w:r>
          </w:p>
        </w:tc>
        <w:tc>
          <w:tcPr>
            <w:tcW w:w="1006"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cantSplit/>
          <w:trHeight w:val="410" w:hRule="atLeast"/>
        </w:trPr>
        <w:tc>
          <w:tcPr>
            <w:tcW w:w="40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7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309" w:type="pct"/>
            <w:tcBorders>
              <w:top w:val="nil"/>
              <w:left w:val="nil"/>
              <w:bottom w:val="single" w:color="auto" w:sz="4" w:space="0"/>
              <w:right w:val="single" w:color="auto" w:sz="4" w:space="0"/>
            </w:tcBorders>
            <w:noWrap w:val="0"/>
            <w:vAlign w:val="center"/>
          </w:tcPr>
          <w:p>
            <w:pPr>
              <w:widowControl/>
              <w:jc w:val="both"/>
              <w:rPr>
                <w:rFonts w:hint="eastAsia" w:ascii="宋体" w:hAnsi="宋体" w:cs="宋体"/>
                <w:color w:val="000000"/>
                <w:kern w:val="0"/>
                <w:sz w:val="20"/>
                <w:szCs w:val="20"/>
              </w:rPr>
            </w:pPr>
            <w:r>
              <w:rPr>
                <w:rFonts w:hint="eastAsia" w:ascii="宋体" w:hAnsi="宋体" w:cs="宋体"/>
                <w:color w:val="000000"/>
                <w:kern w:val="0"/>
                <w:sz w:val="18"/>
                <w:szCs w:val="18"/>
              </w:rPr>
              <w:t>基础数据信息和会计信息资料真实</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完整</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准确。</w:t>
            </w:r>
          </w:p>
        </w:tc>
        <w:tc>
          <w:tcPr>
            <w:tcW w:w="520" w:type="pct"/>
            <w:tcBorders>
              <w:top w:val="nil"/>
              <w:left w:val="nil"/>
              <w:bottom w:val="single" w:color="auto" w:sz="4" w:space="0"/>
              <w:right w:val="single" w:color="auto" w:sz="4" w:space="0"/>
            </w:tcBorders>
            <w:noWrap w:val="0"/>
            <w:vAlign w:val="center"/>
          </w:tcPr>
          <w:p>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eastAsia="宋体" w:cs="宋体"/>
                <w:kern w:val="0"/>
                <w:sz w:val="20"/>
                <w:szCs w:val="20"/>
                <w:lang w:val="en-US" w:eastAsia="zh-CN"/>
              </w:rPr>
              <w:t>完成目标</w:t>
            </w:r>
          </w:p>
        </w:tc>
        <w:tc>
          <w:tcPr>
            <w:tcW w:w="221"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21"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693"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会计基础信息情况。</w:t>
            </w:r>
          </w:p>
        </w:tc>
        <w:tc>
          <w:tcPr>
            <w:tcW w:w="1006"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cantSplit/>
          <w:trHeight w:val="2220" w:hRule="atLeast"/>
        </w:trPr>
        <w:tc>
          <w:tcPr>
            <w:tcW w:w="40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18"/>
                <w:szCs w:val="18"/>
              </w:rPr>
              <w:t>部门的资产保持安全完整，资产配置合理，资产使用和资产处理规范。</w:t>
            </w:r>
          </w:p>
        </w:tc>
        <w:tc>
          <w:tcPr>
            <w:tcW w:w="52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eastAsia="宋体" w:cs="宋体"/>
                <w:kern w:val="0"/>
                <w:sz w:val="20"/>
                <w:szCs w:val="20"/>
                <w:lang w:val="en-US" w:eastAsia="zh-CN"/>
              </w:rPr>
              <w:t>完成目标</w:t>
            </w:r>
          </w:p>
        </w:tc>
        <w:tc>
          <w:tcPr>
            <w:tcW w:w="22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2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69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的资产是否保持安全完整，资产配置是否合理，资产使用和资产处理是否规范，用以反映和考核</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资产管理的整体水平。</w:t>
            </w:r>
          </w:p>
        </w:tc>
        <w:tc>
          <w:tcPr>
            <w:tcW w:w="100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cantSplit/>
          <w:trHeight w:val="1210" w:hRule="atLeast"/>
        </w:trPr>
        <w:tc>
          <w:tcPr>
            <w:tcW w:w="40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37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130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lang w:val="en-US" w:eastAsia="zh-CN"/>
              </w:rPr>
              <w:t>应</w:t>
            </w:r>
            <w:r>
              <w:rPr>
                <w:rFonts w:hint="eastAsia" w:ascii="宋体" w:hAnsi="宋体" w:cs="宋体"/>
                <w:color w:val="000000"/>
                <w:kern w:val="0"/>
                <w:sz w:val="18"/>
                <w:szCs w:val="18"/>
              </w:rPr>
              <w:t>及时对绩效信息进行汇总分析整理；对绩效目标偏离情况及时进行矫正。</w:t>
            </w:r>
          </w:p>
        </w:tc>
        <w:tc>
          <w:tcPr>
            <w:tcW w:w="520"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eastAsia="宋体" w:cs="宋体"/>
                <w:kern w:val="0"/>
                <w:sz w:val="20"/>
                <w:szCs w:val="20"/>
                <w:lang w:val="en-US" w:eastAsia="zh-CN"/>
              </w:rPr>
              <w:t>完成目标</w:t>
            </w:r>
          </w:p>
        </w:tc>
        <w:tc>
          <w:tcPr>
            <w:tcW w:w="221"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21"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69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在绩效管理信息的汇总和应用情况。</w:t>
            </w:r>
          </w:p>
        </w:tc>
        <w:tc>
          <w:tcPr>
            <w:tcW w:w="1006"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是否及时对绩效信息进行汇总分析整理；②</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是否对绩效目标偏离情况及时进行矫正。每有一项不合格扣2分。</w:t>
            </w:r>
          </w:p>
        </w:tc>
      </w:tr>
      <w:tr>
        <w:tblPrEx>
          <w:tblCellMar>
            <w:top w:w="0" w:type="dxa"/>
            <w:left w:w="108" w:type="dxa"/>
            <w:bottom w:w="0" w:type="dxa"/>
            <w:right w:w="108" w:type="dxa"/>
          </w:tblCellMar>
        </w:tblPrEx>
        <w:trPr>
          <w:cantSplit/>
          <w:trHeight w:val="394" w:hRule="atLeast"/>
        </w:trPr>
        <w:tc>
          <w:tcPr>
            <w:tcW w:w="40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168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22</w:t>
            </w:r>
            <w:r>
              <w:rPr>
                <w:rFonts w:hint="eastAsia" w:ascii="宋体" w:hAnsi="宋体" w:cs="宋体"/>
                <w:color w:val="000000"/>
                <w:kern w:val="0"/>
                <w:sz w:val="20"/>
                <w:szCs w:val="20"/>
              </w:rPr>
              <w:t>年</w:t>
            </w:r>
          </w:p>
        </w:tc>
        <w:tc>
          <w:tcPr>
            <w:tcW w:w="5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221"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21"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06"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2229" w:hRule="atLeast"/>
        </w:trPr>
        <w:tc>
          <w:tcPr>
            <w:tcW w:w="40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680" w:type="pct"/>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Arial" w:hAnsi="Arial" w:eastAsia="等线" w:cs="Arial"/>
                <w:i w:val="0"/>
                <w:iCs w:val="0"/>
                <w:color w:val="000000"/>
                <w:kern w:val="2"/>
                <w:sz w:val="20"/>
                <w:szCs w:val="20"/>
                <w:u w:val="none"/>
                <w:lang w:val="en-US" w:eastAsia="zh-CN" w:bidi="ar-SA"/>
              </w:rPr>
            </w:pPr>
            <w:r>
              <w:rPr>
                <w:rFonts w:hint="eastAsia" w:ascii="宋体" w:hAnsi="宋体" w:eastAsia="宋体" w:cs="宋体"/>
                <w:kern w:val="0"/>
                <w:sz w:val="20"/>
                <w:szCs w:val="20"/>
                <w:lang w:val="en-US" w:eastAsia="zh-CN"/>
              </w:rPr>
              <w:t>4.17%</w:t>
            </w:r>
          </w:p>
        </w:tc>
        <w:tc>
          <w:tcPr>
            <w:tcW w:w="520"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default" w:ascii="宋体" w:hAnsi="宋体" w:eastAsia="宋体" w:cs="宋体"/>
                <w:kern w:val="0"/>
                <w:sz w:val="20"/>
                <w:szCs w:val="20"/>
                <w:lang w:val="en-US" w:eastAsia="zh-CN"/>
              </w:rPr>
              <w:t>4.27%</w:t>
            </w:r>
          </w:p>
        </w:tc>
        <w:tc>
          <w:tcPr>
            <w:tcW w:w="221"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21"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69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w:t>
            </w:r>
            <w:r>
              <w:rPr>
                <w:rFonts w:hint="eastAsia" w:ascii="宋体" w:hAnsi="宋体" w:cs="宋体"/>
                <w:color w:val="000000"/>
                <w:kern w:val="0"/>
                <w:sz w:val="18"/>
                <w:szCs w:val="18"/>
                <w:lang w:eastAsia="zh-CN"/>
              </w:rPr>
              <w:t>部门</w:t>
            </w:r>
            <w:r>
              <w:rPr>
                <w:rFonts w:hint="eastAsia" w:ascii="宋体" w:hAnsi="宋体" w:cs="宋体"/>
                <w:color w:val="000000"/>
                <w:kern w:val="0"/>
                <w:sz w:val="18"/>
                <w:szCs w:val="18"/>
              </w:rPr>
              <w:t>本年度的结转资金与结余资金之和。</w:t>
            </w:r>
          </w:p>
        </w:tc>
        <w:tc>
          <w:tcPr>
            <w:tcW w:w="1006"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cantSplit/>
          <w:trHeight w:val="981" w:hRule="atLeast"/>
        </w:trPr>
        <w:tc>
          <w:tcPr>
            <w:tcW w:w="40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680"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520" w:type="pc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2"/>
                <w:sz w:val="20"/>
                <w:szCs w:val="20"/>
                <w:u w:val="none"/>
                <w:lang w:val="en-US" w:eastAsia="zh-CN" w:bidi="ar-SA"/>
              </w:rPr>
            </w:pPr>
            <w:r>
              <w:rPr>
                <w:rFonts w:hint="eastAsia" w:asciiTheme="minorEastAsia" w:hAnsiTheme="minorEastAsia" w:eastAsiaTheme="minorEastAsia" w:cstheme="minorEastAsia"/>
                <w:i w:val="0"/>
                <w:iCs w:val="0"/>
                <w:color w:val="000000"/>
                <w:kern w:val="0"/>
                <w:sz w:val="20"/>
                <w:szCs w:val="20"/>
                <w:u w:val="none"/>
                <w:lang w:val="en-US" w:eastAsia="zh-CN" w:bidi="ar"/>
              </w:rPr>
              <w:t>-4.33%</w:t>
            </w:r>
          </w:p>
        </w:tc>
        <w:tc>
          <w:tcPr>
            <w:tcW w:w="221"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21"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693"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006"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cantSplit/>
          <w:trHeight w:val="484" w:hRule="atLeast"/>
        </w:trPr>
        <w:tc>
          <w:tcPr>
            <w:tcW w:w="2855"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221"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221" w:type="pct"/>
            <w:tcBorders>
              <w:top w:val="nil"/>
              <w:left w:val="nil"/>
              <w:bottom w:val="single" w:color="auto" w:sz="4" w:space="0"/>
              <w:right w:val="nil"/>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90.5</w:t>
            </w:r>
          </w:p>
        </w:tc>
        <w:tc>
          <w:tcPr>
            <w:tcW w:w="1700"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sectPr>
      <w:footerReference r:id="rId3"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yMWY5YWRkMzczNjQ0NmQ0ZDI5MTU3MThiYWFmMWEifQ=="/>
  </w:docVars>
  <w:rsids>
    <w:rsidRoot w:val="F77F09F4"/>
    <w:rsid w:val="00A041A1"/>
    <w:rsid w:val="01795405"/>
    <w:rsid w:val="06703840"/>
    <w:rsid w:val="06F25AAD"/>
    <w:rsid w:val="07FE66CB"/>
    <w:rsid w:val="093F6F9B"/>
    <w:rsid w:val="09B90AFC"/>
    <w:rsid w:val="0AEE2A27"/>
    <w:rsid w:val="0AFA13CC"/>
    <w:rsid w:val="0D181FDD"/>
    <w:rsid w:val="0DEF6259"/>
    <w:rsid w:val="0ED32FD6"/>
    <w:rsid w:val="0EEE2EF9"/>
    <w:rsid w:val="0F845A3E"/>
    <w:rsid w:val="11032E35"/>
    <w:rsid w:val="137668AA"/>
    <w:rsid w:val="139879D4"/>
    <w:rsid w:val="14353475"/>
    <w:rsid w:val="14871E7B"/>
    <w:rsid w:val="154F0566"/>
    <w:rsid w:val="15D9474F"/>
    <w:rsid w:val="18184E35"/>
    <w:rsid w:val="1B7927E1"/>
    <w:rsid w:val="1E20754D"/>
    <w:rsid w:val="1EC51899"/>
    <w:rsid w:val="20CD4D49"/>
    <w:rsid w:val="22237002"/>
    <w:rsid w:val="22284619"/>
    <w:rsid w:val="2319729F"/>
    <w:rsid w:val="234E00AF"/>
    <w:rsid w:val="24561DB9"/>
    <w:rsid w:val="27781BD7"/>
    <w:rsid w:val="294D5A2E"/>
    <w:rsid w:val="29583A35"/>
    <w:rsid w:val="29B42C36"/>
    <w:rsid w:val="29BA5EFC"/>
    <w:rsid w:val="2BC453B2"/>
    <w:rsid w:val="2D727090"/>
    <w:rsid w:val="2D842792"/>
    <w:rsid w:val="2DDD3A65"/>
    <w:rsid w:val="3066076F"/>
    <w:rsid w:val="3071362F"/>
    <w:rsid w:val="30D616E4"/>
    <w:rsid w:val="31AF6465"/>
    <w:rsid w:val="31D8182F"/>
    <w:rsid w:val="324043DE"/>
    <w:rsid w:val="32FB5F17"/>
    <w:rsid w:val="34E00D83"/>
    <w:rsid w:val="360B1E2F"/>
    <w:rsid w:val="362D323C"/>
    <w:rsid w:val="37152F66"/>
    <w:rsid w:val="37173543"/>
    <w:rsid w:val="37691503"/>
    <w:rsid w:val="396D70FD"/>
    <w:rsid w:val="3CDC5A84"/>
    <w:rsid w:val="3E7456E1"/>
    <w:rsid w:val="3FF76880"/>
    <w:rsid w:val="41336552"/>
    <w:rsid w:val="43D604A5"/>
    <w:rsid w:val="442C7B41"/>
    <w:rsid w:val="442F508C"/>
    <w:rsid w:val="46CE77DF"/>
    <w:rsid w:val="46F56910"/>
    <w:rsid w:val="48711FC6"/>
    <w:rsid w:val="48B87202"/>
    <w:rsid w:val="4AFA3E07"/>
    <w:rsid w:val="4E964534"/>
    <w:rsid w:val="5302663C"/>
    <w:rsid w:val="5314568C"/>
    <w:rsid w:val="53B733E5"/>
    <w:rsid w:val="53C33AF9"/>
    <w:rsid w:val="53F8359B"/>
    <w:rsid w:val="555D3FFE"/>
    <w:rsid w:val="55FB7373"/>
    <w:rsid w:val="5730129E"/>
    <w:rsid w:val="577E025B"/>
    <w:rsid w:val="5875340D"/>
    <w:rsid w:val="5A851901"/>
    <w:rsid w:val="5AA44BA2"/>
    <w:rsid w:val="5E0F43CC"/>
    <w:rsid w:val="5F214595"/>
    <w:rsid w:val="5F400D1B"/>
    <w:rsid w:val="5FB4118B"/>
    <w:rsid w:val="60CF38D6"/>
    <w:rsid w:val="60FA6BA5"/>
    <w:rsid w:val="62D6719E"/>
    <w:rsid w:val="64841683"/>
    <w:rsid w:val="64A5151D"/>
    <w:rsid w:val="661A6E63"/>
    <w:rsid w:val="66E27360"/>
    <w:rsid w:val="67B7688E"/>
    <w:rsid w:val="685B7298"/>
    <w:rsid w:val="697D4539"/>
    <w:rsid w:val="69AF24F6"/>
    <w:rsid w:val="69BE3361"/>
    <w:rsid w:val="6AB9362D"/>
    <w:rsid w:val="6D8D654E"/>
    <w:rsid w:val="6E6C6C08"/>
    <w:rsid w:val="6E7D2BC3"/>
    <w:rsid w:val="6E87093D"/>
    <w:rsid w:val="6F9957DB"/>
    <w:rsid w:val="727F7118"/>
    <w:rsid w:val="739C7FF2"/>
    <w:rsid w:val="73CD7CF3"/>
    <w:rsid w:val="7481786C"/>
    <w:rsid w:val="786B1CDE"/>
    <w:rsid w:val="7879089F"/>
    <w:rsid w:val="7895434C"/>
    <w:rsid w:val="79FC52E4"/>
    <w:rsid w:val="7A990D85"/>
    <w:rsid w:val="7AB7FF50"/>
    <w:rsid w:val="7B566676"/>
    <w:rsid w:val="7BFEB0DB"/>
    <w:rsid w:val="7C9639C0"/>
    <w:rsid w:val="7CDD764F"/>
    <w:rsid w:val="7DEE13E8"/>
    <w:rsid w:val="CEFD3F3D"/>
    <w:rsid w:val="EA3F77F2"/>
    <w:rsid w:val="EEFE5989"/>
    <w:rsid w:val="EFCF3EAE"/>
    <w:rsid w:val="EFEF9281"/>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Plain Text"/>
    <w:basedOn w:val="1"/>
    <w:next w:val="1"/>
    <w:unhideWhenUsed/>
    <w:qFormat/>
    <w:uiPriority w:val="99"/>
    <w:pPr>
      <w:widowControl w:val="0"/>
      <w:spacing w:line="600" w:lineRule="exact"/>
      <w:ind w:firstLine="880" w:firstLineChars="200"/>
    </w:pPr>
    <w:rPr>
      <w:rFonts w:ascii="宋体" w:hAnsi="Courier New" w:eastAsia="仿宋_GB2312" w:cs="黑体"/>
      <w:sz w:val="32"/>
      <w:szCs w:val="21"/>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paragraph" w:customStyle="1" w:styleId="11">
    <w:name w:val="列出段落1"/>
    <w:basedOn w:val="1"/>
    <w:qFormat/>
    <w:uiPriority w:val="34"/>
    <w:pPr>
      <w:ind w:firstLine="420" w:firstLineChars="200"/>
    </w:pPr>
    <w:rPr>
      <w:rFonts w:ascii="Calibri" w:hAnsi="Calibri" w:cs="黑体"/>
      <w:szCs w:val="22"/>
    </w:rPr>
  </w:style>
  <w:style w:type="character" w:customStyle="1" w:styleId="12">
    <w:name w:val="font1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10456</Words>
  <Characters>11641</Characters>
  <Lines>0</Lines>
  <Paragraphs>0</Paragraphs>
  <TotalTime>1</TotalTime>
  <ScaleCrop>false</ScaleCrop>
  <LinksUpToDate>false</LinksUpToDate>
  <CharactersWithSpaces>11841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2022-03-10T11:16:00Z</dcterms:created>
  <dc:creator>user</dc:creator>
  <cp:lastModifiedBy>ZqhnkwdJ</cp:lastModifiedBy>
  <cp:lastPrinted>2022-03-24T18:01:00Z</cp:lastPrinted>
  <dcterms:modified xsi:type="dcterms:W3CDTF">2024-05-20T08:43:09Z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470402CE23DD4BE0A1EC7B0292971D60_13</vt:lpwstr>
  </property>
</Properties>
</file>