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简体" w:eastAsia="方正小标宋简体"/>
          <w:sz w:val="36"/>
          <w:szCs w:val="36"/>
          <w:lang w:eastAsia="zh-CN"/>
        </w:rPr>
      </w:pPr>
    </w:p>
    <w:p>
      <w:pPr>
        <w:spacing w:line="560" w:lineRule="exact"/>
        <w:jc w:val="center"/>
        <w:outlineLvl w:val="0"/>
        <w:rPr>
          <w:rFonts w:hint="eastAsia" w:ascii="方正小标宋简体" w:eastAsia="方正小标宋简体"/>
          <w:sz w:val="36"/>
          <w:szCs w:val="36"/>
        </w:rPr>
      </w:pPr>
      <w:r>
        <w:rPr>
          <w:rFonts w:hint="eastAsia" w:ascii="方正小标宋简体" w:eastAsia="方正小标宋简体"/>
          <w:sz w:val="36"/>
          <w:szCs w:val="36"/>
          <w:lang w:eastAsia="zh-CN"/>
        </w:rPr>
        <w:t>首都全民义务植树补助</w:t>
      </w:r>
      <w:r>
        <w:rPr>
          <w:rFonts w:hint="eastAsia" w:ascii="方正小标宋简体" w:eastAsia="方正小标宋简体"/>
          <w:sz w:val="36"/>
          <w:szCs w:val="36"/>
        </w:rPr>
        <w:t>项目支出绩效评价报告</w:t>
      </w:r>
    </w:p>
    <w:p>
      <w:pPr>
        <w:jc w:val="center"/>
        <w:rPr>
          <w:rFonts w:hint="eastAsia" w:ascii="仿宋_GB2312" w:eastAsia="仿宋_GB2312"/>
          <w:sz w:val="32"/>
          <w:szCs w:val="32"/>
        </w:rPr>
      </w:pP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360" w:lineRule="auto"/>
        <w:ind w:firstLine="560" w:firstLineChars="200"/>
        <w:outlineLvl w:val="2"/>
        <w:rPr>
          <w:rFonts w:hint="eastAsia" w:ascii="宋体" w:hAnsi="宋体" w:cs="仿宋_GB2312"/>
          <w:bCs/>
          <w:color w:val="000000"/>
          <w:sz w:val="28"/>
          <w:szCs w:val="28"/>
        </w:rPr>
      </w:pPr>
      <w:r>
        <w:rPr>
          <w:rFonts w:hint="eastAsia" w:ascii="宋体" w:hAnsi="宋体" w:cs="仿宋_GB2312"/>
          <w:bCs/>
          <w:color w:val="000000"/>
          <w:sz w:val="28"/>
          <w:szCs w:val="28"/>
        </w:rPr>
        <w:t>1.项目立项背景</w:t>
      </w:r>
    </w:p>
    <w:p>
      <w:pPr>
        <w:spacing w:line="360" w:lineRule="auto"/>
        <w:ind w:firstLine="560" w:firstLineChars="200"/>
        <w:outlineLvl w:val="2"/>
        <w:rPr>
          <w:rFonts w:hint="eastAsia" w:ascii="宋体" w:hAnsi="宋体"/>
          <w:sz w:val="28"/>
          <w:szCs w:val="28"/>
          <w:lang w:val="en-US" w:eastAsia="zh-CN"/>
        </w:rPr>
      </w:pPr>
      <w:r>
        <w:rPr>
          <w:rFonts w:hint="eastAsia" w:ascii="宋体" w:hAnsi="宋体"/>
          <w:sz w:val="28"/>
          <w:szCs w:val="28"/>
        </w:rPr>
        <w:t>党的十八大以来，以习近平同志为核心的党中央高度重视全民义务植树工作，习近平总书记每年都会身体力行，拿起铁锹与群众一起参与义务植树活动，习近平总书记强调当前和今后一个时期，绿色发展是我国发展的重大战略。开展全民义务植树是推进国土绿化、建设美丽中国的生动实践。各地区各部门都要结合实际，组织开展义务植树。要创新组织方式、丰富尽责形式，为广大公众参与义务植树提供更多便利，实现“全年尽责、多样尽责、方便尽责”。</w:t>
      </w:r>
      <w:r>
        <w:rPr>
          <w:rFonts w:hint="eastAsia" w:ascii="宋体" w:hAnsi="宋体"/>
          <w:sz w:val="28"/>
          <w:szCs w:val="28"/>
          <w:lang w:val="en-US" w:eastAsia="zh-CN"/>
        </w:rPr>
        <w:t xml:space="preserve"> </w:t>
      </w:r>
    </w:p>
    <w:p>
      <w:pPr>
        <w:spacing w:line="360" w:lineRule="auto"/>
        <w:ind w:firstLine="560" w:firstLineChars="200"/>
        <w:outlineLvl w:val="2"/>
        <w:rPr>
          <w:rFonts w:hint="eastAsia" w:ascii="宋体" w:hAnsi="宋体"/>
          <w:sz w:val="28"/>
          <w:szCs w:val="28"/>
        </w:rPr>
      </w:pPr>
      <w:r>
        <w:rPr>
          <w:rFonts w:hint="eastAsia" w:ascii="宋体" w:hAnsi="宋体"/>
          <w:sz w:val="28"/>
          <w:szCs w:val="28"/>
          <w:lang w:val="en-US" w:eastAsia="zh-CN"/>
        </w:rPr>
        <w:t xml:space="preserve"> </w:t>
      </w:r>
      <w:r>
        <w:rPr>
          <w:rFonts w:hint="eastAsia" w:ascii="宋体" w:hAnsi="宋体"/>
          <w:sz w:val="28"/>
          <w:szCs w:val="28"/>
        </w:rPr>
        <w:t>习近平总书记在2016年1月26日召开的中央财经领导小组会议上就着力开展森林城市建设提出了明确要求，这标志着森林城市建设已经上升为国家战略。北京市委、市政府明确提出建设森林城市的目标，2017年以来蔡奇书记和陈吉宁市长多次对森林城市建设提出具体要求、作出重要批示。让广大市民更加了解森林城市的内涵，体会到森林城市建设的积极成果，营造浓厚的植绿、护绿、爱绿、兴绿的社会氛围。</w:t>
      </w:r>
    </w:p>
    <w:p>
      <w:pPr>
        <w:spacing w:line="360" w:lineRule="auto"/>
        <w:ind w:firstLine="560" w:firstLineChars="200"/>
        <w:outlineLvl w:val="2"/>
        <w:rPr>
          <w:rFonts w:hint="eastAsia" w:ascii="宋体" w:hAnsi="宋体"/>
          <w:sz w:val="28"/>
          <w:szCs w:val="28"/>
          <w:highlight w:val="none"/>
        </w:rPr>
      </w:pPr>
      <w:r>
        <w:rPr>
          <w:rFonts w:hint="eastAsia" w:ascii="宋体" w:hAnsi="宋体"/>
          <w:sz w:val="28"/>
          <w:szCs w:val="28"/>
          <w:highlight w:val="none"/>
        </w:rPr>
        <w:t>《北京城市总体规划（2016-2035）》指出，“推进新型农村社区建设，打造美丽乡村”</w:t>
      </w:r>
      <w:r>
        <w:rPr>
          <w:rFonts w:hint="eastAsia" w:ascii="宋体" w:hAnsi="宋体"/>
          <w:sz w:val="28"/>
          <w:szCs w:val="28"/>
          <w:highlight w:val="none"/>
          <w:lang w:eastAsia="zh-CN"/>
        </w:rPr>
        <w:t>，</w:t>
      </w:r>
      <w:r>
        <w:rPr>
          <w:rFonts w:hint="eastAsia" w:ascii="宋体" w:hAnsi="宋体"/>
          <w:sz w:val="28"/>
          <w:szCs w:val="28"/>
          <w:highlight w:val="none"/>
        </w:rPr>
        <w:t>城市服务与田园风光内外兼备，建设绿色低碳田园美、生态宜居村庄美、健康舒适生活美、和谐淳朴人文美的美丽乡村和幸福家园。</w:t>
      </w:r>
    </w:p>
    <w:p>
      <w:pPr>
        <w:spacing w:line="360" w:lineRule="auto"/>
        <w:ind w:firstLine="560" w:firstLineChars="200"/>
        <w:outlineLvl w:val="2"/>
        <w:rPr>
          <w:rFonts w:hint="eastAsia" w:ascii="宋体" w:hAnsi="宋体" w:cs="仿宋_GB2312"/>
          <w:bCs/>
          <w:color w:val="000000"/>
          <w:sz w:val="28"/>
          <w:szCs w:val="28"/>
        </w:rPr>
      </w:pPr>
      <w:r>
        <w:rPr>
          <w:rFonts w:hint="eastAsia" w:ascii="宋体" w:hAnsi="宋体" w:cs="仿宋_GB2312"/>
          <w:bCs/>
          <w:color w:val="000000"/>
          <w:sz w:val="28"/>
          <w:szCs w:val="28"/>
          <w:lang w:val="en-US" w:eastAsia="zh-CN"/>
        </w:rPr>
        <w:t>2.</w:t>
      </w:r>
      <w:r>
        <w:rPr>
          <w:rFonts w:hint="eastAsia" w:ascii="宋体" w:hAnsi="宋体" w:cs="仿宋_GB2312"/>
          <w:bCs/>
          <w:color w:val="000000"/>
          <w:sz w:val="28"/>
          <w:szCs w:val="28"/>
        </w:rPr>
        <w:t>主要内容及实施情况</w:t>
      </w:r>
    </w:p>
    <w:p>
      <w:pPr>
        <w:spacing w:line="360" w:lineRule="auto"/>
        <w:ind w:firstLine="560" w:firstLineChars="200"/>
        <w:outlineLvl w:val="2"/>
        <w:rPr>
          <w:rFonts w:hint="eastAsia" w:ascii="宋体" w:hAnsi="宋体"/>
          <w:sz w:val="28"/>
          <w:szCs w:val="28"/>
        </w:rPr>
      </w:pPr>
      <w:r>
        <w:rPr>
          <w:rFonts w:hint="eastAsia" w:ascii="宋体" w:hAnsi="宋体"/>
          <w:sz w:val="28"/>
          <w:szCs w:val="28"/>
        </w:rPr>
        <w:t>（1）国市级基地运维和活动补助项目</w:t>
      </w:r>
    </w:p>
    <w:p>
      <w:pPr>
        <w:pStyle w:val="7"/>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对</w:t>
      </w:r>
      <w:r>
        <w:rPr>
          <w:rFonts w:hint="eastAsia" w:hAnsi="宋体" w:eastAsia="宋体" w:cs="Times New Roman"/>
          <w:kern w:val="2"/>
          <w:sz w:val="28"/>
          <w:szCs w:val="28"/>
          <w:lang w:val="en-US" w:eastAsia="zh-CN" w:bidi="ar-SA"/>
        </w:rPr>
        <w:t>6</w:t>
      </w:r>
      <w:r>
        <w:rPr>
          <w:rFonts w:hint="eastAsia" w:ascii="宋体" w:hAnsi="宋体" w:eastAsia="宋体" w:cs="Times New Roman"/>
          <w:kern w:val="2"/>
          <w:sz w:val="28"/>
          <w:szCs w:val="28"/>
          <w:lang w:val="en-US" w:eastAsia="zh-CN" w:bidi="ar-SA"/>
        </w:rPr>
        <w:t>个国家级“互联网+全民义务植树”基地进行</w:t>
      </w:r>
      <w:r>
        <w:rPr>
          <w:rFonts w:hint="eastAsia" w:hAnsi="宋体" w:eastAsia="宋体" w:cs="Times New Roman"/>
          <w:kern w:val="2"/>
          <w:sz w:val="28"/>
          <w:szCs w:val="28"/>
          <w:lang w:val="en-US" w:eastAsia="zh-CN" w:bidi="ar-SA"/>
        </w:rPr>
        <w:t>补助，</w:t>
      </w:r>
      <w:r>
        <w:rPr>
          <w:rFonts w:hint="eastAsia" w:ascii="宋体" w:hAnsi="宋体" w:eastAsia="宋体" w:cs="Times New Roman"/>
          <w:kern w:val="2"/>
          <w:sz w:val="28"/>
          <w:szCs w:val="28"/>
          <w:lang w:val="en-US" w:eastAsia="zh-CN" w:bidi="ar-SA"/>
        </w:rPr>
        <w:t>完成2023全民义务植树工作重要保障。各基地全年通过开展春植（造林绿化）夏认（认种认养）秋抚（抚育管护）冬防（防火防寒防病虫害）四季主题鲜明的首都义务植树尽责品牌活动，充分调动起首都各界群众参与义务植树积极性，不断推进首都绿色生态文明建设发展。</w:t>
      </w:r>
    </w:p>
    <w:p>
      <w:pPr>
        <w:spacing w:line="360" w:lineRule="auto"/>
        <w:ind w:firstLine="560" w:firstLineChars="200"/>
        <w:outlineLvl w:val="2"/>
        <w:rPr>
          <w:rFonts w:hint="eastAsia" w:ascii="宋体" w:hAnsi="宋体"/>
          <w:sz w:val="28"/>
          <w:szCs w:val="28"/>
        </w:rPr>
      </w:pPr>
      <w:r>
        <w:rPr>
          <w:rFonts w:hint="eastAsia" w:ascii="宋体" w:hAnsi="宋体"/>
          <w:sz w:val="28"/>
          <w:szCs w:val="28"/>
        </w:rPr>
        <w:t>（2）森林城市体验中心建设补助项目</w:t>
      </w:r>
    </w:p>
    <w:p>
      <w:pPr>
        <w:spacing w:line="360" w:lineRule="auto"/>
        <w:ind w:firstLine="560" w:firstLineChars="200"/>
        <w:outlineLvl w:val="2"/>
        <w:rPr>
          <w:rFonts w:hint="eastAsia" w:ascii="宋体" w:hAnsi="宋体"/>
          <w:sz w:val="28"/>
          <w:szCs w:val="28"/>
        </w:rPr>
      </w:pPr>
      <w:r>
        <w:rPr>
          <w:rFonts w:hint="eastAsia" w:ascii="宋体" w:hAnsi="宋体"/>
          <w:sz w:val="28"/>
          <w:szCs w:val="28"/>
        </w:rPr>
        <w:t>对</w:t>
      </w:r>
      <w:r>
        <w:rPr>
          <w:rFonts w:hint="eastAsia" w:ascii="宋体" w:hAnsi="宋体"/>
          <w:sz w:val="28"/>
          <w:szCs w:val="28"/>
          <w:lang w:val="en-US" w:eastAsia="zh-CN"/>
        </w:rPr>
        <w:t>4处</w:t>
      </w:r>
      <w:r>
        <w:rPr>
          <w:rFonts w:hint="eastAsia" w:ascii="宋体" w:hAnsi="宋体"/>
          <w:sz w:val="28"/>
          <w:szCs w:val="28"/>
        </w:rPr>
        <w:t>森林城市体验中心的室内主体场景布置、室外景观环境布置、园艺植物素材、配套设施建设，以及开展森林城市体验相关活动进行补助。</w:t>
      </w:r>
    </w:p>
    <w:p>
      <w:pPr>
        <w:spacing w:line="360" w:lineRule="auto"/>
        <w:ind w:firstLine="560" w:firstLineChars="200"/>
        <w:outlineLvl w:val="2"/>
        <w:rPr>
          <w:rFonts w:hint="eastAsia" w:ascii="宋体" w:hAnsi="宋体"/>
          <w:sz w:val="28"/>
          <w:szCs w:val="28"/>
        </w:rPr>
      </w:pPr>
      <w:r>
        <w:rPr>
          <w:rFonts w:hint="eastAsia" w:ascii="宋体" w:hAnsi="宋体"/>
          <w:sz w:val="28"/>
          <w:szCs w:val="28"/>
        </w:rPr>
        <w:t>（</w:t>
      </w:r>
      <w:r>
        <w:rPr>
          <w:rFonts w:hint="eastAsia" w:ascii="宋体" w:hAnsi="宋体"/>
          <w:sz w:val="28"/>
          <w:szCs w:val="28"/>
          <w:lang w:val="en-US" w:eastAsia="zh-CN"/>
        </w:rPr>
        <w:t>3</w:t>
      </w:r>
      <w:r>
        <w:rPr>
          <w:rFonts w:hint="eastAsia" w:ascii="宋体" w:hAnsi="宋体"/>
          <w:sz w:val="28"/>
          <w:szCs w:val="28"/>
        </w:rPr>
        <w:t>）市花月季乡土植物进社区进村庄项目</w:t>
      </w:r>
    </w:p>
    <w:p>
      <w:pPr>
        <w:spacing w:line="360" w:lineRule="auto"/>
        <w:ind w:firstLine="560" w:firstLineChars="200"/>
        <w:outlineLvl w:val="2"/>
        <w:rPr>
          <w:rFonts w:hint="eastAsia" w:ascii="宋体" w:hAnsi="宋体"/>
          <w:sz w:val="28"/>
          <w:szCs w:val="28"/>
        </w:rPr>
      </w:pPr>
      <w:r>
        <w:rPr>
          <w:rFonts w:hint="eastAsia" w:ascii="宋体" w:hAnsi="宋体"/>
          <w:sz w:val="28"/>
          <w:szCs w:val="28"/>
        </w:rPr>
        <w:t>对拟创建花园式社区和首都森林村庄的单位补助市花月季和乡土植物,进一步提高绿化美化水平，助力社区建设乡村振兴。</w:t>
      </w:r>
    </w:p>
    <w:p>
      <w:pPr>
        <w:spacing w:line="360" w:lineRule="auto"/>
        <w:ind w:firstLine="560" w:firstLineChars="200"/>
        <w:outlineLvl w:val="2"/>
        <w:rPr>
          <w:rFonts w:hint="eastAsia" w:ascii="宋体" w:hAnsi="宋体" w:cs="仿宋_GB2312"/>
          <w:bCs/>
          <w:color w:val="000000"/>
          <w:sz w:val="28"/>
          <w:szCs w:val="28"/>
        </w:rPr>
      </w:pPr>
      <w:r>
        <w:rPr>
          <w:rFonts w:hint="eastAsia" w:ascii="宋体" w:hAnsi="宋体" w:cs="仿宋_GB2312"/>
          <w:bCs/>
          <w:color w:val="000000"/>
          <w:sz w:val="28"/>
          <w:szCs w:val="28"/>
          <w:lang w:val="en-US" w:eastAsia="zh-CN"/>
        </w:rPr>
        <w:t>3.</w:t>
      </w:r>
      <w:r>
        <w:rPr>
          <w:rFonts w:hint="eastAsia" w:ascii="宋体" w:hAnsi="宋体" w:cs="仿宋_GB2312"/>
          <w:bCs/>
          <w:color w:val="000000"/>
          <w:sz w:val="28"/>
          <w:szCs w:val="28"/>
        </w:rPr>
        <w:t>资金投入和使用情况</w:t>
      </w:r>
    </w:p>
    <w:p>
      <w:pPr>
        <w:spacing w:line="360" w:lineRule="auto"/>
        <w:ind w:firstLine="560" w:firstLineChars="200"/>
        <w:rPr>
          <w:rFonts w:hint="eastAsia" w:ascii="宋体" w:hAnsi="宋体"/>
          <w:sz w:val="28"/>
          <w:szCs w:val="28"/>
          <w:highlight w:val="none"/>
          <w:lang w:val="en-US" w:eastAsia="zh-CN"/>
        </w:rPr>
      </w:pPr>
      <w:r>
        <w:rPr>
          <w:rFonts w:hint="eastAsia" w:ascii="宋体" w:hAnsi="宋体"/>
          <w:sz w:val="28"/>
          <w:szCs w:val="28"/>
          <w:lang w:val="en-US" w:eastAsia="zh-CN"/>
        </w:rPr>
        <w:t>根据《北京市财政局关于批复首都绿化委员会办公室2023年预</w:t>
      </w:r>
      <w:r>
        <w:rPr>
          <w:rFonts w:hint="eastAsia" w:ascii="宋体" w:hAnsi="宋体"/>
          <w:sz w:val="28"/>
          <w:szCs w:val="28"/>
          <w:highlight w:val="none"/>
          <w:lang w:val="en-US" w:eastAsia="zh-CN"/>
        </w:rPr>
        <w:t>算的函》（京财资环指〔2023〕0052号），项目</w:t>
      </w:r>
      <w:r>
        <w:rPr>
          <w:rFonts w:hint="eastAsia" w:ascii="宋体" w:hAnsi="宋体"/>
          <w:sz w:val="28"/>
          <w:szCs w:val="28"/>
          <w:lang w:val="en-US" w:eastAsia="zh-CN"/>
        </w:rPr>
        <w:t>预算金额1,100.00万元，实际支出金额1,094.89万元</w:t>
      </w:r>
      <w:r>
        <w:rPr>
          <w:rFonts w:hint="eastAsia" w:ascii="宋体" w:hAnsi="宋体"/>
          <w:sz w:val="28"/>
          <w:szCs w:val="28"/>
          <w:highlight w:val="none"/>
          <w:lang w:val="en-US" w:eastAsia="zh-CN"/>
        </w:rPr>
        <w:t>，节约资金5.11万元，项目资金全部用于首都全民义务植树补助项目，预算执行率99.54%。</w:t>
      </w:r>
    </w:p>
    <w:p>
      <w:pPr>
        <w:pStyle w:val="2"/>
        <w:rPr>
          <w:rFonts w:hint="default"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其中</w:t>
      </w:r>
      <w:r>
        <w:rPr>
          <w:rFonts w:hint="eastAsia" w:ascii="宋体" w:hAnsi="宋体" w:cs="Times New Roman"/>
          <w:kern w:val="2"/>
          <w:sz w:val="28"/>
          <w:szCs w:val="28"/>
          <w:lang w:val="en-US" w:eastAsia="zh-CN" w:bidi="ar-SA"/>
        </w:rPr>
        <w:t>6个</w:t>
      </w:r>
      <w:r>
        <w:rPr>
          <w:rFonts w:hint="eastAsia" w:ascii="宋体" w:hAnsi="宋体" w:eastAsia="宋体" w:cs="Times New Roman"/>
          <w:kern w:val="2"/>
          <w:sz w:val="28"/>
          <w:szCs w:val="28"/>
          <w:lang w:val="en-US" w:eastAsia="zh-CN" w:bidi="ar-SA"/>
        </w:rPr>
        <w:t>国市级基地运维和活动补助300.00万元，标准为50.00万元/个</w:t>
      </w:r>
      <w:r>
        <w:rPr>
          <w:rFonts w:hint="eastAsia" w:ascii="宋体" w:hAnsi="宋体" w:cs="Times New Roman"/>
          <w:kern w:val="2"/>
          <w:sz w:val="28"/>
          <w:szCs w:val="28"/>
          <w:lang w:val="en-US" w:eastAsia="zh-CN" w:bidi="ar-SA"/>
        </w:rPr>
        <w:t>，本年已全部支出</w:t>
      </w:r>
      <w:r>
        <w:rPr>
          <w:rFonts w:hint="eastAsia" w:ascii="宋体" w:hAnsi="宋体" w:eastAsia="宋体" w:cs="Times New Roman"/>
          <w:kern w:val="2"/>
          <w:sz w:val="28"/>
          <w:szCs w:val="28"/>
          <w:lang w:val="en-US" w:eastAsia="zh-CN" w:bidi="ar-SA"/>
        </w:rPr>
        <w:t>；</w:t>
      </w:r>
      <w:r>
        <w:rPr>
          <w:rFonts w:hint="eastAsia" w:ascii="宋体" w:hAnsi="宋体" w:cs="Times New Roman"/>
          <w:kern w:val="2"/>
          <w:sz w:val="28"/>
          <w:szCs w:val="28"/>
          <w:lang w:val="en-US" w:eastAsia="zh-CN" w:bidi="ar-SA"/>
        </w:rPr>
        <w:t>4处</w:t>
      </w:r>
      <w:r>
        <w:rPr>
          <w:rFonts w:hint="eastAsia" w:ascii="宋体" w:hAnsi="宋体" w:eastAsia="宋体" w:cs="Times New Roman"/>
          <w:kern w:val="2"/>
          <w:sz w:val="28"/>
          <w:szCs w:val="28"/>
          <w:lang w:val="en-US" w:eastAsia="zh-CN" w:bidi="ar-SA"/>
        </w:rPr>
        <w:t>森林城市体验中心建设补助120.00万元，标准为30.00万元/处</w:t>
      </w:r>
      <w:r>
        <w:rPr>
          <w:rFonts w:hint="eastAsia" w:ascii="宋体" w:hAnsi="宋体" w:cs="Times New Roman"/>
          <w:kern w:val="2"/>
          <w:sz w:val="28"/>
          <w:szCs w:val="28"/>
          <w:lang w:val="en-US" w:eastAsia="zh-CN" w:bidi="ar-SA"/>
        </w:rPr>
        <w:t>，本年已全部支出</w:t>
      </w:r>
      <w:r>
        <w:rPr>
          <w:rFonts w:hint="eastAsia" w:ascii="宋体" w:hAnsi="宋体" w:eastAsia="宋体" w:cs="Times New Roman"/>
          <w:kern w:val="2"/>
          <w:sz w:val="28"/>
          <w:szCs w:val="28"/>
          <w:lang w:val="en-US" w:eastAsia="zh-CN" w:bidi="ar-SA"/>
        </w:rPr>
        <w:t>；85个社区和村庄实物补助680.00万元，标准为8.00万元/个</w:t>
      </w:r>
      <w:r>
        <w:rPr>
          <w:rFonts w:hint="eastAsia" w:ascii="宋体" w:hAnsi="宋体" w:cs="Times New Roman"/>
          <w:kern w:val="2"/>
          <w:sz w:val="28"/>
          <w:szCs w:val="28"/>
          <w:lang w:val="en-US" w:eastAsia="zh-CN" w:bidi="ar-SA"/>
        </w:rPr>
        <w:t>，本年支出合计674.89万元，节约资金5.11万元。</w:t>
      </w:r>
    </w:p>
    <w:p>
      <w:pPr>
        <w:spacing w:line="600" w:lineRule="exact"/>
        <w:ind w:firstLine="320" w:firstLineChars="1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spacing w:line="360" w:lineRule="auto"/>
        <w:ind w:firstLine="492" w:firstLineChars="176"/>
        <w:outlineLvl w:val="2"/>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1.项目总体目标</w:t>
      </w:r>
    </w:p>
    <w:p>
      <w:pPr>
        <w:pStyle w:val="2"/>
        <w:rPr>
          <w:rFonts w:hint="eastAsia"/>
          <w:lang w:val="en-US" w:eastAsia="zh-CN"/>
        </w:rPr>
      </w:pPr>
      <w:r>
        <w:rPr>
          <w:rFonts w:hint="eastAsia" w:ascii="宋体" w:hAnsi="宋体" w:cs="仿宋_GB2312"/>
          <w:bCs/>
          <w:color w:val="000000"/>
          <w:sz w:val="28"/>
          <w:szCs w:val="28"/>
          <w:lang w:val="en-US" w:eastAsia="zh-CN"/>
        </w:rPr>
        <w:t>通过“互联网+全民义务植树”基地开展“八大类37种”义务植树尽责活动，从植树造林到抚育管理，从自然保护到志愿服务等多种方式，使首都全民义务植树活动逐步实现“规范化、多样化、常态化、科学化”，保障完成2023全民义务植树工作。</w:t>
      </w:r>
    </w:p>
    <w:p>
      <w:pPr>
        <w:spacing w:line="360" w:lineRule="auto"/>
        <w:ind w:firstLine="492" w:firstLineChars="176"/>
        <w:outlineLvl w:val="0"/>
        <w:rPr>
          <w:rFonts w:hint="eastAsia" w:ascii="宋体" w:hAnsi="宋体" w:cs="仿宋_GB2312"/>
          <w:bCs/>
          <w:color w:val="000000"/>
          <w:sz w:val="28"/>
          <w:szCs w:val="28"/>
          <w:lang w:eastAsia="zh-CN"/>
        </w:rPr>
      </w:pPr>
      <w:r>
        <w:rPr>
          <w:rFonts w:hint="eastAsia" w:ascii="宋体" w:hAnsi="宋体" w:cs="仿宋_GB2312"/>
          <w:bCs/>
          <w:color w:val="000000"/>
          <w:sz w:val="28"/>
          <w:szCs w:val="28"/>
          <w:lang w:val="en-US" w:eastAsia="zh-CN"/>
        </w:rPr>
        <w:t>通过对相关区森林城市体验中心建设过程中的室内主体场景布置、室外景观环境布置、园艺植物素材、配套设施等进行补助，引导各区根据本区森林城市建设的特色亮点建设不同主题的森林城市体验中心，传播森林城市建设理念，普及森林城市建设的优势特点，让市民充分享受到森林城市建设的积极成果</w:t>
      </w:r>
      <w:r>
        <w:rPr>
          <w:rFonts w:hint="eastAsia" w:ascii="宋体" w:hAnsi="宋体" w:cs="仿宋_GB2312"/>
          <w:bCs/>
          <w:color w:val="000000"/>
          <w:sz w:val="28"/>
          <w:szCs w:val="28"/>
          <w:lang w:eastAsia="zh-CN"/>
        </w:rPr>
        <w:t>。</w:t>
      </w:r>
      <w:r>
        <w:rPr>
          <w:rFonts w:hint="eastAsia" w:ascii="宋体" w:hAnsi="宋体" w:cs="仿宋_GB2312"/>
          <w:bCs/>
          <w:color w:val="000000"/>
          <w:sz w:val="28"/>
          <w:szCs w:val="28"/>
          <w:lang w:eastAsia="zh-CN"/>
        </w:rPr>
        <w:tab/>
      </w:r>
    </w:p>
    <w:p>
      <w:pPr>
        <w:pStyle w:val="2"/>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通过对</w:t>
      </w:r>
      <w:r>
        <w:rPr>
          <w:rFonts w:hint="eastAsia" w:ascii="宋体" w:hAnsi="宋体" w:cs="仿宋_GB2312"/>
          <w:bCs/>
          <w:color w:val="000000"/>
          <w:sz w:val="28"/>
          <w:szCs w:val="28"/>
          <w:lang w:eastAsia="zh-CN"/>
        </w:rPr>
        <w:t>拟创建花园式社区</w:t>
      </w:r>
      <w:r>
        <w:rPr>
          <w:rFonts w:hint="eastAsia" w:ascii="宋体" w:hAnsi="宋体" w:cs="仿宋_GB2312"/>
          <w:bCs/>
          <w:color w:val="000000"/>
          <w:kern w:val="2"/>
          <w:sz w:val="28"/>
          <w:szCs w:val="28"/>
          <w:lang w:val="en-US" w:eastAsia="zh-CN" w:bidi="ar-SA"/>
        </w:rPr>
        <w:t>以及</w:t>
      </w:r>
      <w:r>
        <w:rPr>
          <w:rFonts w:hint="eastAsia" w:ascii="宋体" w:hAnsi="宋体" w:eastAsia="宋体" w:cs="仿宋_GB2312"/>
          <w:bCs/>
          <w:color w:val="000000"/>
          <w:kern w:val="2"/>
          <w:sz w:val="28"/>
          <w:szCs w:val="28"/>
          <w:lang w:val="en-US" w:eastAsia="zh-CN" w:bidi="ar-SA"/>
        </w:rPr>
        <w:t>荣获“首都森林村庄”称号的村庄补助乡土植物，引导各区根据实际情况进一步加大村庄绿化美化力度，提升村庄品质，打造优美环境，让广大村民切实感受到美丽乡村建设带来的绿色幸福感和获得感。</w:t>
      </w:r>
    </w:p>
    <w:p>
      <w:pPr>
        <w:spacing w:line="360" w:lineRule="auto"/>
        <w:ind w:firstLine="492" w:firstLineChars="176"/>
        <w:outlineLvl w:val="2"/>
        <w:rPr>
          <w:rFonts w:ascii="宋体" w:hAnsi="宋体" w:cs="仿宋_GB2312"/>
          <w:bCs/>
          <w:color w:val="000000"/>
          <w:sz w:val="28"/>
          <w:szCs w:val="28"/>
        </w:rPr>
      </w:pPr>
      <w:r>
        <w:rPr>
          <w:rFonts w:hint="eastAsia" w:ascii="宋体" w:hAnsi="宋体" w:cs="仿宋_GB2312"/>
          <w:bCs/>
          <w:color w:val="000000"/>
          <w:sz w:val="28"/>
          <w:szCs w:val="28"/>
          <w:lang w:val="en-US" w:eastAsia="zh-CN"/>
        </w:rPr>
        <w:t>2.</w:t>
      </w:r>
      <w:r>
        <w:rPr>
          <w:rFonts w:hint="eastAsia" w:ascii="宋体" w:hAnsi="宋体" w:cs="仿宋_GB2312"/>
          <w:bCs/>
          <w:color w:val="000000"/>
          <w:sz w:val="28"/>
          <w:szCs w:val="28"/>
        </w:rPr>
        <w:t>项目绩效具体目标</w:t>
      </w:r>
    </w:p>
    <w:p>
      <w:pPr>
        <w:spacing w:line="360" w:lineRule="auto"/>
        <w:ind w:firstLine="492" w:firstLineChars="176"/>
        <w:outlineLvl w:val="0"/>
        <w:rPr>
          <w:rFonts w:ascii="宋体" w:hAnsi="宋体"/>
          <w:color w:val="000000"/>
          <w:sz w:val="28"/>
          <w:szCs w:val="28"/>
          <w:highlight w:val="none"/>
        </w:rPr>
      </w:pPr>
      <w:r>
        <w:rPr>
          <w:rFonts w:hint="eastAsia" w:ascii="宋体" w:hAnsi="宋体" w:cs="仿宋_GB2312"/>
          <w:bCs/>
          <w:color w:val="000000"/>
          <w:sz w:val="28"/>
          <w:szCs w:val="28"/>
        </w:rPr>
        <w:t>数量指标：</w:t>
      </w:r>
      <w:r>
        <w:rPr>
          <w:rFonts w:hint="eastAsia" w:ascii="宋体" w:hAnsi="宋体" w:cs="仿宋_GB2312"/>
          <w:bCs/>
          <w:color w:val="000000"/>
          <w:sz w:val="28"/>
          <w:szCs w:val="28"/>
          <w:highlight w:val="none"/>
          <w:lang w:val="en-US" w:eastAsia="zh-CN"/>
        </w:rPr>
        <w:t>义务植树尽责接待批次达到220批次，义务植树尽责接待人数达到22000人次，义务植树尽责折算株数达到66000株，实物补助35个社区和50个村庄，补助至少4处森林城市体验中心建设</w:t>
      </w:r>
      <w:r>
        <w:rPr>
          <w:rFonts w:hint="eastAsia" w:ascii="宋体" w:hAnsi="宋体"/>
          <w:color w:val="000000"/>
          <w:sz w:val="28"/>
          <w:szCs w:val="28"/>
          <w:highlight w:val="none"/>
        </w:rPr>
        <w:t>。</w:t>
      </w:r>
    </w:p>
    <w:p>
      <w:pPr>
        <w:spacing w:line="360" w:lineRule="auto"/>
        <w:ind w:firstLine="492" w:firstLineChars="176"/>
        <w:outlineLvl w:val="0"/>
        <w:rPr>
          <w:rFonts w:hint="eastAsia" w:ascii="宋体" w:hAnsi="宋体" w:eastAsia="宋体" w:cs="仿宋_GB2312"/>
          <w:bCs/>
          <w:color w:val="000000"/>
          <w:kern w:val="2"/>
          <w:sz w:val="28"/>
          <w:szCs w:val="28"/>
          <w:lang w:val="en-US" w:eastAsia="zh-CN" w:bidi="ar-SA"/>
        </w:rPr>
      </w:pPr>
      <w:r>
        <w:rPr>
          <w:rFonts w:hint="eastAsia" w:ascii="宋体" w:hAnsi="宋体" w:cs="仿宋_GB2312"/>
          <w:bCs/>
          <w:color w:val="000000"/>
          <w:sz w:val="28"/>
          <w:szCs w:val="28"/>
        </w:rPr>
        <w:t>质量指标：</w:t>
      </w:r>
      <w:r>
        <w:rPr>
          <w:rFonts w:hint="eastAsia" w:ascii="宋体" w:hAnsi="宋体"/>
          <w:color w:val="000000"/>
          <w:sz w:val="28"/>
          <w:szCs w:val="28"/>
          <w:lang w:val="en-US" w:eastAsia="zh-CN"/>
        </w:rPr>
        <w:t>服务标准按照</w:t>
      </w:r>
      <w:r>
        <w:rPr>
          <w:rFonts w:hint="eastAsia" w:ascii="宋体" w:hAnsi="宋体"/>
          <w:color w:val="000000"/>
          <w:sz w:val="28"/>
          <w:szCs w:val="28"/>
        </w:rPr>
        <w:t>《首都绿化委员会关于深入开展首都全民义务植树工作的指导意见》</w:t>
      </w:r>
      <w:r>
        <w:rPr>
          <w:rFonts w:hint="eastAsia" w:ascii="宋体" w:hAnsi="宋体"/>
          <w:color w:val="000000"/>
          <w:sz w:val="28"/>
          <w:szCs w:val="28"/>
          <w:lang w:val="en-US" w:eastAsia="zh-CN"/>
        </w:rPr>
        <w:t>执行，服务接待率达到100%，</w:t>
      </w:r>
      <w:r>
        <w:rPr>
          <w:rFonts w:hint="eastAsia" w:ascii="宋体" w:hAnsi="宋体" w:eastAsia="宋体" w:cs="仿宋_GB2312"/>
          <w:bCs/>
          <w:color w:val="000000"/>
          <w:kern w:val="2"/>
          <w:sz w:val="28"/>
          <w:szCs w:val="28"/>
          <w:lang w:val="en-US" w:eastAsia="zh-CN" w:bidi="ar-SA"/>
        </w:rPr>
        <w:t>4处森林城市体验中心具备对外开放条件，</w:t>
      </w:r>
      <w:r>
        <w:rPr>
          <w:rFonts w:hint="eastAsia" w:ascii="宋体" w:hAnsi="宋体" w:cs="仿宋_GB2312"/>
          <w:bCs/>
          <w:color w:val="000000"/>
          <w:kern w:val="2"/>
          <w:sz w:val="28"/>
          <w:szCs w:val="28"/>
          <w:lang w:val="en-US" w:eastAsia="zh-CN" w:bidi="ar-SA"/>
        </w:rPr>
        <w:t>市花月季等乡土植物</w:t>
      </w:r>
      <w:r>
        <w:rPr>
          <w:rFonts w:hint="eastAsia" w:ascii="宋体" w:hAnsi="宋体" w:eastAsia="宋体" w:cs="仿宋_GB2312"/>
          <w:bCs/>
          <w:color w:val="000000"/>
          <w:kern w:val="2"/>
          <w:sz w:val="28"/>
          <w:szCs w:val="28"/>
          <w:lang w:val="en-US" w:eastAsia="zh-CN" w:bidi="ar-SA"/>
        </w:rPr>
        <w:t>符合采购质量标准。</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进度指标：</w:t>
      </w:r>
      <w:r>
        <w:rPr>
          <w:rFonts w:hint="eastAsia" w:ascii="宋体" w:hAnsi="宋体"/>
          <w:color w:val="000000"/>
          <w:sz w:val="28"/>
          <w:szCs w:val="28"/>
          <w:lang w:val="en-US" w:eastAsia="zh-CN"/>
        </w:rPr>
        <w:t>项目执行时间为2023年度</w:t>
      </w:r>
      <w:r>
        <w:rPr>
          <w:rFonts w:hint="eastAsia" w:ascii="宋体" w:hAnsi="宋体"/>
          <w:color w:val="000000"/>
          <w:sz w:val="28"/>
          <w:szCs w:val="28"/>
        </w:rPr>
        <w:t>。</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成本指标：年度预算控制数</w:t>
      </w:r>
      <w:r>
        <w:rPr>
          <w:rFonts w:hint="eastAsia" w:ascii="宋体" w:hAnsi="宋体"/>
          <w:sz w:val="28"/>
          <w:szCs w:val="28"/>
          <w:lang w:val="en-US" w:eastAsia="zh-CN"/>
        </w:rPr>
        <w:t>1,100.00</w:t>
      </w:r>
      <w:r>
        <w:rPr>
          <w:rFonts w:hint="eastAsia" w:ascii="宋体" w:hAnsi="宋体"/>
          <w:sz w:val="28"/>
          <w:szCs w:val="28"/>
        </w:rPr>
        <w:t>万元</w:t>
      </w:r>
      <w:r>
        <w:rPr>
          <w:rFonts w:hint="eastAsia" w:ascii="宋体" w:hAnsi="宋体" w:cs="仿宋_GB2312"/>
          <w:bCs/>
          <w:color w:val="000000"/>
          <w:sz w:val="28"/>
          <w:szCs w:val="28"/>
        </w:rPr>
        <w:t>。</w:t>
      </w:r>
    </w:p>
    <w:p>
      <w:pPr>
        <w:spacing w:line="360" w:lineRule="auto"/>
        <w:ind w:firstLine="492" w:firstLineChars="176"/>
        <w:outlineLvl w:val="0"/>
        <w:rPr>
          <w:rFonts w:hint="eastAsia" w:ascii="宋体" w:hAnsi="宋体"/>
          <w:color w:val="000000"/>
          <w:sz w:val="28"/>
          <w:szCs w:val="28"/>
          <w:lang w:eastAsia="zh-CN"/>
        </w:rPr>
      </w:pPr>
      <w:r>
        <w:rPr>
          <w:rFonts w:hint="eastAsia" w:ascii="宋体" w:hAnsi="宋体" w:cs="仿宋_GB2312"/>
          <w:bCs/>
          <w:color w:val="000000"/>
          <w:sz w:val="28"/>
          <w:szCs w:val="28"/>
        </w:rPr>
        <w:t>效益指标：广泛组织开展义务植树尽责活动</w:t>
      </w:r>
      <w:r>
        <w:rPr>
          <w:rFonts w:hint="eastAsia" w:ascii="宋体" w:hAnsi="宋体" w:cs="仿宋_GB2312"/>
          <w:bCs/>
          <w:color w:val="000000"/>
          <w:sz w:val="28"/>
          <w:szCs w:val="28"/>
          <w:lang w:eastAsia="zh-CN"/>
        </w:rPr>
        <w:t>，</w:t>
      </w:r>
      <w:r>
        <w:rPr>
          <w:rFonts w:hint="eastAsia" w:ascii="宋体" w:hAnsi="宋体" w:cs="仿宋_GB2312"/>
          <w:bCs/>
          <w:color w:val="000000"/>
          <w:sz w:val="28"/>
          <w:szCs w:val="28"/>
        </w:rPr>
        <w:t>进一步探索符合首都实际的义务植树尽责模式。推进了全民参与义务植树尽责活动的积极性，强化了市民的植绿爱绿意识</w:t>
      </w:r>
      <w:r>
        <w:rPr>
          <w:rFonts w:hint="eastAsia" w:ascii="宋体" w:hAnsi="宋体" w:cs="仿宋_GB2312"/>
          <w:bCs/>
          <w:color w:val="000000"/>
          <w:sz w:val="28"/>
          <w:szCs w:val="28"/>
          <w:lang w:eastAsia="zh-CN"/>
        </w:rPr>
        <w:t>。</w:t>
      </w:r>
      <w:r>
        <w:rPr>
          <w:rFonts w:hint="eastAsia" w:ascii="宋体" w:hAnsi="宋体"/>
          <w:color w:val="000000"/>
          <w:sz w:val="28"/>
          <w:szCs w:val="28"/>
        </w:rPr>
        <w:t>市花月季乡土植物进社区进村庄</w:t>
      </w:r>
      <w:r>
        <w:rPr>
          <w:rFonts w:hint="eastAsia" w:ascii="宋体" w:hAnsi="宋体"/>
          <w:color w:val="000000"/>
          <w:sz w:val="28"/>
          <w:szCs w:val="28"/>
          <w:lang w:eastAsia="zh-CN"/>
        </w:rPr>
        <w:t>，</w:t>
      </w:r>
      <w:r>
        <w:rPr>
          <w:rFonts w:hint="eastAsia" w:ascii="宋体" w:hAnsi="宋体"/>
          <w:color w:val="000000"/>
          <w:sz w:val="28"/>
          <w:szCs w:val="28"/>
        </w:rPr>
        <w:t>改善社区村庄生态环境和村居环境，实现绿色高效发展，加快建设生态宜居社村</w:t>
      </w:r>
      <w:r>
        <w:rPr>
          <w:rFonts w:hint="eastAsia" w:ascii="宋体" w:hAnsi="宋体"/>
          <w:color w:val="000000"/>
          <w:sz w:val="28"/>
          <w:szCs w:val="28"/>
          <w:lang w:eastAsia="zh-CN"/>
        </w:rPr>
        <w:t>，</w:t>
      </w:r>
      <w:r>
        <w:rPr>
          <w:rFonts w:hint="eastAsia" w:ascii="宋体" w:hAnsi="宋体"/>
          <w:color w:val="000000"/>
          <w:sz w:val="28"/>
          <w:szCs w:val="28"/>
        </w:rPr>
        <w:t>促进人与自然的协调发展</w:t>
      </w:r>
      <w:r>
        <w:rPr>
          <w:rFonts w:hint="eastAsia" w:ascii="宋体" w:hAnsi="宋体"/>
          <w:color w:val="000000"/>
          <w:sz w:val="28"/>
          <w:szCs w:val="28"/>
          <w:lang w:eastAsia="zh-CN"/>
        </w:rPr>
        <w:t>。通过建设不同主题的森林城市体验中心，充分展示各区森林城市建设的成果，</w:t>
      </w:r>
      <w:r>
        <w:rPr>
          <w:rFonts w:hint="eastAsia" w:ascii="宋体" w:hAnsi="宋体"/>
          <w:color w:val="000000"/>
          <w:sz w:val="28"/>
          <w:szCs w:val="28"/>
        </w:rPr>
        <w:t>传播森林城市建设理念，普及森林城市建设的优势特点</w:t>
      </w:r>
      <w:r>
        <w:rPr>
          <w:rFonts w:hint="eastAsia" w:ascii="宋体" w:hAnsi="宋体"/>
          <w:color w:val="000000"/>
          <w:sz w:val="28"/>
          <w:szCs w:val="28"/>
          <w:lang w:eastAsia="zh-CN"/>
        </w:rPr>
        <w:t>，引导广大市民积极投身到北京的生态文明建设中。</w:t>
      </w:r>
    </w:p>
    <w:p>
      <w:pPr>
        <w:spacing w:line="360" w:lineRule="auto"/>
        <w:ind w:firstLine="492" w:firstLineChars="176"/>
        <w:outlineLvl w:val="0"/>
        <w:rPr>
          <w:rFonts w:hint="eastAsia" w:ascii="宋体" w:hAnsi="宋体" w:cs="仿宋_GB2312"/>
          <w:bCs/>
          <w:color w:val="000000"/>
          <w:sz w:val="28"/>
          <w:szCs w:val="28"/>
        </w:rPr>
      </w:pPr>
      <w:r>
        <w:rPr>
          <w:rFonts w:hint="eastAsia" w:ascii="宋体" w:hAnsi="宋体" w:cs="仿宋_GB2312"/>
          <w:bCs/>
          <w:color w:val="000000"/>
          <w:sz w:val="28"/>
          <w:szCs w:val="28"/>
        </w:rPr>
        <w:t>服务对象满意度：尽责参与满意</w:t>
      </w:r>
      <w:r>
        <w:rPr>
          <w:rFonts w:hint="eastAsia" w:ascii="宋体" w:hAnsi="宋体" w:cs="仿宋_GB2312"/>
          <w:bCs/>
          <w:color w:val="000000"/>
          <w:sz w:val="28"/>
          <w:szCs w:val="28"/>
          <w:highlight w:val="none"/>
        </w:rPr>
        <w:t>度≥9</w:t>
      </w:r>
      <w:r>
        <w:rPr>
          <w:rFonts w:hint="eastAsia" w:ascii="宋体" w:hAnsi="宋体" w:cs="仿宋_GB2312"/>
          <w:bCs/>
          <w:color w:val="000000"/>
          <w:sz w:val="28"/>
          <w:szCs w:val="28"/>
          <w:highlight w:val="none"/>
          <w:lang w:val="en-US" w:eastAsia="zh-CN"/>
        </w:rPr>
        <w:t>6</w:t>
      </w:r>
      <w:r>
        <w:rPr>
          <w:rFonts w:hint="eastAsia" w:ascii="宋体" w:hAnsi="宋体" w:cs="仿宋_GB2312"/>
          <w:bCs/>
          <w:color w:val="000000"/>
          <w:sz w:val="28"/>
          <w:szCs w:val="28"/>
          <w:highlight w:val="none"/>
        </w:rPr>
        <w:t>%</w:t>
      </w:r>
      <w:r>
        <w:rPr>
          <w:rFonts w:hint="eastAsia" w:ascii="宋体" w:hAnsi="宋体" w:cs="仿宋_GB2312"/>
          <w:bCs/>
          <w:color w:val="000000"/>
          <w:sz w:val="28"/>
          <w:szCs w:val="28"/>
          <w:highlight w:val="none"/>
          <w:lang w:eastAsia="zh-CN"/>
        </w:rPr>
        <w:t>，</w:t>
      </w:r>
      <w:r>
        <w:rPr>
          <w:rFonts w:hint="eastAsia" w:ascii="宋体" w:hAnsi="宋体" w:cs="仿宋_GB2312"/>
          <w:bCs/>
          <w:color w:val="000000"/>
          <w:sz w:val="28"/>
          <w:szCs w:val="28"/>
        </w:rPr>
        <w:t>群众对森林城市体验中心建设的满意度≥90%</w:t>
      </w:r>
      <w:r>
        <w:rPr>
          <w:rFonts w:hint="eastAsia" w:ascii="宋体" w:hAnsi="宋体" w:cs="仿宋_GB2312"/>
          <w:bCs/>
          <w:color w:val="000000"/>
          <w:sz w:val="28"/>
          <w:szCs w:val="28"/>
          <w:lang w:eastAsia="zh-CN"/>
        </w:rPr>
        <w:t>，</w:t>
      </w:r>
      <w:r>
        <w:rPr>
          <w:rFonts w:hint="eastAsia" w:ascii="宋体" w:hAnsi="宋体" w:cs="仿宋_GB2312"/>
          <w:bCs/>
          <w:color w:val="000000"/>
          <w:sz w:val="28"/>
          <w:szCs w:val="28"/>
        </w:rPr>
        <w:t>群众</w:t>
      </w:r>
      <w:r>
        <w:rPr>
          <w:rFonts w:hint="eastAsia" w:ascii="宋体" w:hAnsi="宋体" w:cs="仿宋_GB2312"/>
          <w:bCs/>
          <w:color w:val="000000"/>
          <w:sz w:val="28"/>
          <w:szCs w:val="28"/>
          <w:lang w:val="en-US" w:eastAsia="zh-CN"/>
        </w:rPr>
        <w:t>对实物补助的社区和村庄环境的满意度</w:t>
      </w:r>
      <w:r>
        <w:rPr>
          <w:rFonts w:hint="eastAsia" w:ascii="宋体" w:hAnsi="宋体" w:cs="仿宋_GB2312"/>
          <w:bCs/>
          <w:color w:val="000000"/>
          <w:sz w:val="28"/>
          <w:szCs w:val="28"/>
        </w:rPr>
        <w:t>≥90%。</w:t>
      </w: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360" w:lineRule="auto"/>
        <w:ind w:firstLine="492" w:firstLineChars="176"/>
        <w:outlineLvl w:val="0"/>
        <w:rPr>
          <w:rFonts w:hint="eastAsia" w:ascii="宋体" w:hAnsi="宋体" w:cs="仿宋_GB2312"/>
          <w:bCs/>
          <w:color w:val="000000"/>
          <w:sz w:val="28"/>
          <w:szCs w:val="28"/>
          <w:lang w:eastAsia="zh-CN"/>
        </w:rPr>
      </w:pPr>
      <w:r>
        <w:rPr>
          <w:rFonts w:hint="eastAsia" w:ascii="宋体" w:hAnsi="宋体" w:cs="仿宋_GB2312"/>
          <w:bCs/>
          <w:color w:val="000000"/>
          <w:sz w:val="28"/>
          <w:szCs w:val="28"/>
          <w:lang w:val="en-US" w:eastAsia="zh-CN"/>
        </w:rPr>
        <w:t>1.</w:t>
      </w:r>
      <w:r>
        <w:rPr>
          <w:rFonts w:hint="eastAsia" w:ascii="宋体" w:hAnsi="宋体" w:cs="仿宋_GB2312"/>
          <w:bCs/>
          <w:color w:val="000000"/>
          <w:sz w:val="28"/>
          <w:szCs w:val="28"/>
          <w:lang w:eastAsia="zh-CN"/>
        </w:rPr>
        <w:t>绩效评价目的</w:t>
      </w:r>
    </w:p>
    <w:p>
      <w:pPr>
        <w:spacing w:line="360" w:lineRule="auto"/>
        <w:ind w:firstLine="492" w:firstLineChars="176"/>
        <w:outlineLvl w:val="0"/>
        <w:rPr>
          <w:rFonts w:hint="eastAsia" w:ascii="宋体" w:hAnsi="宋体" w:cs="仿宋_GB2312"/>
          <w:bCs/>
          <w:color w:val="000000"/>
          <w:sz w:val="28"/>
          <w:szCs w:val="28"/>
          <w:lang w:eastAsia="zh-CN"/>
        </w:rPr>
      </w:pPr>
      <w:r>
        <w:rPr>
          <w:rFonts w:hint="eastAsia" w:ascii="宋体" w:hAnsi="宋体" w:cs="仿宋_GB2312"/>
          <w:bCs/>
          <w:color w:val="000000"/>
          <w:sz w:val="28"/>
          <w:szCs w:val="28"/>
          <w:lang w:eastAsia="zh-CN"/>
        </w:rPr>
        <w:t>本次绩效评价的目的是加强预算绩效管理，强化支出责任，建立科学、合理的财政支出绩效评价管理体系，提高财政资金使用效益。</w:t>
      </w:r>
    </w:p>
    <w:p>
      <w:pPr>
        <w:spacing w:line="360" w:lineRule="auto"/>
        <w:ind w:firstLine="492" w:firstLineChars="176"/>
        <w:outlineLvl w:val="0"/>
        <w:rPr>
          <w:rFonts w:hint="eastAsia" w:ascii="宋体" w:hAnsi="宋体" w:cs="仿宋_GB2312"/>
          <w:bCs/>
          <w:color w:val="000000"/>
          <w:sz w:val="28"/>
          <w:szCs w:val="28"/>
          <w:lang w:eastAsia="zh-CN"/>
        </w:rPr>
      </w:pPr>
      <w:r>
        <w:rPr>
          <w:rFonts w:hint="eastAsia" w:ascii="宋体" w:hAnsi="宋体" w:cs="仿宋_GB2312"/>
          <w:bCs/>
          <w:color w:val="000000"/>
          <w:sz w:val="28"/>
          <w:szCs w:val="28"/>
          <w:lang w:val="en-US" w:eastAsia="zh-CN"/>
        </w:rPr>
        <w:t>2.</w:t>
      </w:r>
      <w:r>
        <w:rPr>
          <w:rFonts w:hint="eastAsia" w:ascii="宋体" w:hAnsi="宋体" w:cs="仿宋_GB2312"/>
          <w:bCs/>
          <w:color w:val="000000"/>
          <w:sz w:val="28"/>
          <w:szCs w:val="28"/>
          <w:lang w:eastAsia="zh-CN"/>
        </w:rPr>
        <w:t>绩效评价对象</w:t>
      </w:r>
    </w:p>
    <w:p>
      <w:pPr>
        <w:spacing w:line="360" w:lineRule="auto"/>
        <w:ind w:firstLine="492" w:firstLineChars="176"/>
        <w:outlineLvl w:val="0"/>
        <w:rPr>
          <w:rFonts w:hint="eastAsia" w:ascii="宋体" w:hAnsi="宋体" w:cs="仿宋_GB2312"/>
          <w:bCs/>
          <w:color w:val="000000"/>
          <w:sz w:val="28"/>
          <w:szCs w:val="28"/>
          <w:lang w:eastAsia="zh-CN"/>
        </w:rPr>
      </w:pPr>
      <w:r>
        <w:rPr>
          <w:rFonts w:hint="eastAsia" w:ascii="宋体" w:hAnsi="宋体" w:cs="仿宋_GB2312"/>
          <w:bCs/>
          <w:color w:val="000000"/>
          <w:sz w:val="28"/>
          <w:szCs w:val="28"/>
          <w:lang w:val="en-US" w:eastAsia="zh-CN"/>
        </w:rPr>
        <w:t>首都绿化委员会办公室2023年首都全民义务植树补助项目</w:t>
      </w:r>
      <w:r>
        <w:rPr>
          <w:rFonts w:hint="eastAsia" w:ascii="宋体" w:hAnsi="宋体" w:cs="仿宋_GB2312"/>
          <w:bCs/>
          <w:color w:val="000000"/>
          <w:sz w:val="28"/>
          <w:szCs w:val="28"/>
          <w:lang w:eastAsia="zh-CN"/>
        </w:rPr>
        <w:t>。</w:t>
      </w:r>
    </w:p>
    <w:p>
      <w:pPr>
        <w:spacing w:line="360" w:lineRule="auto"/>
        <w:ind w:firstLine="492" w:firstLineChars="176"/>
        <w:outlineLvl w:val="0"/>
        <w:rPr>
          <w:rFonts w:hint="eastAsia" w:ascii="宋体" w:hAnsi="宋体" w:cs="仿宋_GB2312"/>
          <w:bCs/>
          <w:color w:val="000000"/>
          <w:sz w:val="28"/>
          <w:szCs w:val="28"/>
          <w:lang w:eastAsia="zh-CN"/>
        </w:rPr>
      </w:pPr>
      <w:r>
        <w:rPr>
          <w:rFonts w:hint="eastAsia" w:ascii="宋体" w:hAnsi="宋体" w:cs="仿宋_GB2312"/>
          <w:bCs/>
          <w:color w:val="000000"/>
          <w:sz w:val="28"/>
          <w:szCs w:val="28"/>
          <w:lang w:val="en-US" w:eastAsia="zh-CN"/>
        </w:rPr>
        <w:t>3.</w:t>
      </w:r>
      <w:r>
        <w:rPr>
          <w:rFonts w:hint="eastAsia" w:ascii="宋体" w:hAnsi="宋体" w:cs="仿宋_GB2312"/>
          <w:bCs/>
          <w:color w:val="000000"/>
          <w:sz w:val="28"/>
          <w:szCs w:val="28"/>
          <w:lang w:eastAsia="zh-CN"/>
        </w:rPr>
        <w:t>绩效评价范围</w:t>
      </w:r>
    </w:p>
    <w:p>
      <w:pPr>
        <w:spacing w:line="360" w:lineRule="auto"/>
        <w:ind w:firstLine="492" w:firstLineChars="176"/>
        <w:outlineLvl w:val="0"/>
        <w:rPr>
          <w:rFonts w:hint="default"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根据《北京市项目支出绩效评价管理办法》（京财绩效〔2020〕2146号）等文件要求，实施部门开展的与2023年首都全民义务植树补助项目目标完成的相关工作。</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（二）绩效评价原则、评价指标体系、评价方法、评价标准等。</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1.绩效评价原则</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（1）坚持客观公正、科学合理的原则；</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（2）坚持综合绩效评价的原则；</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（3）坚持定量分析与定性分析的原则；</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（4）坚持绩效评价与项目管理相结合的原则。</w:t>
      </w:r>
    </w:p>
    <w:p>
      <w:pPr>
        <w:spacing w:line="360" w:lineRule="auto"/>
        <w:ind w:firstLine="492" w:firstLineChars="176"/>
        <w:outlineLvl w:val="0"/>
        <w:rPr>
          <w:rFonts w:hint="default" w:ascii="宋体" w:hAnsi="宋体" w:cs="仿宋_GB2312"/>
          <w:bCs/>
          <w:color w:val="000000"/>
          <w:sz w:val="28"/>
          <w:szCs w:val="28"/>
          <w:lang w:val="en-US" w:eastAsia="zh-CN"/>
        </w:rPr>
      </w:pPr>
      <w:r>
        <w:rPr>
          <w:rFonts w:hint="default" w:ascii="宋体" w:hAnsi="宋体" w:cs="仿宋_GB2312"/>
          <w:bCs/>
          <w:color w:val="000000"/>
          <w:sz w:val="28"/>
          <w:szCs w:val="28"/>
          <w:lang w:val="en-US" w:eastAsia="zh-CN"/>
        </w:rPr>
        <w:t>2.评价指标体系</w:t>
      </w:r>
    </w:p>
    <w:p>
      <w:pPr>
        <w:spacing w:line="360" w:lineRule="auto"/>
        <w:ind w:firstLine="492" w:firstLineChars="176"/>
        <w:outlineLvl w:val="0"/>
        <w:rPr>
          <w:rFonts w:hint="eastAsia" w:ascii="宋体" w:hAnsi="宋体" w:cs="仿宋_GB2312"/>
          <w:bCs/>
          <w:color w:val="000000"/>
          <w:sz w:val="28"/>
          <w:szCs w:val="28"/>
          <w:lang w:val="en-US" w:eastAsia="zh-CN"/>
        </w:rPr>
      </w:pPr>
      <w:bookmarkStart w:id="0" w:name="_Toc18475"/>
      <w:r>
        <w:rPr>
          <w:rFonts w:hint="default" w:ascii="宋体" w:hAnsi="宋体" w:cs="仿宋_GB2312"/>
          <w:bCs/>
          <w:color w:val="000000"/>
          <w:sz w:val="28"/>
          <w:szCs w:val="28"/>
          <w:lang w:val="en-US" w:eastAsia="zh-CN"/>
        </w:rPr>
        <w:t>为了保证指标体系的科学性、合理性和可操作性，根据市财政局的要求，参照《北京市财政局关于印发〈北京市项目支出绩效评价管理办法〉的通知》（京财绩效〔2020〕2146号），我们在深入分析研究被评价</w:t>
      </w:r>
      <w:r>
        <w:rPr>
          <w:rFonts w:hint="eastAsia" w:ascii="宋体" w:hAnsi="宋体" w:cs="仿宋_GB2312"/>
          <w:bCs/>
          <w:color w:val="000000"/>
          <w:sz w:val="28"/>
          <w:szCs w:val="28"/>
          <w:lang w:val="en-US" w:eastAsia="zh-CN"/>
        </w:rPr>
        <w:t>项目</w:t>
      </w:r>
      <w:r>
        <w:rPr>
          <w:rFonts w:hint="default" w:ascii="宋体" w:hAnsi="宋体" w:cs="仿宋_GB2312"/>
          <w:bCs/>
          <w:color w:val="000000"/>
          <w:sz w:val="28"/>
          <w:szCs w:val="28"/>
          <w:lang w:val="en-US" w:eastAsia="zh-CN"/>
        </w:rPr>
        <w:t>业务资料和财务资料的基础上，制定了该项目的指标体系及评分标准，详见附件4“财政支出绩效评价指标体系”。</w:t>
      </w:r>
    </w:p>
    <w:bookmarkEnd w:id="0"/>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3.评价方法</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本次绩效评价根据项目的具体情况，采用多种方式开展绩效评价，多方获取信息。通过查阅收集资料、询问项目单位、现场调研、聘请专家、电话沟通等方式进行评估。全面了解并收集项目信息。采用成本效益分析、比较分析、因素分析等方法进行论证。</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本次绩效评价对项目单位在项目决策、项目管理、项目绩效方面的情况进行专家组分析评价，专家组通过查阅相关资料、反馈问题，评价机构与项目单位沟通交流，形成绩效评价综合结论。</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4.评价标准</w:t>
      </w:r>
    </w:p>
    <w:p>
      <w:pPr>
        <w:spacing w:line="360" w:lineRule="auto"/>
        <w:ind w:firstLine="492" w:firstLineChars="176"/>
        <w:outlineLvl w:val="0"/>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本次绩效评价以《中华人民共和国预算法》、财政部《财政支出绩效评价管理暂行办法》、《北京市人民政府办公厅关于推进本市预算绩效管理的意见》、《北京市预算绩效管理办法（试行）》等有关法律、法规、规定为依据。</w:t>
      </w:r>
    </w:p>
    <w:p>
      <w:pPr>
        <w:spacing w:line="600" w:lineRule="exact"/>
        <w:ind w:firstLine="640" w:firstLineChars="200"/>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（三）绩效评价工作过程。</w:t>
      </w:r>
    </w:p>
    <w:p>
      <w:pPr>
        <w:pStyle w:val="7"/>
        <w:outlineLvl w:val="2"/>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1.准备阶段</w:t>
      </w:r>
    </w:p>
    <w:p>
      <w:pPr>
        <w:pStyle w:val="7"/>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（1）针对本项目制定评价实施方案，明确绩效评价实施工作目标、任务、时间安排和工作要求等具体事项。</w:t>
      </w:r>
    </w:p>
    <w:p>
      <w:pPr>
        <w:pStyle w:val="7"/>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（2）成立绩效评价工作组，组织开展绩效评价各环节工作，进行项目资料收集及调研。</w:t>
      </w:r>
    </w:p>
    <w:p>
      <w:pPr>
        <w:pStyle w:val="7"/>
        <w:outlineLvl w:val="2"/>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2.实施阶段</w:t>
      </w:r>
    </w:p>
    <w:p>
      <w:pPr>
        <w:pStyle w:val="7"/>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（1）收集与审核资料。评价工作组根据资料清单，结合评价对象实际情况收集项目资料，并对所收集的资料进行核实和全面分析，对重要的基础数据资料进行核实确认。</w:t>
      </w:r>
    </w:p>
    <w:p>
      <w:pPr>
        <w:pStyle w:val="7"/>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（2）制定具体评价工作方案。评价工作组在充分了解评价对象的基础上，制定具体评价工作方案，明确评价对象、评价目的、评价内容、评价方法、指标体系框架等内容</w:t>
      </w:r>
    </w:p>
    <w:p>
      <w:pPr>
        <w:pStyle w:val="7"/>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3）现场调研。入户与被评估单位进行现场沟通，进一步熟悉项目内容。评估工作组在收集审核项目资料基础上，通过询问调研、核实、与项目单位进行沟通，了解项目具体内容、申报理由和项目实施的具体做法、依据等，对项目重点问题进行询问，听取并记录项目单位对有关问题的解释和答复。</w:t>
      </w:r>
    </w:p>
    <w:p>
      <w:pPr>
        <w:pStyle w:val="7"/>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（4）研究制定指标体系。评价工作组根据调研情况，明确指标权重和评分标准，制定评价指标体系。</w:t>
      </w:r>
    </w:p>
    <w:p>
      <w:pPr>
        <w:pStyle w:val="7"/>
        <w:outlineLvl w:val="2"/>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3.评价总结阶段</w:t>
      </w:r>
    </w:p>
    <w:p>
      <w:pPr>
        <w:pStyle w:val="7"/>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撰写绩效评价报告。评价工作组撰写绩效评价报告后，就报告中所反映的问题与被评价单位进行沟通，根据被评价单位反馈意见对报告内容进行完善，形成正式绩效评价报告。</w:t>
      </w: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三、综合评价情况及评价结论</w:t>
      </w:r>
    </w:p>
    <w:p>
      <w:pPr>
        <w:spacing w:line="360" w:lineRule="auto"/>
        <w:ind w:firstLine="492" w:firstLineChars="176"/>
        <w:rPr>
          <w:rFonts w:ascii="宋体" w:hAnsi="宋体" w:cs="黑体"/>
          <w:bCs/>
          <w:sz w:val="28"/>
          <w:szCs w:val="28"/>
          <w:highlight w:val="none"/>
        </w:rPr>
      </w:pPr>
      <w:r>
        <w:rPr>
          <w:rFonts w:hint="eastAsia" w:ascii="宋体" w:hAnsi="宋体" w:cs="黑体"/>
          <w:bCs/>
          <w:sz w:val="28"/>
          <w:szCs w:val="28"/>
          <w:highlight w:val="none"/>
        </w:rPr>
        <w:t>通过评价，</w:t>
      </w:r>
      <w:r>
        <w:rPr>
          <w:rFonts w:hint="eastAsia" w:ascii="宋体" w:hAnsi="宋体" w:cs="黑体"/>
          <w:bCs/>
          <w:sz w:val="28"/>
          <w:szCs w:val="28"/>
          <w:highlight w:val="none"/>
          <w:lang w:eastAsia="zh-CN"/>
        </w:rPr>
        <w:t>首都全民义务植树补助</w:t>
      </w:r>
      <w:r>
        <w:rPr>
          <w:rFonts w:hint="eastAsia" w:ascii="宋体" w:hAnsi="宋体" w:cs="黑体"/>
          <w:bCs/>
          <w:sz w:val="28"/>
          <w:szCs w:val="28"/>
          <w:highlight w:val="none"/>
        </w:rPr>
        <w:t>项目综合得分</w:t>
      </w:r>
      <w:r>
        <w:rPr>
          <w:rFonts w:hint="eastAsia" w:ascii="宋体" w:hAnsi="宋体" w:cs="黑体"/>
          <w:bCs/>
          <w:sz w:val="28"/>
          <w:szCs w:val="28"/>
          <w:highlight w:val="none"/>
          <w:lang w:val="en-US" w:eastAsia="zh-CN"/>
        </w:rPr>
        <w:t>91.5</w:t>
      </w:r>
      <w:r>
        <w:rPr>
          <w:rFonts w:hint="eastAsia" w:ascii="宋体" w:hAnsi="宋体" w:cs="黑体"/>
          <w:bCs/>
          <w:sz w:val="28"/>
          <w:szCs w:val="28"/>
          <w:highlight w:val="none"/>
        </w:rPr>
        <w:t>分，项目综合绩效评定结论为“</w:t>
      </w:r>
      <w:r>
        <w:rPr>
          <w:rFonts w:hint="eastAsia" w:ascii="宋体" w:hAnsi="宋体" w:cs="黑体"/>
          <w:bCs/>
          <w:sz w:val="28"/>
          <w:szCs w:val="28"/>
          <w:highlight w:val="none"/>
          <w:lang w:val="en-US" w:eastAsia="zh-CN"/>
        </w:rPr>
        <w:t>优秀</w:t>
      </w:r>
      <w:r>
        <w:rPr>
          <w:rFonts w:hint="eastAsia" w:ascii="宋体" w:hAnsi="宋体" w:cs="黑体"/>
          <w:bCs/>
          <w:sz w:val="28"/>
          <w:szCs w:val="28"/>
          <w:highlight w:val="none"/>
        </w:rPr>
        <w:t>”，具体评分情况见附件1。</w:t>
      </w: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（一）项目决策情况评价分析</w:t>
      </w:r>
    </w:p>
    <w:p>
      <w:pPr>
        <w:spacing w:line="360" w:lineRule="auto"/>
        <w:ind w:firstLine="492" w:firstLineChars="17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1.项目立项情况</w:t>
      </w:r>
    </w:p>
    <w:p>
      <w:pPr>
        <w:spacing w:line="360" w:lineRule="auto"/>
        <w:ind w:firstLine="492" w:firstLineChars="17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（1）立项依据充分性分析</w:t>
      </w:r>
    </w:p>
    <w:p>
      <w:pPr>
        <w:spacing w:line="360" w:lineRule="auto"/>
        <w:ind w:firstLine="492" w:firstLineChars="17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项目立项符合《北京森林城市发展规划（2018-2035年）》</w:t>
      </w:r>
      <w:r>
        <w:rPr>
          <w:rFonts w:hint="eastAsia" w:asciiTheme="minorEastAsia" w:hAnsiTheme="minorEastAsia" w:eastAsiaTheme="minorEastAsia" w:cstheme="minorEastAsia"/>
          <w:sz w:val="28"/>
          <w:szCs w:val="28"/>
          <w:lang w:eastAsia="zh-CN"/>
        </w:rPr>
        <w:t>《北京城市总体规划（2016-2035）》</w:t>
      </w:r>
      <w:r>
        <w:rPr>
          <w:rFonts w:hint="eastAsia" w:asciiTheme="minorEastAsia" w:hAnsiTheme="minorEastAsia" w:eastAsiaTheme="minorEastAsia" w:cstheme="minorEastAsia"/>
          <w:sz w:val="28"/>
          <w:szCs w:val="28"/>
          <w:lang w:val="en-US" w:eastAsia="zh-CN"/>
        </w:rPr>
        <w:t>以及</w:t>
      </w:r>
      <w:r>
        <w:rPr>
          <w:rFonts w:hint="eastAsia" w:asciiTheme="minorEastAsia" w:hAnsiTheme="minorEastAsia" w:eastAsiaTheme="minorEastAsia" w:cstheme="minorEastAsia"/>
          <w:sz w:val="28"/>
          <w:szCs w:val="28"/>
        </w:rPr>
        <w:t>《“互联网+全民义务植树”基地绩效考核办法（试行）》等文件要求，项目通过对国市级基地运维和活动、森林城市体验中心建设进行资金补助，对拟创建花园式社区和首都森林村庄的单位进行实物补助。项目</w:t>
      </w:r>
      <w:r>
        <w:rPr>
          <w:rFonts w:hint="eastAsia" w:asciiTheme="minorEastAsia" w:hAnsiTheme="minorEastAsia" w:eastAsiaTheme="minorEastAsia" w:cstheme="minorEastAsia"/>
          <w:sz w:val="28"/>
          <w:szCs w:val="28"/>
          <w:lang w:val="en-US" w:eastAsia="zh-CN"/>
        </w:rPr>
        <w:t>申报</w:t>
      </w:r>
      <w:r>
        <w:rPr>
          <w:rFonts w:hint="eastAsia" w:asciiTheme="minorEastAsia" w:hAnsiTheme="minorEastAsia" w:eastAsiaTheme="minorEastAsia" w:cstheme="minorEastAsia"/>
          <w:sz w:val="28"/>
          <w:szCs w:val="28"/>
        </w:rPr>
        <w:t>符合国家法律法规、北京</w:t>
      </w:r>
      <w:r>
        <w:rPr>
          <w:rFonts w:hint="eastAsia" w:asciiTheme="minorEastAsia" w:hAnsiTheme="minorEastAsia" w:eastAsiaTheme="minorEastAsia" w:cstheme="minorEastAsia"/>
          <w:sz w:val="28"/>
          <w:szCs w:val="28"/>
          <w:lang w:eastAsia="zh-CN"/>
        </w:rPr>
        <w:t>城市总体规划</w:t>
      </w:r>
      <w:r>
        <w:rPr>
          <w:rFonts w:hint="eastAsia" w:asciiTheme="minorEastAsia" w:hAnsiTheme="minorEastAsia" w:eastAsiaTheme="minorEastAsia" w:cstheme="minorEastAsia"/>
          <w:sz w:val="28"/>
          <w:szCs w:val="28"/>
        </w:rPr>
        <w:t>要求，</w:t>
      </w:r>
      <w:r>
        <w:rPr>
          <w:rFonts w:hint="eastAsia" w:asciiTheme="minorEastAsia" w:hAnsiTheme="minorEastAsia" w:eastAsiaTheme="minorEastAsia" w:cstheme="minorEastAsia"/>
          <w:sz w:val="28"/>
          <w:szCs w:val="28"/>
          <w:lang w:val="en-US" w:eastAsia="zh-CN"/>
        </w:rPr>
        <w:t>且</w:t>
      </w:r>
      <w:r>
        <w:rPr>
          <w:rFonts w:hint="eastAsia" w:asciiTheme="minorEastAsia" w:hAnsiTheme="minorEastAsia" w:eastAsiaTheme="minorEastAsia" w:cstheme="minorEastAsia"/>
          <w:sz w:val="28"/>
          <w:szCs w:val="28"/>
          <w:lang w:eastAsia="zh-CN"/>
        </w:rPr>
        <w:t>与部门职责范围相符，</w:t>
      </w:r>
      <w:r>
        <w:rPr>
          <w:rFonts w:hint="eastAsia" w:asciiTheme="minorEastAsia" w:hAnsiTheme="minorEastAsia" w:eastAsiaTheme="minorEastAsia" w:cstheme="minorEastAsia"/>
          <w:sz w:val="28"/>
          <w:szCs w:val="28"/>
        </w:rPr>
        <w:t>同时具有一定的现实需求。</w:t>
      </w:r>
    </w:p>
    <w:p>
      <w:pPr>
        <w:spacing w:line="360" w:lineRule="auto"/>
        <w:ind w:firstLine="492" w:firstLineChars="17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（2）立项程序规范性分析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bCs/>
          <w:sz w:val="28"/>
          <w:szCs w:val="28"/>
          <w:highlight w:val="none"/>
          <w:lang w:eastAsia="zh-CN"/>
        </w:rPr>
        <w:t>首都全民义务植树补助</w:t>
      </w:r>
      <w:r>
        <w:rPr>
          <w:rFonts w:hint="eastAsia" w:asciiTheme="minorEastAsia" w:hAnsiTheme="minorEastAsia" w:eastAsiaTheme="minorEastAsia" w:cstheme="minorEastAsia"/>
          <w:bCs/>
          <w:sz w:val="28"/>
          <w:szCs w:val="28"/>
          <w:highlight w:val="none"/>
        </w:rPr>
        <w:t>项目</w:t>
      </w:r>
      <w:r>
        <w:rPr>
          <w:rFonts w:hint="eastAsia" w:asciiTheme="minorEastAsia" w:hAnsiTheme="minorEastAsia" w:eastAsiaTheme="minorEastAsia" w:cstheme="minorEastAsia"/>
          <w:kern w:val="2"/>
          <w:sz w:val="28"/>
          <w:szCs w:val="28"/>
          <w:lang w:val="en-US" w:eastAsia="zh-CN" w:bidi="ar-SA"/>
        </w:rPr>
        <w:t>相关材料符合预算申报条件，已经通过必要的可行性研究、专家论证和预算评审等程序，由首都绿化委员会办公室进行立项申报，北京市财政局予以批复，该项目立项程序符合相关立项规定。</w:t>
      </w:r>
    </w:p>
    <w:p>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2.绩效目标</w:t>
      </w:r>
      <w:r>
        <w:rPr>
          <w:rFonts w:hint="eastAsia" w:asciiTheme="minorEastAsia" w:hAnsiTheme="minorEastAsia" w:eastAsiaTheme="minorEastAsia" w:cstheme="minorEastAsia"/>
          <w:sz w:val="28"/>
          <w:szCs w:val="28"/>
        </w:rPr>
        <w:t>情况</w:t>
      </w:r>
    </w:p>
    <w:p>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（1）绩效目标合理性分析</w:t>
      </w:r>
    </w:p>
    <w:p>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项目根据实施内容设置了总体绩效目标。目标描述了项目计划完成的内容，包括对国市级基地运维和活动、森林城市体验中心建设进行资金补助，对拟创建花园式社区和首都森林村庄的单位进行实物补助。项目所设定的绩效目标依据充分，与实际工作内容具有相关性。</w:t>
      </w:r>
    </w:p>
    <w:p>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（2）绩效指标明确性分析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依据绩效目标设定的产出指标、满意度指标清晰、细化、可衡量，指标设置与项目目标任务数相对应，但是效益指标未设置生态效益以及可持续影响指标，并且应提炼可量化的效益指标，有助于对项目完成情况进行考量。</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3.资金投入情况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（1）预算编制科学性分析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该项目资金来源均为市级财政资金，项目申报金额为1,100.00万元，经预算评审审定金额1,100.00万元，预算内容与项目内容相匹配，预算编制符合相关管理办法，但项目预算编制不够细化，各子项目仅对相关支出类别的金额进行明确，均未细化到具体的数量及单价，无法对该项目的预算额度进行合理性确认。</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（2）资金分配合理性分析</w:t>
      </w:r>
    </w:p>
    <w:p>
      <w:pPr>
        <w:spacing w:line="360" w:lineRule="auto"/>
        <w:ind w:firstLine="492" w:firstLineChars="176"/>
        <w:outlineLvl w:val="1"/>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项目预算包括国市级基地运维和活动补助标准为50.00万元/个，共计6个国市级基地；森林城市体验中心建设补助标准为30.00万元/处，共计4处森林城市体验中心；社区和村庄实物补助标准为8.00万元/个，共计85个社区和村庄。但测算中对于六个基地以及四处森林体验中心补助标准测算依据不足，资金分配的合理性有待加强。</w:t>
      </w:r>
    </w:p>
    <w:p>
      <w:pPr>
        <w:spacing w:line="360" w:lineRule="auto"/>
        <w:ind w:firstLine="563" w:firstLineChars="176"/>
        <w:outlineLvl w:val="1"/>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（二）项目过程情况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1.项目资金管理情况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（1）资金到位率</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该项目资金来源均为市级财政资金，2023年2月北京市财政局对首都绿化委员会办公室财政项目进行了批复，批复文号为京财资环指〔2023〕0052号，资金到位率100%。</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（2）预算执行率</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bookmarkStart w:id="1" w:name="OLE_LINK2"/>
      <w:r>
        <w:rPr>
          <w:rFonts w:hint="eastAsia" w:asciiTheme="minorEastAsia" w:hAnsiTheme="minorEastAsia" w:eastAsiaTheme="minorEastAsia" w:cstheme="minorEastAsia"/>
          <w:strike w:val="0"/>
          <w:dstrike w:val="0"/>
          <w:kern w:val="2"/>
          <w:sz w:val="28"/>
          <w:szCs w:val="28"/>
          <w:lang w:val="en-US" w:eastAsia="zh-CN" w:bidi="ar-SA"/>
        </w:rPr>
        <w:t>截至2023年12月31日，项目预算金额1,100.00 万元，实际支出金额1,094.89万元，节约5.11万元，项目资金全部用于首都全民义务植树补助项目，预算执行率99.54%。</w:t>
      </w:r>
    </w:p>
    <w:tbl>
      <w:tblPr>
        <w:tblStyle w:val="11"/>
        <w:tblW w:w="8348"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0"/>
        <w:gridCol w:w="2798"/>
        <w:gridCol w:w="1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370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支出项目</w:t>
            </w:r>
          </w:p>
        </w:tc>
        <w:tc>
          <w:tcPr>
            <w:tcW w:w="2798" w:type="dxa"/>
            <w:noWrap w:val="0"/>
            <w:vAlign w:val="center"/>
          </w:tcPr>
          <w:p>
            <w:pPr>
              <w:keepNext w:val="0"/>
              <w:keepLines w:val="0"/>
              <w:widowControl/>
              <w:suppressLineNumbers w:val="0"/>
              <w:jc w:val="center"/>
              <w:textAlignment w:val="bottom"/>
              <w:rPr>
                <w:rFonts w:hint="default"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金额(单位：元）</w:t>
            </w:r>
          </w:p>
        </w:tc>
        <w:tc>
          <w:tcPr>
            <w:tcW w:w="185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right"/>
        </w:trPr>
        <w:tc>
          <w:tcPr>
            <w:tcW w:w="370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国市级基地运维和活动补助</w:t>
            </w:r>
          </w:p>
        </w:tc>
        <w:tc>
          <w:tcPr>
            <w:tcW w:w="2798" w:type="dxa"/>
            <w:noWrap w:val="0"/>
            <w:vAlign w:val="center"/>
          </w:tcPr>
          <w:p>
            <w:pPr>
              <w:keepNext w:val="0"/>
              <w:keepLines w:val="0"/>
              <w:widowControl/>
              <w:suppressLineNumbers w:val="0"/>
              <w:jc w:val="right"/>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3,000,000.00</w:t>
            </w:r>
          </w:p>
        </w:tc>
        <w:tc>
          <w:tcPr>
            <w:tcW w:w="185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27.40%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right"/>
        </w:trPr>
        <w:tc>
          <w:tcPr>
            <w:tcW w:w="370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森林城市体验中心建设补助</w:t>
            </w:r>
          </w:p>
        </w:tc>
        <w:tc>
          <w:tcPr>
            <w:tcW w:w="2798" w:type="dxa"/>
            <w:noWrap w:val="0"/>
            <w:vAlign w:val="center"/>
          </w:tcPr>
          <w:p>
            <w:pPr>
              <w:keepNext w:val="0"/>
              <w:keepLines w:val="0"/>
              <w:widowControl/>
              <w:suppressLineNumbers w:val="0"/>
              <w:jc w:val="right"/>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1,200,000.00</w:t>
            </w:r>
          </w:p>
        </w:tc>
        <w:tc>
          <w:tcPr>
            <w:tcW w:w="185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10.96%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right"/>
        </w:trPr>
        <w:tc>
          <w:tcPr>
            <w:tcW w:w="370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市花月季乡土植物进社区进村庄</w:t>
            </w:r>
          </w:p>
        </w:tc>
        <w:tc>
          <w:tcPr>
            <w:tcW w:w="2798" w:type="dxa"/>
            <w:noWrap w:val="0"/>
            <w:vAlign w:val="center"/>
          </w:tcPr>
          <w:p>
            <w:pPr>
              <w:keepNext w:val="0"/>
              <w:keepLines w:val="0"/>
              <w:widowControl/>
              <w:suppressLineNumbers w:val="0"/>
              <w:jc w:val="right"/>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6,748,900.00</w:t>
            </w:r>
          </w:p>
        </w:tc>
        <w:tc>
          <w:tcPr>
            <w:tcW w:w="185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61.64%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right"/>
        </w:trPr>
        <w:tc>
          <w:tcPr>
            <w:tcW w:w="370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合计</w:t>
            </w:r>
          </w:p>
        </w:tc>
        <w:tc>
          <w:tcPr>
            <w:tcW w:w="2798" w:type="dxa"/>
            <w:noWrap w:val="0"/>
            <w:vAlign w:val="center"/>
          </w:tcPr>
          <w:p>
            <w:pPr>
              <w:keepNext w:val="0"/>
              <w:keepLines w:val="0"/>
              <w:widowControl/>
              <w:suppressLineNumbers w:val="0"/>
              <w:jc w:val="right"/>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10,948,900.00</w:t>
            </w:r>
          </w:p>
        </w:tc>
        <w:tc>
          <w:tcPr>
            <w:tcW w:w="1850" w:type="dxa"/>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kern w:val="2"/>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100.00%</w:t>
            </w:r>
          </w:p>
        </w:tc>
      </w:tr>
      <w:bookmarkEnd w:id="1"/>
    </w:tbl>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（3）资金使用合规性分析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按照《首都绿化委员会办公室</w:t>
      </w:r>
      <w:r>
        <w:rPr>
          <w:rFonts w:hint="eastAsia" w:asciiTheme="minorEastAsia" w:hAnsiTheme="minorEastAsia" w:eastAsiaTheme="minorEastAsia" w:cstheme="minorEastAsia"/>
          <w:strike w:val="0"/>
          <w:dstrike w:val="0"/>
          <w:kern w:val="2"/>
          <w:sz w:val="28"/>
          <w:szCs w:val="28"/>
          <w:lang w:val="zh-CN" w:eastAsia="zh-CN" w:bidi="ar-SA"/>
        </w:rPr>
        <w:t>内部控制手册》</w:t>
      </w:r>
      <w:r>
        <w:rPr>
          <w:rFonts w:hint="eastAsia" w:asciiTheme="minorEastAsia" w:hAnsiTheme="minorEastAsia" w:eastAsiaTheme="minorEastAsia" w:cstheme="minorEastAsia"/>
          <w:strike w:val="0"/>
          <w:dstrike w:val="0"/>
          <w:kern w:val="2"/>
          <w:sz w:val="28"/>
          <w:szCs w:val="28"/>
          <w:lang w:val="en-US" w:eastAsia="zh-CN" w:bidi="ar-SA"/>
        </w:rPr>
        <w:t>等制度要求，根据各单位的申请，经审批后对基地、体验中心拨付补助款项，对社区村庄进行实物补助发放，审批手续完整，资金使用与预算批复内容相符，履行了必要的审批程序，资金使用合规。</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2.项</w:t>
      </w:r>
      <w:r>
        <w:rPr>
          <w:rFonts w:hint="eastAsia" w:asciiTheme="minorEastAsia" w:hAnsiTheme="minorEastAsia" w:eastAsiaTheme="minorEastAsia" w:cstheme="minorEastAsia"/>
          <w:strike w:val="0"/>
          <w:dstrike w:val="0"/>
          <w:kern w:val="2"/>
          <w:sz w:val="28"/>
          <w:szCs w:val="28"/>
          <w:highlight w:val="none"/>
          <w:lang w:val="en-US" w:eastAsia="zh-CN" w:bidi="ar-SA"/>
        </w:rPr>
        <w:t>目组织实施情况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（1）管理制度健全性分析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项目单位制定了《首都绿化委员会办公室关于深入开展2023年首都全民义务植树工作的意见》《“互联网+全民义务植树”基地绩效考核办法（试行）》和《森林城市体验中心管理制度》等制度和办法，该制度合法、合规，但部分制度和办法中未涉及资金使用及管理的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（2）制度执行有效性分析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宋体" w:hAnsi="宋体" w:eastAsia="宋体" w:cs="宋体"/>
          <w:sz w:val="28"/>
          <w:szCs w:val="28"/>
          <w:highlight w:val="none"/>
        </w:rPr>
      </w:pPr>
      <w:r>
        <w:rPr>
          <w:rFonts w:hint="eastAsia" w:asciiTheme="minorEastAsia" w:hAnsiTheme="minorEastAsia" w:eastAsiaTheme="minorEastAsia" w:cstheme="minorEastAsia"/>
          <w:strike w:val="0"/>
          <w:dstrike w:val="0"/>
          <w:kern w:val="2"/>
          <w:sz w:val="28"/>
          <w:szCs w:val="28"/>
          <w:highlight w:val="none"/>
          <w:lang w:val="en-US" w:eastAsia="zh-CN" w:bidi="ar-SA"/>
        </w:rPr>
        <w:t>为加强项目管理，项目编制了《首都绿化委员会办公室关于深入开展2023年首都全民义务植树工作的意见》《“互联网+全民义务植树”基地绩效考核办法（试行）》和《森林城市体验中心管理制度》，按要求对各单位发放补助，各单位组织开展各项义务植树活动</w:t>
      </w:r>
      <w:r>
        <w:rPr>
          <w:rFonts w:hint="default" w:asciiTheme="minorEastAsia" w:hAnsiTheme="minorEastAsia" w:eastAsiaTheme="minorEastAsia" w:cstheme="minorEastAsia"/>
          <w:strike w:val="0"/>
          <w:dstrike w:val="0"/>
          <w:kern w:val="2"/>
          <w:sz w:val="28"/>
          <w:szCs w:val="28"/>
          <w:highlight w:val="none"/>
          <w:lang w:eastAsia="zh-CN" w:bidi="ar-SA"/>
        </w:rPr>
        <w:t>、</w:t>
      </w:r>
      <w:r>
        <w:rPr>
          <w:rFonts w:hint="eastAsia" w:asciiTheme="minorEastAsia" w:hAnsiTheme="minorEastAsia" w:eastAsiaTheme="minorEastAsia" w:cstheme="minorEastAsia"/>
          <w:strike w:val="0"/>
          <w:dstrike w:val="0"/>
          <w:kern w:val="2"/>
          <w:sz w:val="28"/>
          <w:szCs w:val="28"/>
          <w:highlight w:val="none"/>
          <w:lang w:val="en-US" w:eastAsia="zh-CN" w:bidi="ar-SA"/>
        </w:rPr>
        <w:t>建设森林</w:t>
      </w:r>
      <w:r>
        <w:rPr>
          <w:rFonts w:hint="default" w:asciiTheme="minorEastAsia" w:hAnsiTheme="minorEastAsia" w:eastAsiaTheme="minorEastAsia" w:cstheme="minorEastAsia"/>
          <w:strike w:val="0"/>
          <w:dstrike w:val="0"/>
          <w:kern w:val="2"/>
          <w:sz w:val="28"/>
          <w:szCs w:val="28"/>
          <w:highlight w:val="none"/>
          <w:u w:val="none"/>
          <w:lang w:eastAsia="zh-CN" w:bidi="ar-SA"/>
        </w:rPr>
        <w:t>体验中心、栽植市花月季，在</w:t>
      </w:r>
      <w:r>
        <w:rPr>
          <w:rFonts w:hint="eastAsia" w:asciiTheme="minorEastAsia" w:hAnsiTheme="minorEastAsia" w:eastAsiaTheme="minorEastAsia" w:cstheme="minorEastAsia"/>
          <w:strike w:val="0"/>
          <w:dstrike w:val="0"/>
          <w:kern w:val="2"/>
          <w:sz w:val="28"/>
          <w:szCs w:val="28"/>
          <w:highlight w:val="none"/>
          <w:lang w:val="en-US" w:eastAsia="zh-CN" w:bidi="ar-SA"/>
        </w:rPr>
        <w:t>项目实施</w:t>
      </w:r>
      <w:r>
        <w:rPr>
          <w:rFonts w:hint="default" w:asciiTheme="minorEastAsia" w:hAnsiTheme="minorEastAsia" w:eastAsiaTheme="minorEastAsia" w:cstheme="minorEastAsia"/>
          <w:strike w:val="0"/>
          <w:dstrike w:val="0"/>
          <w:kern w:val="2"/>
          <w:sz w:val="28"/>
          <w:szCs w:val="28"/>
          <w:highlight w:val="none"/>
          <w:lang w:eastAsia="zh-CN" w:bidi="ar-SA"/>
        </w:rPr>
        <w:t>过程中符合</w:t>
      </w:r>
      <w:r>
        <w:rPr>
          <w:rFonts w:hint="eastAsia" w:asciiTheme="minorEastAsia" w:hAnsiTheme="minorEastAsia" w:eastAsiaTheme="minorEastAsia" w:cstheme="minorEastAsia"/>
          <w:strike w:val="0"/>
          <w:dstrike w:val="0"/>
          <w:kern w:val="2"/>
          <w:sz w:val="28"/>
          <w:szCs w:val="28"/>
          <w:highlight w:val="none"/>
          <w:lang w:val="en-US" w:eastAsia="zh-CN" w:bidi="ar-SA"/>
        </w:rPr>
        <w:t>相关管理规定，不存在截留、挤占、挪用、虚列支出等情况。</w:t>
      </w:r>
    </w:p>
    <w:p>
      <w:pPr>
        <w:spacing w:line="360" w:lineRule="auto"/>
        <w:ind w:firstLine="563" w:firstLineChars="176"/>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（三）项目产出情况</w:t>
      </w:r>
    </w:p>
    <w:p>
      <w:pPr>
        <w:keepNext w:val="0"/>
        <w:keepLines w:val="0"/>
        <w:pageBreakBefore w:val="0"/>
        <w:widowControl/>
        <w:kinsoku/>
        <w:wordWrap/>
        <w:overflowPunct/>
        <w:topLinePunct w:val="0"/>
        <w:autoSpaceDE/>
        <w:autoSpaceDN/>
        <w:bidi w:val="0"/>
        <w:adjustRightInd/>
        <w:snapToGrid/>
        <w:spacing w:line="240" w:lineRule="auto"/>
        <w:ind w:left="837" w:leftChars="399" w:firstLine="0" w:firstLineChars="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1.项目产出数量分析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项目完成了年初制定的产出数量指标。具体包括：6个“互联网+全民义务植树”基地接待批次达到326批次、人数达到39948人次、</w:t>
      </w:r>
      <w:r>
        <w:rPr>
          <w:rFonts w:hint="eastAsia" w:asciiTheme="minorEastAsia" w:hAnsiTheme="minorEastAsia" w:eastAsiaTheme="minorEastAsia" w:cstheme="minorEastAsia"/>
          <w:strike w:val="0"/>
          <w:dstrike w:val="0"/>
          <w:kern w:val="2"/>
          <w:sz w:val="28"/>
          <w:szCs w:val="28"/>
          <w:highlight w:val="none"/>
          <w:lang w:val="en-US" w:eastAsia="zh-CN" w:bidi="ar-SA"/>
        </w:rPr>
        <w:t>折算尽责株数达到66000株以上</w:t>
      </w:r>
      <w:r>
        <w:rPr>
          <w:rFonts w:hint="eastAsia" w:asciiTheme="minorEastAsia" w:hAnsiTheme="minorEastAsia" w:eastAsiaTheme="minorEastAsia" w:cstheme="minorEastAsia"/>
          <w:strike w:val="0"/>
          <w:dstrike w:val="0"/>
          <w:kern w:val="2"/>
          <w:sz w:val="28"/>
          <w:szCs w:val="28"/>
          <w:lang w:val="en-US" w:eastAsia="zh-CN" w:bidi="ar-SA"/>
        </w:rPr>
        <w:t>，对35个社区和50个村庄进行实物补助，补助4处森林城市体验中心建设。</w:t>
      </w:r>
    </w:p>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strike w:val="0"/>
          <w:dstrike w:val="0"/>
          <w:kern w:val="2"/>
          <w:sz w:val="28"/>
          <w:szCs w:val="28"/>
          <w:lang w:val="en-US" w:eastAsia="zh-CN" w:bidi="ar-SA"/>
        </w:rPr>
        <w:sectPr>
          <w:footerReference r:id="rId3" w:type="default"/>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2.项目产出质量分析</w:t>
      </w:r>
    </w:p>
    <w:p>
      <w:pPr>
        <w:spacing w:line="360" w:lineRule="auto"/>
        <w:ind w:firstLine="492" w:firstLineChars="176"/>
        <w:outlineLvl w:val="0"/>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已按照《首都绿化委员会关于深入开展首都全民义务植树工作的指导意见》的服务标准开展各项工作，服务接待率达</w:t>
      </w:r>
      <w:r>
        <w:rPr>
          <w:rFonts w:hint="eastAsia" w:asciiTheme="minorEastAsia" w:hAnsiTheme="minorEastAsia" w:eastAsiaTheme="minorEastAsia" w:cstheme="minorEastAsia"/>
          <w:strike w:val="0"/>
          <w:dstrike w:val="0"/>
          <w:kern w:val="2"/>
          <w:sz w:val="28"/>
          <w:szCs w:val="28"/>
          <w:highlight w:val="none"/>
          <w:lang w:val="en-US" w:eastAsia="zh-CN" w:bidi="ar-SA"/>
        </w:rPr>
        <w:t>到100%，</w:t>
      </w:r>
      <w:r>
        <w:rPr>
          <w:rFonts w:hint="eastAsia" w:ascii="宋体" w:hAnsi="宋体" w:cs="仿宋_GB2312"/>
          <w:bCs/>
          <w:color w:val="000000"/>
          <w:kern w:val="2"/>
          <w:sz w:val="28"/>
          <w:szCs w:val="28"/>
          <w:lang w:val="en-US" w:eastAsia="zh-CN" w:bidi="ar-SA"/>
        </w:rPr>
        <w:t>市花月季等乡土植物</w:t>
      </w:r>
      <w:r>
        <w:rPr>
          <w:rFonts w:hint="eastAsia" w:ascii="宋体" w:hAnsi="宋体" w:eastAsia="宋体" w:cs="仿宋_GB2312"/>
          <w:bCs/>
          <w:color w:val="000000"/>
          <w:kern w:val="2"/>
          <w:sz w:val="28"/>
          <w:szCs w:val="28"/>
          <w:lang w:val="en-US" w:eastAsia="zh-CN" w:bidi="ar-SA"/>
        </w:rPr>
        <w:t>符合采购质量标准</w:t>
      </w:r>
      <w:r>
        <w:rPr>
          <w:rFonts w:hint="eastAsia" w:ascii="宋体" w:hAnsi="宋体" w:cs="仿宋_GB2312"/>
          <w:bCs/>
          <w:color w:val="000000"/>
          <w:kern w:val="2"/>
          <w:sz w:val="28"/>
          <w:szCs w:val="28"/>
          <w:lang w:val="en-US" w:eastAsia="zh-CN" w:bidi="ar-SA"/>
        </w:rPr>
        <w:t>，</w:t>
      </w:r>
      <w:r>
        <w:rPr>
          <w:rFonts w:hint="eastAsia" w:asciiTheme="minorEastAsia" w:hAnsiTheme="minorEastAsia" w:eastAsiaTheme="minorEastAsia" w:cstheme="minorEastAsia"/>
          <w:strike w:val="0"/>
          <w:dstrike w:val="0"/>
          <w:kern w:val="2"/>
          <w:sz w:val="28"/>
          <w:szCs w:val="28"/>
          <w:lang w:val="en-US" w:eastAsia="zh-CN" w:bidi="ar-SA"/>
        </w:rPr>
        <w:t>4处森林城市体验中心具备对外开放条件，为传播森林城市理念发挥作用。</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3.项目产出时效分析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宋体" w:hAnsi="宋体"/>
          <w:color w:val="000000"/>
          <w:sz w:val="28"/>
          <w:szCs w:val="28"/>
          <w:lang w:val="en-US" w:eastAsia="zh-CN"/>
        </w:rPr>
        <w:t>已在2023年度完成各项补助工作</w:t>
      </w:r>
      <w:r>
        <w:rPr>
          <w:rFonts w:hint="eastAsia" w:asciiTheme="minorEastAsia" w:hAnsiTheme="minorEastAsia" w:eastAsiaTheme="minorEastAsia" w:cstheme="minorEastAsia"/>
          <w:strike w:val="0"/>
          <w:dstrike w:val="0"/>
          <w:kern w:val="2"/>
          <w:sz w:val="28"/>
          <w:szCs w:val="28"/>
          <w:lang w:val="en-US" w:eastAsia="zh-CN" w:bidi="ar-SA"/>
        </w:rPr>
        <w:t>。项目实施进度与计划基本相符。</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4.项目产出成本分析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该项目预算申报1,100.00万元，实际支出金额1,094.89万元，通过招标采购节约5.11万元，项目成本控制在预算范围内，该项目成本得到有效控制。</w:t>
      </w:r>
    </w:p>
    <w:p>
      <w:pPr>
        <w:spacing w:line="360" w:lineRule="auto"/>
        <w:ind w:firstLine="563" w:firstLineChars="176"/>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360" w:lineRule="auto"/>
        <w:ind w:firstLine="492" w:firstLineChars="176"/>
        <w:rPr>
          <w:rFonts w:hint="eastAsia" w:ascii="宋体" w:hAnsi="宋体" w:eastAsia="宋体" w:cs="宋体"/>
          <w:sz w:val="28"/>
          <w:szCs w:val="28"/>
          <w:highlight w:val="none"/>
        </w:rPr>
      </w:pPr>
      <w:r>
        <w:rPr>
          <w:rFonts w:hint="eastAsia" w:ascii="宋体" w:hAnsi="宋体" w:eastAsia="宋体" w:cs="宋体"/>
          <w:kern w:val="2"/>
          <w:sz w:val="28"/>
          <w:szCs w:val="28"/>
          <w:lang w:val="en-US" w:eastAsia="zh-CN" w:bidi="ar-SA"/>
        </w:rPr>
        <w:t>效益指标：广泛组织开展义务植树尽责活动，进一步探索了符合首都实际的义务植树尽责模式。首次利用3月12日植树节在全市组织开展“绿地大扫除”活动，19万干部群众踊跃参加。新建“互联网+全民义务植树基地”26个，为市民群众参与义务植树提供更多便利。</w:t>
      </w:r>
      <w:r>
        <w:rPr>
          <w:rFonts w:hint="eastAsia" w:ascii="宋体" w:hAnsi="宋体" w:cs="宋体"/>
          <w:kern w:val="2"/>
          <w:sz w:val="28"/>
          <w:szCs w:val="28"/>
          <w:lang w:val="en-US" w:eastAsia="zh-CN" w:bidi="ar-SA"/>
        </w:rPr>
        <w:t>已对拟创建花园式社区和首都森林村庄的单位进行补助</w:t>
      </w:r>
      <w:r>
        <w:rPr>
          <w:rFonts w:hint="eastAsia" w:ascii="宋体" w:hAnsi="宋体" w:eastAsia="宋体" w:cs="宋体"/>
          <w:kern w:val="2"/>
          <w:sz w:val="28"/>
          <w:szCs w:val="28"/>
          <w:lang w:val="en-US" w:eastAsia="zh-CN" w:bidi="ar-SA"/>
        </w:rPr>
        <w:t>市花月季，整体环境</w:t>
      </w:r>
      <w:r>
        <w:rPr>
          <w:rFonts w:hint="eastAsia" w:ascii="宋体" w:hAnsi="宋体" w:cs="宋体"/>
          <w:kern w:val="2"/>
          <w:sz w:val="28"/>
          <w:szCs w:val="28"/>
          <w:lang w:val="en-US" w:eastAsia="zh-CN" w:bidi="ar-SA"/>
        </w:rPr>
        <w:t>得到</w:t>
      </w:r>
      <w:r>
        <w:rPr>
          <w:rFonts w:hint="eastAsia" w:ascii="宋体" w:hAnsi="宋体" w:eastAsia="宋体" w:cs="宋体"/>
          <w:kern w:val="2"/>
          <w:sz w:val="28"/>
          <w:szCs w:val="28"/>
          <w:lang w:val="en-US" w:eastAsia="zh-CN" w:bidi="ar-SA"/>
        </w:rPr>
        <w:t>明显改善，现有资源</w:t>
      </w:r>
      <w:r>
        <w:rPr>
          <w:rFonts w:hint="eastAsia" w:ascii="宋体" w:hAnsi="宋体" w:cs="宋体"/>
          <w:kern w:val="2"/>
          <w:sz w:val="28"/>
          <w:szCs w:val="28"/>
          <w:lang w:val="en-US" w:eastAsia="zh-CN" w:bidi="ar-SA"/>
        </w:rPr>
        <w:t>得到</w:t>
      </w:r>
      <w:r>
        <w:rPr>
          <w:rFonts w:hint="eastAsia" w:ascii="宋体" w:hAnsi="宋体" w:eastAsia="宋体" w:cs="宋体"/>
          <w:kern w:val="2"/>
          <w:sz w:val="28"/>
          <w:szCs w:val="28"/>
          <w:lang w:val="en-US" w:eastAsia="zh-CN" w:bidi="ar-SA"/>
        </w:rPr>
        <w:t>有效利用，生态环境质量进一步提升。</w:t>
      </w:r>
      <w:r>
        <w:rPr>
          <w:rFonts w:hint="eastAsia" w:ascii="宋体" w:hAnsi="宋体" w:cs="宋体"/>
          <w:kern w:val="2"/>
          <w:sz w:val="28"/>
          <w:szCs w:val="28"/>
          <w:lang w:val="en-US" w:eastAsia="zh-CN" w:bidi="ar-SA"/>
        </w:rPr>
        <w:t>已完成</w:t>
      </w:r>
      <w:r>
        <w:rPr>
          <w:rFonts w:hint="eastAsia" w:ascii="宋体" w:hAnsi="宋体" w:eastAsia="宋体" w:cs="宋体"/>
          <w:kern w:val="2"/>
          <w:sz w:val="28"/>
          <w:szCs w:val="28"/>
          <w:lang w:val="en-US" w:eastAsia="zh-CN" w:bidi="ar-SA"/>
        </w:rPr>
        <w:t>建设不同主题的森林城市体验中心，充分展示</w:t>
      </w:r>
      <w:r>
        <w:rPr>
          <w:rFonts w:hint="eastAsia" w:ascii="宋体" w:hAnsi="宋体" w:cs="宋体"/>
          <w:kern w:val="2"/>
          <w:sz w:val="28"/>
          <w:szCs w:val="28"/>
          <w:lang w:val="en-US" w:eastAsia="zh-CN" w:bidi="ar-SA"/>
        </w:rPr>
        <w:t>了</w:t>
      </w:r>
      <w:r>
        <w:rPr>
          <w:rFonts w:hint="eastAsia" w:ascii="宋体" w:hAnsi="宋体" w:eastAsia="宋体" w:cs="宋体"/>
          <w:kern w:val="2"/>
          <w:sz w:val="28"/>
          <w:szCs w:val="28"/>
          <w:lang w:val="en-US" w:eastAsia="zh-CN" w:bidi="ar-SA"/>
        </w:rPr>
        <w:t>各区森林城市建设的成果，传播森林城市建设理念，普及森林城市建设的优势特点，引导广大市民</w:t>
      </w:r>
      <w:r>
        <w:rPr>
          <w:rFonts w:hint="eastAsia" w:ascii="宋体" w:hAnsi="宋体" w:eastAsia="宋体" w:cs="宋体"/>
          <w:kern w:val="2"/>
          <w:sz w:val="28"/>
          <w:szCs w:val="28"/>
          <w:highlight w:val="none"/>
          <w:lang w:val="en-US" w:eastAsia="zh-CN" w:bidi="ar-SA"/>
        </w:rPr>
        <w:t>积极投身到北京的生态文明建设中。</w:t>
      </w:r>
    </w:p>
    <w:p>
      <w:pPr>
        <w:spacing w:line="360" w:lineRule="auto"/>
        <w:ind w:firstLine="492" w:firstLineChars="176"/>
        <w:outlineLvl w:val="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服务对象满意度：尽责参与满意度≥9</w:t>
      </w:r>
      <w:r>
        <w:rPr>
          <w:rFonts w:hint="eastAsia" w:ascii="宋体" w:hAnsi="宋体" w:cs="宋体"/>
          <w:kern w:val="2"/>
          <w:sz w:val="28"/>
          <w:szCs w:val="28"/>
          <w:highlight w:val="none"/>
          <w:lang w:val="en-US" w:eastAsia="zh-CN" w:bidi="ar-SA"/>
        </w:rPr>
        <w:t>6</w:t>
      </w:r>
      <w:r>
        <w:rPr>
          <w:rFonts w:hint="eastAsia" w:ascii="宋体" w:hAnsi="宋体" w:eastAsia="宋体" w:cs="宋体"/>
          <w:kern w:val="2"/>
          <w:sz w:val="28"/>
          <w:szCs w:val="28"/>
          <w:highlight w:val="none"/>
          <w:lang w:val="en-US" w:eastAsia="zh-CN" w:bidi="ar-SA"/>
        </w:rPr>
        <w:t>%，群众对森林城市体验中心建设的满意度≥90%，</w:t>
      </w:r>
      <w:r>
        <w:rPr>
          <w:rFonts w:hint="eastAsia" w:ascii="宋体" w:hAnsi="宋体" w:cs="仿宋_GB2312"/>
          <w:bCs/>
          <w:color w:val="000000"/>
          <w:sz w:val="28"/>
          <w:szCs w:val="28"/>
        </w:rPr>
        <w:t>群众</w:t>
      </w:r>
      <w:r>
        <w:rPr>
          <w:rFonts w:hint="eastAsia" w:ascii="宋体" w:hAnsi="宋体" w:cs="仿宋_GB2312"/>
          <w:bCs/>
          <w:color w:val="000000"/>
          <w:sz w:val="28"/>
          <w:szCs w:val="28"/>
          <w:lang w:val="en-US" w:eastAsia="zh-CN"/>
        </w:rPr>
        <w:t>对实物补助的社区和村庄环境的满意度</w:t>
      </w:r>
      <w:r>
        <w:rPr>
          <w:rFonts w:hint="eastAsia" w:ascii="宋体" w:hAnsi="宋体" w:cs="仿宋_GB2312"/>
          <w:bCs/>
          <w:color w:val="000000"/>
          <w:sz w:val="28"/>
          <w:szCs w:val="28"/>
        </w:rPr>
        <w:t>≥90%</w:t>
      </w:r>
      <w:r>
        <w:rPr>
          <w:rFonts w:hint="eastAsia" w:ascii="宋体" w:hAnsi="宋体" w:cs="仿宋_GB2312"/>
          <w:bCs/>
          <w:color w:val="000000"/>
          <w:sz w:val="28"/>
          <w:szCs w:val="28"/>
          <w:lang w:eastAsia="zh-CN"/>
        </w:rPr>
        <w:t>，</w:t>
      </w:r>
      <w:r>
        <w:rPr>
          <w:rFonts w:hint="eastAsia" w:ascii="宋体" w:hAnsi="宋体" w:cs="宋体"/>
          <w:kern w:val="2"/>
          <w:sz w:val="28"/>
          <w:szCs w:val="28"/>
          <w:highlight w:val="none"/>
          <w:lang w:val="en-US" w:eastAsia="zh-CN" w:bidi="ar-SA"/>
        </w:rPr>
        <w:t>各项满意度指标均已完成，但</w:t>
      </w:r>
      <w:r>
        <w:rPr>
          <w:rFonts w:hint="eastAsia" w:ascii="宋体" w:hAnsi="宋体" w:cs="宋体"/>
          <w:sz w:val="28"/>
          <w:szCs w:val="28"/>
          <w:highlight w:val="none"/>
          <w:lang w:val="en-US" w:eastAsia="zh-CN"/>
        </w:rPr>
        <w:t>满意度调查还不够充分，对于满意度调查的深度和广度仍需加强，尤其是对满意度问卷中反馈问题建议的统计分析需要进一步深入</w:t>
      </w:r>
      <w:r>
        <w:rPr>
          <w:rFonts w:hint="eastAsia" w:ascii="宋体" w:hAnsi="宋体" w:eastAsia="宋体" w:cs="宋体"/>
          <w:kern w:val="2"/>
          <w:sz w:val="28"/>
          <w:szCs w:val="28"/>
          <w:highlight w:val="none"/>
          <w:lang w:val="en-US" w:eastAsia="zh-CN" w:bidi="ar-SA"/>
        </w:rPr>
        <w:t>。</w:t>
      </w: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五、</w:t>
      </w:r>
      <w:r>
        <w:rPr>
          <w:rFonts w:hint="eastAsia" w:ascii="黑体" w:hAnsi="黑体" w:eastAsia="黑体" w:cs="黑体"/>
          <w:sz w:val="32"/>
          <w:szCs w:val="32"/>
          <w:highlight w:val="none"/>
        </w:rPr>
        <w:t>主要经验及做法、存在的问</w:t>
      </w:r>
      <w:r>
        <w:rPr>
          <w:rFonts w:hint="eastAsia" w:ascii="黑体" w:hAnsi="黑体" w:eastAsia="黑体" w:cs="黑体"/>
          <w:sz w:val="32"/>
          <w:szCs w:val="32"/>
        </w:rPr>
        <w:t>题及原因分析</w:t>
      </w:r>
    </w:p>
    <w:p>
      <w:pPr>
        <w:numPr>
          <w:ilvl w:val="0"/>
          <w:numId w:val="0"/>
        </w:numPr>
        <w:spacing w:line="360" w:lineRule="auto"/>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rPr>
        <w:t>主要经验及做法</w:t>
      </w:r>
    </w:p>
    <w:p>
      <w:pPr>
        <w:numPr>
          <w:ilvl w:val="0"/>
          <w:numId w:val="0"/>
        </w:num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通过</w:t>
      </w:r>
      <w:r>
        <w:rPr>
          <w:rFonts w:hint="eastAsia" w:ascii="宋体" w:hAnsi="宋体" w:cs="宋体"/>
          <w:sz w:val="28"/>
          <w:szCs w:val="28"/>
          <w:highlight w:val="none"/>
          <w:lang w:val="en-US" w:eastAsia="zh-CN"/>
        </w:rPr>
        <w:t>事</w:t>
      </w:r>
      <w:r>
        <w:rPr>
          <w:rFonts w:hint="eastAsia" w:ascii="宋体" w:hAnsi="宋体" w:eastAsia="宋体" w:cs="宋体"/>
          <w:sz w:val="28"/>
          <w:szCs w:val="28"/>
          <w:highlight w:val="none"/>
          <w:lang w:val="en-US" w:eastAsia="zh-CN"/>
        </w:rPr>
        <w:t>前评估</w:t>
      </w:r>
      <w:r>
        <w:rPr>
          <w:rFonts w:hint="eastAsia" w:ascii="宋体" w:hAnsi="宋体" w:eastAsia="宋体" w:cs="宋体"/>
          <w:sz w:val="28"/>
          <w:szCs w:val="28"/>
          <w:highlight w:val="none"/>
        </w:rPr>
        <w:t>分析与论证，项目的设立与政策要求、现实需求相关，绩效目标基本明确，实施方案内容较明确，筹资程序规范且预算资金投入方式基本合理，项目预算测算合理性，</w:t>
      </w:r>
      <w:r>
        <w:rPr>
          <w:rFonts w:hint="eastAsia" w:ascii="宋体" w:hAnsi="宋体" w:cs="宋体"/>
          <w:sz w:val="28"/>
          <w:szCs w:val="28"/>
          <w:highlight w:val="none"/>
          <w:lang w:val="en-US" w:eastAsia="zh-CN"/>
        </w:rPr>
        <w:t>确保</w:t>
      </w:r>
      <w:r>
        <w:rPr>
          <w:rFonts w:hint="eastAsia" w:ascii="宋体" w:hAnsi="宋体" w:eastAsia="宋体" w:cs="宋体"/>
          <w:sz w:val="28"/>
          <w:szCs w:val="28"/>
          <w:highlight w:val="none"/>
        </w:rPr>
        <w:t>项目管理制度及风险控制措施</w:t>
      </w:r>
      <w:r>
        <w:rPr>
          <w:rFonts w:hint="eastAsia" w:ascii="宋体" w:hAnsi="宋体" w:cs="宋体"/>
          <w:sz w:val="28"/>
          <w:szCs w:val="28"/>
          <w:highlight w:val="none"/>
          <w:lang w:val="en-US" w:eastAsia="zh-CN"/>
        </w:rPr>
        <w:t>完整、</w:t>
      </w:r>
      <w:r>
        <w:rPr>
          <w:rFonts w:hint="eastAsia" w:ascii="宋体" w:hAnsi="宋体" w:eastAsia="宋体" w:cs="宋体"/>
          <w:sz w:val="28"/>
          <w:szCs w:val="28"/>
          <w:highlight w:val="none"/>
        </w:rPr>
        <w:t>全面</w:t>
      </w:r>
      <w:r>
        <w:rPr>
          <w:rFonts w:hint="eastAsia" w:ascii="宋体" w:hAnsi="宋体" w:cs="宋体"/>
          <w:sz w:val="28"/>
          <w:szCs w:val="28"/>
          <w:highlight w:val="none"/>
          <w:lang w:eastAsia="zh-CN"/>
        </w:rPr>
        <w:t>地</w:t>
      </w:r>
      <w:r>
        <w:rPr>
          <w:rFonts w:hint="eastAsia" w:ascii="宋体" w:hAnsi="宋体" w:cs="宋体"/>
          <w:sz w:val="28"/>
          <w:szCs w:val="28"/>
          <w:highlight w:val="none"/>
          <w:lang w:val="en-US" w:eastAsia="zh-CN"/>
        </w:rPr>
        <w:t>顺利完成</w:t>
      </w:r>
      <w:r>
        <w:rPr>
          <w:rFonts w:hint="eastAsia" w:ascii="宋体" w:hAnsi="宋体" w:eastAsia="宋体" w:cs="宋体"/>
          <w:sz w:val="28"/>
          <w:szCs w:val="28"/>
          <w:highlight w:val="none"/>
        </w:rPr>
        <w:t>。</w:t>
      </w:r>
    </w:p>
    <w:p>
      <w:pPr>
        <w:numPr>
          <w:ilvl w:val="0"/>
          <w:numId w:val="0"/>
        </w:numPr>
        <w:spacing w:line="360" w:lineRule="auto"/>
        <w:ind w:firstLine="640" w:firstLineChars="200"/>
        <w:rPr>
          <w:rFonts w:hint="eastAsia" w:ascii="宋体" w:hAnsi="宋体" w:eastAsia="宋体" w:cs="宋体"/>
          <w:sz w:val="28"/>
          <w:szCs w:val="28"/>
          <w:highlight w:val="none"/>
          <w:lang w:val="en-US" w:eastAsia="zh-CN"/>
        </w:rPr>
      </w:pPr>
      <w:r>
        <w:rPr>
          <w:rFonts w:hint="eastAsia" w:ascii="楷体_GB2312" w:hAnsi="楷体_GB2312" w:eastAsia="楷体_GB2312" w:cs="楷体_GB2312"/>
          <w:sz w:val="32"/>
          <w:szCs w:val="32"/>
          <w:lang w:val="en-US" w:eastAsia="zh-CN"/>
        </w:rPr>
        <w:t>（二）存在的问题及原因分析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宋体" w:hAnsi="宋体" w:cs="宋体"/>
          <w:sz w:val="28"/>
          <w:szCs w:val="28"/>
          <w:highlight w:val="none"/>
          <w:lang w:val="en-US" w:eastAsia="zh-CN"/>
        </w:rPr>
        <w:t>1.</w:t>
      </w:r>
      <w:r>
        <w:rPr>
          <w:rFonts w:hint="eastAsia" w:asciiTheme="minorEastAsia" w:hAnsiTheme="minorEastAsia" w:eastAsiaTheme="minorEastAsia" w:cstheme="minorEastAsia"/>
          <w:strike w:val="0"/>
          <w:dstrike w:val="0"/>
          <w:kern w:val="2"/>
          <w:sz w:val="28"/>
          <w:szCs w:val="28"/>
          <w:lang w:val="en-US" w:eastAsia="zh-CN" w:bidi="ar-SA"/>
        </w:rPr>
        <w:t>项目预算编制不够细化。各子项目仅对相关支出类别金额进行明确，均未细化到具体的数量及单价，无法对该项目的预算额度进行合理性确认。资金测算过程充分性不足。</w:t>
      </w:r>
    </w:p>
    <w:p>
      <w:pPr>
        <w:numPr>
          <w:ilvl w:val="0"/>
          <w:numId w:val="0"/>
        </w:numPr>
        <w:spacing w:line="360" w:lineRule="auto"/>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2.</w:t>
      </w:r>
      <w:r>
        <w:rPr>
          <w:rFonts w:hint="eastAsia" w:ascii="宋体" w:hAnsi="宋体" w:eastAsia="宋体" w:cs="宋体"/>
          <w:sz w:val="28"/>
          <w:szCs w:val="28"/>
          <w:highlight w:val="none"/>
        </w:rPr>
        <w:t>绩效指标设置不够科学。</w:t>
      </w:r>
      <w:r>
        <w:rPr>
          <w:rFonts w:hint="eastAsia" w:ascii="宋体" w:hAnsi="宋体" w:cs="宋体"/>
          <w:sz w:val="28"/>
          <w:szCs w:val="28"/>
          <w:highlight w:val="none"/>
          <w:lang w:val="en-US" w:eastAsia="zh-CN"/>
        </w:rPr>
        <w:t>未设置生态</w:t>
      </w:r>
      <w:r>
        <w:rPr>
          <w:rFonts w:hint="eastAsia" w:ascii="宋体" w:hAnsi="宋体" w:eastAsia="宋体" w:cs="宋体"/>
          <w:sz w:val="28"/>
          <w:szCs w:val="28"/>
          <w:highlight w:val="none"/>
        </w:rPr>
        <w:t>效益以及可持续影响指标，</w:t>
      </w:r>
      <w:r>
        <w:rPr>
          <w:rFonts w:hint="eastAsia" w:ascii="宋体" w:hAnsi="宋体" w:cs="宋体"/>
          <w:sz w:val="28"/>
          <w:szCs w:val="28"/>
          <w:highlight w:val="none"/>
          <w:lang w:val="en-US" w:eastAsia="zh-CN"/>
        </w:rPr>
        <w:t>并且</w:t>
      </w:r>
      <w:r>
        <w:rPr>
          <w:rFonts w:hint="eastAsia" w:ascii="宋体" w:hAnsi="宋体" w:eastAsia="宋体" w:cs="宋体"/>
          <w:sz w:val="28"/>
          <w:szCs w:val="28"/>
          <w:highlight w:val="none"/>
        </w:rPr>
        <w:t>应提炼可量化的效益指标，有助于对项目完成情况进行考量。</w:t>
      </w:r>
    </w:p>
    <w:p>
      <w:pPr>
        <w:numPr>
          <w:ilvl w:val="0"/>
          <w:numId w:val="0"/>
        </w:numPr>
        <w:spacing w:line="360" w:lineRule="auto"/>
        <w:ind w:firstLine="560" w:firstLineChars="200"/>
        <w:rPr>
          <w:rFonts w:hint="eastAsia" w:ascii="宋体" w:hAnsi="宋体" w:cs="宋体"/>
          <w:sz w:val="28"/>
          <w:szCs w:val="28"/>
          <w:highlight w:val="none"/>
          <w:lang w:eastAsia="zh-CN"/>
        </w:rPr>
      </w:pPr>
      <w:r>
        <w:rPr>
          <w:rFonts w:hint="eastAsia" w:ascii="宋体" w:hAnsi="宋体" w:cs="宋体"/>
          <w:sz w:val="28"/>
          <w:szCs w:val="28"/>
          <w:highlight w:val="none"/>
          <w:lang w:val="en-US" w:eastAsia="zh-CN"/>
        </w:rPr>
        <w:t>3.</w:t>
      </w:r>
      <w:r>
        <w:rPr>
          <w:rFonts w:hint="eastAsia" w:ascii="宋体" w:hAnsi="宋体" w:eastAsia="宋体" w:cs="宋体"/>
          <w:sz w:val="28"/>
          <w:szCs w:val="28"/>
          <w:highlight w:val="none"/>
        </w:rPr>
        <w:t>管理制度</w:t>
      </w:r>
      <w:r>
        <w:rPr>
          <w:rFonts w:hint="eastAsia" w:ascii="宋体" w:hAnsi="宋体" w:cs="宋体"/>
          <w:sz w:val="28"/>
          <w:szCs w:val="28"/>
          <w:highlight w:val="none"/>
          <w:lang w:val="en-US" w:eastAsia="zh-CN"/>
        </w:rPr>
        <w:t>需要进一步完善</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该项目的管理办法</w:t>
      </w:r>
      <w:r>
        <w:rPr>
          <w:rFonts w:hint="eastAsia" w:ascii="宋体" w:hAnsi="宋体" w:cs="宋体"/>
          <w:sz w:val="28"/>
          <w:szCs w:val="28"/>
          <w:highlight w:val="none"/>
          <w:lang w:eastAsia="zh-CN"/>
        </w:rPr>
        <w:t>中</w:t>
      </w:r>
      <w:r>
        <w:rPr>
          <w:rFonts w:hint="eastAsia" w:ascii="宋体" w:hAnsi="宋体" w:cs="宋体"/>
          <w:sz w:val="28"/>
          <w:szCs w:val="28"/>
          <w:highlight w:val="none"/>
          <w:lang w:val="en-US" w:eastAsia="zh-CN"/>
        </w:rPr>
        <w:t>未涉及资金使用及管理的情况</w:t>
      </w:r>
      <w:r>
        <w:rPr>
          <w:rFonts w:hint="eastAsia" w:ascii="宋体" w:hAnsi="宋体" w:cs="宋体"/>
          <w:sz w:val="28"/>
          <w:szCs w:val="28"/>
          <w:highlight w:val="none"/>
          <w:lang w:eastAsia="zh-CN"/>
        </w:rPr>
        <w:t>。</w:t>
      </w:r>
    </w:p>
    <w:p>
      <w:pPr>
        <w:numPr>
          <w:ilvl w:val="0"/>
          <w:numId w:val="1"/>
        </w:numPr>
        <w:spacing w:line="600" w:lineRule="exact"/>
        <w:ind w:firstLine="640" w:firstLineChars="200"/>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有关建议</w:t>
      </w:r>
    </w:p>
    <w:p>
      <w:pPr>
        <w:spacing w:line="60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（一）细化预算编制</w:t>
      </w:r>
    </w:p>
    <w:p>
      <w:pPr>
        <w:spacing w:line="600" w:lineRule="exact"/>
        <w:ind w:firstLine="560" w:firstLineChars="200"/>
        <w:outlineLvl w:val="0"/>
        <w:rPr>
          <w:rFonts w:hint="eastAsia" w:ascii="宋体" w:hAnsi="宋体" w:eastAsia="宋体" w:cs="仿宋_GB2312"/>
          <w:bCs/>
          <w:color w:val="000000"/>
          <w:sz w:val="28"/>
          <w:szCs w:val="28"/>
          <w:highlight w:val="none"/>
          <w:lang w:val="en-US" w:eastAsia="zh-CN"/>
        </w:rPr>
      </w:pPr>
      <w:r>
        <w:rPr>
          <w:rFonts w:hint="eastAsia" w:ascii="宋体" w:hAnsi="宋体" w:cs="仿宋_GB2312"/>
          <w:bCs/>
          <w:color w:val="000000"/>
          <w:sz w:val="28"/>
          <w:szCs w:val="28"/>
          <w:highlight w:val="none"/>
        </w:rPr>
        <w:t>建议进一步细化预算，各项支出明细应全面、完整列示，以便更好地反映</w:t>
      </w:r>
      <w:r>
        <w:rPr>
          <w:rFonts w:hint="eastAsia" w:ascii="宋体" w:hAnsi="宋体" w:cs="仿宋_GB2312"/>
          <w:bCs/>
          <w:color w:val="000000"/>
          <w:sz w:val="28"/>
          <w:szCs w:val="28"/>
          <w:highlight w:val="none"/>
          <w:lang w:val="en-US" w:eastAsia="zh-CN"/>
        </w:rPr>
        <w:t>本单位</w:t>
      </w:r>
      <w:r>
        <w:rPr>
          <w:rFonts w:hint="eastAsia" w:ascii="宋体" w:hAnsi="宋体" w:cs="仿宋_GB2312"/>
          <w:bCs/>
          <w:color w:val="000000"/>
          <w:sz w:val="28"/>
          <w:szCs w:val="28"/>
          <w:highlight w:val="none"/>
        </w:rPr>
        <w:t>的实际需求和支出情况</w:t>
      </w:r>
      <w:r>
        <w:rPr>
          <w:rFonts w:hint="eastAsia" w:ascii="宋体" w:hAnsi="宋体" w:cs="仿宋_GB2312"/>
          <w:bCs/>
          <w:color w:val="000000"/>
          <w:sz w:val="28"/>
          <w:szCs w:val="28"/>
          <w:highlight w:val="none"/>
          <w:lang w:eastAsia="zh-CN"/>
        </w:rPr>
        <w:t>，</w:t>
      </w:r>
      <w:r>
        <w:rPr>
          <w:rFonts w:hint="eastAsia" w:ascii="宋体" w:hAnsi="宋体" w:cs="仿宋_GB2312"/>
          <w:bCs/>
          <w:color w:val="000000"/>
          <w:sz w:val="28"/>
          <w:szCs w:val="28"/>
          <w:highlight w:val="none"/>
        </w:rPr>
        <w:t>有助于提高预算编制的准确性和完整性</w:t>
      </w:r>
      <w:r>
        <w:rPr>
          <w:rFonts w:hint="eastAsia" w:ascii="宋体" w:hAnsi="宋体" w:cs="仿宋_GB2312"/>
          <w:bCs/>
          <w:color w:val="000000"/>
          <w:sz w:val="28"/>
          <w:szCs w:val="28"/>
          <w:highlight w:val="none"/>
          <w:lang w:eastAsia="zh-CN"/>
        </w:rPr>
        <w:t>，</w:t>
      </w:r>
      <w:r>
        <w:rPr>
          <w:rFonts w:hint="eastAsia" w:ascii="宋体" w:hAnsi="宋体" w:cs="仿宋_GB2312"/>
          <w:bCs/>
          <w:color w:val="000000"/>
          <w:sz w:val="28"/>
          <w:szCs w:val="28"/>
          <w:highlight w:val="none"/>
        </w:rPr>
        <w:t>不仅能保证资金的有效利用，还能为后续的预算执行情况分析提供更为准确的数据支持</w:t>
      </w:r>
      <w:r>
        <w:rPr>
          <w:rFonts w:hint="eastAsia" w:ascii="宋体" w:hAnsi="宋体" w:cs="仿宋_GB2312"/>
          <w:bCs/>
          <w:color w:val="000000"/>
          <w:sz w:val="28"/>
          <w:szCs w:val="28"/>
          <w:highlight w:val="none"/>
          <w:lang w:eastAsia="zh-CN"/>
        </w:rPr>
        <w:t>，</w:t>
      </w:r>
      <w:r>
        <w:rPr>
          <w:rFonts w:hint="eastAsia" w:ascii="宋体" w:hAnsi="宋体" w:cs="仿宋_GB2312"/>
          <w:bCs/>
          <w:color w:val="000000"/>
          <w:sz w:val="28"/>
          <w:szCs w:val="28"/>
          <w:highlight w:val="none"/>
          <w:lang w:val="en-US" w:eastAsia="zh-CN"/>
        </w:rPr>
        <w:t>有助于</w:t>
      </w:r>
      <w:r>
        <w:rPr>
          <w:rFonts w:hint="eastAsia" w:ascii="宋体" w:hAnsi="宋体" w:cs="仿宋_GB2312"/>
          <w:bCs/>
          <w:color w:val="000000"/>
          <w:sz w:val="28"/>
          <w:szCs w:val="28"/>
          <w:highlight w:val="none"/>
        </w:rPr>
        <w:t>加强预算执行的监督和管理</w:t>
      </w:r>
      <w:r>
        <w:rPr>
          <w:rFonts w:hint="eastAsia" w:ascii="宋体" w:hAnsi="宋体" w:cs="仿宋_GB2312"/>
          <w:bCs/>
          <w:color w:val="000000"/>
          <w:sz w:val="28"/>
          <w:szCs w:val="28"/>
          <w:highlight w:val="none"/>
          <w:lang w:eastAsia="zh-CN"/>
        </w:rPr>
        <w:t>，</w:t>
      </w:r>
      <w:r>
        <w:rPr>
          <w:rFonts w:hint="eastAsia" w:ascii="宋体" w:hAnsi="宋体" w:cs="仿宋_GB2312"/>
          <w:bCs/>
          <w:color w:val="000000"/>
          <w:sz w:val="28"/>
          <w:szCs w:val="28"/>
          <w:highlight w:val="none"/>
          <w:lang w:val="en-US" w:eastAsia="zh-CN"/>
        </w:rPr>
        <w:t>完善</w:t>
      </w:r>
      <w:r>
        <w:rPr>
          <w:rFonts w:hint="eastAsia" w:ascii="宋体" w:hAnsi="宋体" w:cs="仿宋_GB2312"/>
          <w:bCs/>
          <w:color w:val="000000"/>
          <w:sz w:val="28"/>
          <w:szCs w:val="28"/>
          <w:highlight w:val="none"/>
        </w:rPr>
        <w:t>内部控制</w:t>
      </w:r>
      <w:r>
        <w:rPr>
          <w:rFonts w:hint="eastAsia" w:ascii="宋体" w:hAnsi="宋体" w:cs="仿宋_GB2312"/>
          <w:bCs/>
          <w:color w:val="000000"/>
          <w:sz w:val="28"/>
          <w:szCs w:val="28"/>
          <w:highlight w:val="none"/>
          <w:lang w:val="en-US" w:eastAsia="zh-CN"/>
        </w:rPr>
        <w:t>建设，</w:t>
      </w:r>
      <w:r>
        <w:rPr>
          <w:rFonts w:hint="eastAsia" w:ascii="宋体" w:hAnsi="宋体" w:cs="仿宋_GB2312"/>
          <w:bCs/>
          <w:color w:val="000000"/>
          <w:sz w:val="28"/>
          <w:szCs w:val="28"/>
          <w:highlight w:val="none"/>
        </w:rPr>
        <w:t>提升财务管理水平、优化资源配置</w:t>
      </w:r>
      <w:r>
        <w:rPr>
          <w:rFonts w:hint="eastAsia" w:ascii="宋体" w:hAnsi="宋体" w:cs="仿宋_GB2312"/>
          <w:bCs/>
          <w:color w:val="000000"/>
          <w:sz w:val="28"/>
          <w:szCs w:val="28"/>
          <w:highlight w:val="none"/>
          <w:lang w:val="en-US" w:eastAsia="zh-CN"/>
        </w:rPr>
        <w:t>。</w:t>
      </w:r>
    </w:p>
    <w:p>
      <w:pPr>
        <w:spacing w:line="60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（二）强绩效指标设置</w:t>
      </w:r>
    </w:p>
    <w:p>
      <w:pPr>
        <w:pStyle w:val="2"/>
        <w:rPr>
          <w:rFonts w:hint="eastAsia" w:ascii="宋体" w:hAnsi="宋体" w:eastAsia="宋体" w:cs="仿宋_GB2312"/>
          <w:bCs/>
          <w:color w:val="000000"/>
          <w:kern w:val="2"/>
          <w:sz w:val="28"/>
          <w:szCs w:val="28"/>
          <w:highlight w:val="none"/>
          <w:lang w:val="en-US" w:eastAsia="zh-CN" w:bidi="ar-SA"/>
        </w:rPr>
      </w:pPr>
      <w:r>
        <w:rPr>
          <w:rFonts w:hint="eastAsia" w:ascii="宋体" w:hAnsi="宋体" w:cs="仿宋_GB2312"/>
          <w:bCs/>
          <w:color w:val="000000"/>
          <w:sz w:val="28"/>
          <w:szCs w:val="28"/>
          <w:highlight w:val="none"/>
        </w:rPr>
        <w:t>进一步加强对绩效指标设置的精细化与科学化。应针对</w:t>
      </w:r>
      <w:r>
        <w:rPr>
          <w:rFonts w:hint="eastAsia" w:ascii="宋体" w:hAnsi="宋体" w:cs="仿宋_GB2312"/>
          <w:bCs/>
          <w:color w:val="000000"/>
          <w:sz w:val="28"/>
          <w:szCs w:val="28"/>
          <w:highlight w:val="none"/>
          <w:lang w:val="en-US" w:eastAsia="zh-CN"/>
        </w:rPr>
        <w:t>该</w:t>
      </w:r>
      <w:r>
        <w:rPr>
          <w:rFonts w:hint="eastAsia" w:ascii="宋体" w:hAnsi="宋体" w:cs="仿宋_GB2312"/>
          <w:bCs/>
          <w:color w:val="000000"/>
          <w:sz w:val="28"/>
          <w:szCs w:val="28"/>
          <w:highlight w:val="none"/>
        </w:rPr>
        <w:t>项目的独特性和实际需求，确保指标既符合项目的整体目标，</w:t>
      </w:r>
      <w:r>
        <w:rPr>
          <w:rFonts w:hint="eastAsia" w:ascii="宋体" w:hAnsi="宋体" w:cs="仿宋_GB2312"/>
          <w:bCs/>
          <w:color w:val="000000"/>
          <w:sz w:val="28"/>
          <w:szCs w:val="28"/>
          <w:highlight w:val="none"/>
          <w:lang w:val="en-US" w:eastAsia="zh-CN"/>
        </w:rPr>
        <w:t>又</w:t>
      </w:r>
      <w:r>
        <w:rPr>
          <w:rFonts w:hint="eastAsia" w:ascii="宋体" w:hAnsi="宋体" w:cs="仿宋_GB2312"/>
          <w:bCs/>
          <w:color w:val="000000"/>
          <w:sz w:val="28"/>
          <w:szCs w:val="28"/>
          <w:highlight w:val="none"/>
        </w:rPr>
        <w:t>能充分反映项目的实际成效</w:t>
      </w:r>
      <w:r>
        <w:rPr>
          <w:rFonts w:hint="eastAsia" w:ascii="宋体" w:hAnsi="宋体" w:cs="仿宋_GB2312"/>
          <w:bCs/>
          <w:color w:val="000000"/>
          <w:sz w:val="28"/>
          <w:szCs w:val="28"/>
          <w:highlight w:val="none"/>
          <w:lang w:eastAsia="zh-CN"/>
        </w:rPr>
        <w:t>，</w:t>
      </w:r>
      <w:r>
        <w:rPr>
          <w:rFonts w:hint="eastAsia" w:ascii="宋体" w:hAnsi="宋体" w:cs="仿宋_GB2312"/>
          <w:bCs/>
          <w:color w:val="000000"/>
          <w:sz w:val="28"/>
          <w:szCs w:val="28"/>
          <w:highlight w:val="none"/>
        </w:rPr>
        <w:t>科学合理</w:t>
      </w:r>
      <w:r>
        <w:rPr>
          <w:rFonts w:hint="eastAsia" w:ascii="宋体" w:hAnsi="宋体" w:cs="仿宋_GB2312"/>
          <w:bCs/>
          <w:color w:val="000000"/>
          <w:sz w:val="28"/>
          <w:szCs w:val="28"/>
          <w:highlight w:val="none"/>
          <w:lang w:val="en-US" w:eastAsia="zh-CN"/>
        </w:rPr>
        <w:t>地</w:t>
      </w:r>
      <w:r>
        <w:rPr>
          <w:rFonts w:hint="eastAsia" w:ascii="宋体" w:hAnsi="宋体" w:cs="仿宋_GB2312"/>
          <w:bCs/>
          <w:color w:val="000000"/>
          <w:sz w:val="28"/>
          <w:szCs w:val="28"/>
          <w:highlight w:val="none"/>
        </w:rPr>
        <w:t>设置可衡量</w:t>
      </w:r>
      <w:r>
        <w:rPr>
          <w:rFonts w:hint="eastAsia" w:ascii="宋体" w:hAnsi="宋体" w:cs="仿宋_GB2312"/>
          <w:bCs/>
          <w:color w:val="000000"/>
          <w:sz w:val="28"/>
          <w:szCs w:val="28"/>
          <w:highlight w:val="none"/>
          <w:lang w:val="en-US" w:eastAsia="zh-CN"/>
        </w:rPr>
        <w:t>性</w:t>
      </w:r>
      <w:r>
        <w:rPr>
          <w:rFonts w:hint="eastAsia" w:ascii="宋体" w:hAnsi="宋体" w:cs="仿宋_GB2312"/>
          <w:bCs/>
          <w:color w:val="000000"/>
          <w:sz w:val="28"/>
          <w:szCs w:val="28"/>
          <w:highlight w:val="none"/>
        </w:rPr>
        <w:t>、可考核性</w:t>
      </w:r>
      <w:r>
        <w:rPr>
          <w:rFonts w:hint="eastAsia" w:ascii="宋体" w:hAnsi="宋体" w:cs="仿宋_GB2312"/>
          <w:bCs/>
          <w:color w:val="000000"/>
          <w:sz w:val="28"/>
          <w:szCs w:val="28"/>
          <w:highlight w:val="none"/>
          <w:lang w:val="en-US" w:eastAsia="zh-CN"/>
        </w:rPr>
        <w:t>的绩效</w:t>
      </w:r>
      <w:r>
        <w:rPr>
          <w:rFonts w:hint="eastAsia" w:ascii="宋体" w:hAnsi="宋体" w:cs="仿宋_GB2312"/>
          <w:bCs/>
          <w:color w:val="000000"/>
          <w:sz w:val="28"/>
          <w:szCs w:val="28"/>
          <w:highlight w:val="none"/>
        </w:rPr>
        <w:t>指标</w:t>
      </w:r>
      <w:r>
        <w:rPr>
          <w:rFonts w:hint="eastAsia" w:ascii="宋体" w:hAnsi="宋体" w:cs="仿宋_GB2312"/>
          <w:bCs/>
          <w:color w:val="000000"/>
          <w:sz w:val="28"/>
          <w:szCs w:val="28"/>
          <w:highlight w:val="none"/>
          <w:lang w:eastAsia="zh-CN"/>
        </w:rPr>
        <w:t>。</w:t>
      </w:r>
    </w:p>
    <w:p>
      <w:pPr>
        <w:spacing w:line="600" w:lineRule="exact"/>
        <w:ind w:firstLine="560" w:firstLineChars="200"/>
        <w:outlineLvl w:val="0"/>
        <w:rPr>
          <w:rFonts w:hint="eastAsia" w:ascii="宋体" w:hAnsi="宋体" w:eastAsia="宋体" w:cs="仿宋_GB2312"/>
          <w:bCs/>
          <w:color w:val="000000"/>
          <w:kern w:val="2"/>
          <w:sz w:val="28"/>
          <w:szCs w:val="28"/>
          <w:highlight w:val="none"/>
          <w:lang w:val="en-US" w:eastAsia="zh-CN" w:bidi="ar-SA"/>
        </w:rPr>
      </w:pPr>
      <w:r>
        <w:rPr>
          <w:rFonts w:hint="eastAsia" w:ascii="宋体" w:hAnsi="宋体" w:eastAsia="宋体" w:cs="仿宋_GB2312"/>
          <w:bCs/>
          <w:color w:val="000000"/>
          <w:kern w:val="2"/>
          <w:sz w:val="28"/>
          <w:szCs w:val="28"/>
          <w:highlight w:val="none"/>
          <w:lang w:val="en-US" w:eastAsia="zh-CN" w:bidi="ar-SA"/>
        </w:rPr>
        <w:t>在生态效益指标的设置上，应重点关注项目对环境保护、资源利用等方面的贡献。可以考虑设置绿化覆盖增长率等具体指标，以便更直观地衡量项目在生态保护方面的成果。同时，还要注重指标数据的可获得性和准确性，确保指标能够真实反映项目的生态效益。</w:t>
      </w:r>
    </w:p>
    <w:p>
      <w:pPr>
        <w:pStyle w:val="2"/>
        <w:rPr>
          <w:rFonts w:hint="eastAsia" w:ascii="宋体" w:hAnsi="宋体" w:eastAsia="宋体" w:cs="仿宋_GB2312"/>
          <w:bCs/>
          <w:color w:val="000000"/>
          <w:kern w:val="2"/>
          <w:sz w:val="28"/>
          <w:szCs w:val="28"/>
          <w:highlight w:val="none"/>
          <w:lang w:val="en-US" w:eastAsia="zh-CN" w:bidi="ar-SA"/>
        </w:rPr>
      </w:pPr>
      <w:r>
        <w:rPr>
          <w:rFonts w:hint="eastAsia" w:ascii="宋体" w:hAnsi="宋体" w:eastAsia="宋体" w:cs="仿宋_GB2312"/>
          <w:bCs/>
          <w:color w:val="000000"/>
          <w:kern w:val="2"/>
          <w:sz w:val="28"/>
          <w:szCs w:val="28"/>
          <w:highlight w:val="none"/>
          <w:lang w:val="en-US" w:eastAsia="zh-CN" w:bidi="ar-SA"/>
        </w:rPr>
        <w:t>在可持续影响指标的设置上，应关注项目对经济社会发展的长期影响。可以设置如项目对当地就业的贡献等指标，以评估项目在推动经济可持续发展方面的作用。</w:t>
      </w:r>
    </w:p>
    <w:p>
      <w:pPr>
        <w:spacing w:line="600" w:lineRule="exact"/>
        <w:ind w:firstLine="640" w:firstLineChars="200"/>
        <w:outlineLvl w:val="0"/>
        <w:rPr>
          <w:rFonts w:hint="eastAsia" w:ascii="宋体" w:hAnsi="宋体" w:cs="仿宋_GB2312"/>
          <w:bCs/>
          <w:color w:val="000000"/>
          <w:sz w:val="28"/>
          <w:szCs w:val="28"/>
          <w:highlight w:val="none"/>
        </w:rPr>
      </w:pPr>
      <w:r>
        <w:rPr>
          <w:rFonts w:hint="eastAsia" w:ascii="楷体_GB2312" w:hAnsi="楷体_GB2312" w:eastAsia="楷体_GB2312" w:cs="楷体_GB2312"/>
          <w:sz w:val="32"/>
          <w:szCs w:val="32"/>
          <w:lang w:val="en-US" w:eastAsia="zh-CN"/>
        </w:rPr>
        <w:t>（三）建立健全项目管理制度</w:t>
      </w:r>
      <w:r>
        <w:rPr>
          <w:rFonts w:hint="eastAsia" w:ascii="宋体" w:hAnsi="宋体" w:cs="仿宋_GB2312"/>
          <w:bCs/>
          <w:color w:val="000000"/>
          <w:sz w:val="28"/>
          <w:szCs w:val="28"/>
          <w:highlight w:val="none"/>
        </w:rPr>
        <w:t>。</w:t>
      </w:r>
    </w:p>
    <w:p>
      <w:pPr>
        <w:pStyle w:val="2"/>
        <w:rPr>
          <w:rFonts w:hint="eastAsia" w:ascii="宋体" w:hAnsi="宋体" w:eastAsia="宋体" w:cs="仿宋_GB2312"/>
          <w:bCs/>
          <w:color w:val="000000"/>
          <w:kern w:val="2"/>
          <w:sz w:val="28"/>
          <w:szCs w:val="28"/>
          <w:highlight w:val="none"/>
          <w:lang w:val="en-US" w:eastAsia="zh-CN" w:bidi="ar-SA"/>
        </w:rPr>
      </w:pPr>
      <w:r>
        <w:rPr>
          <w:rFonts w:hint="eastAsia" w:ascii="宋体" w:hAnsi="宋体" w:eastAsia="宋体" w:cs="仿宋_GB2312"/>
          <w:bCs/>
          <w:color w:val="000000"/>
          <w:kern w:val="2"/>
          <w:sz w:val="28"/>
          <w:szCs w:val="28"/>
          <w:highlight w:val="none"/>
          <w:lang w:val="en-US" w:eastAsia="zh-CN" w:bidi="ar-SA"/>
        </w:rPr>
        <w:t>建议进一步完善财务和项目管理制度，对涉及该项目的管理制度进行全面梳理，并依据现行法律法规要求，结合首都绿化委员会办公室</w:t>
      </w:r>
      <w:r>
        <w:rPr>
          <w:rFonts w:hint="eastAsia" w:hAnsi="宋体" w:eastAsia="宋体" w:cs="仿宋_GB2312"/>
          <w:bCs/>
          <w:color w:val="000000"/>
          <w:kern w:val="2"/>
          <w:sz w:val="28"/>
          <w:szCs w:val="28"/>
          <w:highlight w:val="none"/>
          <w:lang w:val="en-US" w:eastAsia="zh-CN" w:bidi="ar-SA"/>
        </w:rPr>
        <w:t>实际情况</w:t>
      </w:r>
      <w:r>
        <w:rPr>
          <w:rFonts w:hint="eastAsia" w:ascii="宋体" w:hAnsi="宋体" w:eastAsia="宋体" w:cs="仿宋_GB2312"/>
          <w:bCs/>
          <w:color w:val="000000"/>
          <w:kern w:val="2"/>
          <w:sz w:val="28"/>
          <w:szCs w:val="28"/>
          <w:highlight w:val="none"/>
          <w:lang w:val="en-US" w:eastAsia="zh-CN" w:bidi="ar-SA"/>
        </w:rPr>
        <w:t>，修订和完善项目管理办法中资金使用情况，明确项目资金使用范围，</w:t>
      </w:r>
      <w:r>
        <w:rPr>
          <w:rFonts w:hint="eastAsia" w:ascii="宋体" w:hAnsi="宋体" w:cs="仿宋_GB2312"/>
          <w:bCs/>
          <w:color w:val="000000"/>
          <w:kern w:val="2"/>
          <w:sz w:val="28"/>
          <w:szCs w:val="28"/>
          <w:highlight w:val="none"/>
          <w:lang w:val="en-US" w:eastAsia="zh-CN" w:bidi="ar-SA"/>
        </w:rPr>
        <w:t>有</w:t>
      </w:r>
      <w:r>
        <w:rPr>
          <w:rFonts w:hint="eastAsia" w:ascii="宋体" w:hAnsi="宋体" w:eastAsia="宋体" w:cs="仿宋_GB2312"/>
          <w:bCs/>
          <w:color w:val="000000"/>
          <w:kern w:val="2"/>
          <w:sz w:val="28"/>
          <w:szCs w:val="28"/>
          <w:highlight w:val="none"/>
          <w:lang w:val="en-US" w:eastAsia="zh-CN" w:bidi="ar-SA"/>
        </w:rPr>
        <w:t>助于单位合理规划、分配资金，提高资金使用效率</w:t>
      </w:r>
      <w:r>
        <w:rPr>
          <w:rFonts w:hint="eastAsia" w:ascii="宋体" w:hAnsi="宋体" w:cs="仿宋_GB2312"/>
          <w:bCs/>
          <w:color w:val="000000"/>
          <w:kern w:val="2"/>
          <w:sz w:val="28"/>
          <w:szCs w:val="28"/>
          <w:highlight w:val="none"/>
          <w:lang w:val="en-US" w:eastAsia="zh-CN" w:bidi="ar-SA"/>
        </w:rPr>
        <w:t>，</w:t>
      </w:r>
      <w:r>
        <w:rPr>
          <w:rFonts w:hint="eastAsia" w:ascii="宋体" w:hAnsi="宋体" w:eastAsia="宋体" w:cs="仿宋_GB2312"/>
          <w:bCs/>
          <w:color w:val="000000"/>
          <w:kern w:val="2"/>
          <w:sz w:val="28"/>
          <w:szCs w:val="28"/>
          <w:highlight w:val="none"/>
          <w:lang w:val="en-US" w:eastAsia="zh-CN" w:bidi="ar-SA"/>
        </w:rPr>
        <w:t>规范资金支出依据，有助于单位提高财政资金使用的合理性及安全性</w:t>
      </w:r>
      <w:r>
        <w:rPr>
          <w:rFonts w:hint="eastAsia" w:ascii="宋体" w:hAnsi="宋体" w:cs="仿宋_GB2312"/>
          <w:bCs/>
          <w:color w:val="000000"/>
          <w:kern w:val="2"/>
          <w:sz w:val="28"/>
          <w:szCs w:val="28"/>
          <w:highlight w:val="none"/>
          <w:lang w:val="en-US" w:eastAsia="zh-CN" w:bidi="ar-SA"/>
        </w:rPr>
        <w:t>，</w:t>
      </w:r>
      <w:r>
        <w:rPr>
          <w:rFonts w:hint="eastAsia" w:ascii="宋体" w:hAnsi="宋体" w:eastAsia="宋体" w:cs="仿宋_GB2312"/>
          <w:bCs/>
          <w:color w:val="000000"/>
          <w:kern w:val="2"/>
          <w:sz w:val="28"/>
          <w:szCs w:val="28"/>
          <w:highlight w:val="none"/>
          <w:lang w:val="en-US" w:eastAsia="zh-CN" w:bidi="ar-SA"/>
        </w:rPr>
        <w:t>规范财务审批流程，有助于提高审批效率，减少不必要的资金滞留，确保项目资金的及时到位和有效使用</w:t>
      </w:r>
      <w:r>
        <w:rPr>
          <w:rFonts w:hint="eastAsia" w:ascii="宋体" w:hAnsi="宋体" w:cs="仿宋_GB2312"/>
          <w:bCs/>
          <w:color w:val="000000"/>
          <w:kern w:val="2"/>
          <w:sz w:val="28"/>
          <w:szCs w:val="28"/>
          <w:highlight w:val="none"/>
          <w:lang w:val="en-US" w:eastAsia="zh-CN" w:bidi="ar-SA"/>
        </w:rPr>
        <w:t>。</w:t>
      </w:r>
      <w:r>
        <w:rPr>
          <w:rFonts w:hint="eastAsia" w:ascii="宋体" w:hAnsi="宋体" w:eastAsia="宋体" w:cs="仿宋_GB2312"/>
          <w:bCs/>
          <w:color w:val="000000"/>
          <w:kern w:val="2"/>
          <w:sz w:val="28"/>
          <w:szCs w:val="28"/>
          <w:highlight w:val="none"/>
          <w:lang w:val="en-US" w:eastAsia="zh-CN" w:bidi="ar-SA"/>
        </w:rPr>
        <w:t>完善财务和项目管理制度能够强化单位的内部控制</w:t>
      </w:r>
      <w:r>
        <w:rPr>
          <w:rFonts w:hint="eastAsia" w:ascii="宋体" w:hAnsi="宋体" w:cs="仿宋_GB2312"/>
          <w:bCs/>
          <w:color w:val="000000"/>
          <w:kern w:val="2"/>
          <w:sz w:val="28"/>
          <w:szCs w:val="28"/>
          <w:highlight w:val="none"/>
          <w:lang w:val="en-US" w:eastAsia="zh-CN" w:bidi="ar-SA"/>
        </w:rPr>
        <w:t>建设</w:t>
      </w:r>
      <w:r>
        <w:rPr>
          <w:rFonts w:hint="eastAsia" w:ascii="宋体" w:hAnsi="宋体" w:eastAsia="宋体" w:cs="仿宋_GB2312"/>
          <w:bCs/>
          <w:color w:val="000000"/>
          <w:kern w:val="2"/>
          <w:sz w:val="28"/>
          <w:szCs w:val="28"/>
          <w:highlight w:val="none"/>
          <w:lang w:val="en-US" w:eastAsia="zh-CN" w:bidi="ar-SA"/>
        </w:rPr>
        <w:t>，有</w:t>
      </w:r>
      <w:bookmarkStart w:id="2" w:name="_GoBack"/>
      <w:bookmarkEnd w:id="2"/>
      <w:r>
        <w:rPr>
          <w:rFonts w:hint="eastAsia" w:ascii="宋体" w:hAnsi="宋体" w:eastAsia="宋体" w:cs="仿宋_GB2312"/>
          <w:bCs/>
          <w:color w:val="000000"/>
          <w:kern w:val="2"/>
          <w:sz w:val="28"/>
          <w:szCs w:val="28"/>
          <w:highlight w:val="none"/>
          <w:lang w:val="en-US" w:eastAsia="zh-CN" w:bidi="ar-SA"/>
        </w:rPr>
        <w:t>助于提升财务管理水平。</w:t>
      </w:r>
    </w:p>
    <w:p>
      <w:pPr>
        <w:pStyle w:val="2"/>
        <w:rPr>
          <w:rFonts w:hint="eastAsia" w:ascii="黑体" w:hAnsi="黑体" w:eastAsia="黑体" w:cs="黑体"/>
          <w:sz w:val="32"/>
          <w:szCs w:val="32"/>
          <w:highlight w:val="none"/>
        </w:rPr>
      </w:pPr>
      <w:r>
        <w:rPr>
          <w:rFonts w:hint="eastAsia" w:ascii="黑体" w:hAnsi="黑体" w:eastAsia="黑体" w:cs="黑体"/>
          <w:sz w:val="32"/>
          <w:szCs w:val="32"/>
          <w:highlight w:val="none"/>
        </w:rPr>
        <w:t>七、其他需要说明的问题</w:t>
      </w:r>
    </w:p>
    <w:p>
      <w:pPr>
        <w:spacing w:line="360" w:lineRule="auto"/>
        <w:ind w:firstLine="492" w:firstLineChars="176"/>
        <w:rPr>
          <w:rFonts w:hint="eastAsia" w:ascii="宋体" w:hAnsi="宋体" w:eastAsia="宋体" w:cs="仿宋_GB2312"/>
          <w:bCs/>
          <w:color w:val="000000"/>
          <w:sz w:val="28"/>
          <w:szCs w:val="28"/>
          <w:lang w:val="en-US" w:eastAsia="zh-CN"/>
        </w:rPr>
      </w:pPr>
      <w:r>
        <w:rPr>
          <w:rFonts w:hint="eastAsia" w:ascii="宋体" w:hAnsi="宋体" w:eastAsia="宋体" w:cs="仿宋_GB2312"/>
          <w:bCs/>
          <w:color w:val="000000"/>
          <w:sz w:val="28"/>
          <w:szCs w:val="28"/>
          <w:lang w:val="en-US" w:eastAsia="zh-CN"/>
        </w:rPr>
        <w:t>无。</w:t>
      </w:r>
    </w:p>
    <w:p>
      <w:pPr>
        <w:pStyle w:val="7"/>
        <w:rPr>
          <w:rFonts w:hint="eastAsia" w:ascii="宋体" w:hAnsi="宋体" w:eastAsia="宋体" w:cs="仿宋_GB2312"/>
          <w:bCs/>
          <w:color w:val="000000"/>
          <w:sz w:val="28"/>
          <w:szCs w:val="28"/>
          <w:lang w:val="en-US" w:eastAsia="zh-CN"/>
        </w:rPr>
      </w:pPr>
    </w:p>
    <w:p>
      <w:pPr>
        <w:rPr>
          <w:rFonts w:hint="eastAsia" w:ascii="宋体" w:hAnsi="宋体" w:eastAsia="宋体" w:cs="仿宋_GB2312"/>
          <w:bCs/>
          <w:color w:val="000000"/>
          <w:sz w:val="28"/>
          <w:szCs w:val="28"/>
          <w:lang w:val="en-US" w:eastAsia="zh-CN"/>
        </w:rPr>
      </w:pPr>
    </w:p>
    <w:p>
      <w:pPr>
        <w:pStyle w:val="7"/>
        <w:rPr>
          <w:rFonts w:hint="eastAsia" w:ascii="宋体" w:hAnsi="宋体" w:eastAsia="宋体" w:cs="仿宋_GB2312"/>
          <w:bCs/>
          <w:color w:val="000000"/>
          <w:sz w:val="28"/>
          <w:szCs w:val="28"/>
          <w:lang w:val="en-US" w:eastAsia="zh-CN"/>
        </w:rPr>
      </w:pPr>
    </w:p>
    <w:p>
      <w:pPr>
        <w:rPr>
          <w:rFonts w:hint="eastAsia" w:ascii="宋体" w:hAnsi="宋体" w:eastAsia="宋体" w:cs="仿宋_GB2312"/>
          <w:bCs/>
          <w:color w:val="000000"/>
          <w:sz w:val="28"/>
          <w:szCs w:val="28"/>
          <w:lang w:val="en-US" w:eastAsia="zh-CN"/>
        </w:rPr>
      </w:pPr>
    </w:p>
    <w:p>
      <w:pPr>
        <w:spacing w:line="360" w:lineRule="auto"/>
        <w:ind w:firstLine="492" w:firstLineChars="176"/>
        <w:outlineLvl w:val="1"/>
        <w:rPr>
          <w:rFonts w:ascii="宋体" w:hAnsi="宋体" w:cs="仿宋_GB2312"/>
          <w:bCs/>
          <w:color w:val="000000"/>
          <w:sz w:val="28"/>
          <w:szCs w:val="28"/>
        </w:rPr>
      </w:pPr>
      <w:r>
        <w:rPr>
          <w:rFonts w:hint="eastAsia" w:ascii="宋体" w:hAnsi="宋体" w:cs="仿宋_GB2312"/>
          <w:bCs/>
          <w:color w:val="000000"/>
          <w:sz w:val="28"/>
          <w:szCs w:val="28"/>
        </w:rPr>
        <w:t>附件：1.项目预算执行情况表</w:t>
      </w:r>
    </w:p>
    <w:p>
      <w:pPr>
        <w:spacing w:line="360" w:lineRule="auto"/>
        <w:ind w:firstLine="492" w:firstLineChars="176"/>
        <w:outlineLvl w:val="1"/>
        <w:rPr>
          <w:rFonts w:ascii="宋体" w:hAnsi="宋体" w:cs="仿宋_GB2312"/>
          <w:bCs/>
          <w:color w:val="000000"/>
          <w:sz w:val="28"/>
          <w:szCs w:val="28"/>
        </w:rPr>
      </w:pPr>
      <w:r>
        <w:rPr>
          <w:rFonts w:hint="eastAsia" w:ascii="宋体" w:hAnsi="宋体" w:cs="仿宋_GB2312"/>
          <w:bCs/>
          <w:color w:val="000000"/>
          <w:sz w:val="28"/>
          <w:szCs w:val="28"/>
        </w:rPr>
        <w:t xml:space="preserve">      2.项目绩效目标完成情况及收支明细表</w:t>
      </w:r>
    </w:p>
    <w:p>
      <w:pPr>
        <w:spacing w:line="360" w:lineRule="auto"/>
        <w:ind w:firstLine="492" w:firstLineChars="176"/>
        <w:outlineLvl w:val="1"/>
        <w:rPr>
          <w:rFonts w:ascii="宋体" w:hAnsi="宋体" w:cs="仿宋_GB2312"/>
          <w:bCs/>
          <w:color w:val="000000"/>
          <w:sz w:val="28"/>
          <w:szCs w:val="28"/>
        </w:rPr>
      </w:pPr>
      <w:r>
        <w:rPr>
          <w:rFonts w:hint="eastAsia" w:ascii="宋体" w:hAnsi="宋体" w:cs="仿宋_GB2312"/>
          <w:bCs/>
          <w:color w:val="000000"/>
          <w:sz w:val="28"/>
          <w:szCs w:val="28"/>
        </w:rPr>
        <w:t xml:space="preserve">      3.财政支出绩效评价指标评分表</w:t>
      </w:r>
    </w:p>
    <w:p>
      <w:pPr>
        <w:spacing w:line="360" w:lineRule="auto"/>
        <w:ind w:firstLine="492" w:firstLineChars="176"/>
        <w:outlineLvl w:val="1"/>
        <w:rPr>
          <w:rFonts w:hint="eastAsia" w:ascii="宋体" w:hAnsi="宋体" w:cs="仿宋_GB2312"/>
          <w:bCs/>
          <w:color w:val="000000"/>
          <w:sz w:val="28"/>
          <w:szCs w:val="28"/>
        </w:rPr>
        <w:sectPr>
          <w:type w:val="continuous"/>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r>
        <w:rPr>
          <w:rFonts w:hint="eastAsia" w:ascii="宋体" w:hAnsi="宋体" w:cs="仿宋_GB2312"/>
          <w:bCs/>
          <w:color w:val="000000"/>
          <w:sz w:val="28"/>
          <w:szCs w:val="28"/>
        </w:rPr>
        <w:t xml:space="preserve">      4.财政支出绩效评价指标体系</w:t>
      </w:r>
    </w:p>
    <w:tbl>
      <w:tblPr>
        <w:tblStyle w:val="11"/>
        <w:tblW w:w="15755" w:type="dxa"/>
        <w:tblInd w:w="-743" w:type="dxa"/>
        <w:tblLayout w:type="fixed"/>
        <w:tblCellMar>
          <w:top w:w="0" w:type="dxa"/>
          <w:left w:w="108" w:type="dxa"/>
          <w:bottom w:w="0" w:type="dxa"/>
          <w:right w:w="108" w:type="dxa"/>
        </w:tblCellMar>
      </w:tblPr>
      <w:tblGrid>
        <w:gridCol w:w="1065"/>
        <w:gridCol w:w="930"/>
        <w:gridCol w:w="870"/>
        <w:gridCol w:w="900"/>
        <w:gridCol w:w="860"/>
        <w:gridCol w:w="450"/>
        <w:gridCol w:w="450"/>
        <w:gridCol w:w="860"/>
        <w:gridCol w:w="870"/>
        <w:gridCol w:w="710"/>
        <w:gridCol w:w="710"/>
        <w:gridCol w:w="650"/>
        <w:gridCol w:w="680"/>
        <w:gridCol w:w="720"/>
        <w:gridCol w:w="750"/>
        <w:gridCol w:w="460"/>
        <w:gridCol w:w="710"/>
        <w:gridCol w:w="390"/>
        <w:gridCol w:w="730"/>
        <w:gridCol w:w="480"/>
        <w:gridCol w:w="440"/>
        <w:gridCol w:w="580"/>
        <w:gridCol w:w="490"/>
      </w:tblGrid>
      <w:tr>
        <w:tblPrEx>
          <w:tblCellMar>
            <w:top w:w="0" w:type="dxa"/>
            <w:left w:w="108" w:type="dxa"/>
            <w:bottom w:w="0" w:type="dxa"/>
            <w:right w:w="108" w:type="dxa"/>
          </w:tblCellMar>
        </w:tblPrEx>
        <w:trPr>
          <w:trHeight w:val="285" w:hRule="atLeast"/>
        </w:trPr>
        <w:tc>
          <w:tcPr>
            <w:tcW w:w="15755" w:type="dxa"/>
            <w:gridSpan w:val="23"/>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附件1</w:t>
            </w:r>
          </w:p>
        </w:tc>
      </w:tr>
      <w:tr>
        <w:tblPrEx>
          <w:tblCellMar>
            <w:top w:w="0" w:type="dxa"/>
            <w:left w:w="108" w:type="dxa"/>
            <w:bottom w:w="0" w:type="dxa"/>
            <w:right w:w="108" w:type="dxa"/>
          </w:tblCellMar>
        </w:tblPrEx>
        <w:trPr>
          <w:trHeight w:val="630" w:hRule="atLeast"/>
        </w:trPr>
        <w:tc>
          <w:tcPr>
            <w:tcW w:w="15755" w:type="dxa"/>
            <w:gridSpan w:val="23"/>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项目预算执行情况表</w:t>
            </w:r>
          </w:p>
          <w:p>
            <w:pPr>
              <w:widowControl/>
              <w:jc w:val="left"/>
              <w:rPr>
                <w:rFonts w:ascii="宋体" w:hAnsi="宋体" w:cs="宋体"/>
                <w:b/>
                <w:bCs/>
                <w:kern w:val="0"/>
                <w:sz w:val="28"/>
                <w:szCs w:val="28"/>
              </w:rPr>
            </w:pPr>
            <w:r>
              <w:rPr>
                <w:rFonts w:hint="eastAsia" w:ascii="宋体" w:hAnsi="宋体" w:cs="宋体"/>
                <w:kern w:val="0"/>
                <w:sz w:val="18"/>
                <w:szCs w:val="18"/>
              </w:rPr>
              <w:t>项目名称；</w:t>
            </w:r>
            <w:r>
              <w:rPr>
                <w:rFonts w:hint="eastAsia" w:ascii="宋体" w:hAnsi="宋体" w:cs="宋体"/>
                <w:kern w:val="0"/>
                <w:sz w:val="18"/>
                <w:szCs w:val="18"/>
                <w:lang w:eastAsia="zh-CN"/>
              </w:rPr>
              <w:t>首都全民义务植树补助</w:t>
            </w:r>
            <w:r>
              <w:rPr>
                <w:rFonts w:hint="eastAsia" w:ascii="宋体" w:hAnsi="宋体" w:cs="宋体"/>
                <w:kern w:val="0"/>
                <w:sz w:val="18"/>
                <w:szCs w:val="18"/>
              </w:rPr>
              <w:t xml:space="preserve">                                                                                                                                单位：万元</w:t>
            </w:r>
          </w:p>
        </w:tc>
      </w:tr>
      <w:tr>
        <w:tblPrEx>
          <w:tblCellMar>
            <w:top w:w="0" w:type="dxa"/>
            <w:left w:w="108" w:type="dxa"/>
            <w:bottom w:w="0" w:type="dxa"/>
            <w:right w:w="108" w:type="dxa"/>
          </w:tblCellMar>
        </w:tblPrEx>
        <w:trPr>
          <w:trHeight w:val="510" w:hRule="atLeast"/>
        </w:trPr>
        <w:tc>
          <w:tcPr>
            <w:tcW w:w="1065"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1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预算批复</w:t>
            </w:r>
          </w:p>
        </w:tc>
        <w:tc>
          <w:tcPr>
            <w:tcW w:w="266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资金到位情况 </w:t>
            </w:r>
          </w:p>
        </w:tc>
        <w:tc>
          <w:tcPr>
            <w:tcW w:w="7510" w:type="dxa"/>
            <w:gridSpan w:val="11"/>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预算执行情况</w:t>
            </w:r>
          </w:p>
        </w:tc>
        <w:tc>
          <w:tcPr>
            <w:tcW w:w="73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本年支出进度(%)</w:t>
            </w:r>
          </w:p>
        </w:tc>
        <w:tc>
          <w:tcPr>
            <w:tcW w:w="9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执行差额</w:t>
            </w:r>
          </w:p>
        </w:tc>
        <w:tc>
          <w:tcPr>
            <w:tcW w:w="58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资金超支率（%）</w:t>
            </w:r>
          </w:p>
        </w:tc>
        <w:tc>
          <w:tcPr>
            <w:tcW w:w="49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备注</w:t>
            </w:r>
          </w:p>
        </w:tc>
      </w:tr>
      <w:tr>
        <w:tblPrEx>
          <w:tblCellMar>
            <w:top w:w="0" w:type="dxa"/>
            <w:left w:w="108" w:type="dxa"/>
            <w:bottom w:w="0" w:type="dxa"/>
            <w:right w:w="108" w:type="dxa"/>
          </w:tblCellMar>
        </w:tblPrEx>
        <w:trPr>
          <w:trHeight w:val="450" w:hRule="atLeast"/>
        </w:trPr>
        <w:tc>
          <w:tcPr>
            <w:tcW w:w="106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3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总预算</w:t>
            </w:r>
          </w:p>
        </w:tc>
        <w:tc>
          <w:tcPr>
            <w:tcW w:w="87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90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第一、二季度</w:t>
            </w:r>
          </w:p>
        </w:tc>
        <w:tc>
          <w:tcPr>
            <w:tcW w:w="45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第三季度</w:t>
            </w:r>
          </w:p>
        </w:tc>
        <w:tc>
          <w:tcPr>
            <w:tcW w:w="45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第四季度</w:t>
            </w:r>
          </w:p>
        </w:tc>
        <w:tc>
          <w:tcPr>
            <w:tcW w:w="8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090"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本年支出</w:t>
            </w:r>
          </w:p>
        </w:tc>
        <w:tc>
          <w:tcPr>
            <w:tcW w:w="1560"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跨年支出</w:t>
            </w:r>
          </w:p>
        </w:tc>
        <w:tc>
          <w:tcPr>
            <w:tcW w:w="7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4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执行差额数</w:t>
            </w:r>
          </w:p>
        </w:tc>
        <w:tc>
          <w:tcPr>
            <w:tcW w:w="4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差额原因</w:t>
            </w:r>
          </w:p>
        </w:tc>
        <w:tc>
          <w:tcPr>
            <w:tcW w:w="58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8"/>
                <w:szCs w:val="18"/>
              </w:rPr>
            </w:pPr>
          </w:p>
        </w:tc>
        <w:tc>
          <w:tcPr>
            <w:tcW w:w="49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90" w:hRule="atLeast"/>
        </w:trPr>
        <w:tc>
          <w:tcPr>
            <w:tcW w:w="106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9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8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8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87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71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第一、二季度</w:t>
            </w:r>
          </w:p>
        </w:tc>
        <w:tc>
          <w:tcPr>
            <w:tcW w:w="71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6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第三季度</w:t>
            </w:r>
          </w:p>
        </w:tc>
        <w:tc>
          <w:tcPr>
            <w:tcW w:w="6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第四季度 </w:t>
            </w:r>
          </w:p>
        </w:tc>
        <w:tc>
          <w:tcPr>
            <w:tcW w:w="7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46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c>
          <w:tcPr>
            <w:tcW w:w="71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时间</w:t>
            </w:r>
          </w:p>
        </w:tc>
        <w:tc>
          <w:tcPr>
            <w:tcW w:w="7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4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4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49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420" w:hRule="atLeast"/>
        </w:trPr>
        <w:tc>
          <w:tcPr>
            <w:tcW w:w="106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3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87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90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86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86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87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71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71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6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6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13</w:t>
            </w:r>
          </w:p>
        </w:tc>
        <w:tc>
          <w:tcPr>
            <w:tcW w:w="7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46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15</w:t>
            </w:r>
          </w:p>
        </w:tc>
        <w:tc>
          <w:tcPr>
            <w:tcW w:w="71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73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18</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19</w:t>
            </w:r>
          </w:p>
        </w:tc>
        <w:tc>
          <w:tcPr>
            <w:tcW w:w="44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21</w:t>
            </w:r>
          </w:p>
        </w:tc>
        <w:tc>
          <w:tcPr>
            <w:tcW w:w="49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22</w:t>
            </w:r>
          </w:p>
        </w:tc>
      </w:tr>
      <w:tr>
        <w:tblPrEx>
          <w:tblCellMar>
            <w:top w:w="0" w:type="dxa"/>
            <w:left w:w="108" w:type="dxa"/>
            <w:bottom w:w="0" w:type="dxa"/>
            <w:right w:w="108" w:type="dxa"/>
          </w:tblCellMar>
        </w:tblPrEx>
        <w:trPr>
          <w:trHeight w:val="867"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首都全民义务植树补助</w:t>
            </w:r>
          </w:p>
        </w:tc>
        <w:tc>
          <w:tcPr>
            <w:tcW w:w="93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1,100.00</w:t>
            </w:r>
          </w:p>
        </w:tc>
        <w:tc>
          <w:tcPr>
            <w:tcW w:w="87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1,100.00</w:t>
            </w:r>
          </w:p>
        </w:tc>
        <w:tc>
          <w:tcPr>
            <w:tcW w:w="9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1,100.00</w:t>
            </w:r>
          </w:p>
        </w:tc>
        <w:tc>
          <w:tcPr>
            <w:tcW w:w="86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1,100.00</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86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1,094.89</w:t>
            </w:r>
          </w:p>
        </w:tc>
        <w:tc>
          <w:tcPr>
            <w:tcW w:w="87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1,094.89</w:t>
            </w:r>
          </w:p>
        </w:tc>
        <w:tc>
          <w:tcPr>
            <w:tcW w:w="7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734.93</w:t>
            </w:r>
          </w:p>
        </w:tc>
        <w:tc>
          <w:tcPr>
            <w:tcW w:w="7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734.93</w:t>
            </w:r>
          </w:p>
        </w:tc>
        <w:tc>
          <w:tcPr>
            <w:tcW w:w="65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60.00</w:t>
            </w:r>
          </w:p>
        </w:tc>
        <w:tc>
          <w:tcPr>
            <w:tcW w:w="68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60.00</w:t>
            </w:r>
          </w:p>
        </w:tc>
        <w:tc>
          <w:tcPr>
            <w:tcW w:w="72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299.96</w:t>
            </w:r>
          </w:p>
        </w:tc>
        <w:tc>
          <w:tcPr>
            <w:tcW w:w="75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299.96</w:t>
            </w:r>
          </w:p>
        </w:tc>
        <w:tc>
          <w:tcPr>
            <w:tcW w:w="460"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bottom"/>
              <w:rPr>
                <w:rFonts w:hint="default" w:ascii="宋体" w:hAnsi="宋体" w:cs="宋体"/>
                <w:kern w:val="0"/>
                <w:sz w:val="16"/>
                <w:szCs w:val="16"/>
                <w:lang w:val="en-US" w:eastAsia="zh-CN"/>
              </w:rPr>
            </w:pPr>
          </w:p>
        </w:tc>
        <w:tc>
          <w:tcPr>
            <w:tcW w:w="71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3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99.54%</w:t>
            </w:r>
          </w:p>
        </w:tc>
        <w:tc>
          <w:tcPr>
            <w:tcW w:w="4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440" w:type="dxa"/>
            <w:tcBorders>
              <w:top w:val="nil"/>
              <w:left w:val="nil"/>
              <w:bottom w:val="single" w:color="auto" w:sz="4" w:space="0"/>
              <w:right w:val="single" w:color="auto" w:sz="4" w:space="0"/>
            </w:tcBorders>
            <w:vAlign w:val="center"/>
          </w:tcPr>
          <w:p>
            <w:pPr>
              <w:widowControl/>
              <w:jc w:val="center"/>
              <w:rPr>
                <w:rFonts w:ascii="宋体" w:hAnsi="宋体" w:cs="宋体"/>
                <w:kern w:val="0"/>
                <w:sz w:val="12"/>
                <w:szCs w:val="12"/>
              </w:rPr>
            </w:pPr>
            <w:r>
              <w:rPr>
                <w:rFonts w:hint="eastAsia" w:ascii="宋体" w:hAnsi="宋体" w:cs="宋体"/>
                <w:kern w:val="0"/>
                <w:sz w:val="12"/>
                <w:szCs w:val="12"/>
              </w:rPr>
              <w:t>　</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9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875" w:hRule="atLeast"/>
        </w:trPr>
        <w:tc>
          <w:tcPr>
            <w:tcW w:w="15755" w:type="dxa"/>
            <w:gridSpan w:val="23"/>
            <w:tcBorders>
              <w:top w:val="single" w:color="auto" w:sz="4" w:space="0"/>
              <w:left w:val="nil"/>
              <w:bottom w:val="nil"/>
              <w:right w:val="nil"/>
            </w:tcBorders>
          </w:tcPr>
          <w:p>
            <w:pPr>
              <w:widowControl/>
              <w:jc w:val="left"/>
              <w:rPr>
                <w:rFonts w:ascii="宋体" w:hAnsi="宋体" w:cs="宋体"/>
                <w:kern w:val="0"/>
              </w:rPr>
            </w:pPr>
            <w:r>
              <w:rPr>
                <w:rFonts w:hint="eastAsia" w:ascii="宋体" w:hAnsi="宋体" w:cs="宋体"/>
                <w:kern w:val="0"/>
              </w:rPr>
              <w:t>注：1.此表按项目支出年度分项目进行填写；</w:t>
            </w:r>
            <w:r>
              <w:rPr>
                <w:rFonts w:hint="eastAsia" w:ascii="宋体" w:hAnsi="宋体" w:cs="宋体"/>
                <w:kern w:val="0"/>
              </w:rPr>
              <w:br w:type="textWrapping"/>
            </w:r>
            <w:r>
              <w:rPr>
                <w:rFonts w:hint="eastAsia" w:ascii="宋体" w:hAnsi="宋体" w:cs="宋体"/>
                <w:kern w:val="0"/>
              </w:rPr>
              <w:t xml:space="preserve">    2.“跨年支出”是指个别特殊性项目，当年预算未执行完毕，在下一年度支出的预算资金，时间填列到最后一次支出的日期；</w:t>
            </w:r>
            <w:r>
              <w:rPr>
                <w:rFonts w:hint="eastAsia" w:ascii="宋体" w:hAnsi="宋体" w:cs="宋体"/>
                <w:kern w:val="0"/>
              </w:rPr>
              <w:br w:type="textWrapping"/>
            </w:r>
            <w:r>
              <w:rPr>
                <w:rFonts w:hint="eastAsia" w:ascii="宋体" w:hAnsi="宋体" w:cs="宋体"/>
                <w:kern w:val="0"/>
              </w:rPr>
              <w:t xml:space="preserve">    3.执行差额数=预算执行-预算批复（19=7-1）；</w:t>
            </w:r>
            <w:r>
              <w:rPr>
                <w:rFonts w:hint="eastAsia" w:ascii="宋体" w:hAnsi="宋体" w:cs="宋体"/>
                <w:kern w:val="0"/>
              </w:rPr>
              <w:br w:type="textWrapping"/>
            </w:r>
            <w:r>
              <w:rPr>
                <w:rFonts w:hint="eastAsia" w:ascii="宋体" w:hAnsi="宋体" w:cs="宋体"/>
                <w:kern w:val="0"/>
              </w:rPr>
              <w:t xml:space="preserve">    4.本年支出小计:8=9+11+13；预算执行合计:7=8+15；项目本年支出进度:18=8/1*100%；</w:t>
            </w:r>
            <w:r>
              <w:rPr>
                <w:rFonts w:hint="eastAsia" w:ascii="宋体" w:hAnsi="宋体" w:cs="宋体"/>
                <w:kern w:val="0"/>
              </w:rPr>
              <w:br w:type="textWrapping"/>
            </w:r>
            <w:r>
              <w:rPr>
                <w:rFonts w:hint="eastAsia" w:ascii="宋体" w:hAnsi="宋体" w:cs="宋体"/>
                <w:kern w:val="0"/>
              </w:rPr>
              <w:t xml:space="preserve">    5.资金超支率:21=（7-1）/1*100%；</w:t>
            </w:r>
            <w:r>
              <w:rPr>
                <w:rFonts w:hint="eastAsia" w:ascii="宋体" w:hAnsi="宋体" w:cs="宋体"/>
                <w:kern w:val="0"/>
              </w:rPr>
              <w:br w:type="textWrapping"/>
            </w:r>
            <w:r>
              <w:rPr>
                <w:rFonts w:hint="eastAsia" w:ascii="宋体" w:hAnsi="宋体" w:cs="宋体"/>
                <w:kern w:val="0"/>
              </w:rPr>
              <w:t xml:space="preserve">    6.表中数据以单位实际</w:t>
            </w:r>
            <w:r>
              <w:rPr>
                <w:rFonts w:hint="eastAsia" w:ascii="宋体" w:hAnsi="宋体" w:cs="宋体"/>
                <w:kern w:val="0"/>
                <w:lang w:eastAsia="zh-CN"/>
              </w:rPr>
              <w:t>账面</w:t>
            </w:r>
            <w:r>
              <w:rPr>
                <w:rFonts w:hint="eastAsia" w:ascii="宋体" w:hAnsi="宋体" w:cs="宋体"/>
                <w:kern w:val="0"/>
              </w:rPr>
              <w:t>数据为准，保留小数点后两位数字。</w:t>
            </w:r>
          </w:p>
        </w:tc>
      </w:tr>
    </w:tbl>
    <w:p>
      <w:pPr>
        <w:sectPr>
          <w:pgSz w:w="16838" w:h="11906" w:orient="landscape"/>
          <w:pgMar w:top="1797" w:right="1440" w:bottom="1797" w:left="1440"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tbl>
      <w:tblPr>
        <w:tblStyle w:val="11"/>
        <w:tblW w:w="10140" w:type="dxa"/>
        <w:tblInd w:w="-601" w:type="dxa"/>
        <w:tblLayout w:type="fixed"/>
        <w:tblCellMar>
          <w:top w:w="0" w:type="dxa"/>
          <w:left w:w="108" w:type="dxa"/>
          <w:bottom w:w="0" w:type="dxa"/>
          <w:right w:w="108" w:type="dxa"/>
        </w:tblCellMar>
      </w:tblPr>
      <w:tblGrid>
        <w:gridCol w:w="1100"/>
        <w:gridCol w:w="3750"/>
        <w:gridCol w:w="1510"/>
        <w:gridCol w:w="3780"/>
      </w:tblGrid>
      <w:tr>
        <w:tblPrEx>
          <w:tblCellMar>
            <w:top w:w="0" w:type="dxa"/>
            <w:left w:w="108" w:type="dxa"/>
            <w:bottom w:w="0" w:type="dxa"/>
            <w:right w:w="108" w:type="dxa"/>
          </w:tblCellMar>
        </w:tblPrEx>
        <w:trPr>
          <w:trHeight w:val="285" w:hRule="atLeast"/>
        </w:trPr>
        <w:tc>
          <w:tcPr>
            <w:tcW w:w="1100" w:type="dxa"/>
            <w:tcBorders>
              <w:top w:val="nil"/>
              <w:left w:val="nil"/>
              <w:bottom w:val="nil"/>
              <w:right w:val="nil"/>
            </w:tcBorders>
            <w:vAlign w:val="center"/>
          </w:tcPr>
          <w:p>
            <w:pPr>
              <w:widowControl/>
              <w:jc w:val="left"/>
              <w:rPr>
                <w:rFonts w:ascii="宋体" w:hAnsi="宋体" w:cs="宋体"/>
                <w:kern w:val="0"/>
                <w:sz w:val="20"/>
                <w:szCs w:val="20"/>
              </w:rPr>
            </w:pPr>
            <w:r>
              <w:rPr>
                <w:rFonts w:hint="eastAsia" w:ascii="宋体" w:hAnsi="宋体" w:cs="宋体"/>
                <w:kern w:val="0"/>
                <w:sz w:val="24"/>
              </w:rPr>
              <w:t>附件2</w:t>
            </w:r>
          </w:p>
        </w:tc>
        <w:tc>
          <w:tcPr>
            <w:tcW w:w="3750" w:type="dxa"/>
            <w:tcBorders>
              <w:top w:val="nil"/>
              <w:left w:val="nil"/>
              <w:bottom w:val="nil"/>
              <w:right w:val="nil"/>
            </w:tcBorders>
            <w:vAlign w:val="center"/>
          </w:tcPr>
          <w:p>
            <w:pPr>
              <w:widowControl/>
              <w:jc w:val="center"/>
              <w:rPr>
                <w:rFonts w:ascii="黑体" w:hAnsi="黑体" w:eastAsia="黑体" w:cs="宋体"/>
                <w:kern w:val="0"/>
                <w:sz w:val="24"/>
              </w:rPr>
            </w:pPr>
          </w:p>
        </w:tc>
        <w:tc>
          <w:tcPr>
            <w:tcW w:w="1510" w:type="dxa"/>
            <w:tcBorders>
              <w:top w:val="nil"/>
              <w:left w:val="nil"/>
              <w:bottom w:val="nil"/>
              <w:right w:val="nil"/>
            </w:tcBorders>
            <w:vAlign w:val="center"/>
          </w:tcPr>
          <w:p>
            <w:pPr>
              <w:widowControl/>
              <w:jc w:val="center"/>
              <w:rPr>
                <w:rFonts w:ascii="黑体" w:hAnsi="黑体" w:eastAsia="黑体" w:cs="宋体"/>
                <w:kern w:val="0"/>
                <w:sz w:val="24"/>
              </w:rPr>
            </w:pPr>
          </w:p>
        </w:tc>
        <w:tc>
          <w:tcPr>
            <w:tcW w:w="3780" w:type="dxa"/>
            <w:tcBorders>
              <w:top w:val="nil"/>
              <w:left w:val="nil"/>
              <w:bottom w:val="nil"/>
              <w:right w:val="nil"/>
            </w:tcBorders>
            <w:vAlign w:val="center"/>
          </w:tcPr>
          <w:p>
            <w:pPr>
              <w:widowControl/>
              <w:jc w:val="center"/>
              <w:rPr>
                <w:rFonts w:ascii="黑体" w:hAnsi="黑体" w:eastAsia="黑体" w:cs="宋体"/>
                <w:kern w:val="0"/>
                <w:sz w:val="24"/>
              </w:rPr>
            </w:pPr>
          </w:p>
        </w:tc>
      </w:tr>
      <w:tr>
        <w:tblPrEx>
          <w:tblCellMar>
            <w:top w:w="0" w:type="dxa"/>
            <w:left w:w="108" w:type="dxa"/>
            <w:bottom w:w="0" w:type="dxa"/>
            <w:right w:w="108" w:type="dxa"/>
          </w:tblCellMar>
        </w:tblPrEx>
        <w:trPr>
          <w:trHeight w:val="675" w:hRule="atLeast"/>
        </w:trPr>
        <w:tc>
          <w:tcPr>
            <w:tcW w:w="10140" w:type="dxa"/>
            <w:gridSpan w:val="4"/>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项目绩效目标完成情况及收支明细表</w:t>
            </w:r>
          </w:p>
        </w:tc>
      </w:tr>
      <w:tr>
        <w:tblPrEx>
          <w:tblCellMar>
            <w:top w:w="0" w:type="dxa"/>
            <w:left w:w="108" w:type="dxa"/>
            <w:bottom w:w="0" w:type="dxa"/>
            <w:right w:w="108" w:type="dxa"/>
          </w:tblCellMar>
        </w:tblPrEx>
        <w:trPr>
          <w:trHeight w:val="240" w:hRule="atLeast"/>
        </w:trPr>
        <w:tc>
          <w:tcPr>
            <w:tcW w:w="1100" w:type="dxa"/>
            <w:tcBorders>
              <w:top w:val="nil"/>
              <w:left w:val="nil"/>
              <w:bottom w:val="nil"/>
              <w:right w:val="nil"/>
            </w:tcBorders>
            <w:vAlign w:val="center"/>
          </w:tcPr>
          <w:p>
            <w:pPr>
              <w:widowControl/>
              <w:jc w:val="left"/>
              <w:rPr>
                <w:rFonts w:ascii="宋体" w:hAnsi="宋体" w:cs="宋体"/>
                <w:kern w:val="0"/>
                <w:sz w:val="20"/>
                <w:szCs w:val="20"/>
              </w:rPr>
            </w:pPr>
          </w:p>
        </w:tc>
        <w:tc>
          <w:tcPr>
            <w:tcW w:w="3750" w:type="dxa"/>
            <w:tcBorders>
              <w:top w:val="nil"/>
              <w:left w:val="nil"/>
              <w:bottom w:val="nil"/>
              <w:right w:val="nil"/>
            </w:tcBorders>
            <w:vAlign w:val="center"/>
          </w:tcPr>
          <w:p>
            <w:pPr>
              <w:widowControl/>
              <w:jc w:val="center"/>
              <w:rPr>
                <w:rFonts w:ascii="宋体" w:hAnsi="宋体" w:cs="宋体"/>
                <w:kern w:val="0"/>
                <w:sz w:val="20"/>
                <w:szCs w:val="20"/>
              </w:rPr>
            </w:pPr>
          </w:p>
        </w:tc>
        <w:tc>
          <w:tcPr>
            <w:tcW w:w="1510" w:type="dxa"/>
            <w:tcBorders>
              <w:top w:val="nil"/>
              <w:left w:val="nil"/>
              <w:bottom w:val="nil"/>
              <w:right w:val="nil"/>
            </w:tcBorders>
            <w:vAlign w:val="center"/>
          </w:tcPr>
          <w:p>
            <w:pPr>
              <w:widowControl/>
              <w:jc w:val="left"/>
              <w:rPr>
                <w:rFonts w:ascii="宋体" w:hAnsi="宋体" w:cs="宋体"/>
                <w:kern w:val="0"/>
                <w:sz w:val="20"/>
                <w:szCs w:val="20"/>
              </w:rPr>
            </w:pPr>
          </w:p>
        </w:tc>
        <w:tc>
          <w:tcPr>
            <w:tcW w:w="3780" w:type="dxa"/>
            <w:tcBorders>
              <w:top w:val="nil"/>
              <w:left w:val="nil"/>
              <w:bottom w:val="nil"/>
              <w:right w:val="nil"/>
            </w:tcBorders>
            <w:vAlign w:val="center"/>
          </w:tcPr>
          <w:p>
            <w:pPr>
              <w:widowControl/>
              <w:jc w:val="right"/>
              <w:rPr>
                <w:rFonts w:ascii="宋体" w:hAnsi="宋体" w:cs="宋体"/>
                <w:kern w:val="0"/>
                <w:sz w:val="20"/>
                <w:szCs w:val="20"/>
              </w:rPr>
            </w:pPr>
          </w:p>
        </w:tc>
      </w:tr>
      <w:tr>
        <w:tblPrEx>
          <w:tblCellMar>
            <w:top w:w="0" w:type="dxa"/>
            <w:left w:w="108" w:type="dxa"/>
            <w:bottom w:w="0" w:type="dxa"/>
            <w:right w:w="108" w:type="dxa"/>
          </w:tblCellMar>
        </w:tblPrEx>
        <w:trPr>
          <w:trHeight w:val="420" w:hRule="atLeast"/>
        </w:trPr>
        <w:tc>
          <w:tcPr>
            <w:tcW w:w="4850" w:type="dxa"/>
            <w:gridSpan w:val="2"/>
            <w:tcBorders>
              <w:top w:val="nil"/>
              <w:left w:val="nil"/>
              <w:bottom w:val="nil"/>
              <w:right w:val="nil"/>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项目名称：</w:t>
            </w:r>
            <w:r>
              <w:rPr>
                <w:rFonts w:hint="eastAsia" w:ascii="宋体" w:hAnsi="宋体" w:cs="宋体"/>
                <w:kern w:val="0"/>
                <w:sz w:val="20"/>
                <w:szCs w:val="20"/>
                <w:lang w:eastAsia="zh-CN"/>
              </w:rPr>
              <w:t>首都全民义务植树补助</w:t>
            </w:r>
          </w:p>
        </w:tc>
        <w:tc>
          <w:tcPr>
            <w:tcW w:w="1510" w:type="dxa"/>
            <w:tcBorders>
              <w:top w:val="nil"/>
              <w:left w:val="nil"/>
              <w:bottom w:val="nil"/>
              <w:right w:val="nil"/>
            </w:tcBorders>
            <w:vAlign w:val="center"/>
          </w:tcPr>
          <w:p>
            <w:pPr>
              <w:widowControl/>
              <w:jc w:val="left"/>
              <w:rPr>
                <w:rFonts w:ascii="宋体" w:hAnsi="宋体" w:cs="宋体"/>
                <w:kern w:val="0"/>
                <w:sz w:val="20"/>
                <w:szCs w:val="20"/>
              </w:rPr>
            </w:pPr>
          </w:p>
        </w:tc>
        <w:tc>
          <w:tcPr>
            <w:tcW w:w="3780" w:type="dxa"/>
            <w:tcBorders>
              <w:top w:val="nil"/>
              <w:left w:val="nil"/>
              <w:bottom w:val="nil"/>
              <w:right w:val="nil"/>
            </w:tcBorders>
            <w:vAlign w:val="center"/>
          </w:tcPr>
          <w:p>
            <w:pPr>
              <w:widowControl/>
              <w:jc w:val="right"/>
              <w:rPr>
                <w:rFonts w:ascii="宋体" w:hAnsi="宋体" w:cs="宋体"/>
                <w:kern w:val="0"/>
                <w:sz w:val="20"/>
                <w:szCs w:val="20"/>
              </w:rPr>
            </w:pPr>
            <w:r>
              <w:rPr>
                <w:rFonts w:hint="eastAsia" w:ascii="宋体" w:hAnsi="宋体" w:cs="宋体"/>
                <w:kern w:val="0"/>
                <w:sz w:val="20"/>
                <w:szCs w:val="20"/>
              </w:rPr>
              <w:t>单位：万元</w:t>
            </w:r>
          </w:p>
        </w:tc>
      </w:tr>
      <w:tr>
        <w:tblPrEx>
          <w:tblCellMar>
            <w:top w:w="0" w:type="dxa"/>
            <w:left w:w="108" w:type="dxa"/>
            <w:bottom w:w="0" w:type="dxa"/>
            <w:right w:w="108" w:type="dxa"/>
          </w:tblCellMar>
        </w:tblPrEx>
        <w:trPr>
          <w:trHeight w:val="559" w:hRule="atLeast"/>
        </w:trPr>
        <w:tc>
          <w:tcPr>
            <w:tcW w:w="1100" w:type="dxa"/>
            <w:vMerge w:val="restart"/>
            <w:tcBorders>
              <w:top w:val="single" w:color="auto" w:sz="4" w:space="0"/>
              <w:left w:val="single" w:color="auto" w:sz="4" w:space="0"/>
              <w:bottom w:val="nil"/>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绩效目标完成情况</w:t>
            </w:r>
          </w:p>
        </w:tc>
        <w:tc>
          <w:tcPr>
            <w:tcW w:w="37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计划内容</w:t>
            </w:r>
          </w:p>
        </w:tc>
        <w:tc>
          <w:tcPr>
            <w:tcW w:w="151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目标调整情况</w:t>
            </w:r>
          </w:p>
        </w:tc>
        <w:tc>
          <w:tcPr>
            <w:tcW w:w="3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trHeight w:val="559"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接待批次</w:t>
            </w:r>
            <w:r>
              <w:rPr>
                <w:rFonts w:hint="eastAsia" w:ascii="宋体" w:hAnsi="宋体" w:cs="宋体"/>
                <w:kern w:val="0"/>
                <w:sz w:val="20"/>
                <w:szCs w:val="20"/>
                <w:highlight w:val="none"/>
                <w:lang w:val="en-US" w:eastAsia="zh-CN"/>
              </w:rPr>
              <w:t>220批</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highlight w:val="none"/>
              </w:rPr>
            </w:pPr>
          </w:p>
        </w:tc>
        <w:tc>
          <w:tcPr>
            <w:tcW w:w="378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20"/>
                <w:szCs w:val="20"/>
                <w:highlight w:val="none"/>
                <w:lang w:val="en-US" w:eastAsia="zh-CN"/>
              </w:rPr>
            </w:pPr>
            <w:r>
              <w:rPr>
                <w:rFonts w:hint="eastAsia" w:ascii="宋体" w:hAnsi="宋体" w:cs="宋体"/>
                <w:kern w:val="0"/>
                <w:sz w:val="20"/>
                <w:szCs w:val="20"/>
                <w:highlight w:val="none"/>
                <w:lang w:val="en-US" w:eastAsia="zh-CN"/>
              </w:rPr>
              <w:t>均已完成</w:t>
            </w:r>
          </w:p>
        </w:tc>
      </w:tr>
      <w:tr>
        <w:tblPrEx>
          <w:tblCellMar>
            <w:top w:w="0" w:type="dxa"/>
            <w:left w:w="108" w:type="dxa"/>
            <w:bottom w:w="0" w:type="dxa"/>
            <w:right w:w="108" w:type="dxa"/>
          </w:tblCellMar>
        </w:tblPrEx>
        <w:trPr>
          <w:trHeight w:val="559"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接待人次22000人次</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highlight w:val="none"/>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highlight w:val="none"/>
                <w:lang w:val="en-US" w:eastAsia="zh-CN"/>
              </w:rPr>
            </w:pPr>
            <w:r>
              <w:rPr>
                <w:rFonts w:hint="eastAsia" w:ascii="宋体" w:hAnsi="宋体" w:cs="宋体"/>
                <w:kern w:val="0"/>
                <w:sz w:val="20"/>
                <w:szCs w:val="20"/>
                <w:highlight w:val="none"/>
                <w:lang w:val="en-US" w:eastAsia="zh-CN"/>
              </w:rPr>
              <w:t>均已完成</w:t>
            </w:r>
          </w:p>
        </w:tc>
      </w:tr>
      <w:tr>
        <w:tblPrEx>
          <w:tblCellMar>
            <w:top w:w="0" w:type="dxa"/>
            <w:left w:w="108" w:type="dxa"/>
            <w:bottom w:w="0" w:type="dxa"/>
            <w:right w:w="108" w:type="dxa"/>
          </w:tblCellMar>
        </w:tblPrEx>
        <w:trPr>
          <w:trHeight w:val="559"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折算尽责株数66000株</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highlight w:val="none"/>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highlight w:val="none"/>
                <w:lang w:val="en-US" w:eastAsia="zh-CN"/>
              </w:rPr>
            </w:pPr>
            <w:r>
              <w:rPr>
                <w:rFonts w:hint="eastAsia" w:ascii="宋体" w:hAnsi="宋体" w:cs="宋体"/>
                <w:kern w:val="0"/>
                <w:sz w:val="20"/>
                <w:szCs w:val="20"/>
                <w:highlight w:val="none"/>
                <w:lang w:val="en-US" w:eastAsia="zh-CN"/>
              </w:rPr>
              <w:t>均已完成</w:t>
            </w:r>
          </w:p>
        </w:tc>
      </w:tr>
      <w:tr>
        <w:tblPrEx>
          <w:tblCellMar>
            <w:top w:w="0" w:type="dxa"/>
            <w:left w:w="108" w:type="dxa"/>
            <w:bottom w:w="0" w:type="dxa"/>
            <w:right w:w="108" w:type="dxa"/>
          </w:tblCellMar>
        </w:tblPrEx>
        <w:trPr>
          <w:trHeight w:val="559"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对社区及村庄进行补助</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已完成实物补助35个社区和50个村庄。</w:t>
            </w:r>
          </w:p>
        </w:tc>
      </w:tr>
      <w:tr>
        <w:tblPrEx>
          <w:tblCellMar>
            <w:top w:w="0" w:type="dxa"/>
            <w:left w:w="108" w:type="dxa"/>
            <w:bottom w:w="0" w:type="dxa"/>
            <w:right w:w="108" w:type="dxa"/>
          </w:tblCellMar>
        </w:tblPrEx>
        <w:trPr>
          <w:trHeight w:val="559"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补助森林城市体验中心建设</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已完成建设4处森林城市体验中心</w:t>
            </w:r>
          </w:p>
        </w:tc>
      </w:tr>
      <w:tr>
        <w:tblPrEx>
          <w:tblCellMar>
            <w:top w:w="0" w:type="dxa"/>
            <w:left w:w="108" w:type="dxa"/>
            <w:bottom w:w="0" w:type="dxa"/>
            <w:right w:w="108" w:type="dxa"/>
          </w:tblCellMar>
        </w:tblPrEx>
        <w:trPr>
          <w:trHeight w:val="737"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服务标准</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符合《首都绿化委员会关于深入开展首都全民义务植树工作的指导意见》要求。</w:t>
            </w:r>
          </w:p>
        </w:tc>
      </w:tr>
      <w:tr>
        <w:tblPrEx>
          <w:tblCellMar>
            <w:top w:w="0" w:type="dxa"/>
            <w:left w:w="108" w:type="dxa"/>
            <w:bottom w:w="0" w:type="dxa"/>
            <w:right w:w="108" w:type="dxa"/>
          </w:tblCellMar>
        </w:tblPrEx>
        <w:trPr>
          <w:trHeight w:val="559"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服务接待率</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服务接待率100%</w:t>
            </w:r>
          </w:p>
        </w:tc>
      </w:tr>
      <w:tr>
        <w:tblPrEx>
          <w:tblCellMar>
            <w:top w:w="0" w:type="dxa"/>
            <w:left w:w="108" w:type="dxa"/>
            <w:bottom w:w="0" w:type="dxa"/>
            <w:right w:w="108" w:type="dxa"/>
          </w:tblCellMar>
        </w:tblPrEx>
        <w:trPr>
          <w:trHeight w:val="737"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4处森林城市体验中心具备对外开放条件，为传播森林城市理念发挥作用。</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优</w:t>
            </w:r>
          </w:p>
        </w:tc>
      </w:tr>
      <w:tr>
        <w:tblPrEx>
          <w:tblCellMar>
            <w:top w:w="0" w:type="dxa"/>
            <w:left w:w="108" w:type="dxa"/>
            <w:bottom w:w="0" w:type="dxa"/>
            <w:right w:w="108" w:type="dxa"/>
          </w:tblCellMar>
        </w:tblPrEx>
        <w:trPr>
          <w:trHeight w:val="737"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整体环境明显改善，现有资源有效利用，生态环境质量进一步提升。</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优</w:t>
            </w:r>
          </w:p>
        </w:tc>
      </w:tr>
      <w:tr>
        <w:tblPrEx>
          <w:tblCellMar>
            <w:top w:w="0" w:type="dxa"/>
            <w:left w:w="108" w:type="dxa"/>
            <w:bottom w:w="0" w:type="dxa"/>
            <w:right w:w="108" w:type="dxa"/>
          </w:tblCellMar>
        </w:tblPrEx>
        <w:trPr>
          <w:trHeight w:val="559" w:hRule="atLeast"/>
        </w:trPr>
        <w:tc>
          <w:tcPr>
            <w:tcW w:w="11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财政拨款1,100.00万元</w:t>
            </w:r>
          </w:p>
        </w:tc>
        <w:tc>
          <w:tcPr>
            <w:tcW w:w="151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p>
        </w:tc>
        <w:tc>
          <w:tcPr>
            <w:tcW w:w="3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实际支出1,094.89万元</w:t>
            </w:r>
          </w:p>
        </w:tc>
      </w:tr>
      <w:tr>
        <w:tblPrEx>
          <w:tblCellMar>
            <w:top w:w="0" w:type="dxa"/>
            <w:left w:w="108" w:type="dxa"/>
            <w:bottom w:w="0" w:type="dxa"/>
            <w:right w:w="108" w:type="dxa"/>
          </w:tblCellMar>
        </w:tblPrEx>
        <w:trPr>
          <w:trHeight w:val="1617" w:hRule="atLeast"/>
        </w:trPr>
        <w:tc>
          <w:tcPr>
            <w:tcW w:w="1100" w:type="dxa"/>
            <w:tcBorders>
              <w:top w:val="single" w:color="auto" w:sz="4" w:space="0"/>
              <w:left w:val="single" w:color="auto" w:sz="4" w:space="0"/>
              <w:bottom w:val="nil"/>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资金到位情况</w:t>
            </w:r>
          </w:p>
        </w:tc>
        <w:tc>
          <w:tcPr>
            <w:tcW w:w="3750" w:type="dxa"/>
            <w:tcBorders>
              <w:top w:val="nil"/>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财政拨款</w:t>
            </w:r>
            <w:r>
              <w:rPr>
                <w:rFonts w:hint="eastAsia" w:ascii="宋体" w:hAnsi="宋体" w:cs="宋体"/>
                <w:kern w:val="0"/>
                <w:sz w:val="20"/>
                <w:szCs w:val="20"/>
                <w:lang w:val="en-US" w:eastAsia="zh-CN"/>
              </w:rPr>
              <w:t>1,100.00</w:t>
            </w:r>
            <w:r>
              <w:rPr>
                <w:rFonts w:ascii="宋体" w:hAnsi="宋体" w:cs="宋体"/>
                <w:kern w:val="0"/>
                <w:sz w:val="20"/>
                <w:szCs w:val="20"/>
              </w:rPr>
              <w:t>万元</w:t>
            </w:r>
          </w:p>
        </w:tc>
        <w:tc>
          <w:tcPr>
            <w:tcW w:w="151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实际到位</w:t>
            </w:r>
            <w:r>
              <w:rPr>
                <w:rFonts w:hint="eastAsia" w:ascii="宋体" w:hAnsi="宋体" w:cs="宋体"/>
                <w:kern w:val="0"/>
                <w:sz w:val="20"/>
                <w:szCs w:val="20"/>
                <w:lang w:val="en-US" w:eastAsia="zh-CN"/>
              </w:rPr>
              <w:t>1,100.00</w:t>
            </w:r>
            <w:r>
              <w:rPr>
                <w:rFonts w:hint="eastAsia" w:ascii="宋体" w:hAnsi="宋体" w:cs="宋体"/>
                <w:color w:val="000000"/>
                <w:kern w:val="0"/>
                <w:sz w:val="20"/>
                <w:szCs w:val="20"/>
                <w:lang w:val="en-US" w:eastAsia="zh-CN"/>
              </w:rPr>
              <w:t>万</w:t>
            </w:r>
            <w:r>
              <w:rPr>
                <w:rFonts w:ascii="宋体" w:hAnsi="宋体" w:cs="宋体"/>
                <w:kern w:val="0"/>
                <w:sz w:val="20"/>
                <w:szCs w:val="20"/>
              </w:rPr>
              <w:t>元</w:t>
            </w:r>
          </w:p>
        </w:tc>
      </w:tr>
      <w:tr>
        <w:tblPrEx>
          <w:tblCellMar>
            <w:top w:w="0" w:type="dxa"/>
            <w:left w:w="108" w:type="dxa"/>
            <w:bottom w:w="0" w:type="dxa"/>
            <w:right w:w="108" w:type="dxa"/>
          </w:tblCellMar>
        </w:tblPrEx>
        <w:trPr>
          <w:trHeight w:val="567"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资金支出情况</w:t>
            </w: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cs="宋体"/>
                <w:kern w:val="0"/>
                <w:sz w:val="20"/>
                <w:szCs w:val="20"/>
                <w:lang w:eastAsia="zh-CN"/>
              </w:rPr>
              <w:t>国市级基地运维和活动补助项目</w:t>
            </w:r>
          </w:p>
        </w:tc>
        <w:tc>
          <w:tcPr>
            <w:tcW w:w="151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20"/>
                <w:szCs w:val="20"/>
              </w:rPr>
            </w:pPr>
          </w:p>
        </w:tc>
        <w:tc>
          <w:tcPr>
            <w:tcW w:w="378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300.00万元</w:t>
            </w:r>
          </w:p>
        </w:tc>
      </w:tr>
      <w:tr>
        <w:tblPrEx>
          <w:tblCellMar>
            <w:top w:w="0" w:type="dxa"/>
            <w:left w:w="108" w:type="dxa"/>
            <w:bottom w:w="0" w:type="dxa"/>
            <w:right w:w="108" w:type="dxa"/>
          </w:tblCellMar>
        </w:tblPrEx>
        <w:trPr>
          <w:trHeight w:val="567" w:hRule="atLeast"/>
        </w:trPr>
        <w:tc>
          <w:tcPr>
            <w:tcW w:w="1100" w:type="dxa"/>
            <w:vMerge w:val="continue"/>
            <w:tcBorders>
              <w:left w:val="single" w:color="auto" w:sz="4" w:space="0"/>
              <w:right w:val="single" w:color="auto" w:sz="4" w:space="0"/>
            </w:tcBorders>
            <w:shd w:val="clear" w:color="000000" w:fill="FFFFFF"/>
            <w:textDirection w:val="tbRlV"/>
            <w:vAlign w:val="center"/>
          </w:tcPr>
          <w:p>
            <w:pPr>
              <w:widowControl/>
              <w:jc w:val="center"/>
              <w:rPr>
                <w:rFonts w:hint="eastAsia"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cs="宋体"/>
                <w:kern w:val="0"/>
                <w:sz w:val="20"/>
                <w:szCs w:val="20"/>
                <w:lang w:eastAsia="zh-CN"/>
              </w:rPr>
            </w:pPr>
            <w:r>
              <w:rPr>
                <w:rFonts w:hint="eastAsia" w:ascii="宋体" w:hAnsi="宋体" w:cs="宋体"/>
                <w:kern w:val="0"/>
                <w:sz w:val="20"/>
                <w:szCs w:val="20"/>
                <w:lang w:eastAsia="zh-CN"/>
              </w:rPr>
              <w:t>森林城市体验中心建设补助项目</w:t>
            </w:r>
          </w:p>
        </w:tc>
        <w:tc>
          <w:tcPr>
            <w:tcW w:w="151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20"/>
                <w:szCs w:val="20"/>
              </w:rPr>
            </w:pPr>
          </w:p>
        </w:tc>
        <w:tc>
          <w:tcPr>
            <w:tcW w:w="378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120.00万元</w:t>
            </w:r>
          </w:p>
        </w:tc>
      </w:tr>
      <w:tr>
        <w:tblPrEx>
          <w:tblCellMar>
            <w:top w:w="0" w:type="dxa"/>
            <w:left w:w="108" w:type="dxa"/>
            <w:bottom w:w="0" w:type="dxa"/>
            <w:right w:w="108" w:type="dxa"/>
          </w:tblCellMar>
        </w:tblPrEx>
        <w:trPr>
          <w:trHeight w:val="567"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cs="宋体"/>
                <w:kern w:val="0"/>
                <w:sz w:val="20"/>
                <w:szCs w:val="20"/>
                <w:lang w:eastAsia="zh-CN"/>
              </w:rPr>
              <w:t>市花月季乡土植物进社区进村庄项目</w:t>
            </w:r>
          </w:p>
        </w:tc>
        <w:tc>
          <w:tcPr>
            <w:tcW w:w="151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3780"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674.89万元</w:t>
            </w:r>
          </w:p>
        </w:tc>
      </w:tr>
      <w:tr>
        <w:tblPrEx>
          <w:tblCellMar>
            <w:top w:w="0" w:type="dxa"/>
            <w:left w:w="108" w:type="dxa"/>
            <w:bottom w:w="0" w:type="dxa"/>
            <w:right w:w="108" w:type="dxa"/>
          </w:tblCellMar>
        </w:tblPrEx>
        <w:trPr>
          <w:trHeight w:val="567"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7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合计</w:t>
            </w:r>
          </w:p>
        </w:tc>
        <w:tc>
          <w:tcPr>
            <w:tcW w:w="151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1,094.89</w:t>
            </w:r>
            <w:r>
              <w:rPr>
                <w:rFonts w:ascii="宋体" w:hAnsi="宋体" w:cs="宋体"/>
                <w:kern w:val="0"/>
                <w:sz w:val="20"/>
                <w:szCs w:val="20"/>
              </w:rPr>
              <w:t>万元</w:t>
            </w:r>
          </w:p>
        </w:tc>
      </w:tr>
      <w:tr>
        <w:tblPrEx>
          <w:tblCellMar>
            <w:top w:w="0" w:type="dxa"/>
            <w:left w:w="108" w:type="dxa"/>
            <w:bottom w:w="0" w:type="dxa"/>
            <w:right w:w="108" w:type="dxa"/>
          </w:tblCellMar>
        </w:tblPrEx>
        <w:trPr>
          <w:trHeight w:val="1095" w:hRule="atLeast"/>
        </w:trPr>
        <w:tc>
          <w:tcPr>
            <w:tcW w:w="10140" w:type="dxa"/>
            <w:gridSpan w:val="4"/>
            <w:tcBorders>
              <w:top w:val="single" w:color="auto" w:sz="4" w:space="0"/>
              <w:left w:val="nil"/>
              <w:bottom w:val="nil"/>
              <w:right w:val="nil"/>
            </w:tcBorders>
            <w:vAlign w:val="center"/>
          </w:tcPr>
          <w:p>
            <w:pPr>
              <w:widowControl/>
              <w:jc w:val="left"/>
              <w:rPr>
                <w:rFonts w:ascii="宋体" w:hAnsi="宋体" w:cs="宋体"/>
                <w:kern w:val="0"/>
              </w:rPr>
            </w:pPr>
            <w:r>
              <w:rPr>
                <w:rFonts w:hint="eastAsia" w:ascii="宋体" w:hAnsi="宋体" w:cs="宋体"/>
                <w:kern w:val="0"/>
              </w:rPr>
              <w:t>注：1.预算批复数为项目年度批复的预算数，包含年初批复和年中的追加核减数。</w:t>
            </w:r>
            <w:r>
              <w:rPr>
                <w:rFonts w:hint="eastAsia" w:ascii="宋体" w:hAnsi="宋体" w:cs="宋体"/>
                <w:kern w:val="0"/>
              </w:rPr>
              <w:br w:type="textWrapping"/>
            </w:r>
            <w:r>
              <w:rPr>
                <w:rFonts w:hint="eastAsia" w:ascii="宋体" w:hAnsi="宋体" w:cs="宋体"/>
                <w:kern w:val="0"/>
              </w:rPr>
              <w:t xml:space="preserve">    2.实际支出数是指对应项目明细的实际支出数。</w:t>
            </w:r>
            <w:r>
              <w:rPr>
                <w:rFonts w:hint="eastAsia" w:ascii="宋体" w:hAnsi="宋体" w:cs="宋体"/>
                <w:kern w:val="0"/>
              </w:rPr>
              <w:br w:type="textWrapping"/>
            </w:r>
            <w:r>
              <w:rPr>
                <w:rFonts w:hint="eastAsia" w:ascii="宋体" w:hAnsi="宋体" w:cs="宋体"/>
                <w:kern w:val="0"/>
              </w:rPr>
              <w:t xml:space="preserve">    3.表中数据以单位实际</w:t>
            </w:r>
            <w:r>
              <w:rPr>
                <w:rFonts w:hint="eastAsia" w:ascii="宋体" w:hAnsi="宋体" w:cs="宋体"/>
                <w:kern w:val="0"/>
                <w:lang w:eastAsia="zh-CN"/>
              </w:rPr>
              <w:t>账面</w:t>
            </w:r>
            <w:r>
              <w:rPr>
                <w:rFonts w:hint="eastAsia" w:ascii="宋体" w:hAnsi="宋体" w:cs="宋体"/>
                <w:kern w:val="0"/>
              </w:rPr>
              <w:t>数据为准，保留小数点后两位数字。</w:t>
            </w:r>
          </w:p>
        </w:tc>
      </w:tr>
    </w:tbl>
    <w:p/>
    <w:p/>
    <w:p>
      <w:pPr>
        <w:pStyle w:val="7"/>
      </w:pPr>
    </w:p>
    <w:tbl>
      <w:tblPr>
        <w:tblStyle w:val="11"/>
        <w:tblW w:w="0" w:type="auto"/>
        <w:tblInd w:w="-176" w:type="dxa"/>
        <w:tblLayout w:type="fixed"/>
        <w:tblCellMar>
          <w:top w:w="0" w:type="dxa"/>
          <w:left w:w="108" w:type="dxa"/>
          <w:bottom w:w="0" w:type="dxa"/>
          <w:right w:w="108" w:type="dxa"/>
        </w:tblCellMar>
      </w:tblPr>
      <w:tblGrid>
        <w:gridCol w:w="1486"/>
        <w:gridCol w:w="907"/>
        <w:gridCol w:w="1586"/>
        <w:gridCol w:w="674"/>
        <w:gridCol w:w="2115"/>
        <w:gridCol w:w="595"/>
        <w:gridCol w:w="1088"/>
      </w:tblGrid>
      <w:tr>
        <w:tblPrEx>
          <w:tblCellMar>
            <w:top w:w="0" w:type="dxa"/>
            <w:left w:w="108" w:type="dxa"/>
            <w:bottom w:w="0" w:type="dxa"/>
            <w:right w:w="108" w:type="dxa"/>
          </w:tblCellMar>
        </w:tblPrEx>
        <w:trPr>
          <w:trHeight w:val="507" w:hRule="atLeast"/>
        </w:trPr>
        <w:tc>
          <w:tcPr>
            <w:tcW w:w="1486" w:type="dxa"/>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附件3</w:t>
            </w:r>
          </w:p>
        </w:tc>
        <w:tc>
          <w:tcPr>
            <w:tcW w:w="907" w:type="dxa"/>
            <w:tcBorders>
              <w:top w:val="nil"/>
              <w:left w:val="nil"/>
              <w:bottom w:val="nil"/>
              <w:right w:val="nil"/>
            </w:tcBorders>
            <w:vAlign w:val="center"/>
          </w:tcPr>
          <w:p>
            <w:pPr>
              <w:widowControl/>
              <w:jc w:val="left"/>
              <w:rPr>
                <w:rFonts w:ascii="宋体" w:hAnsi="宋体" w:cs="宋体"/>
                <w:kern w:val="0"/>
                <w:sz w:val="22"/>
              </w:rPr>
            </w:pPr>
          </w:p>
        </w:tc>
        <w:tc>
          <w:tcPr>
            <w:tcW w:w="1586" w:type="dxa"/>
            <w:tcBorders>
              <w:top w:val="nil"/>
              <w:left w:val="nil"/>
              <w:bottom w:val="nil"/>
              <w:right w:val="nil"/>
            </w:tcBorders>
            <w:vAlign w:val="center"/>
          </w:tcPr>
          <w:p>
            <w:pPr>
              <w:widowControl/>
              <w:jc w:val="left"/>
              <w:rPr>
                <w:rFonts w:ascii="宋体" w:hAnsi="宋体" w:cs="宋体"/>
                <w:kern w:val="0"/>
                <w:sz w:val="22"/>
              </w:rPr>
            </w:pPr>
          </w:p>
        </w:tc>
        <w:tc>
          <w:tcPr>
            <w:tcW w:w="674" w:type="dxa"/>
            <w:tcBorders>
              <w:top w:val="nil"/>
              <w:left w:val="nil"/>
              <w:bottom w:val="nil"/>
              <w:right w:val="nil"/>
            </w:tcBorders>
            <w:vAlign w:val="center"/>
          </w:tcPr>
          <w:p>
            <w:pPr>
              <w:widowControl/>
              <w:jc w:val="left"/>
              <w:rPr>
                <w:rFonts w:ascii="宋体" w:hAnsi="宋体" w:cs="宋体"/>
                <w:kern w:val="0"/>
                <w:sz w:val="22"/>
              </w:rPr>
            </w:pPr>
          </w:p>
        </w:tc>
        <w:tc>
          <w:tcPr>
            <w:tcW w:w="2115" w:type="dxa"/>
            <w:tcBorders>
              <w:top w:val="nil"/>
              <w:left w:val="nil"/>
              <w:bottom w:val="nil"/>
              <w:right w:val="nil"/>
            </w:tcBorders>
            <w:vAlign w:val="center"/>
          </w:tcPr>
          <w:p>
            <w:pPr>
              <w:widowControl/>
              <w:jc w:val="center"/>
              <w:rPr>
                <w:rFonts w:ascii="宋体" w:hAnsi="宋体" w:cs="宋体"/>
                <w:kern w:val="0"/>
                <w:sz w:val="22"/>
              </w:rPr>
            </w:pPr>
          </w:p>
        </w:tc>
        <w:tc>
          <w:tcPr>
            <w:tcW w:w="595" w:type="dxa"/>
            <w:tcBorders>
              <w:top w:val="nil"/>
              <w:left w:val="nil"/>
              <w:bottom w:val="nil"/>
              <w:right w:val="nil"/>
            </w:tcBorders>
            <w:vAlign w:val="center"/>
          </w:tcPr>
          <w:p>
            <w:pPr>
              <w:widowControl/>
              <w:jc w:val="left"/>
              <w:rPr>
                <w:rFonts w:ascii="宋体" w:hAnsi="宋体" w:cs="宋体"/>
                <w:kern w:val="0"/>
                <w:sz w:val="22"/>
              </w:rPr>
            </w:pPr>
          </w:p>
        </w:tc>
        <w:tc>
          <w:tcPr>
            <w:tcW w:w="1088" w:type="dxa"/>
            <w:tcBorders>
              <w:top w:val="nil"/>
              <w:left w:val="nil"/>
              <w:bottom w:val="nil"/>
              <w:right w:val="nil"/>
            </w:tcBorders>
            <w:vAlign w:val="center"/>
          </w:tcPr>
          <w:p>
            <w:pPr>
              <w:widowControl/>
              <w:jc w:val="left"/>
              <w:rPr>
                <w:rFonts w:ascii="宋体" w:hAnsi="宋体" w:cs="宋体"/>
                <w:kern w:val="0"/>
                <w:sz w:val="22"/>
              </w:rPr>
            </w:pPr>
          </w:p>
        </w:tc>
      </w:tr>
      <w:tr>
        <w:tblPrEx>
          <w:tblCellMar>
            <w:top w:w="0" w:type="dxa"/>
            <w:left w:w="108" w:type="dxa"/>
            <w:bottom w:w="0" w:type="dxa"/>
            <w:right w:w="108" w:type="dxa"/>
          </w:tblCellMar>
        </w:tblPrEx>
        <w:trPr>
          <w:trHeight w:val="487" w:hRule="atLeast"/>
        </w:trPr>
        <w:tc>
          <w:tcPr>
            <w:tcW w:w="8451" w:type="dxa"/>
            <w:gridSpan w:val="7"/>
            <w:tcBorders>
              <w:top w:val="nil"/>
              <w:left w:val="nil"/>
              <w:bottom w:val="nil"/>
              <w:right w:val="nil"/>
            </w:tcBorders>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财政支出绩效评价指标评分表</w:t>
            </w:r>
          </w:p>
        </w:tc>
      </w:tr>
      <w:tr>
        <w:tblPrEx>
          <w:tblCellMar>
            <w:top w:w="0" w:type="dxa"/>
            <w:left w:w="108" w:type="dxa"/>
            <w:bottom w:w="0" w:type="dxa"/>
            <w:right w:w="108" w:type="dxa"/>
          </w:tblCellMar>
        </w:tblPrEx>
        <w:trPr>
          <w:trHeight w:val="492" w:hRule="atLeast"/>
        </w:trPr>
        <w:tc>
          <w:tcPr>
            <w:tcW w:w="1486" w:type="dxa"/>
            <w:tcBorders>
              <w:top w:val="single" w:color="auto" w:sz="4" w:space="0"/>
              <w:left w:val="single" w:color="auto" w:sz="4" w:space="0"/>
              <w:bottom w:val="nil"/>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一级指标</w:t>
            </w:r>
          </w:p>
        </w:tc>
        <w:tc>
          <w:tcPr>
            <w:tcW w:w="907" w:type="dxa"/>
            <w:tcBorders>
              <w:top w:val="single" w:color="auto" w:sz="4" w:space="0"/>
              <w:left w:val="nil"/>
              <w:bottom w:val="single" w:color="auto" w:sz="4" w:space="0"/>
              <w:right w:val="nil"/>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58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二级指标</w:t>
            </w:r>
          </w:p>
        </w:tc>
        <w:tc>
          <w:tcPr>
            <w:tcW w:w="67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21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三级指标</w:t>
            </w:r>
          </w:p>
        </w:tc>
        <w:tc>
          <w:tcPr>
            <w:tcW w:w="59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08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得分</w:t>
            </w:r>
          </w:p>
        </w:tc>
      </w:tr>
      <w:tr>
        <w:tblPrEx>
          <w:tblCellMar>
            <w:top w:w="0" w:type="dxa"/>
            <w:left w:w="108" w:type="dxa"/>
            <w:bottom w:w="0" w:type="dxa"/>
            <w:right w:w="108" w:type="dxa"/>
          </w:tblCellMar>
        </w:tblPrEx>
        <w:trPr>
          <w:trHeight w:val="552" w:hRule="atLeast"/>
        </w:trPr>
        <w:tc>
          <w:tcPr>
            <w:tcW w:w="1486"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项目决策</w:t>
            </w:r>
          </w:p>
        </w:tc>
        <w:tc>
          <w:tcPr>
            <w:tcW w:w="907"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586" w:type="dxa"/>
            <w:vMerge w:val="restart"/>
            <w:tcBorders>
              <w:top w:val="nil"/>
              <w:left w:val="nil"/>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项目立项</w:t>
            </w:r>
          </w:p>
        </w:tc>
        <w:tc>
          <w:tcPr>
            <w:tcW w:w="674" w:type="dxa"/>
            <w:vMerge w:val="restart"/>
            <w:tcBorders>
              <w:top w:val="nil"/>
              <w:left w:val="nil"/>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立项依据充分性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left w:val="nil"/>
              <w:bottom w:val="single" w:color="auto" w:sz="4" w:space="0"/>
              <w:right w:val="single" w:color="auto" w:sz="4" w:space="0"/>
            </w:tcBorders>
            <w:vAlign w:val="center"/>
          </w:tcPr>
          <w:p>
            <w:pPr>
              <w:widowControl/>
              <w:jc w:val="center"/>
              <w:rPr>
                <w:rFonts w:ascii="宋体" w:hAnsi="宋体" w:cs="宋体"/>
                <w:kern w:val="0"/>
                <w:sz w:val="22"/>
              </w:rPr>
            </w:pPr>
          </w:p>
        </w:tc>
        <w:tc>
          <w:tcPr>
            <w:tcW w:w="674" w:type="dxa"/>
            <w:vMerge w:val="continue"/>
            <w:tcBorders>
              <w:left w:val="nil"/>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立项程序规范性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绩效目标</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绩效目标合理性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2</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绩效指标明确性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lang w:val="en-US" w:eastAsia="zh-CN"/>
              </w:rPr>
              <w:t>1</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资金投入</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预算编制科学性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1</w:t>
            </w:r>
            <w:r>
              <w:rPr>
                <w:rFonts w:hint="eastAsia" w:ascii="宋体" w:hAnsi="宋体" w:cs="宋体"/>
                <w:color w:val="000000"/>
                <w:kern w:val="0"/>
                <w:sz w:val="22"/>
                <w:szCs w:val="22"/>
              </w:rPr>
              <w:t>.5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资金分配合理性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lang w:val="en-US" w:eastAsia="zh-CN"/>
              </w:rPr>
              <w:t>1</w:t>
            </w:r>
          </w:p>
        </w:tc>
      </w:tr>
      <w:tr>
        <w:tblPrEx>
          <w:tblCellMar>
            <w:top w:w="0" w:type="dxa"/>
            <w:left w:w="108" w:type="dxa"/>
            <w:bottom w:w="0" w:type="dxa"/>
            <w:right w:w="108" w:type="dxa"/>
          </w:tblCellMar>
        </w:tblPrEx>
        <w:trPr>
          <w:trHeight w:val="552" w:hRule="atLeast"/>
        </w:trPr>
        <w:tc>
          <w:tcPr>
            <w:tcW w:w="148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项目过程</w:t>
            </w:r>
          </w:p>
        </w:tc>
        <w:tc>
          <w:tcPr>
            <w:tcW w:w="90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资金管理</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3</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3</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资金使用合规性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4</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组织实施</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管理制度健全性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lang w:val="en-US" w:eastAsia="zh-CN"/>
              </w:rPr>
              <w:t>1</w:t>
            </w:r>
          </w:p>
        </w:tc>
      </w:tr>
      <w:tr>
        <w:tblPrEx>
          <w:tblCellMar>
            <w:top w:w="0" w:type="dxa"/>
            <w:left w:w="108" w:type="dxa"/>
            <w:bottom w:w="0" w:type="dxa"/>
            <w:right w:w="108" w:type="dxa"/>
          </w:tblCellMar>
        </w:tblPrEx>
        <w:trPr>
          <w:trHeight w:val="610"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制度执行有效性</w:t>
            </w:r>
          </w:p>
        </w:tc>
        <w:tc>
          <w:tcPr>
            <w:tcW w:w="59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8</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8</w:t>
            </w:r>
          </w:p>
        </w:tc>
      </w:tr>
      <w:tr>
        <w:tblPrEx>
          <w:tblCellMar>
            <w:top w:w="0" w:type="dxa"/>
            <w:left w:w="108" w:type="dxa"/>
            <w:bottom w:w="0" w:type="dxa"/>
            <w:right w:w="108" w:type="dxa"/>
          </w:tblCellMar>
        </w:tblPrEx>
        <w:trPr>
          <w:trHeight w:val="552" w:hRule="atLeast"/>
        </w:trPr>
        <w:tc>
          <w:tcPr>
            <w:tcW w:w="1486"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项目产出</w:t>
            </w:r>
          </w:p>
        </w:tc>
        <w:tc>
          <w:tcPr>
            <w:tcW w:w="907"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40</w:t>
            </w: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产出数量</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 xml:space="preserve">10 </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lang w:val="en-US" w:eastAsia="zh-CN"/>
              </w:rPr>
              <w:t>10</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产出质量</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质量达标率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 xml:space="preserve">10 </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产出时效</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完成及时性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lang w:val="en-US" w:eastAsia="zh-CN"/>
              </w:rPr>
              <w:t>10</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产出成本</w:t>
            </w:r>
          </w:p>
        </w:tc>
        <w:tc>
          <w:tcPr>
            <w:tcW w:w="674" w:type="dxa"/>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成本节约率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lang w:val="en-US" w:eastAsia="zh-CN"/>
              </w:rPr>
              <w:t>10</w:t>
            </w:r>
          </w:p>
        </w:tc>
      </w:tr>
      <w:tr>
        <w:tblPrEx>
          <w:tblCellMar>
            <w:top w:w="0" w:type="dxa"/>
            <w:left w:w="108" w:type="dxa"/>
            <w:bottom w:w="0" w:type="dxa"/>
            <w:right w:w="108" w:type="dxa"/>
          </w:tblCellMar>
        </w:tblPrEx>
        <w:trPr>
          <w:trHeight w:val="552" w:hRule="atLeast"/>
        </w:trPr>
        <w:tc>
          <w:tcPr>
            <w:tcW w:w="14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9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5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实施效益</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lang w:val="en-US" w:eastAsia="zh-CN"/>
              </w:rPr>
              <w:t>16</w:t>
            </w:r>
          </w:p>
        </w:tc>
      </w:tr>
      <w:tr>
        <w:tblPrEx>
          <w:tblCellMar>
            <w:top w:w="0" w:type="dxa"/>
            <w:left w:w="108" w:type="dxa"/>
            <w:bottom w:w="0" w:type="dxa"/>
            <w:right w:w="108" w:type="dxa"/>
          </w:tblCellMar>
        </w:tblPrEx>
        <w:trPr>
          <w:trHeight w:val="570" w:hRule="atLeast"/>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满意度</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8</w:t>
            </w:r>
          </w:p>
        </w:tc>
      </w:tr>
      <w:tr>
        <w:tblPrEx>
          <w:tblCellMar>
            <w:top w:w="0" w:type="dxa"/>
            <w:left w:w="108" w:type="dxa"/>
            <w:bottom w:w="0" w:type="dxa"/>
            <w:right w:w="108" w:type="dxa"/>
          </w:tblCellMar>
        </w:tblPrEx>
        <w:trPr>
          <w:trHeight w:val="388" w:hRule="atLeast"/>
        </w:trPr>
        <w:tc>
          <w:tcPr>
            <w:tcW w:w="14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总分</w:t>
            </w:r>
          </w:p>
        </w:tc>
        <w:tc>
          <w:tcPr>
            <w:tcW w:w="9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58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674"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2"/>
              </w:rPr>
            </w:pPr>
            <w:r>
              <w:rPr>
                <w:rFonts w:hint="eastAsia" w:ascii="宋体" w:hAnsi="宋体" w:cs="宋体"/>
                <w:b/>
                <w:bCs/>
                <w:kern w:val="0"/>
                <w:sz w:val="22"/>
              </w:rPr>
              <w:t>100</w:t>
            </w:r>
          </w:p>
        </w:tc>
        <w:tc>
          <w:tcPr>
            <w:tcW w:w="2115"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595"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2"/>
              </w:rPr>
            </w:pPr>
            <w:r>
              <w:rPr>
                <w:rFonts w:hint="eastAsia" w:ascii="宋体" w:hAnsi="宋体" w:cs="宋体"/>
                <w:b/>
                <w:bCs/>
                <w:kern w:val="0"/>
                <w:sz w:val="22"/>
              </w:rPr>
              <w:t>100</w:t>
            </w:r>
          </w:p>
        </w:tc>
        <w:tc>
          <w:tcPr>
            <w:tcW w:w="1088"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b/>
                <w:bCs/>
                <w:kern w:val="0"/>
                <w:sz w:val="22"/>
                <w:lang w:val="en-US" w:eastAsia="zh-CN"/>
              </w:rPr>
            </w:pPr>
            <w:r>
              <w:rPr>
                <w:rFonts w:hint="eastAsia" w:ascii="宋体" w:hAnsi="宋体" w:cs="宋体"/>
                <w:b/>
                <w:bCs/>
                <w:kern w:val="0"/>
                <w:sz w:val="22"/>
                <w:lang w:val="en-US" w:eastAsia="zh-CN"/>
              </w:rPr>
              <w:t>91.5</w:t>
            </w:r>
          </w:p>
        </w:tc>
      </w:tr>
    </w:tbl>
    <w:p>
      <w:pPr>
        <w:spacing w:line="360" w:lineRule="auto"/>
        <w:jc w:val="left"/>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11"/>
        <w:tblW w:w="14386" w:type="dxa"/>
        <w:jc w:val="center"/>
        <w:tblLayout w:type="fixed"/>
        <w:tblCellMar>
          <w:top w:w="0" w:type="dxa"/>
          <w:left w:w="108" w:type="dxa"/>
          <w:bottom w:w="0" w:type="dxa"/>
          <w:right w:w="108" w:type="dxa"/>
        </w:tblCellMar>
      </w:tblPr>
      <w:tblGrid>
        <w:gridCol w:w="1215"/>
        <w:gridCol w:w="687"/>
        <w:gridCol w:w="1172"/>
        <w:gridCol w:w="687"/>
        <w:gridCol w:w="1162"/>
        <w:gridCol w:w="707"/>
        <w:gridCol w:w="2979"/>
        <w:gridCol w:w="1366"/>
        <w:gridCol w:w="4411"/>
      </w:tblGrid>
      <w:tr>
        <w:tblPrEx>
          <w:tblCellMar>
            <w:top w:w="0" w:type="dxa"/>
            <w:left w:w="108" w:type="dxa"/>
            <w:bottom w:w="0" w:type="dxa"/>
            <w:right w:w="108" w:type="dxa"/>
          </w:tblCellMar>
        </w:tblPrEx>
        <w:trPr>
          <w:trHeight w:val="90" w:hRule="atLeast"/>
          <w:tblHeader/>
          <w:jc w:val="center"/>
        </w:trPr>
        <w:tc>
          <w:tcPr>
            <w:tcW w:w="1215" w:type="dxa"/>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附件4</w:t>
            </w:r>
          </w:p>
        </w:tc>
        <w:tc>
          <w:tcPr>
            <w:tcW w:w="687" w:type="dxa"/>
            <w:tcBorders>
              <w:top w:val="nil"/>
              <w:left w:val="nil"/>
              <w:bottom w:val="nil"/>
              <w:right w:val="nil"/>
            </w:tcBorders>
            <w:vAlign w:val="center"/>
          </w:tcPr>
          <w:p>
            <w:pPr>
              <w:widowControl/>
              <w:jc w:val="left"/>
              <w:rPr>
                <w:rFonts w:ascii="宋体" w:hAnsi="宋体" w:cs="宋体"/>
                <w:kern w:val="0"/>
                <w:sz w:val="22"/>
              </w:rPr>
            </w:pPr>
          </w:p>
        </w:tc>
        <w:tc>
          <w:tcPr>
            <w:tcW w:w="1172" w:type="dxa"/>
            <w:tcBorders>
              <w:top w:val="nil"/>
              <w:left w:val="nil"/>
              <w:bottom w:val="nil"/>
              <w:right w:val="nil"/>
            </w:tcBorders>
            <w:vAlign w:val="center"/>
          </w:tcPr>
          <w:p>
            <w:pPr>
              <w:widowControl/>
              <w:jc w:val="left"/>
              <w:rPr>
                <w:rFonts w:ascii="宋体" w:hAnsi="宋体" w:cs="宋体"/>
                <w:kern w:val="0"/>
                <w:sz w:val="22"/>
              </w:rPr>
            </w:pPr>
          </w:p>
        </w:tc>
        <w:tc>
          <w:tcPr>
            <w:tcW w:w="687" w:type="dxa"/>
            <w:tcBorders>
              <w:top w:val="nil"/>
              <w:left w:val="nil"/>
              <w:bottom w:val="nil"/>
              <w:right w:val="nil"/>
            </w:tcBorders>
            <w:vAlign w:val="center"/>
          </w:tcPr>
          <w:p>
            <w:pPr>
              <w:widowControl/>
              <w:jc w:val="left"/>
              <w:rPr>
                <w:rFonts w:ascii="宋体" w:hAnsi="宋体" w:cs="宋体"/>
                <w:kern w:val="0"/>
                <w:sz w:val="22"/>
              </w:rPr>
            </w:pPr>
          </w:p>
        </w:tc>
        <w:tc>
          <w:tcPr>
            <w:tcW w:w="1162" w:type="dxa"/>
            <w:tcBorders>
              <w:top w:val="nil"/>
              <w:left w:val="nil"/>
              <w:bottom w:val="nil"/>
              <w:right w:val="nil"/>
            </w:tcBorders>
            <w:vAlign w:val="center"/>
          </w:tcPr>
          <w:p>
            <w:pPr>
              <w:widowControl/>
              <w:jc w:val="center"/>
              <w:rPr>
                <w:rFonts w:ascii="宋体" w:hAnsi="宋体" w:cs="宋体"/>
                <w:kern w:val="0"/>
                <w:sz w:val="22"/>
              </w:rPr>
            </w:pPr>
          </w:p>
        </w:tc>
        <w:tc>
          <w:tcPr>
            <w:tcW w:w="707" w:type="dxa"/>
            <w:tcBorders>
              <w:top w:val="nil"/>
              <w:left w:val="nil"/>
              <w:bottom w:val="nil"/>
              <w:right w:val="nil"/>
            </w:tcBorders>
            <w:vAlign w:val="center"/>
          </w:tcPr>
          <w:p>
            <w:pPr>
              <w:widowControl/>
              <w:jc w:val="left"/>
              <w:rPr>
                <w:rFonts w:ascii="宋体" w:hAnsi="宋体" w:cs="宋体"/>
                <w:kern w:val="0"/>
                <w:sz w:val="22"/>
              </w:rPr>
            </w:pPr>
          </w:p>
        </w:tc>
        <w:tc>
          <w:tcPr>
            <w:tcW w:w="4345" w:type="dxa"/>
            <w:gridSpan w:val="2"/>
            <w:tcBorders>
              <w:top w:val="nil"/>
              <w:left w:val="nil"/>
              <w:bottom w:val="nil"/>
              <w:right w:val="nil"/>
            </w:tcBorders>
            <w:vAlign w:val="center"/>
          </w:tcPr>
          <w:p>
            <w:pPr>
              <w:widowControl/>
              <w:jc w:val="left"/>
              <w:rPr>
                <w:rFonts w:ascii="宋体" w:hAnsi="宋体" w:cs="宋体"/>
                <w:kern w:val="0"/>
                <w:sz w:val="22"/>
              </w:rPr>
            </w:pPr>
          </w:p>
        </w:tc>
        <w:tc>
          <w:tcPr>
            <w:tcW w:w="4411" w:type="dxa"/>
            <w:tcBorders>
              <w:top w:val="nil"/>
              <w:left w:val="nil"/>
              <w:bottom w:val="nil"/>
              <w:right w:val="nil"/>
            </w:tcBorders>
            <w:vAlign w:val="center"/>
          </w:tcPr>
          <w:p>
            <w:pPr>
              <w:widowControl/>
              <w:jc w:val="left"/>
              <w:rPr>
                <w:rFonts w:ascii="宋体" w:hAnsi="宋体" w:cs="宋体"/>
                <w:kern w:val="0"/>
                <w:sz w:val="22"/>
              </w:rPr>
            </w:pPr>
          </w:p>
        </w:tc>
      </w:tr>
      <w:tr>
        <w:tblPrEx>
          <w:tblCellMar>
            <w:top w:w="0" w:type="dxa"/>
            <w:left w:w="108" w:type="dxa"/>
            <w:bottom w:w="0" w:type="dxa"/>
            <w:right w:w="108" w:type="dxa"/>
          </w:tblCellMar>
        </w:tblPrEx>
        <w:trPr>
          <w:trHeight w:val="675" w:hRule="atLeast"/>
          <w:tblHeader/>
          <w:jc w:val="center"/>
        </w:trPr>
        <w:tc>
          <w:tcPr>
            <w:tcW w:w="14386" w:type="dxa"/>
            <w:gridSpan w:val="9"/>
            <w:tcBorders>
              <w:top w:val="nil"/>
              <w:left w:val="nil"/>
              <w:bottom w:val="single" w:color="auto" w:sz="4" w:space="0"/>
              <w:right w:val="nil"/>
            </w:tcBorders>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财政支出绩效评价指标体系</w:t>
            </w:r>
          </w:p>
        </w:tc>
      </w:tr>
      <w:tr>
        <w:tblPrEx>
          <w:tblCellMar>
            <w:top w:w="0" w:type="dxa"/>
            <w:left w:w="108" w:type="dxa"/>
            <w:bottom w:w="0" w:type="dxa"/>
            <w:right w:w="108" w:type="dxa"/>
          </w:tblCellMar>
        </w:tblPrEx>
        <w:trPr>
          <w:trHeight w:val="495" w:hRule="atLeast"/>
          <w:tblHeader/>
          <w:jc w:val="center"/>
        </w:trPr>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一级指标</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1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二级指标</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1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三级指标</w:t>
            </w:r>
          </w:p>
        </w:tc>
        <w:tc>
          <w:tcPr>
            <w:tcW w:w="7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2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指标解释</w:t>
            </w:r>
          </w:p>
        </w:tc>
        <w:tc>
          <w:tcPr>
            <w:tcW w:w="57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评价标准</w:t>
            </w:r>
          </w:p>
        </w:tc>
      </w:tr>
      <w:tr>
        <w:tblPrEx>
          <w:tblCellMar>
            <w:top w:w="0" w:type="dxa"/>
            <w:left w:w="108" w:type="dxa"/>
            <w:bottom w:w="0" w:type="dxa"/>
            <w:right w:w="108" w:type="dxa"/>
          </w:tblCellMar>
        </w:tblPrEx>
        <w:trPr>
          <w:trHeight w:val="573" w:hRule="atLeast"/>
          <w:jc w:val="center"/>
        </w:trPr>
        <w:tc>
          <w:tcPr>
            <w:tcW w:w="1215"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项目决策</w:t>
            </w: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72" w:type="dxa"/>
            <w:vMerge w:val="restart"/>
            <w:tcBorders>
              <w:top w:val="single" w:color="auto" w:sz="4" w:space="0"/>
              <w:left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项目立项</w:t>
            </w:r>
          </w:p>
        </w:tc>
        <w:tc>
          <w:tcPr>
            <w:tcW w:w="687" w:type="dxa"/>
            <w:vMerge w:val="restart"/>
            <w:tcBorders>
              <w:top w:val="single" w:color="auto" w:sz="4" w:space="0"/>
              <w:left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立项依据</w:t>
            </w:r>
          </w:p>
          <w:p>
            <w:pPr>
              <w:widowControl/>
              <w:jc w:val="center"/>
              <w:rPr>
                <w:rFonts w:ascii="宋体" w:hAnsi="宋体" w:cs="宋体"/>
                <w:kern w:val="0"/>
                <w:sz w:val="22"/>
              </w:rPr>
            </w:pPr>
            <w:r>
              <w:rPr>
                <w:rFonts w:hint="eastAsia" w:ascii="宋体" w:hAnsi="宋体" w:cs="宋体"/>
                <w:kern w:val="0"/>
                <w:sz w:val="22"/>
              </w:rPr>
              <w:t>充分性</w:t>
            </w:r>
          </w:p>
        </w:tc>
        <w:tc>
          <w:tcPr>
            <w:tcW w:w="7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项目立项是否符合法律法规、相关政策、发展规划以及部门职责，用以反映和考核项目立项依据情况。</w:t>
            </w:r>
          </w:p>
        </w:tc>
        <w:tc>
          <w:tcPr>
            <w:tcW w:w="57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①项目立项是否符合国家法律法规、国民经济发展规划和相关政策(0.5分）；</w:t>
            </w:r>
            <w:r>
              <w:rPr>
                <w:rFonts w:hint="eastAsia" w:ascii="宋体" w:hAnsi="宋体" w:cs="宋体"/>
                <w:kern w:val="0"/>
                <w:sz w:val="22"/>
              </w:rPr>
              <w:br w:type="textWrapping"/>
            </w:r>
            <w:r>
              <w:rPr>
                <w:rFonts w:hint="eastAsia" w:ascii="宋体" w:hAnsi="宋体" w:cs="宋体"/>
                <w:kern w:val="0"/>
                <w:sz w:val="22"/>
              </w:rPr>
              <w:t>②项目立项是否符合行业发展规划和政策要求、项目立项是否与部门职责范围相符，属于部门履职所需(0.5分）；</w:t>
            </w:r>
            <w:r>
              <w:rPr>
                <w:rFonts w:hint="eastAsia" w:ascii="宋体" w:hAnsi="宋体" w:cs="宋体"/>
                <w:kern w:val="0"/>
                <w:sz w:val="22"/>
              </w:rPr>
              <w:br w:type="textWrapping"/>
            </w:r>
            <w:r>
              <w:rPr>
                <w:rFonts w:hint="eastAsia" w:ascii="宋体" w:hAnsi="宋体" w:cs="宋体"/>
                <w:kern w:val="0"/>
                <w:sz w:val="22"/>
              </w:rPr>
              <w:t>③项目是否属于公共财政支持范围，是否符合中央、地方事权支出责任划分原则、项目是否与相关部门同类项目或部门内部相关项目重复(0.5分）。</w:t>
            </w:r>
          </w:p>
        </w:tc>
      </w:tr>
      <w:tr>
        <w:tblPrEx>
          <w:tblCellMar>
            <w:top w:w="0" w:type="dxa"/>
            <w:left w:w="108" w:type="dxa"/>
            <w:bottom w:w="0" w:type="dxa"/>
            <w:right w:w="108" w:type="dxa"/>
          </w:tblCellMar>
        </w:tblPrEx>
        <w:trPr>
          <w:trHeight w:val="57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687"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1172" w:type="dxa"/>
            <w:vMerge w:val="continue"/>
            <w:tcBorders>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687" w:type="dxa"/>
            <w:vMerge w:val="continue"/>
            <w:tcBorders>
              <w:left w:val="single" w:color="000000" w:sz="4" w:space="0"/>
              <w:bottom w:val="nil"/>
              <w:right w:val="single" w:color="auto" w:sz="4" w:space="0"/>
            </w:tcBorders>
            <w:vAlign w:val="center"/>
          </w:tcPr>
          <w:p>
            <w:pPr>
              <w:widowControl/>
              <w:jc w:val="center"/>
              <w:rPr>
                <w:rFonts w:ascii="宋体" w:hAnsi="宋体" w:cs="宋体"/>
                <w:kern w:val="0"/>
                <w:sz w:val="22"/>
              </w:rPr>
            </w:pP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w:t>
            </w:r>
          </w:p>
          <w:p>
            <w:pPr>
              <w:widowControl/>
              <w:spacing w:line="0" w:lineRule="atLeast"/>
              <w:jc w:val="center"/>
              <w:rPr>
                <w:rFonts w:ascii="宋体" w:hAnsi="宋体" w:cs="宋体"/>
                <w:kern w:val="0"/>
                <w:sz w:val="22"/>
              </w:rPr>
            </w:pPr>
            <w:r>
              <w:rPr>
                <w:rFonts w:hint="eastAsia" w:ascii="宋体" w:hAnsi="宋体" w:cs="宋体"/>
                <w:kern w:val="0"/>
                <w:sz w:val="22"/>
              </w:rPr>
              <w:t>规范性</w:t>
            </w:r>
          </w:p>
        </w:tc>
        <w:tc>
          <w:tcPr>
            <w:tcW w:w="7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项目申请、设立过程是否符合相关要求，用以反映和考核项目立项的规范情况。</w:t>
            </w:r>
          </w:p>
        </w:tc>
        <w:tc>
          <w:tcPr>
            <w:tcW w:w="57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①项目是否按照规定的程序申请设立(0.5分）；</w:t>
            </w:r>
            <w:r>
              <w:rPr>
                <w:rFonts w:hint="eastAsia" w:ascii="宋体" w:hAnsi="宋体" w:cs="宋体"/>
                <w:kern w:val="0"/>
                <w:sz w:val="22"/>
              </w:rPr>
              <w:br w:type="textWrapping"/>
            </w:r>
            <w:r>
              <w:rPr>
                <w:rFonts w:hint="eastAsia" w:ascii="宋体" w:hAnsi="宋体" w:cs="宋体"/>
                <w:kern w:val="0"/>
                <w:sz w:val="22"/>
              </w:rPr>
              <w:t>②审批文件、材料是否符合相关要求(0.5分）；</w:t>
            </w:r>
            <w:r>
              <w:rPr>
                <w:rFonts w:hint="eastAsia" w:ascii="宋体" w:hAnsi="宋体" w:cs="宋体"/>
                <w:kern w:val="0"/>
                <w:sz w:val="22"/>
              </w:rPr>
              <w:br w:type="textWrapping"/>
            </w:r>
            <w:r>
              <w:rPr>
                <w:rFonts w:hint="eastAsia" w:ascii="宋体" w:hAnsi="宋体" w:cs="宋体"/>
                <w:kern w:val="0"/>
                <w:sz w:val="22"/>
              </w:rPr>
              <w:t>③事前是否已经过必要的可行性研究、专家论证、风险评估、绩效评估、集体决策(0.5分）。</w:t>
            </w:r>
          </w:p>
        </w:tc>
      </w:tr>
      <w:tr>
        <w:tblPrEx>
          <w:tblCellMar>
            <w:top w:w="0" w:type="dxa"/>
            <w:left w:w="108" w:type="dxa"/>
            <w:bottom w:w="0" w:type="dxa"/>
            <w:right w:w="108" w:type="dxa"/>
          </w:tblCellMar>
        </w:tblPrEx>
        <w:trPr>
          <w:trHeight w:val="84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绩效目标</w:t>
            </w:r>
          </w:p>
        </w:tc>
        <w:tc>
          <w:tcPr>
            <w:tcW w:w="687"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w:t>
            </w:r>
          </w:p>
          <w:p>
            <w:pPr>
              <w:widowControl/>
              <w:jc w:val="center"/>
              <w:rPr>
                <w:rFonts w:ascii="宋体" w:hAnsi="宋体" w:cs="宋体"/>
                <w:kern w:val="0"/>
                <w:sz w:val="22"/>
              </w:rPr>
            </w:pPr>
            <w:r>
              <w:rPr>
                <w:rFonts w:hint="eastAsia" w:ascii="宋体" w:hAnsi="宋体" w:cs="宋体"/>
                <w:kern w:val="0"/>
                <w:sz w:val="22"/>
              </w:rPr>
              <w:t>合理性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项目所设定的绩效目标是否依据充分，是否符合客观实际，用以反映和考核项目绩效目标与项目实施的相符情况。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①项目是否有绩效目标（0.5分）；</w:t>
            </w:r>
            <w:r>
              <w:rPr>
                <w:rFonts w:hint="eastAsia" w:ascii="宋体" w:hAnsi="宋体" w:cs="宋体"/>
                <w:kern w:val="0"/>
                <w:sz w:val="22"/>
              </w:rPr>
              <w:br w:type="textWrapping"/>
            </w:r>
            <w:r>
              <w:rPr>
                <w:rFonts w:hint="eastAsia" w:ascii="宋体" w:hAnsi="宋体" w:cs="宋体"/>
                <w:kern w:val="0"/>
                <w:sz w:val="22"/>
              </w:rPr>
              <w:t>②项目绩效目标与实际工作内容是否具有相关性（0.5分）；</w:t>
            </w:r>
            <w:r>
              <w:rPr>
                <w:rFonts w:hint="eastAsia" w:ascii="宋体" w:hAnsi="宋体" w:cs="宋体"/>
                <w:kern w:val="0"/>
                <w:sz w:val="22"/>
              </w:rPr>
              <w:br w:type="textWrapping"/>
            </w:r>
            <w:r>
              <w:rPr>
                <w:rFonts w:hint="eastAsia" w:ascii="宋体" w:hAnsi="宋体" w:cs="宋体"/>
                <w:kern w:val="0"/>
                <w:sz w:val="22"/>
              </w:rPr>
              <w:t>③项目预期产出效益和效果是否符合正常的业绩水平（0.5分）；</w:t>
            </w:r>
          </w:p>
          <w:p>
            <w:pPr>
              <w:widowControl/>
              <w:jc w:val="left"/>
              <w:rPr>
                <w:rFonts w:ascii="宋体" w:hAnsi="宋体" w:cs="宋体"/>
                <w:kern w:val="0"/>
                <w:sz w:val="22"/>
              </w:rPr>
            </w:pPr>
            <w:r>
              <w:rPr>
                <w:rFonts w:hint="eastAsia" w:ascii="宋体" w:hAnsi="宋体" w:cs="宋体"/>
                <w:kern w:val="0"/>
                <w:sz w:val="22"/>
              </w:rPr>
              <w:t>④是否与预算确定的项目投资额或资金量相匹配（0.5分）。</w:t>
            </w:r>
          </w:p>
        </w:tc>
      </w:tr>
      <w:tr>
        <w:tblPrEx>
          <w:tblCellMar>
            <w:top w:w="0" w:type="dxa"/>
            <w:left w:w="108" w:type="dxa"/>
            <w:bottom w:w="0" w:type="dxa"/>
            <w:right w:w="108" w:type="dxa"/>
          </w:tblCellMar>
        </w:tblPrEx>
        <w:trPr>
          <w:trHeight w:val="90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w:t>
            </w:r>
          </w:p>
          <w:p>
            <w:pPr>
              <w:widowControl/>
              <w:jc w:val="center"/>
              <w:rPr>
                <w:rFonts w:ascii="宋体" w:hAnsi="宋体" w:cs="宋体"/>
                <w:kern w:val="0"/>
                <w:sz w:val="22"/>
              </w:rPr>
            </w:pPr>
            <w:r>
              <w:rPr>
                <w:rFonts w:hint="eastAsia" w:ascii="宋体" w:hAnsi="宋体" w:cs="宋体"/>
                <w:kern w:val="0"/>
                <w:sz w:val="22"/>
              </w:rPr>
              <w:t>明确性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依据绩效目标设定的绩效指标是否清晰、细化、可衡量等，用以反映和考核项目绩效目标的明细化情况。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①是否将项目绩效目标细化分解为具体的绩效指标（0.5分）；</w:t>
            </w:r>
            <w:r>
              <w:rPr>
                <w:rFonts w:hint="eastAsia" w:ascii="宋体" w:hAnsi="宋体" w:cs="宋体"/>
                <w:kern w:val="0"/>
                <w:sz w:val="22"/>
              </w:rPr>
              <w:br w:type="textWrapping"/>
            </w:r>
            <w:r>
              <w:rPr>
                <w:rFonts w:hint="eastAsia" w:ascii="宋体" w:hAnsi="宋体" w:cs="宋体"/>
                <w:kern w:val="0"/>
                <w:sz w:val="22"/>
              </w:rPr>
              <w:t>②是否通过清晰、可衡量的指标值予以体现（0.5分）；</w:t>
            </w:r>
            <w:r>
              <w:rPr>
                <w:rFonts w:hint="eastAsia" w:ascii="宋体" w:hAnsi="宋体" w:cs="宋体"/>
                <w:kern w:val="0"/>
                <w:sz w:val="22"/>
              </w:rPr>
              <w:br w:type="textWrapping"/>
            </w:r>
            <w:r>
              <w:rPr>
                <w:rFonts w:hint="eastAsia" w:ascii="宋体" w:hAnsi="宋体" w:cs="宋体"/>
                <w:kern w:val="0"/>
                <w:sz w:val="22"/>
              </w:rPr>
              <w:t>③是否与项目目标任务数或计划数相对应（0.5分）。</w:t>
            </w:r>
          </w:p>
        </w:tc>
      </w:tr>
      <w:tr>
        <w:tblPrEx>
          <w:tblCellMar>
            <w:top w:w="0" w:type="dxa"/>
            <w:left w:w="108" w:type="dxa"/>
            <w:bottom w:w="0" w:type="dxa"/>
            <w:right w:w="108" w:type="dxa"/>
          </w:tblCellMar>
        </w:tblPrEx>
        <w:trPr>
          <w:trHeight w:val="2133"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资金投入</w:t>
            </w:r>
          </w:p>
          <w:p>
            <w:pPr>
              <w:widowControl/>
              <w:jc w:val="center"/>
              <w:rPr>
                <w:rFonts w:ascii="宋体" w:hAnsi="宋体" w:cs="宋体"/>
                <w:kern w:val="0"/>
                <w:sz w:val="22"/>
              </w:rPr>
            </w:pPr>
          </w:p>
        </w:tc>
        <w:tc>
          <w:tcPr>
            <w:tcW w:w="68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w:t>
            </w:r>
          </w:p>
          <w:p>
            <w:pPr>
              <w:widowControl/>
              <w:jc w:val="center"/>
              <w:rPr>
                <w:rFonts w:ascii="宋体" w:hAnsi="宋体" w:cs="宋体"/>
                <w:kern w:val="0"/>
                <w:sz w:val="22"/>
              </w:rPr>
            </w:pPr>
            <w:r>
              <w:rPr>
                <w:rFonts w:hint="eastAsia" w:ascii="宋体" w:hAnsi="宋体" w:cs="宋体"/>
                <w:kern w:val="0"/>
                <w:sz w:val="22"/>
              </w:rPr>
              <w:t>科学性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项目预算编制是否经过科学论证、有明确标准，资金额度与年度目标是否相适应，用以反映和考核项目预算编制的科学性、合理性情况。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①预算编制是否经过科学论证（0.5分）；</w:t>
            </w:r>
            <w:r>
              <w:rPr>
                <w:rFonts w:hint="eastAsia" w:ascii="宋体" w:hAnsi="宋体" w:cs="宋体"/>
                <w:kern w:val="0"/>
                <w:sz w:val="22"/>
              </w:rPr>
              <w:br w:type="textWrapping"/>
            </w:r>
            <w:r>
              <w:rPr>
                <w:rFonts w:hint="eastAsia" w:ascii="宋体" w:hAnsi="宋体" w:cs="宋体"/>
                <w:kern w:val="0"/>
                <w:sz w:val="22"/>
              </w:rPr>
              <w:t>②预算内容与项目内容是否匹配（0.5分）；</w:t>
            </w:r>
            <w:r>
              <w:rPr>
                <w:rFonts w:hint="eastAsia" w:ascii="宋体" w:hAnsi="宋体" w:cs="宋体"/>
                <w:kern w:val="0"/>
                <w:sz w:val="22"/>
              </w:rPr>
              <w:br w:type="textWrapping"/>
            </w:r>
            <w:r>
              <w:rPr>
                <w:rFonts w:hint="eastAsia" w:ascii="宋体" w:hAnsi="宋体" w:cs="宋体"/>
                <w:kern w:val="0"/>
                <w:sz w:val="22"/>
              </w:rPr>
              <w:t>③预算额度测算依据是否充分，是否按照标准编制（0.5分）；</w:t>
            </w:r>
            <w:r>
              <w:rPr>
                <w:rFonts w:hint="eastAsia" w:ascii="宋体" w:hAnsi="宋体" w:cs="宋体"/>
                <w:kern w:val="0"/>
                <w:sz w:val="22"/>
              </w:rPr>
              <w:br w:type="textWrapping"/>
            </w:r>
            <w:r>
              <w:rPr>
                <w:rFonts w:hint="eastAsia" w:ascii="宋体" w:hAnsi="宋体" w:cs="宋体"/>
                <w:kern w:val="0"/>
                <w:sz w:val="22"/>
              </w:rPr>
              <w:t>④预算确定的项目投资额或资金量是否与工作任务相匹配（0.5分）。</w:t>
            </w:r>
          </w:p>
        </w:tc>
      </w:tr>
      <w:tr>
        <w:tblPrEx>
          <w:tblCellMar>
            <w:top w:w="0" w:type="dxa"/>
            <w:left w:w="108" w:type="dxa"/>
            <w:bottom w:w="0" w:type="dxa"/>
            <w:right w:w="108" w:type="dxa"/>
          </w:tblCellMar>
        </w:tblPrEx>
        <w:trPr>
          <w:trHeight w:val="63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w:t>
            </w:r>
          </w:p>
          <w:p>
            <w:pPr>
              <w:widowControl/>
              <w:jc w:val="center"/>
              <w:rPr>
                <w:rFonts w:ascii="宋体" w:hAnsi="宋体" w:cs="宋体"/>
                <w:kern w:val="0"/>
                <w:sz w:val="22"/>
              </w:rPr>
            </w:pPr>
            <w:r>
              <w:rPr>
                <w:rFonts w:hint="eastAsia" w:ascii="宋体" w:hAnsi="宋体" w:cs="宋体"/>
                <w:kern w:val="0"/>
                <w:sz w:val="22"/>
              </w:rPr>
              <w:t>合理性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项目预算资金分配是否有测算依据，与补助单位或地方实际是否相适应，用以反映和考核项目预算资金分配的科学性、合理性情况。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①预算资金分配依据是否充分（0.5分）；</w:t>
            </w:r>
            <w:r>
              <w:rPr>
                <w:rFonts w:hint="eastAsia" w:ascii="宋体" w:hAnsi="宋体" w:cs="宋体"/>
                <w:kern w:val="0"/>
                <w:sz w:val="22"/>
              </w:rPr>
              <w:br w:type="textWrapping"/>
            </w:r>
            <w:r>
              <w:rPr>
                <w:rFonts w:hint="eastAsia" w:ascii="宋体" w:hAnsi="宋体" w:cs="宋体"/>
                <w:kern w:val="0"/>
                <w:sz w:val="22"/>
              </w:rPr>
              <w:t>②资金分配额度是否合理（0.5分），与项目单位或地方实际是否相适应（0.5分）。</w:t>
            </w:r>
          </w:p>
        </w:tc>
      </w:tr>
      <w:tr>
        <w:tblPrEx>
          <w:tblCellMar>
            <w:top w:w="0" w:type="dxa"/>
            <w:left w:w="108" w:type="dxa"/>
            <w:bottom w:w="0" w:type="dxa"/>
            <w:right w:w="108" w:type="dxa"/>
          </w:tblCellMar>
        </w:tblPrEx>
        <w:trPr>
          <w:trHeight w:val="90" w:hRule="atLeast"/>
          <w:jc w:val="center"/>
        </w:trPr>
        <w:tc>
          <w:tcPr>
            <w:tcW w:w="121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项目过程</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172" w:type="dxa"/>
            <w:vMerge w:val="restart"/>
            <w:tcBorders>
              <w:top w:val="single" w:color="000000" w:sz="4" w:space="0"/>
              <w:left w:val="single" w:color="auto" w:sz="4" w:space="0"/>
              <w:right w:val="single" w:color="auto" w:sz="4" w:space="0"/>
            </w:tcBorders>
            <w:vAlign w:val="center"/>
          </w:tcPr>
          <w:p>
            <w:pPr>
              <w:widowControl/>
              <w:rPr>
                <w:rFonts w:ascii="宋体" w:hAnsi="宋体" w:cs="宋体"/>
                <w:kern w:val="0"/>
                <w:sz w:val="22"/>
              </w:rPr>
            </w:pPr>
            <w:r>
              <w:rPr>
                <w:rFonts w:hint="eastAsia" w:ascii="宋体" w:hAnsi="宋体" w:cs="宋体"/>
                <w:kern w:val="0"/>
                <w:sz w:val="22"/>
              </w:rPr>
              <w:t>资金管理</w:t>
            </w:r>
          </w:p>
        </w:tc>
        <w:tc>
          <w:tcPr>
            <w:tcW w:w="687"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707"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3</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实际到位资金与预算资金的比率，用以反映和考核资金落实情况对项目实施的总体保障程度。</w:t>
            </w:r>
          </w:p>
        </w:tc>
        <w:tc>
          <w:tcPr>
            <w:tcW w:w="5777" w:type="dxa"/>
            <w:gridSpan w:val="2"/>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根据项目实际到位资金占预算资金的比重计算得分（3分）</w:t>
            </w:r>
          </w:p>
        </w:tc>
      </w:tr>
      <w:tr>
        <w:tblPrEx>
          <w:tblCellMar>
            <w:top w:w="0" w:type="dxa"/>
            <w:left w:w="108" w:type="dxa"/>
            <w:bottom w:w="0" w:type="dxa"/>
            <w:right w:w="108" w:type="dxa"/>
          </w:tblCellMar>
        </w:tblPrEx>
        <w:trPr>
          <w:trHeight w:val="585"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left w:val="single" w:color="auto" w:sz="4" w:space="0"/>
              <w:right w:val="single" w:color="auto" w:sz="4" w:space="0"/>
            </w:tcBorders>
            <w:vAlign w:val="center"/>
          </w:tcPr>
          <w:p>
            <w:pPr>
              <w:jc w:val="center"/>
              <w:rPr>
                <w:rFonts w:ascii="宋体" w:hAnsi="宋体" w:cs="宋体"/>
                <w:kern w:val="0"/>
                <w:sz w:val="22"/>
              </w:rPr>
            </w:pPr>
          </w:p>
        </w:tc>
        <w:tc>
          <w:tcPr>
            <w:tcW w:w="687"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707"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3</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项目预算资金是否按照计划执行，用以反映或考核项目预算执行情况。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根据项目实际支出资金占实际到位资金的比重计算得分（3分）</w:t>
            </w:r>
          </w:p>
        </w:tc>
      </w:tr>
      <w:tr>
        <w:tblPrEx>
          <w:tblCellMar>
            <w:top w:w="0" w:type="dxa"/>
            <w:left w:w="108" w:type="dxa"/>
            <w:bottom w:w="0" w:type="dxa"/>
            <w:right w:w="108" w:type="dxa"/>
          </w:tblCellMar>
        </w:tblPrEx>
        <w:trPr>
          <w:trHeight w:val="707"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687"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000000"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w:t>
            </w:r>
          </w:p>
          <w:p>
            <w:pPr>
              <w:widowControl/>
              <w:jc w:val="center"/>
              <w:rPr>
                <w:rFonts w:ascii="宋体" w:hAnsi="宋体" w:cs="宋体"/>
                <w:kern w:val="0"/>
                <w:sz w:val="22"/>
              </w:rPr>
            </w:pPr>
            <w:r>
              <w:rPr>
                <w:rFonts w:hint="eastAsia" w:ascii="宋体" w:hAnsi="宋体" w:cs="宋体"/>
                <w:kern w:val="0"/>
                <w:sz w:val="22"/>
              </w:rPr>
              <w:t>合规性</w:t>
            </w:r>
          </w:p>
        </w:tc>
        <w:tc>
          <w:tcPr>
            <w:tcW w:w="707" w:type="dxa"/>
            <w:tcBorders>
              <w:top w:val="nil"/>
              <w:left w:val="nil"/>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项目资金使用是否符合相关的财务管理制度规定，用以反映和考核项目资金的规范运行情况。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①是否符合国家财经法规和财务管理制度以及有关专项资金管理办法的规定（1分）；</w:t>
            </w:r>
            <w:r>
              <w:rPr>
                <w:rFonts w:hint="eastAsia" w:ascii="宋体" w:hAnsi="宋体" w:cs="宋体"/>
                <w:kern w:val="0"/>
                <w:sz w:val="22"/>
              </w:rPr>
              <w:br w:type="textWrapping"/>
            </w:r>
            <w:r>
              <w:rPr>
                <w:rFonts w:hint="eastAsia" w:ascii="宋体" w:hAnsi="宋体" w:cs="宋体"/>
                <w:kern w:val="0"/>
                <w:sz w:val="22"/>
              </w:rPr>
              <w:t>②资金的拨付是否有完整的审批程序和手续（1分）；</w:t>
            </w:r>
            <w:r>
              <w:rPr>
                <w:rFonts w:hint="eastAsia" w:ascii="宋体" w:hAnsi="宋体" w:cs="宋体"/>
                <w:kern w:val="0"/>
                <w:sz w:val="22"/>
              </w:rPr>
              <w:br w:type="textWrapping"/>
            </w:r>
            <w:r>
              <w:rPr>
                <w:rFonts w:hint="eastAsia" w:ascii="宋体" w:hAnsi="宋体" w:cs="宋体"/>
                <w:kern w:val="0"/>
                <w:sz w:val="22"/>
              </w:rPr>
              <w:t>③是否符合项目预算批复或合同规定的用途（1分）；</w:t>
            </w:r>
            <w:r>
              <w:rPr>
                <w:rFonts w:hint="eastAsia" w:ascii="宋体" w:hAnsi="宋体" w:cs="宋体"/>
                <w:kern w:val="0"/>
                <w:sz w:val="22"/>
              </w:rPr>
              <w:br w:type="textWrapping"/>
            </w:r>
            <w:r>
              <w:rPr>
                <w:rFonts w:hint="eastAsia" w:ascii="宋体" w:hAnsi="宋体" w:cs="宋体"/>
                <w:kern w:val="0"/>
                <w:sz w:val="22"/>
              </w:rPr>
              <w:t>④是否存在截留、挤占、挪用、虚列支出等情况（1分）。</w:t>
            </w:r>
          </w:p>
        </w:tc>
      </w:tr>
      <w:tr>
        <w:tblPrEx>
          <w:tblCellMar>
            <w:top w:w="0" w:type="dxa"/>
            <w:left w:w="108" w:type="dxa"/>
            <w:bottom w:w="0" w:type="dxa"/>
            <w:right w:w="108" w:type="dxa"/>
          </w:tblCellMar>
        </w:tblPrEx>
        <w:trPr>
          <w:trHeight w:val="450"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组织实施</w:t>
            </w:r>
          </w:p>
        </w:tc>
        <w:tc>
          <w:tcPr>
            <w:tcW w:w="68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single" w:color="000000"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w:t>
            </w:r>
          </w:p>
          <w:p>
            <w:pPr>
              <w:widowControl/>
              <w:jc w:val="center"/>
              <w:rPr>
                <w:rFonts w:ascii="宋体" w:hAnsi="宋体" w:cs="宋体"/>
                <w:kern w:val="0"/>
                <w:sz w:val="22"/>
              </w:rPr>
            </w:pPr>
            <w:r>
              <w:rPr>
                <w:rFonts w:hint="eastAsia" w:ascii="宋体" w:hAnsi="宋体" w:cs="宋体"/>
                <w:kern w:val="0"/>
                <w:sz w:val="22"/>
              </w:rPr>
              <w:t>健全性</w:t>
            </w:r>
          </w:p>
        </w:tc>
        <w:tc>
          <w:tcPr>
            <w:tcW w:w="707" w:type="dxa"/>
            <w:tcBorders>
              <w:top w:val="single" w:color="000000"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项目实施单位的财务和业务管理制度是否健全，用以反映和考核财务和业务管理制度对项目顺利实施的保障情况。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①是否已制定或具有相应的财务和业务管理制度（1分）；</w:t>
            </w:r>
            <w:r>
              <w:rPr>
                <w:rFonts w:hint="eastAsia" w:ascii="宋体" w:hAnsi="宋体" w:cs="宋体"/>
                <w:kern w:val="0"/>
                <w:sz w:val="22"/>
              </w:rPr>
              <w:br w:type="textWrapping"/>
            </w:r>
            <w:r>
              <w:rPr>
                <w:rFonts w:hint="eastAsia" w:ascii="宋体" w:hAnsi="宋体" w:cs="宋体"/>
                <w:kern w:val="0"/>
                <w:sz w:val="22"/>
              </w:rPr>
              <w:t>②财务和业务管理制度是否合法、合规、完整（1分）。</w:t>
            </w:r>
          </w:p>
        </w:tc>
      </w:tr>
      <w:tr>
        <w:tblPrEx>
          <w:tblCellMar>
            <w:top w:w="0" w:type="dxa"/>
            <w:left w:w="108" w:type="dxa"/>
            <w:bottom w:w="0" w:type="dxa"/>
            <w:right w:w="108" w:type="dxa"/>
          </w:tblCellMar>
        </w:tblPrEx>
        <w:trPr>
          <w:trHeight w:val="1043"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62"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w:t>
            </w:r>
          </w:p>
          <w:p>
            <w:pPr>
              <w:widowControl/>
              <w:jc w:val="center"/>
              <w:rPr>
                <w:rFonts w:ascii="宋体" w:hAnsi="宋体" w:cs="宋体"/>
                <w:kern w:val="0"/>
                <w:sz w:val="22"/>
              </w:rPr>
            </w:pPr>
            <w:r>
              <w:rPr>
                <w:rFonts w:hint="eastAsia" w:ascii="宋体" w:hAnsi="宋体" w:cs="宋体"/>
                <w:kern w:val="0"/>
                <w:sz w:val="22"/>
              </w:rPr>
              <w:t>有效性</w:t>
            </w:r>
          </w:p>
        </w:tc>
        <w:tc>
          <w:tcPr>
            <w:tcW w:w="7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8</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highlight w:val="none"/>
              </w:rPr>
            </w:pPr>
            <w:r>
              <w:rPr>
                <w:rFonts w:hint="eastAsia" w:ascii="宋体" w:hAnsi="宋体" w:cs="宋体"/>
                <w:kern w:val="0"/>
                <w:sz w:val="22"/>
                <w:highlight w:val="none"/>
              </w:rPr>
              <w:t>项目实施是否符合相关管理规定，用以反映和考核相关管理制度的有效执行情况。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highlight w:val="none"/>
              </w:rPr>
            </w:pPr>
            <w:r>
              <w:rPr>
                <w:rFonts w:hint="eastAsia" w:ascii="宋体" w:hAnsi="宋体" w:cs="宋体"/>
                <w:kern w:val="0"/>
                <w:sz w:val="22"/>
                <w:highlight w:val="none"/>
              </w:rPr>
              <w:t>①是否遵守相关法律法规和相关管理规定（2分）；</w:t>
            </w:r>
            <w:r>
              <w:rPr>
                <w:rFonts w:hint="eastAsia" w:ascii="宋体" w:hAnsi="宋体" w:cs="宋体"/>
                <w:kern w:val="0"/>
                <w:sz w:val="22"/>
                <w:highlight w:val="none"/>
              </w:rPr>
              <w:br w:type="textWrapping"/>
            </w:r>
            <w:r>
              <w:rPr>
                <w:rFonts w:hint="eastAsia" w:ascii="宋体" w:hAnsi="宋体" w:cs="宋体"/>
                <w:kern w:val="0"/>
                <w:sz w:val="22"/>
                <w:highlight w:val="none"/>
              </w:rPr>
              <w:t>②项目调整及支出调整手续是否完备（2分）；</w:t>
            </w:r>
            <w:r>
              <w:rPr>
                <w:rFonts w:hint="eastAsia" w:ascii="宋体" w:hAnsi="宋体" w:cs="宋体"/>
                <w:kern w:val="0"/>
                <w:sz w:val="22"/>
                <w:highlight w:val="none"/>
              </w:rPr>
              <w:br w:type="textWrapping"/>
            </w:r>
            <w:r>
              <w:rPr>
                <w:rFonts w:hint="eastAsia" w:ascii="宋体" w:hAnsi="宋体" w:cs="宋体"/>
                <w:kern w:val="0"/>
                <w:sz w:val="22"/>
                <w:highlight w:val="none"/>
              </w:rPr>
              <w:t>③项目合同书、验收报告、技术鉴定等资料是否齐全并及时归档（2分）；</w:t>
            </w:r>
            <w:r>
              <w:rPr>
                <w:rFonts w:hint="eastAsia" w:ascii="宋体" w:hAnsi="宋体" w:cs="宋体"/>
                <w:kern w:val="0"/>
                <w:sz w:val="22"/>
                <w:highlight w:val="none"/>
              </w:rPr>
              <w:br w:type="textWrapping"/>
            </w:r>
            <w:r>
              <w:rPr>
                <w:rFonts w:hint="eastAsia" w:ascii="宋体" w:hAnsi="宋体" w:cs="宋体"/>
                <w:kern w:val="0"/>
                <w:sz w:val="22"/>
                <w:highlight w:val="none"/>
              </w:rPr>
              <w:t>④项目实施的人员条件、场地设备、信息支撑等是否落实到位（2分）。</w:t>
            </w:r>
          </w:p>
        </w:tc>
      </w:tr>
      <w:tr>
        <w:tblPrEx>
          <w:tblCellMar>
            <w:top w:w="0" w:type="dxa"/>
            <w:left w:w="108" w:type="dxa"/>
            <w:bottom w:w="0" w:type="dxa"/>
            <w:right w:w="108" w:type="dxa"/>
          </w:tblCellMar>
        </w:tblPrEx>
        <w:trPr>
          <w:trHeight w:val="1660" w:hRule="atLeast"/>
          <w:jc w:val="center"/>
        </w:trPr>
        <w:tc>
          <w:tcPr>
            <w:tcW w:w="121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项目产出</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40</w:t>
            </w: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产出数量</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707"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项目实施的实际产出数与计划产出数的比率，用以反映和考核项目产出数量目标的实现程度。</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eastAsia="zh-CN"/>
              </w:rPr>
            </w:pPr>
            <w:r>
              <w:rPr>
                <w:rFonts w:hint="eastAsia" w:ascii="宋体" w:hAnsi="宋体" w:cs="宋体"/>
                <w:kern w:val="0"/>
                <w:sz w:val="22"/>
              </w:rPr>
              <w:t>①</w:t>
            </w:r>
            <w:r>
              <w:rPr>
                <w:rFonts w:hint="eastAsia" w:ascii="宋体" w:hAnsi="宋体" w:cs="宋体"/>
                <w:kern w:val="0"/>
                <w:sz w:val="22"/>
                <w:lang w:val="en-US" w:eastAsia="zh-CN"/>
              </w:rPr>
              <w:t>义务植树尽责接待批次达到220批次</w:t>
            </w:r>
            <w:r>
              <w:rPr>
                <w:rFonts w:hint="eastAsia" w:ascii="宋体" w:hAnsi="宋体" w:cs="宋体"/>
                <w:kern w:val="0"/>
                <w:sz w:val="22"/>
              </w:rPr>
              <w:t>（</w:t>
            </w:r>
            <w:r>
              <w:rPr>
                <w:rFonts w:hint="eastAsia" w:ascii="宋体" w:hAnsi="宋体" w:cs="宋体"/>
                <w:kern w:val="0"/>
                <w:sz w:val="22"/>
                <w:lang w:val="en-US" w:eastAsia="zh-CN"/>
              </w:rPr>
              <w:t>2</w:t>
            </w:r>
            <w:r>
              <w:rPr>
                <w:rFonts w:hint="eastAsia" w:ascii="宋体" w:hAnsi="宋体" w:cs="宋体"/>
                <w:kern w:val="0"/>
                <w:sz w:val="22"/>
              </w:rPr>
              <w:t>分）</w:t>
            </w:r>
            <w:r>
              <w:rPr>
                <w:rFonts w:hint="eastAsia" w:ascii="宋体" w:hAnsi="宋体" w:cs="宋体"/>
                <w:kern w:val="0"/>
                <w:sz w:val="22"/>
                <w:lang w:eastAsia="zh-CN"/>
              </w:rPr>
              <w:t>；</w:t>
            </w:r>
          </w:p>
          <w:p>
            <w:pPr>
              <w:widowControl/>
              <w:jc w:val="left"/>
              <w:rPr>
                <w:rFonts w:hint="eastAsia" w:ascii="宋体" w:hAnsi="宋体" w:cs="宋体"/>
                <w:kern w:val="0"/>
                <w:sz w:val="22"/>
                <w:lang w:eastAsia="zh-CN"/>
              </w:rPr>
            </w:pPr>
            <w:r>
              <w:rPr>
                <w:rFonts w:hint="eastAsia" w:ascii="宋体" w:hAnsi="宋体" w:cs="宋体"/>
                <w:kern w:val="0"/>
                <w:sz w:val="22"/>
              </w:rPr>
              <w:t>②</w:t>
            </w:r>
            <w:r>
              <w:rPr>
                <w:rFonts w:hint="eastAsia" w:ascii="宋体" w:hAnsi="宋体" w:cs="宋体"/>
                <w:kern w:val="0"/>
                <w:sz w:val="22"/>
                <w:lang w:val="en-US" w:eastAsia="zh-CN"/>
              </w:rPr>
              <w:t>义务植树尽责接待人数达到22000人次</w:t>
            </w:r>
            <w:r>
              <w:rPr>
                <w:rFonts w:hint="eastAsia" w:ascii="宋体" w:hAnsi="宋体" w:cs="宋体"/>
                <w:kern w:val="0"/>
                <w:sz w:val="22"/>
              </w:rPr>
              <w:t>（</w:t>
            </w:r>
            <w:r>
              <w:rPr>
                <w:rFonts w:hint="eastAsia" w:ascii="宋体" w:hAnsi="宋体" w:cs="宋体"/>
                <w:kern w:val="0"/>
                <w:sz w:val="22"/>
                <w:lang w:val="en-US" w:eastAsia="zh-CN"/>
              </w:rPr>
              <w:t>2</w:t>
            </w:r>
            <w:r>
              <w:rPr>
                <w:rFonts w:hint="eastAsia" w:ascii="宋体" w:hAnsi="宋体" w:cs="宋体"/>
                <w:kern w:val="0"/>
                <w:sz w:val="22"/>
              </w:rPr>
              <w:t>分）</w:t>
            </w:r>
            <w:r>
              <w:rPr>
                <w:rFonts w:hint="eastAsia" w:ascii="宋体" w:hAnsi="宋体" w:cs="宋体"/>
                <w:kern w:val="0"/>
                <w:sz w:val="22"/>
                <w:lang w:eastAsia="zh-CN"/>
              </w:rPr>
              <w:t>；</w:t>
            </w:r>
          </w:p>
          <w:p>
            <w:pPr>
              <w:widowControl/>
              <w:jc w:val="left"/>
              <w:rPr>
                <w:rFonts w:hint="eastAsia" w:ascii="宋体" w:hAnsi="宋体" w:cs="宋体"/>
                <w:kern w:val="0"/>
                <w:sz w:val="22"/>
                <w:lang w:val="en-US" w:eastAsia="zh-CN"/>
              </w:rPr>
            </w:pPr>
            <w:r>
              <w:rPr>
                <w:rFonts w:hint="eastAsia" w:ascii="宋体" w:hAnsi="宋体" w:cs="宋体"/>
                <w:kern w:val="0"/>
                <w:sz w:val="22"/>
              </w:rPr>
              <w:t>③</w:t>
            </w:r>
            <w:r>
              <w:rPr>
                <w:rFonts w:hint="eastAsia" w:ascii="宋体" w:hAnsi="宋体" w:cs="宋体"/>
                <w:kern w:val="0"/>
                <w:sz w:val="22"/>
                <w:lang w:val="en-US" w:eastAsia="zh-CN"/>
              </w:rPr>
              <w:t>义务植树尽责折算株数达到66000株</w:t>
            </w:r>
            <w:r>
              <w:rPr>
                <w:rFonts w:hint="eastAsia" w:ascii="宋体" w:hAnsi="宋体" w:cs="宋体"/>
                <w:kern w:val="0"/>
                <w:sz w:val="22"/>
              </w:rPr>
              <w:t>（</w:t>
            </w:r>
            <w:r>
              <w:rPr>
                <w:rFonts w:hint="eastAsia" w:ascii="宋体" w:hAnsi="宋体" w:cs="宋体"/>
                <w:kern w:val="0"/>
                <w:sz w:val="22"/>
                <w:lang w:val="en-US" w:eastAsia="zh-CN"/>
              </w:rPr>
              <w:t>2</w:t>
            </w:r>
            <w:r>
              <w:rPr>
                <w:rFonts w:hint="eastAsia" w:ascii="宋体" w:hAnsi="宋体" w:cs="宋体"/>
                <w:kern w:val="0"/>
                <w:sz w:val="22"/>
              </w:rPr>
              <w:t>分）</w:t>
            </w:r>
            <w:r>
              <w:rPr>
                <w:rFonts w:hint="eastAsia" w:ascii="宋体" w:hAnsi="宋体" w:cs="宋体"/>
                <w:kern w:val="0"/>
                <w:sz w:val="22"/>
                <w:lang w:val="en-US" w:eastAsia="zh-CN"/>
              </w:rPr>
              <w:t>；</w:t>
            </w:r>
          </w:p>
          <w:p>
            <w:pPr>
              <w:widowControl/>
              <w:jc w:val="left"/>
              <w:rPr>
                <w:rFonts w:hint="eastAsia" w:ascii="宋体" w:hAnsi="宋体" w:cs="宋体"/>
                <w:kern w:val="0"/>
                <w:sz w:val="22"/>
                <w:lang w:val="en-US" w:eastAsia="zh-CN"/>
              </w:rPr>
            </w:pPr>
            <w:r>
              <w:rPr>
                <w:rFonts w:hint="eastAsia" w:ascii="宋体" w:hAnsi="宋体" w:cs="宋体"/>
                <w:kern w:val="0"/>
                <w:sz w:val="22"/>
              </w:rPr>
              <w:t>④</w:t>
            </w:r>
            <w:r>
              <w:rPr>
                <w:rFonts w:hint="eastAsia" w:ascii="宋体" w:hAnsi="宋体" w:cs="宋体"/>
                <w:kern w:val="0"/>
                <w:sz w:val="22"/>
                <w:lang w:val="en-US" w:eastAsia="zh-CN"/>
              </w:rPr>
              <w:t>实物补助35个社区和50个村庄</w:t>
            </w:r>
            <w:r>
              <w:rPr>
                <w:rFonts w:hint="eastAsia" w:ascii="宋体" w:hAnsi="宋体" w:cs="宋体"/>
                <w:kern w:val="0"/>
                <w:sz w:val="22"/>
              </w:rPr>
              <w:t>（</w:t>
            </w:r>
            <w:r>
              <w:rPr>
                <w:rFonts w:hint="eastAsia" w:ascii="宋体" w:hAnsi="宋体" w:cs="宋体"/>
                <w:kern w:val="0"/>
                <w:sz w:val="22"/>
                <w:lang w:val="en-US" w:eastAsia="zh-CN"/>
              </w:rPr>
              <w:t>2</w:t>
            </w:r>
            <w:r>
              <w:rPr>
                <w:rFonts w:hint="eastAsia" w:ascii="宋体" w:hAnsi="宋体" w:cs="宋体"/>
                <w:kern w:val="0"/>
                <w:sz w:val="22"/>
              </w:rPr>
              <w:t>分）</w:t>
            </w:r>
            <w:r>
              <w:rPr>
                <w:rFonts w:hint="eastAsia" w:ascii="宋体" w:hAnsi="宋体" w:cs="宋体"/>
                <w:kern w:val="0"/>
                <w:sz w:val="22"/>
                <w:lang w:val="en-US" w:eastAsia="zh-CN"/>
              </w:rPr>
              <w:t>；</w:t>
            </w:r>
          </w:p>
          <w:p>
            <w:pPr>
              <w:widowControl/>
              <w:jc w:val="left"/>
              <w:rPr>
                <w:rFonts w:hint="eastAsia" w:ascii="宋体" w:hAnsi="宋体" w:cs="宋体"/>
                <w:kern w:val="0"/>
                <w:sz w:val="22"/>
                <w:lang w:val="en-US" w:eastAsia="zh-CN"/>
              </w:rPr>
            </w:pPr>
            <w:r>
              <w:rPr>
                <w:rFonts w:hint="default" w:ascii="宋体" w:hAnsi="宋体" w:cs="宋体"/>
                <w:kern w:val="0"/>
                <w:sz w:val="22"/>
                <w:lang w:val="en-US" w:eastAsia="zh-CN"/>
              </w:rPr>
              <w:t>⑤</w:t>
            </w:r>
            <w:r>
              <w:rPr>
                <w:rFonts w:hint="eastAsia" w:ascii="宋体" w:hAnsi="宋体" w:cs="宋体"/>
                <w:kern w:val="0"/>
                <w:sz w:val="22"/>
                <w:lang w:val="en-US" w:eastAsia="zh-CN"/>
              </w:rPr>
              <w:t>补助至少4处森林城市体验中心建设</w:t>
            </w:r>
            <w:r>
              <w:rPr>
                <w:rFonts w:hint="eastAsia" w:ascii="宋体" w:hAnsi="宋体" w:cs="宋体"/>
                <w:kern w:val="0"/>
                <w:sz w:val="22"/>
              </w:rPr>
              <w:t>（</w:t>
            </w:r>
            <w:r>
              <w:rPr>
                <w:rFonts w:hint="eastAsia" w:ascii="宋体" w:hAnsi="宋体" w:cs="宋体"/>
                <w:kern w:val="0"/>
                <w:sz w:val="22"/>
                <w:lang w:val="en-US" w:eastAsia="zh-CN"/>
              </w:rPr>
              <w:t>2</w:t>
            </w:r>
            <w:r>
              <w:rPr>
                <w:rFonts w:hint="eastAsia" w:ascii="宋体" w:hAnsi="宋体" w:cs="宋体"/>
                <w:kern w:val="0"/>
                <w:sz w:val="22"/>
              </w:rPr>
              <w:t>分）</w:t>
            </w:r>
            <w:r>
              <w:rPr>
                <w:rFonts w:hint="eastAsia" w:ascii="宋体" w:hAnsi="宋体" w:cs="宋体"/>
                <w:kern w:val="0"/>
                <w:sz w:val="22"/>
                <w:lang w:eastAsia="zh-CN"/>
              </w:rPr>
              <w:t>。</w:t>
            </w:r>
          </w:p>
        </w:tc>
      </w:tr>
      <w:tr>
        <w:tblPrEx>
          <w:tblCellMar>
            <w:top w:w="0" w:type="dxa"/>
            <w:left w:w="108" w:type="dxa"/>
            <w:bottom w:w="0" w:type="dxa"/>
            <w:right w:w="108" w:type="dxa"/>
          </w:tblCellMar>
        </w:tblPrEx>
        <w:trPr>
          <w:trHeight w:val="657"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产出质量</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质量达标率</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项目完成的质量达标产出数与实际产出数的比率，用以反映和考核项目产出质量目标的实现程度。</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①服务标准按照《首都绿化委员会关于深入开展首都全民义务植树工作的指导意见》执行（2.5分）；</w:t>
            </w:r>
          </w:p>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②服务接待率达到100%（2.5分）；</w:t>
            </w:r>
          </w:p>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③4处森林城市体验中心具备对外开放条件。（2.5分）；</w:t>
            </w:r>
          </w:p>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④整体环境明显改善，现有资源有效利用，生态环境质量进一步提升（2.5分）。</w:t>
            </w:r>
          </w:p>
        </w:tc>
      </w:tr>
      <w:tr>
        <w:tblPrEx>
          <w:tblCellMar>
            <w:top w:w="0" w:type="dxa"/>
            <w:left w:w="108" w:type="dxa"/>
            <w:bottom w:w="0" w:type="dxa"/>
            <w:right w:w="108" w:type="dxa"/>
          </w:tblCellMar>
        </w:tblPrEx>
        <w:trPr>
          <w:trHeight w:val="39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产出时效</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完成及时性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项目实际完成时间与计划完成时间的比较，用以反映和考核项目产出时效目标的实现程度。</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根据项目实际完成时间与计划完成时间的比较计算得分（10分）</w:t>
            </w:r>
          </w:p>
        </w:tc>
      </w:tr>
      <w:tr>
        <w:tblPrEx>
          <w:tblCellMar>
            <w:top w:w="0" w:type="dxa"/>
            <w:left w:w="108" w:type="dxa"/>
            <w:bottom w:w="0" w:type="dxa"/>
            <w:right w:w="108" w:type="dxa"/>
          </w:tblCellMar>
        </w:tblPrEx>
        <w:trPr>
          <w:trHeight w:val="644"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产出成本</w:t>
            </w:r>
          </w:p>
        </w:tc>
        <w:tc>
          <w:tcPr>
            <w:tcW w:w="687" w:type="dxa"/>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成本节约率</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完成项目计划工作目标的实际节约成本与计划成本的比率，用以反映和考核项目的成本节约程度。</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年度成本控制在</w:t>
            </w:r>
            <w:r>
              <w:rPr>
                <w:rFonts w:hint="eastAsia" w:ascii="宋体" w:hAnsi="宋体" w:cs="宋体"/>
                <w:kern w:val="0"/>
                <w:sz w:val="22"/>
                <w:lang w:val="en-US" w:eastAsia="zh-CN"/>
              </w:rPr>
              <w:t>1,100.00</w:t>
            </w:r>
            <w:r>
              <w:rPr>
                <w:rFonts w:hint="eastAsia" w:ascii="宋体" w:hAnsi="宋体" w:cs="宋体"/>
                <w:kern w:val="0"/>
                <w:sz w:val="22"/>
              </w:rPr>
              <w:t>万元（10分）</w:t>
            </w:r>
          </w:p>
        </w:tc>
      </w:tr>
      <w:tr>
        <w:tblPrEx>
          <w:tblCellMar>
            <w:top w:w="0" w:type="dxa"/>
            <w:left w:w="108" w:type="dxa"/>
            <w:bottom w:w="0" w:type="dxa"/>
            <w:right w:w="108" w:type="dxa"/>
          </w:tblCellMar>
        </w:tblPrEx>
        <w:trPr>
          <w:trHeight w:val="540" w:hRule="atLeast"/>
          <w:jc w:val="center"/>
        </w:trPr>
        <w:tc>
          <w:tcPr>
            <w:tcW w:w="1215"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项目效益</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68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实施效益</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项目实施所产生的效益。</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eastAsia="zh-CN"/>
              </w:rPr>
            </w:pPr>
            <w:r>
              <w:rPr>
                <w:rFonts w:hint="eastAsia" w:ascii="宋体" w:hAnsi="宋体" w:cs="宋体"/>
                <w:kern w:val="0"/>
                <w:sz w:val="22"/>
              </w:rPr>
              <w:t>①社会效益（</w:t>
            </w:r>
            <w:r>
              <w:rPr>
                <w:rFonts w:hint="eastAsia" w:ascii="宋体" w:hAnsi="宋体" w:cs="宋体"/>
                <w:kern w:val="0"/>
                <w:sz w:val="22"/>
                <w:lang w:val="en-US" w:eastAsia="zh-CN"/>
              </w:rPr>
              <w:t>10</w:t>
            </w:r>
            <w:r>
              <w:rPr>
                <w:rFonts w:hint="eastAsia" w:ascii="宋体" w:hAnsi="宋体" w:cs="宋体"/>
                <w:kern w:val="0"/>
                <w:sz w:val="22"/>
              </w:rPr>
              <w:t>分）</w:t>
            </w:r>
            <w:r>
              <w:rPr>
                <w:rFonts w:hint="eastAsia" w:ascii="宋体" w:hAnsi="宋体" w:cs="宋体"/>
                <w:kern w:val="0"/>
                <w:sz w:val="22"/>
                <w:lang w:eastAsia="zh-CN"/>
              </w:rPr>
              <w:t>；</w:t>
            </w:r>
          </w:p>
          <w:p>
            <w:pPr>
              <w:widowControl/>
              <w:jc w:val="left"/>
              <w:rPr>
                <w:rFonts w:ascii="宋体" w:hAnsi="宋体" w:cs="宋体"/>
                <w:kern w:val="0"/>
                <w:sz w:val="22"/>
              </w:rPr>
            </w:pPr>
            <w:r>
              <w:rPr>
                <w:rFonts w:hint="eastAsia" w:ascii="宋体" w:hAnsi="宋体" w:cs="宋体"/>
                <w:kern w:val="0"/>
                <w:sz w:val="22"/>
              </w:rPr>
              <w:t>②经济效益（</w:t>
            </w:r>
            <w:r>
              <w:rPr>
                <w:rFonts w:hint="eastAsia" w:ascii="宋体" w:hAnsi="宋体" w:cs="宋体"/>
                <w:kern w:val="0"/>
                <w:sz w:val="22"/>
                <w:lang w:val="en-US" w:eastAsia="zh-CN"/>
              </w:rPr>
              <w:t>10</w:t>
            </w:r>
            <w:r>
              <w:rPr>
                <w:rFonts w:hint="eastAsia" w:ascii="宋体" w:hAnsi="宋体" w:cs="宋体"/>
                <w:kern w:val="0"/>
                <w:sz w:val="22"/>
              </w:rPr>
              <w:t>分）。</w:t>
            </w:r>
          </w:p>
        </w:tc>
      </w:tr>
      <w:tr>
        <w:tblPrEx>
          <w:tblCellMar>
            <w:top w:w="0" w:type="dxa"/>
            <w:left w:w="108" w:type="dxa"/>
            <w:bottom w:w="0" w:type="dxa"/>
            <w:right w:w="108" w:type="dxa"/>
          </w:tblCellMar>
        </w:tblPrEx>
        <w:trPr>
          <w:trHeight w:val="57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满意度</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社会公众或服务对象对项目实施效果的满意程度。</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eastAsia="zh-CN"/>
              </w:rPr>
            </w:pPr>
            <w:r>
              <w:rPr>
                <w:rFonts w:hint="eastAsia" w:ascii="宋体" w:hAnsi="宋体" w:cs="宋体"/>
                <w:kern w:val="0"/>
                <w:sz w:val="22"/>
              </w:rPr>
              <w:t>①群众对森林城市体验中心建设的满意度≥</w:t>
            </w:r>
            <w:r>
              <w:rPr>
                <w:rFonts w:hint="eastAsia" w:ascii="宋体" w:hAnsi="宋体" w:cs="宋体"/>
                <w:kern w:val="0"/>
                <w:sz w:val="22"/>
                <w:lang w:val="en-US" w:eastAsia="zh-CN"/>
              </w:rPr>
              <w:t>9</w:t>
            </w:r>
            <w:r>
              <w:rPr>
                <w:rFonts w:hint="eastAsia" w:ascii="宋体" w:hAnsi="宋体" w:cs="宋体"/>
                <w:kern w:val="0"/>
                <w:sz w:val="22"/>
              </w:rPr>
              <w:t>0%（</w:t>
            </w:r>
            <w:r>
              <w:rPr>
                <w:rFonts w:hint="eastAsia" w:ascii="宋体" w:hAnsi="宋体" w:cs="宋体"/>
                <w:kern w:val="0"/>
                <w:sz w:val="22"/>
                <w:lang w:val="en-US" w:eastAsia="zh-CN"/>
              </w:rPr>
              <w:t>5</w:t>
            </w:r>
            <w:r>
              <w:rPr>
                <w:rFonts w:hint="eastAsia" w:ascii="宋体" w:hAnsi="宋体" w:cs="宋体"/>
                <w:kern w:val="0"/>
                <w:sz w:val="22"/>
              </w:rPr>
              <w:t>分）</w:t>
            </w:r>
            <w:r>
              <w:rPr>
                <w:rFonts w:hint="eastAsia" w:ascii="宋体" w:hAnsi="宋体" w:cs="宋体"/>
                <w:kern w:val="0"/>
                <w:sz w:val="22"/>
                <w:lang w:eastAsia="zh-CN"/>
              </w:rPr>
              <w:t>；</w:t>
            </w:r>
          </w:p>
          <w:p>
            <w:pPr>
              <w:widowControl/>
              <w:jc w:val="left"/>
              <w:rPr>
                <w:rFonts w:hint="eastAsia" w:ascii="宋体" w:hAnsi="宋体" w:eastAsia="宋体" w:cs="宋体"/>
                <w:kern w:val="0"/>
                <w:sz w:val="22"/>
                <w:lang w:eastAsia="zh-CN"/>
              </w:rPr>
            </w:pPr>
            <w:r>
              <w:rPr>
                <w:rFonts w:hint="eastAsia" w:ascii="宋体" w:hAnsi="宋体" w:cs="宋体"/>
                <w:kern w:val="0"/>
                <w:sz w:val="22"/>
              </w:rPr>
              <w:t>②</w:t>
            </w:r>
            <w:r>
              <w:rPr>
                <w:rFonts w:hint="eastAsia" w:ascii="宋体" w:hAnsi="宋体" w:cs="宋体"/>
                <w:kern w:val="0"/>
                <w:sz w:val="22"/>
                <w:lang w:eastAsia="zh-CN"/>
              </w:rPr>
              <w:t>尽责参与满意度≥</w:t>
            </w:r>
            <w:r>
              <w:rPr>
                <w:rFonts w:hint="eastAsia" w:ascii="宋体" w:hAnsi="宋体" w:cs="宋体"/>
                <w:kern w:val="0"/>
                <w:sz w:val="22"/>
                <w:lang w:val="en-US" w:eastAsia="zh-CN"/>
              </w:rPr>
              <w:t>9</w:t>
            </w:r>
            <w:r>
              <w:rPr>
                <w:rFonts w:hint="eastAsia" w:ascii="宋体" w:hAnsi="宋体" w:cs="宋体"/>
                <w:kern w:val="0"/>
                <w:sz w:val="22"/>
                <w:lang w:eastAsia="zh-CN"/>
              </w:rPr>
              <w:t>5%</w:t>
            </w:r>
            <w:r>
              <w:rPr>
                <w:rFonts w:hint="eastAsia" w:ascii="宋体" w:hAnsi="宋体" w:cs="宋体"/>
                <w:kern w:val="0"/>
                <w:sz w:val="22"/>
              </w:rPr>
              <w:t>（</w:t>
            </w:r>
            <w:r>
              <w:rPr>
                <w:rFonts w:hint="eastAsia" w:ascii="宋体" w:hAnsi="宋体" w:cs="宋体"/>
                <w:kern w:val="0"/>
                <w:sz w:val="22"/>
                <w:lang w:val="en-US" w:eastAsia="zh-CN"/>
              </w:rPr>
              <w:t>5</w:t>
            </w:r>
            <w:r>
              <w:rPr>
                <w:rFonts w:hint="eastAsia" w:ascii="宋体" w:hAnsi="宋体" w:cs="宋体"/>
                <w:kern w:val="0"/>
                <w:sz w:val="22"/>
              </w:rPr>
              <w:t>分）</w:t>
            </w:r>
            <w:r>
              <w:rPr>
                <w:rFonts w:hint="eastAsia" w:ascii="宋体" w:hAnsi="宋体" w:cs="宋体"/>
                <w:kern w:val="0"/>
                <w:sz w:val="22"/>
                <w:lang w:eastAsia="zh-CN"/>
              </w:rPr>
              <w:t>。</w:t>
            </w:r>
          </w:p>
        </w:tc>
      </w:tr>
      <w:tr>
        <w:tblPrEx>
          <w:tblCellMar>
            <w:top w:w="0" w:type="dxa"/>
            <w:left w:w="108" w:type="dxa"/>
            <w:bottom w:w="0" w:type="dxa"/>
            <w:right w:w="108" w:type="dxa"/>
          </w:tblCellMar>
        </w:tblPrEx>
        <w:trPr>
          <w:trHeight w:val="390" w:hRule="atLeast"/>
          <w:jc w:val="center"/>
        </w:trPr>
        <w:tc>
          <w:tcPr>
            <w:tcW w:w="121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总分</w:t>
            </w:r>
          </w:p>
        </w:tc>
        <w:tc>
          <w:tcPr>
            <w:tcW w:w="687" w:type="dxa"/>
            <w:tcBorders>
              <w:top w:val="single" w:color="000000"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172" w:type="dxa"/>
            <w:tcBorders>
              <w:top w:val="single" w:color="000000" w:sz="4" w:space="0"/>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68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162"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r>
    </w:tbl>
    <w:p/>
    <w:sectPr>
      <w:footerReference r:id="rId4"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18</w:t>
                    </w:r>
                    <w:r>
                      <w:fldChar w:fldCharType="end"/>
                    </w: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both"/>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jc w:val="both"/>
                    </w:pPr>
                  </w:p>
                </w:txbxContent>
              </v:textbox>
            </v:shape>
          </w:pict>
        </mc:Fallback>
      </mc:AlternateContent>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28358"/>
    <w:multiLevelType w:val="singleLevel"/>
    <w:tmpl w:val="8E728358"/>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iYWE4YzljYmUzMjZkY2Q4ZTVjNWMyOTZiNWY3OGMifQ=="/>
  </w:docVars>
  <w:rsids>
    <w:rsidRoot w:val="F77F09F4"/>
    <w:rsid w:val="001D1707"/>
    <w:rsid w:val="005F29AA"/>
    <w:rsid w:val="011253ED"/>
    <w:rsid w:val="016E5B51"/>
    <w:rsid w:val="01710365"/>
    <w:rsid w:val="018C33F1"/>
    <w:rsid w:val="02184C85"/>
    <w:rsid w:val="029D518A"/>
    <w:rsid w:val="02FA25DD"/>
    <w:rsid w:val="04974587"/>
    <w:rsid w:val="04DE20EB"/>
    <w:rsid w:val="052971A9"/>
    <w:rsid w:val="05500BDA"/>
    <w:rsid w:val="06175254"/>
    <w:rsid w:val="06846D8D"/>
    <w:rsid w:val="06DC0977"/>
    <w:rsid w:val="074D68EE"/>
    <w:rsid w:val="084B79B9"/>
    <w:rsid w:val="089B1F33"/>
    <w:rsid w:val="08CA47FF"/>
    <w:rsid w:val="09424028"/>
    <w:rsid w:val="09715D5D"/>
    <w:rsid w:val="098103F6"/>
    <w:rsid w:val="099C619C"/>
    <w:rsid w:val="09CB082F"/>
    <w:rsid w:val="0A510FC7"/>
    <w:rsid w:val="0A93759F"/>
    <w:rsid w:val="0B464611"/>
    <w:rsid w:val="0B6902FF"/>
    <w:rsid w:val="0B8B64C8"/>
    <w:rsid w:val="0BFC15A1"/>
    <w:rsid w:val="0C50326D"/>
    <w:rsid w:val="0CCA1272"/>
    <w:rsid w:val="0D5F5E5E"/>
    <w:rsid w:val="0E083E00"/>
    <w:rsid w:val="0E8B67DF"/>
    <w:rsid w:val="0EA37FCC"/>
    <w:rsid w:val="0EB70F20"/>
    <w:rsid w:val="0F0E5442"/>
    <w:rsid w:val="100311B1"/>
    <w:rsid w:val="106043C7"/>
    <w:rsid w:val="111E393A"/>
    <w:rsid w:val="112B7251"/>
    <w:rsid w:val="11472E91"/>
    <w:rsid w:val="1182036D"/>
    <w:rsid w:val="11C97D4A"/>
    <w:rsid w:val="11E06E41"/>
    <w:rsid w:val="11FA7F03"/>
    <w:rsid w:val="121F796A"/>
    <w:rsid w:val="139F5206"/>
    <w:rsid w:val="144813FA"/>
    <w:rsid w:val="14A44C48"/>
    <w:rsid w:val="14D7452C"/>
    <w:rsid w:val="15C64815"/>
    <w:rsid w:val="15FF01DE"/>
    <w:rsid w:val="1666200B"/>
    <w:rsid w:val="16747E6A"/>
    <w:rsid w:val="16DA0094"/>
    <w:rsid w:val="19CA060E"/>
    <w:rsid w:val="1A1A3838"/>
    <w:rsid w:val="1A28414D"/>
    <w:rsid w:val="1A89451A"/>
    <w:rsid w:val="1AD559B1"/>
    <w:rsid w:val="1AFD2812"/>
    <w:rsid w:val="1B385B11"/>
    <w:rsid w:val="1B8151F1"/>
    <w:rsid w:val="1BBF4804"/>
    <w:rsid w:val="1BD21EF1"/>
    <w:rsid w:val="1C2240A1"/>
    <w:rsid w:val="1C381D54"/>
    <w:rsid w:val="1CC25AC1"/>
    <w:rsid w:val="1CD47254"/>
    <w:rsid w:val="1E967206"/>
    <w:rsid w:val="1EF06916"/>
    <w:rsid w:val="1F1F369F"/>
    <w:rsid w:val="1F9F4A6C"/>
    <w:rsid w:val="2010320D"/>
    <w:rsid w:val="20350095"/>
    <w:rsid w:val="20801F1B"/>
    <w:rsid w:val="20C20786"/>
    <w:rsid w:val="20CE0ED9"/>
    <w:rsid w:val="210E39CB"/>
    <w:rsid w:val="22837AA1"/>
    <w:rsid w:val="2346744C"/>
    <w:rsid w:val="23A31DC3"/>
    <w:rsid w:val="24092228"/>
    <w:rsid w:val="249441E7"/>
    <w:rsid w:val="255B6AB3"/>
    <w:rsid w:val="25EB42DB"/>
    <w:rsid w:val="266279B6"/>
    <w:rsid w:val="27DB3EDB"/>
    <w:rsid w:val="27F508CA"/>
    <w:rsid w:val="289B1FE8"/>
    <w:rsid w:val="29A30791"/>
    <w:rsid w:val="2A6603D4"/>
    <w:rsid w:val="2B09246B"/>
    <w:rsid w:val="2B1C4F36"/>
    <w:rsid w:val="2B8723B0"/>
    <w:rsid w:val="2CB30D89"/>
    <w:rsid w:val="2E753E92"/>
    <w:rsid w:val="2E7F3812"/>
    <w:rsid w:val="2E930B5B"/>
    <w:rsid w:val="2EC76F67"/>
    <w:rsid w:val="2FCA6D0F"/>
    <w:rsid w:val="302F3016"/>
    <w:rsid w:val="3106646D"/>
    <w:rsid w:val="31A33CBC"/>
    <w:rsid w:val="31CA56EC"/>
    <w:rsid w:val="326E42CA"/>
    <w:rsid w:val="32BD1813"/>
    <w:rsid w:val="32C27660"/>
    <w:rsid w:val="33582884"/>
    <w:rsid w:val="33E06DDD"/>
    <w:rsid w:val="34264730"/>
    <w:rsid w:val="35213875"/>
    <w:rsid w:val="35351691"/>
    <w:rsid w:val="35700359"/>
    <w:rsid w:val="35886381"/>
    <w:rsid w:val="35D7578A"/>
    <w:rsid w:val="36941E25"/>
    <w:rsid w:val="36DE12F2"/>
    <w:rsid w:val="370A20E7"/>
    <w:rsid w:val="37173543"/>
    <w:rsid w:val="37BF6DC8"/>
    <w:rsid w:val="3867643C"/>
    <w:rsid w:val="386B2E9C"/>
    <w:rsid w:val="38AF640A"/>
    <w:rsid w:val="39387BC9"/>
    <w:rsid w:val="396808F6"/>
    <w:rsid w:val="39C3314D"/>
    <w:rsid w:val="3A8A3559"/>
    <w:rsid w:val="3A9E7716"/>
    <w:rsid w:val="3AA21F1A"/>
    <w:rsid w:val="3B5A188F"/>
    <w:rsid w:val="3B893F22"/>
    <w:rsid w:val="3BBF5B96"/>
    <w:rsid w:val="3BC60A9D"/>
    <w:rsid w:val="3C1667B4"/>
    <w:rsid w:val="3CA54D8C"/>
    <w:rsid w:val="3D332398"/>
    <w:rsid w:val="3D850719"/>
    <w:rsid w:val="3DD84CED"/>
    <w:rsid w:val="3E135D25"/>
    <w:rsid w:val="3E1F46CA"/>
    <w:rsid w:val="3F012022"/>
    <w:rsid w:val="3FF76880"/>
    <w:rsid w:val="40624D42"/>
    <w:rsid w:val="42360234"/>
    <w:rsid w:val="425A03C6"/>
    <w:rsid w:val="42AF6153"/>
    <w:rsid w:val="43A062AD"/>
    <w:rsid w:val="442A3DC9"/>
    <w:rsid w:val="44B33DBE"/>
    <w:rsid w:val="4555369C"/>
    <w:rsid w:val="458D6496"/>
    <w:rsid w:val="46517D32"/>
    <w:rsid w:val="469A5235"/>
    <w:rsid w:val="478D08F6"/>
    <w:rsid w:val="47C562E2"/>
    <w:rsid w:val="481E59F2"/>
    <w:rsid w:val="4880262C"/>
    <w:rsid w:val="489271BB"/>
    <w:rsid w:val="48C77E38"/>
    <w:rsid w:val="48FB5D34"/>
    <w:rsid w:val="49172B6D"/>
    <w:rsid w:val="49FC7FB5"/>
    <w:rsid w:val="4B624301"/>
    <w:rsid w:val="4B7F0E9E"/>
    <w:rsid w:val="4C5B5467"/>
    <w:rsid w:val="4D9F6CFB"/>
    <w:rsid w:val="4E231FB4"/>
    <w:rsid w:val="4E6B4C95"/>
    <w:rsid w:val="4FAD6C23"/>
    <w:rsid w:val="4FE13ED5"/>
    <w:rsid w:val="5117793B"/>
    <w:rsid w:val="516E1AD1"/>
    <w:rsid w:val="51915487"/>
    <w:rsid w:val="53004C31"/>
    <w:rsid w:val="53B8443A"/>
    <w:rsid w:val="541821F6"/>
    <w:rsid w:val="54344EED"/>
    <w:rsid w:val="545B74F3"/>
    <w:rsid w:val="5495703C"/>
    <w:rsid w:val="54B27BEE"/>
    <w:rsid w:val="55AD03B6"/>
    <w:rsid w:val="5829466B"/>
    <w:rsid w:val="58873140"/>
    <w:rsid w:val="59A73A9A"/>
    <w:rsid w:val="5A2B7414"/>
    <w:rsid w:val="5A364E1D"/>
    <w:rsid w:val="5A76346C"/>
    <w:rsid w:val="5AC32B55"/>
    <w:rsid w:val="5B1038C0"/>
    <w:rsid w:val="5B57329D"/>
    <w:rsid w:val="5B6339F0"/>
    <w:rsid w:val="5B9C180B"/>
    <w:rsid w:val="5B9F0763"/>
    <w:rsid w:val="5C5D48E3"/>
    <w:rsid w:val="5CE2128D"/>
    <w:rsid w:val="5D663C6C"/>
    <w:rsid w:val="5DDE09BB"/>
    <w:rsid w:val="5E543AC4"/>
    <w:rsid w:val="5EBF1885"/>
    <w:rsid w:val="5F7D704B"/>
    <w:rsid w:val="6037369D"/>
    <w:rsid w:val="6083325F"/>
    <w:rsid w:val="610712C2"/>
    <w:rsid w:val="617C058E"/>
    <w:rsid w:val="617F70AA"/>
    <w:rsid w:val="62847CD8"/>
    <w:rsid w:val="62864468"/>
    <w:rsid w:val="62E9784F"/>
    <w:rsid w:val="63C3008C"/>
    <w:rsid w:val="63E94CAF"/>
    <w:rsid w:val="63FB14F4"/>
    <w:rsid w:val="64195594"/>
    <w:rsid w:val="647B7FFD"/>
    <w:rsid w:val="65534AD5"/>
    <w:rsid w:val="65FD2C93"/>
    <w:rsid w:val="6677630B"/>
    <w:rsid w:val="6694184A"/>
    <w:rsid w:val="66AA6977"/>
    <w:rsid w:val="672F50CE"/>
    <w:rsid w:val="67713939"/>
    <w:rsid w:val="68866F70"/>
    <w:rsid w:val="68BA59E1"/>
    <w:rsid w:val="691D13DE"/>
    <w:rsid w:val="6A301889"/>
    <w:rsid w:val="6AD83A4A"/>
    <w:rsid w:val="6AFB3C45"/>
    <w:rsid w:val="6B436FDE"/>
    <w:rsid w:val="6B637A3C"/>
    <w:rsid w:val="6B75585A"/>
    <w:rsid w:val="6BCA186A"/>
    <w:rsid w:val="6C305B70"/>
    <w:rsid w:val="6C985AA7"/>
    <w:rsid w:val="709A74E3"/>
    <w:rsid w:val="713741DD"/>
    <w:rsid w:val="71EA67C2"/>
    <w:rsid w:val="725B146D"/>
    <w:rsid w:val="726227FC"/>
    <w:rsid w:val="72D45961"/>
    <w:rsid w:val="740D2C3B"/>
    <w:rsid w:val="74681C20"/>
    <w:rsid w:val="74884070"/>
    <w:rsid w:val="749869A9"/>
    <w:rsid w:val="74DD490B"/>
    <w:rsid w:val="75381500"/>
    <w:rsid w:val="753D12FE"/>
    <w:rsid w:val="754109AB"/>
    <w:rsid w:val="75E20E60"/>
    <w:rsid w:val="769745C8"/>
    <w:rsid w:val="773A3D47"/>
    <w:rsid w:val="77B358A8"/>
    <w:rsid w:val="77BD2282"/>
    <w:rsid w:val="77E87284"/>
    <w:rsid w:val="77EF68E0"/>
    <w:rsid w:val="78866B18"/>
    <w:rsid w:val="79041559"/>
    <w:rsid w:val="792F0F5E"/>
    <w:rsid w:val="7A440A39"/>
    <w:rsid w:val="7AB7FF50"/>
    <w:rsid w:val="7BA479E1"/>
    <w:rsid w:val="7BD3648B"/>
    <w:rsid w:val="7BFEB0DB"/>
    <w:rsid w:val="7C750264"/>
    <w:rsid w:val="7C7F3FAA"/>
    <w:rsid w:val="7CE52B2D"/>
    <w:rsid w:val="7D142945"/>
    <w:rsid w:val="7D3007A5"/>
    <w:rsid w:val="7D975A1A"/>
    <w:rsid w:val="7D9C5DE8"/>
    <w:rsid w:val="7DAA5057"/>
    <w:rsid w:val="7E484F9C"/>
    <w:rsid w:val="7E4D25B2"/>
    <w:rsid w:val="7E9663F6"/>
    <w:rsid w:val="7ECD724F"/>
    <w:rsid w:val="7FE75214"/>
    <w:rsid w:val="7FF667FE"/>
    <w:rsid w:val="CEFD3F3D"/>
    <w:rsid w:val="EA3F77F2"/>
    <w:rsid w:val="EEFE5989"/>
    <w:rsid w:val="EFCF3EAE"/>
    <w:rsid w:val="EFEF9281"/>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paragraph" w:styleId="5">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6">
    <w:name w:val="Body Text"/>
    <w:basedOn w:val="1"/>
    <w:autoRedefine/>
    <w:qFormat/>
    <w:uiPriority w:val="1"/>
    <w:pPr>
      <w:spacing w:before="48"/>
      <w:ind w:left="111"/>
    </w:pPr>
    <w:rPr>
      <w:rFonts w:ascii="仿宋" w:hAnsi="仿宋" w:eastAsia="仿宋"/>
      <w:sz w:val="32"/>
      <w:szCs w:val="32"/>
    </w:rPr>
  </w:style>
  <w:style w:type="paragraph" w:styleId="7">
    <w:name w:val="Plain Text"/>
    <w:basedOn w:val="1"/>
    <w:next w:val="1"/>
    <w:autoRedefine/>
    <w:unhideWhenUsed/>
    <w:qFormat/>
    <w:uiPriority w:val="99"/>
    <w:pPr>
      <w:widowControl w:val="0"/>
      <w:spacing w:line="600" w:lineRule="exact"/>
      <w:ind w:firstLine="880" w:firstLineChars="200"/>
    </w:pPr>
    <w:rPr>
      <w:rFonts w:ascii="宋体" w:hAnsi="Courier New" w:eastAsia="仿宋_GB2312" w:cs="黑体"/>
      <w:sz w:val="32"/>
      <w:szCs w:val="21"/>
    </w:rPr>
  </w:style>
  <w:style w:type="paragraph" w:styleId="8">
    <w:name w:val="footer"/>
    <w:basedOn w:val="1"/>
    <w:qFormat/>
    <w:uiPriority w:val="99"/>
    <w:pPr>
      <w:tabs>
        <w:tab w:val="center" w:pos="4153"/>
        <w:tab w:val="right" w:pos="8306"/>
      </w:tabs>
      <w:snapToGrid w:val="0"/>
      <w:jc w:val="left"/>
    </w:pPr>
    <w:rPr>
      <w:sz w:val="18"/>
      <w:szCs w:val="20"/>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6"/>
    <w:autoRedefine/>
    <w:qFormat/>
    <w:uiPriority w:val="0"/>
    <w:pPr>
      <w:ind w:firstLine="420" w:firstLineChars="100"/>
    </w:pPr>
  </w:style>
  <w:style w:type="paragraph" w:customStyle="1" w:styleId="13">
    <w:name w:val="列出段落1"/>
    <w:basedOn w:val="1"/>
    <w:autoRedefine/>
    <w:qFormat/>
    <w:uiPriority w:val="34"/>
    <w:pPr>
      <w:ind w:firstLine="420" w:firstLineChars="200"/>
    </w:pPr>
    <w:rPr>
      <w:rFonts w:ascii="Calibri" w:hAnsi="Calibri" w:cs="黑体"/>
      <w:szCs w:val="22"/>
    </w:rPr>
  </w:style>
  <w:style w:type="character" w:customStyle="1" w:styleId="14">
    <w:name w:val="font31"/>
    <w:basedOn w:val="12"/>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9810</Words>
  <Characters>10550</Characters>
  <Lines>0</Lines>
  <Paragraphs>0</Paragraphs>
  <TotalTime>5</TotalTime>
  <ScaleCrop>false</ScaleCrop>
  <LinksUpToDate>false</LinksUpToDate>
  <CharactersWithSpaces>10742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2022-03-10T11:16:00Z</dcterms:created>
  <dc:creator>user</dc:creator>
  <cp:lastModifiedBy>86137</cp:lastModifiedBy>
  <cp:lastPrinted>2022-03-24T18:01:00Z</cp:lastPrinted>
  <dcterms:modified xsi:type="dcterms:W3CDTF">2024-05-20T07:01:20Z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EC5000AB948C4A9A845140BDFB38B972_13</vt:lpwstr>
  </property>
</Properties>
</file>