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240" w:beforeLines="100" w:after="240" w:afterLines="100"/>
        <w:jc w:val="both"/>
        <w:rPr>
          <w:rFonts w:hint="eastAsia" w:ascii="黑体" w:hAnsi="黑体" w:eastAsia="黑体" w:cs="黑体"/>
          <w:b w:val="0"/>
          <w:bCs/>
          <w:sz w:val="32"/>
          <w:szCs w:val="32"/>
          <w:lang w:eastAsia="zh-CN"/>
        </w:rPr>
      </w:pPr>
      <w:bookmarkStart w:id="0" w:name="_Toc124521736"/>
      <w:r>
        <w:rPr>
          <w:rFonts w:hint="eastAsia" w:ascii="黑体" w:hAnsi="黑体" w:eastAsia="黑体" w:cs="黑体"/>
          <w:b w:val="0"/>
          <w:bCs/>
          <w:sz w:val="32"/>
          <w:szCs w:val="32"/>
          <w:lang w:eastAsia="zh-CN"/>
        </w:rPr>
        <w:t>附件</w:t>
      </w:r>
    </w:p>
    <w:p>
      <w:pPr>
        <w:pStyle w:val="2"/>
        <w:rPr>
          <w:rFonts w:ascii="Times New Roman" w:hAnsi="Times New Roman"/>
        </w:rPr>
      </w:pPr>
    </w:p>
    <w:p>
      <w:pPr>
        <w:spacing w:before="240" w:beforeLines="100" w:after="240" w:afterLines="100"/>
        <w:jc w:val="center"/>
        <w:rPr>
          <w:rFonts w:eastAsia="华文中宋"/>
          <w:b/>
          <w:sz w:val="48"/>
        </w:rPr>
      </w:pPr>
      <w:bookmarkStart w:id="311" w:name="_GoBack"/>
      <w:bookmarkEnd w:id="311"/>
    </w:p>
    <w:p>
      <w:pPr>
        <w:pStyle w:val="2"/>
        <w:rPr>
          <w:rFonts w:ascii="Times New Roman" w:hAnsi="Times New Roman"/>
        </w:rPr>
      </w:pPr>
    </w:p>
    <w:p>
      <w:pPr>
        <w:pStyle w:val="2"/>
        <w:jc w:val="center"/>
        <w:rPr>
          <w:rStyle w:val="51"/>
          <w:rFonts w:eastAsia="华文中宋"/>
          <w:b/>
          <w:sz w:val="52"/>
          <w:szCs w:val="52"/>
        </w:rPr>
      </w:pPr>
      <w:bookmarkStart w:id="1" w:name="_Toc198726190"/>
      <w:bookmarkStart w:id="2" w:name="_Toc501342053"/>
      <w:bookmarkStart w:id="3" w:name="_Toc187397250"/>
      <w:bookmarkStart w:id="4" w:name="_Toc21986"/>
      <w:bookmarkStart w:id="5" w:name="_Toc167285425"/>
      <w:bookmarkStart w:id="6" w:name="_Toc185513656"/>
      <w:bookmarkStart w:id="7" w:name="_Toc185513603"/>
      <w:bookmarkStart w:id="8" w:name="_Toc187331262"/>
      <w:bookmarkStart w:id="9" w:name="_Toc167285518"/>
      <w:r>
        <w:rPr>
          <w:rStyle w:val="51"/>
          <w:rFonts w:eastAsia="华文中宋"/>
          <w:b/>
          <w:sz w:val="52"/>
          <w:szCs w:val="52"/>
        </w:rPr>
        <w:t>北京市三北工程六期规划</w:t>
      </w:r>
      <w:bookmarkEnd w:id="1"/>
      <w:bookmarkEnd w:id="2"/>
      <w:bookmarkEnd w:id="3"/>
      <w:bookmarkEnd w:id="4"/>
      <w:bookmarkEnd w:id="5"/>
      <w:bookmarkEnd w:id="6"/>
      <w:bookmarkEnd w:id="7"/>
      <w:bookmarkEnd w:id="8"/>
      <w:bookmarkEnd w:id="9"/>
    </w:p>
    <w:p>
      <w:pPr>
        <w:pStyle w:val="2"/>
        <w:jc w:val="center"/>
        <w:rPr>
          <w:rStyle w:val="51"/>
          <w:rFonts w:eastAsia="华文中宋"/>
          <w:b/>
          <w:sz w:val="52"/>
          <w:szCs w:val="52"/>
        </w:rPr>
      </w:pPr>
      <w:r>
        <w:rPr>
          <w:rStyle w:val="51"/>
          <w:rFonts w:eastAsia="华文中宋"/>
          <w:b/>
          <w:sz w:val="52"/>
          <w:szCs w:val="52"/>
        </w:rPr>
        <w:t>（2021－2030年）</w:t>
      </w:r>
      <w:bookmarkEnd w:id="0"/>
    </w:p>
    <w:p>
      <w:pPr>
        <w:spacing w:before="240" w:beforeLines="100" w:after="240" w:afterLines="100"/>
        <w:jc w:val="center"/>
        <w:rPr>
          <w:rFonts w:eastAsia="华文中宋"/>
          <w:sz w:val="44"/>
        </w:rPr>
      </w:pPr>
    </w:p>
    <w:p>
      <w:pPr>
        <w:spacing w:before="240" w:beforeLines="100" w:after="240" w:afterLines="100"/>
        <w:jc w:val="center"/>
        <w:rPr>
          <w:rFonts w:eastAsia="华文中宋"/>
          <w:sz w:val="44"/>
        </w:rPr>
      </w:pPr>
    </w:p>
    <w:p>
      <w:pPr>
        <w:spacing w:before="240" w:beforeLines="100" w:after="240" w:afterLines="100"/>
        <w:jc w:val="center"/>
        <w:rPr>
          <w:rFonts w:eastAsia="华文中宋"/>
          <w:sz w:val="44"/>
        </w:rPr>
      </w:pPr>
    </w:p>
    <w:p>
      <w:pPr>
        <w:spacing w:before="240" w:beforeLines="100" w:after="240" w:afterLines="100"/>
        <w:jc w:val="center"/>
        <w:rPr>
          <w:rFonts w:eastAsia="华文中宋"/>
          <w:sz w:val="44"/>
        </w:rPr>
      </w:pPr>
    </w:p>
    <w:p>
      <w:pPr>
        <w:spacing w:before="240" w:beforeLines="100" w:after="240" w:afterLines="100"/>
        <w:jc w:val="center"/>
        <w:rPr>
          <w:rFonts w:eastAsia="华文中宋"/>
          <w:sz w:val="44"/>
        </w:rPr>
      </w:pPr>
    </w:p>
    <w:p>
      <w:pPr>
        <w:spacing w:before="240" w:beforeLines="100" w:after="240" w:afterLines="100"/>
        <w:jc w:val="center"/>
        <w:rPr>
          <w:rFonts w:eastAsia="华文中宋"/>
          <w:b/>
          <w:sz w:val="52"/>
        </w:rPr>
      </w:pPr>
    </w:p>
    <w:p>
      <w:pPr>
        <w:spacing w:before="240" w:beforeLines="100" w:after="240" w:afterLines="100"/>
        <w:jc w:val="center"/>
        <w:rPr>
          <w:rFonts w:eastAsia="华文中宋"/>
          <w:b/>
          <w:sz w:val="52"/>
        </w:rPr>
      </w:pPr>
    </w:p>
    <w:p>
      <w:pPr>
        <w:spacing w:before="240" w:beforeLines="100" w:after="240" w:afterLines="100"/>
        <w:jc w:val="center"/>
        <w:rPr>
          <w:rFonts w:eastAsia="华文中宋"/>
          <w:b/>
          <w:sz w:val="52"/>
        </w:rPr>
      </w:pPr>
    </w:p>
    <w:p>
      <w:pPr>
        <w:spacing w:before="240" w:beforeLines="100" w:after="240" w:afterLines="100"/>
        <w:jc w:val="center"/>
        <w:rPr>
          <w:rFonts w:eastAsia="华文中宋"/>
          <w:b/>
          <w:sz w:val="40"/>
          <w:szCs w:val="21"/>
        </w:rPr>
      </w:pPr>
      <w:r>
        <w:rPr>
          <w:rFonts w:eastAsia="华文中宋"/>
          <w:b/>
          <w:sz w:val="40"/>
          <w:szCs w:val="21"/>
        </w:rPr>
        <w:t>二〇二五年</w:t>
      </w:r>
      <w:r>
        <w:rPr>
          <w:rFonts w:hint="eastAsia" w:eastAsia="华文中宋"/>
          <w:b/>
          <w:sz w:val="40"/>
          <w:szCs w:val="21"/>
        </w:rPr>
        <w:t>七</w:t>
      </w:r>
      <w:r>
        <w:rPr>
          <w:rFonts w:eastAsia="华文中宋"/>
          <w:b/>
          <w:sz w:val="40"/>
          <w:szCs w:val="21"/>
        </w:rPr>
        <w:t>月</w:t>
      </w:r>
    </w:p>
    <w:p>
      <w:pPr>
        <w:widowControl/>
        <w:jc w:val="left"/>
        <w:rPr>
          <w:rFonts w:eastAsia="华文中宋"/>
          <w:b/>
          <w:sz w:val="40"/>
          <w:szCs w:val="21"/>
        </w:rPr>
      </w:pPr>
      <w:r>
        <w:rPr>
          <w:rFonts w:eastAsia="华文中宋"/>
          <w:b/>
          <w:sz w:val="40"/>
          <w:szCs w:val="21"/>
        </w:rPr>
        <w:br w:type="page"/>
      </w:r>
    </w:p>
    <w:p>
      <w:pPr>
        <w:rPr>
          <w:rFonts w:eastAsia="方正仿宋_GBK"/>
          <w:color w:val="000000"/>
          <w:sz w:val="30"/>
          <w:szCs w:val="30"/>
        </w:rPr>
      </w:pPr>
      <w:r>
        <w:rPr>
          <w:rFonts w:eastAsia="方正仿宋_GBK"/>
          <w:color w:val="000000"/>
          <w:sz w:val="30"/>
          <w:szCs w:val="30"/>
        </w:rPr>
        <w:br w:type="page"/>
      </w:r>
    </w:p>
    <w:sdt>
      <w:sdtPr>
        <w:rPr>
          <w:rFonts w:eastAsia="仿宋_GB2312"/>
          <w:b/>
          <w:bCs/>
          <w:sz w:val="44"/>
          <w:szCs w:val="44"/>
          <w:highlight w:val="yellow"/>
        </w:rPr>
        <w:id w:val="147456435"/>
        <w:docPartObj>
          <w:docPartGallery w:val="Table of Contents"/>
          <w:docPartUnique/>
        </w:docPartObj>
      </w:sdtPr>
      <w:sdtEndPr>
        <w:rPr>
          <w:rFonts w:eastAsia="仿宋_GB2312"/>
          <w:b/>
          <w:bCs/>
          <w:sz w:val="24"/>
          <w:szCs w:val="24"/>
          <w:highlight w:val="yellow"/>
        </w:rPr>
      </w:sdtEndPr>
      <w:sdtContent>
        <w:p>
          <w:pPr>
            <w:jc w:val="center"/>
            <w:rPr>
              <w:rFonts w:eastAsia="仿宋_GB2312"/>
              <w:sz w:val="44"/>
              <w:szCs w:val="44"/>
            </w:rPr>
          </w:pPr>
          <w:r>
            <w:rPr>
              <w:rFonts w:eastAsia="仿宋_GB2312"/>
              <w:sz w:val="44"/>
              <w:szCs w:val="44"/>
            </w:rPr>
            <w:t>目 录</w:t>
          </w:r>
        </w:p>
        <w:p>
          <w:pPr>
            <w:pStyle w:val="14"/>
            <w:rPr>
              <w:rFonts w:asciiTheme="minorHAnsi" w:hAnsiTheme="minorHAnsi" w:eastAsiaTheme="minorEastAsia" w:cstheme="minorBidi"/>
              <w:b w:val="0"/>
              <w:bCs w:val="0"/>
              <w:sz w:val="21"/>
              <w:szCs w:val="22"/>
            </w:rPr>
          </w:pPr>
          <w:r>
            <w:fldChar w:fldCharType="begin"/>
          </w:r>
          <w:r>
            <w:instrText xml:space="preserve">TOC \o "1-2" \h \u </w:instrText>
          </w:r>
          <w:r>
            <w:fldChar w:fldCharType="separate"/>
          </w:r>
          <w:r>
            <w:fldChar w:fldCharType="begin"/>
          </w:r>
          <w:r>
            <w:instrText xml:space="preserve"> HYPERLINK \l "_Toc202350675" </w:instrText>
          </w:r>
          <w:r>
            <w:fldChar w:fldCharType="separate"/>
          </w:r>
          <w:r>
            <w:rPr>
              <w:rStyle w:val="24"/>
              <w:rFonts w:hint="eastAsia"/>
            </w:rPr>
            <w:t>第一章</w:t>
          </w:r>
          <w:r>
            <w:rPr>
              <w:rStyle w:val="24"/>
            </w:rPr>
            <w:t xml:space="preserve"> </w:t>
          </w:r>
          <w:r>
            <w:rPr>
              <w:rStyle w:val="24"/>
              <w:rFonts w:hint="eastAsia"/>
            </w:rPr>
            <w:t>规划背景</w:t>
          </w:r>
          <w:r>
            <w:tab/>
          </w:r>
          <w:r>
            <w:fldChar w:fldCharType="begin"/>
          </w:r>
          <w:r>
            <w:instrText xml:space="preserve"> PAGEREF _Toc202350675 \h </w:instrText>
          </w:r>
          <w:r>
            <w:fldChar w:fldCharType="separate"/>
          </w:r>
          <w:r>
            <w:t>1</w:t>
          </w:r>
          <w:r>
            <w:fldChar w:fldCharType="end"/>
          </w:r>
          <w:r>
            <w:fldChar w:fldCharType="end"/>
          </w:r>
        </w:p>
        <w:p>
          <w:pPr>
            <w:pStyle w:val="14"/>
            <w:rPr>
              <w:rFonts w:asciiTheme="minorHAnsi" w:hAnsiTheme="minorHAnsi" w:eastAsiaTheme="minorEastAsia" w:cstheme="minorBidi"/>
              <w:b w:val="0"/>
              <w:bCs w:val="0"/>
              <w:sz w:val="21"/>
              <w:szCs w:val="22"/>
            </w:rPr>
          </w:pPr>
          <w:r>
            <w:fldChar w:fldCharType="begin"/>
          </w:r>
          <w:r>
            <w:instrText xml:space="preserve"> HYPERLINK \l "_Toc202350676" </w:instrText>
          </w:r>
          <w:r>
            <w:fldChar w:fldCharType="separate"/>
          </w:r>
          <w:r>
            <w:rPr>
              <w:rStyle w:val="24"/>
              <w:rFonts w:hint="eastAsia"/>
            </w:rPr>
            <w:t>第二章</w:t>
          </w:r>
          <w:r>
            <w:rPr>
              <w:rStyle w:val="24"/>
            </w:rPr>
            <w:t xml:space="preserve"> </w:t>
          </w:r>
          <w:r>
            <w:rPr>
              <w:rStyle w:val="24"/>
              <w:rFonts w:hint="eastAsia"/>
            </w:rPr>
            <w:t>自然条件及森林资源状况</w:t>
          </w:r>
          <w:r>
            <w:tab/>
          </w:r>
          <w:r>
            <w:fldChar w:fldCharType="begin"/>
          </w:r>
          <w:r>
            <w:instrText xml:space="preserve"> PAGEREF _Toc202350676 \h </w:instrText>
          </w:r>
          <w:r>
            <w:fldChar w:fldCharType="separate"/>
          </w:r>
          <w:r>
            <w:t>3</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"_Toc202350677" </w:instrText>
          </w:r>
          <w:r>
            <w:fldChar w:fldCharType="separate"/>
          </w:r>
          <w:r>
            <w:rPr>
              <w:rStyle w:val="24"/>
              <w:rFonts w:hint="eastAsia"/>
            </w:rPr>
            <w:t>一、全市情况</w:t>
          </w:r>
          <w:r>
            <w:tab/>
          </w:r>
          <w:r>
            <w:fldChar w:fldCharType="begin"/>
          </w:r>
          <w:r>
            <w:instrText xml:space="preserve"> PAGEREF _Toc202350677 \h </w:instrText>
          </w:r>
          <w:r>
            <w:fldChar w:fldCharType="separate"/>
          </w:r>
          <w:r>
            <w:t>3</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"_Toc202350678" </w:instrText>
          </w:r>
          <w:r>
            <w:fldChar w:fldCharType="separate"/>
          </w:r>
          <w:r>
            <w:rPr>
              <w:rStyle w:val="24"/>
              <w:rFonts w:hint="eastAsia"/>
            </w:rPr>
            <w:t>二、生态屏障情况</w:t>
          </w:r>
          <w:r>
            <w:tab/>
          </w:r>
          <w:r>
            <w:fldChar w:fldCharType="begin"/>
          </w:r>
          <w:r>
            <w:instrText xml:space="preserve"> PAGEREF _Toc202350678 \h </w:instrText>
          </w:r>
          <w:r>
            <w:fldChar w:fldCharType="separate"/>
          </w:r>
          <w:r>
            <w:t>6</w:t>
          </w:r>
          <w:r>
            <w:fldChar w:fldCharType="end"/>
          </w:r>
          <w:r>
            <w:fldChar w:fldCharType="end"/>
          </w:r>
        </w:p>
        <w:p>
          <w:pPr>
            <w:pStyle w:val="14"/>
            <w:rPr>
              <w:rFonts w:asciiTheme="minorHAnsi" w:hAnsiTheme="minorHAnsi" w:eastAsiaTheme="minorEastAsia" w:cstheme="minorBidi"/>
              <w:b w:val="0"/>
              <w:bCs w:val="0"/>
              <w:sz w:val="21"/>
              <w:szCs w:val="22"/>
            </w:rPr>
          </w:pPr>
          <w:r>
            <w:fldChar w:fldCharType="begin"/>
          </w:r>
          <w:r>
            <w:instrText xml:space="preserve"> HYPERLINK \l "_Toc202350679" </w:instrText>
          </w:r>
          <w:r>
            <w:fldChar w:fldCharType="separate"/>
          </w:r>
          <w:r>
            <w:rPr>
              <w:rStyle w:val="24"/>
              <w:rFonts w:hint="eastAsia"/>
            </w:rPr>
            <w:t>第三章</w:t>
          </w:r>
          <w:r>
            <w:rPr>
              <w:rStyle w:val="24"/>
            </w:rPr>
            <w:t xml:space="preserve"> </w:t>
          </w:r>
          <w:r>
            <w:rPr>
              <w:rStyle w:val="24"/>
              <w:rFonts w:hint="eastAsia"/>
            </w:rPr>
            <w:t>建设成就及面临形势</w:t>
          </w:r>
          <w:r>
            <w:tab/>
          </w:r>
          <w:r>
            <w:fldChar w:fldCharType="begin"/>
          </w:r>
          <w:r>
            <w:instrText xml:space="preserve"> PAGEREF _Toc202350679 \h </w:instrText>
          </w:r>
          <w:r>
            <w:fldChar w:fldCharType="separate"/>
          </w:r>
          <w:r>
            <w:t>9</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"_Toc202350680" </w:instrText>
          </w:r>
          <w:r>
            <w:fldChar w:fldCharType="separate"/>
          </w:r>
          <w:r>
            <w:rPr>
              <w:rStyle w:val="24"/>
              <w:rFonts w:hint="eastAsia"/>
            </w:rPr>
            <w:t>一、建设成就</w:t>
          </w:r>
          <w:r>
            <w:tab/>
          </w:r>
          <w:r>
            <w:fldChar w:fldCharType="begin"/>
          </w:r>
          <w:r>
            <w:instrText xml:space="preserve"> PAGEREF _Toc202350680 \h </w:instrText>
          </w:r>
          <w:r>
            <w:fldChar w:fldCharType="separate"/>
          </w:r>
          <w:r>
            <w:t>9</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"_Toc202350681" </w:instrText>
          </w:r>
          <w:r>
            <w:fldChar w:fldCharType="separate"/>
          </w:r>
          <w:r>
            <w:rPr>
              <w:rStyle w:val="24"/>
              <w:rFonts w:hint="eastAsia"/>
            </w:rPr>
            <w:t>二、面临形势</w:t>
          </w:r>
          <w:r>
            <w:tab/>
          </w:r>
          <w:r>
            <w:fldChar w:fldCharType="begin"/>
          </w:r>
          <w:r>
            <w:instrText xml:space="preserve"> PAGEREF _Toc202350681 \h </w:instrText>
          </w:r>
          <w:r>
            <w:fldChar w:fldCharType="separate"/>
          </w:r>
          <w:r>
            <w:t>10</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"_Toc202350682" </w:instrText>
          </w:r>
          <w:r>
            <w:fldChar w:fldCharType="separate"/>
          </w:r>
          <w:r>
            <w:rPr>
              <w:rStyle w:val="24"/>
              <w:rFonts w:hint="eastAsia"/>
            </w:rPr>
            <w:t>三、发展机遇</w:t>
          </w:r>
          <w:r>
            <w:tab/>
          </w:r>
          <w:r>
            <w:fldChar w:fldCharType="begin"/>
          </w:r>
          <w:r>
            <w:instrText xml:space="preserve"> PAGEREF _Toc202350682 \h </w:instrText>
          </w:r>
          <w:r>
            <w:fldChar w:fldCharType="separate"/>
          </w:r>
          <w:r>
            <w:t>11</w:t>
          </w:r>
          <w:r>
            <w:fldChar w:fldCharType="end"/>
          </w:r>
          <w:r>
            <w:fldChar w:fldCharType="end"/>
          </w:r>
        </w:p>
        <w:p>
          <w:pPr>
            <w:pStyle w:val="14"/>
            <w:rPr>
              <w:rFonts w:asciiTheme="minorHAnsi" w:hAnsiTheme="minorHAnsi" w:eastAsiaTheme="minorEastAsia" w:cstheme="minorBidi"/>
              <w:b w:val="0"/>
              <w:bCs w:val="0"/>
              <w:sz w:val="21"/>
              <w:szCs w:val="22"/>
            </w:rPr>
          </w:pPr>
          <w:r>
            <w:fldChar w:fldCharType="begin"/>
          </w:r>
          <w:r>
            <w:instrText xml:space="preserve"> HYPERLINK \l "_Toc202350683" </w:instrText>
          </w:r>
          <w:r>
            <w:fldChar w:fldCharType="separate"/>
          </w:r>
          <w:r>
            <w:rPr>
              <w:rStyle w:val="24"/>
              <w:rFonts w:hint="eastAsia"/>
            </w:rPr>
            <w:t>第四章</w:t>
          </w:r>
          <w:r>
            <w:rPr>
              <w:rStyle w:val="24"/>
            </w:rPr>
            <w:t xml:space="preserve"> </w:t>
          </w:r>
          <w:r>
            <w:rPr>
              <w:rStyle w:val="24"/>
              <w:rFonts w:hint="eastAsia"/>
            </w:rPr>
            <w:t>总体要求</w:t>
          </w:r>
          <w:r>
            <w:tab/>
          </w:r>
          <w:r>
            <w:fldChar w:fldCharType="begin"/>
          </w:r>
          <w:r>
            <w:instrText xml:space="preserve"> PAGEREF _Toc202350683 \h </w:instrText>
          </w:r>
          <w:r>
            <w:fldChar w:fldCharType="separate"/>
          </w:r>
          <w:r>
            <w:t>13</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"_Toc202350684" </w:instrText>
          </w:r>
          <w:r>
            <w:fldChar w:fldCharType="separate"/>
          </w:r>
          <w:r>
            <w:rPr>
              <w:rStyle w:val="24"/>
              <w:rFonts w:hint="eastAsia"/>
            </w:rPr>
            <w:t>一、指导思想及原则</w:t>
          </w:r>
          <w:r>
            <w:tab/>
          </w:r>
          <w:r>
            <w:fldChar w:fldCharType="begin"/>
          </w:r>
          <w:r>
            <w:instrText xml:space="preserve"> PAGEREF _Toc202350684 \h </w:instrText>
          </w:r>
          <w:r>
            <w:fldChar w:fldCharType="separate"/>
          </w:r>
          <w:r>
            <w:t>13</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"_Toc202350685" </w:instrText>
          </w:r>
          <w:r>
            <w:fldChar w:fldCharType="separate"/>
          </w:r>
          <w:r>
            <w:rPr>
              <w:rStyle w:val="24"/>
              <w:rFonts w:hint="eastAsia"/>
            </w:rPr>
            <w:t>二、规划目标</w:t>
          </w:r>
          <w:r>
            <w:tab/>
          </w:r>
          <w:r>
            <w:fldChar w:fldCharType="begin"/>
          </w:r>
          <w:r>
            <w:instrText xml:space="preserve"> PAGEREF _Toc202350685 \h </w:instrText>
          </w:r>
          <w:r>
            <w:fldChar w:fldCharType="separate"/>
          </w:r>
          <w:r>
            <w:t>14</w:t>
          </w:r>
          <w:r>
            <w:fldChar w:fldCharType="end"/>
          </w:r>
          <w:r>
            <w:fldChar w:fldCharType="end"/>
          </w:r>
        </w:p>
        <w:p>
          <w:pPr>
            <w:pStyle w:val="14"/>
            <w:rPr>
              <w:rFonts w:asciiTheme="minorHAnsi" w:hAnsiTheme="minorHAnsi" w:eastAsiaTheme="minorEastAsia" w:cstheme="minorBidi"/>
              <w:b w:val="0"/>
              <w:bCs w:val="0"/>
              <w:sz w:val="21"/>
              <w:szCs w:val="22"/>
            </w:rPr>
          </w:pPr>
          <w:r>
            <w:fldChar w:fldCharType="begin"/>
          </w:r>
          <w:r>
            <w:instrText xml:space="preserve"> HYPERLINK \l "_Toc202350686" </w:instrText>
          </w:r>
          <w:r>
            <w:fldChar w:fldCharType="separate"/>
          </w:r>
          <w:r>
            <w:rPr>
              <w:rStyle w:val="24"/>
              <w:rFonts w:hint="eastAsia"/>
            </w:rPr>
            <w:t>第五章</w:t>
          </w:r>
          <w:r>
            <w:rPr>
              <w:rStyle w:val="24"/>
            </w:rPr>
            <w:t xml:space="preserve"> </w:t>
          </w:r>
          <w:r>
            <w:rPr>
              <w:rStyle w:val="24"/>
              <w:rFonts w:hint="eastAsia"/>
            </w:rPr>
            <w:t>规划任务及总体布局</w:t>
          </w:r>
          <w:r>
            <w:tab/>
          </w:r>
          <w:r>
            <w:fldChar w:fldCharType="begin"/>
          </w:r>
          <w:r>
            <w:instrText xml:space="preserve"> PAGEREF _Toc202350686 \h </w:instrText>
          </w:r>
          <w:r>
            <w:fldChar w:fldCharType="separate"/>
          </w:r>
          <w:r>
            <w:t>15</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"_Toc202350687" </w:instrText>
          </w:r>
          <w:r>
            <w:fldChar w:fldCharType="separate"/>
          </w:r>
          <w:r>
            <w:rPr>
              <w:rStyle w:val="24"/>
              <w:rFonts w:hint="eastAsia"/>
            </w:rPr>
            <w:t>一、国家规划任务</w:t>
          </w:r>
          <w:r>
            <w:tab/>
          </w:r>
          <w:r>
            <w:fldChar w:fldCharType="begin"/>
          </w:r>
          <w:r>
            <w:instrText xml:space="preserve"> PAGEREF _Toc202350687 \h </w:instrText>
          </w:r>
          <w:r>
            <w:fldChar w:fldCharType="separate"/>
          </w:r>
          <w:r>
            <w:t>15</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"_Toc202350688" </w:instrText>
          </w:r>
          <w:r>
            <w:fldChar w:fldCharType="separate"/>
          </w:r>
          <w:r>
            <w:rPr>
              <w:rStyle w:val="24"/>
              <w:rFonts w:hint="eastAsia"/>
            </w:rPr>
            <w:t>二、北京市三北工程六期规划任务</w:t>
          </w:r>
          <w:r>
            <w:tab/>
          </w:r>
          <w:r>
            <w:fldChar w:fldCharType="begin"/>
          </w:r>
          <w:r>
            <w:instrText xml:space="preserve"> PAGEREF _Toc202350688 \h </w:instrText>
          </w:r>
          <w:r>
            <w:fldChar w:fldCharType="separate"/>
          </w:r>
          <w:r>
            <w:t>15</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"_Toc202350689" </w:instrText>
          </w:r>
          <w:r>
            <w:fldChar w:fldCharType="separate"/>
          </w:r>
          <w:r>
            <w:rPr>
              <w:rStyle w:val="24"/>
              <w:rFonts w:hint="eastAsia"/>
            </w:rPr>
            <w:t>三、总体布局</w:t>
          </w:r>
          <w:r>
            <w:tab/>
          </w:r>
          <w:r>
            <w:fldChar w:fldCharType="begin"/>
          </w:r>
          <w:r>
            <w:instrText xml:space="preserve"> PAGEREF _Toc202350689 \h </w:instrText>
          </w:r>
          <w:r>
            <w:fldChar w:fldCharType="separate"/>
          </w:r>
          <w:r>
            <w:t>17</w:t>
          </w:r>
          <w:r>
            <w:fldChar w:fldCharType="end"/>
          </w:r>
          <w:r>
            <w:fldChar w:fldCharType="end"/>
          </w:r>
        </w:p>
        <w:p>
          <w:pPr>
            <w:pStyle w:val="14"/>
            <w:rPr>
              <w:rFonts w:asciiTheme="minorHAnsi" w:hAnsiTheme="minorHAnsi" w:eastAsiaTheme="minorEastAsia" w:cstheme="minorBidi"/>
              <w:b w:val="0"/>
              <w:bCs w:val="0"/>
              <w:sz w:val="21"/>
              <w:szCs w:val="22"/>
            </w:rPr>
          </w:pPr>
          <w:r>
            <w:fldChar w:fldCharType="begin"/>
          </w:r>
          <w:r>
            <w:instrText xml:space="preserve"> HYPERLINK \l "_Toc202350690" </w:instrText>
          </w:r>
          <w:r>
            <w:fldChar w:fldCharType="separate"/>
          </w:r>
          <w:r>
            <w:rPr>
              <w:rStyle w:val="24"/>
              <w:rFonts w:hint="eastAsia"/>
            </w:rPr>
            <w:t>第六章</w:t>
          </w:r>
          <w:r>
            <w:rPr>
              <w:rStyle w:val="24"/>
            </w:rPr>
            <w:t xml:space="preserve"> </w:t>
          </w:r>
          <w:r>
            <w:rPr>
              <w:rStyle w:val="24"/>
              <w:rFonts w:hint="eastAsia"/>
            </w:rPr>
            <w:t>建设任务</w:t>
          </w:r>
          <w:r>
            <w:tab/>
          </w:r>
          <w:r>
            <w:fldChar w:fldCharType="begin"/>
          </w:r>
          <w:r>
            <w:instrText xml:space="preserve"> PAGEREF _Toc202350690 \h </w:instrText>
          </w:r>
          <w:r>
            <w:fldChar w:fldCharType="separate"/>
          </w:r>
          <w:r>
            <w:t>19</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"_Toc202350691" </w:instrText>
          </w:r>
          <w:r>
            <w:fldChar w:fldCharType="separate"/>
          </w:r>
          <w:r>
            <w:rPr>
              <w:rStyle w:val="24"/>
              <w:rFonts w:hint="eastAsia"/>
            </w:rPr>
            <w:t>一、人工造林</w:t>
          </w:r>
          <w:r>
            <w:tab/>
          </w:r>
          <w:r>
            <w:fldChar w:fldCharType="begin"/>
          </w:r>
          <w:r>
            <w:instrText xml:space="preserve"> PAGEREF _Toc202350691 \h </w:instrText>
          </w:r>
          <w:r>
            <w:fldChar w:fldCharType="separate"/>
          </w:r>
          <w:r>
            <w:t>19</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"_Toc202350692" </w:instrText>
          </w:r>
          <w:r>
            <w:fldChar w:fldCharType="separate"/>
          </w:r>
          <w:r>
            <w:rPr>
              <w:rStyle w:val="24"/>
              <w:rFonts w:hint="eastAsia"/>
            </w:rPr>
            <w:t>二、种草</w:t>
          </w:r>
          <w:r>
            <w:tab/>
          </w:r>
          <w:r>
            <w:fldChar w:fldCharType="begin"/>
          </w:r>
          <w:r>
            <w:instrText xml:space="preserve"> PAGEREF _Toc202350692 \h </w:instrText>
          </w:r>
          <w:r>
            <w:fldChar w:fldCharType="separate"/>
          </w:r>
          <w:r>
            <w:t>20</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"_Toc202350693" </w:instrText>
          </w:r>
          <w:r>
            <w:fldChar w:fldCharType="separate"/>
          </w:r>
          <w:r>
            <w:rPr>
              <w:rStyle w:val="24"/>
              <w:rFonts w:hint="eastAsia"/>
            </w:rPr>
            <w:t>三、中幼林抚育</w:t>
          </w:r>
          <w:r>
            <w:tab/>
          </w:r>
          <w:r>
            <w:fldChar w:fldCharType="begin"/>
          </w:r>
          <w:r>
            <w:instrText xml:space="preserve"> PAGEREF _Toc202350693 \h </w:instrText>
          </w:r>
          <w:r>
            <w:fldChar w:fldCharType="separate"/>
          </w:r>
          <w:r>
            <w:t>21</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"_Toc202350694" </w:instrText>
          </w:r>
          <w:r>
            <w:fldChar w:fldCharType="separate"/>
          </w:r>
          <w:r>
            <w:rPr>
              <w:rStyle w:val="24"/>
              <w:rFonts w:hint="eastAsia"/>
            </w:rPr>
            <w:t>四、退化林修复</w:t>
          </w:r>
          <w:r>
            <w:tab/>
          </w:r>
          <w:r>
            <w:fldChar w:fldCharType="begin"/>
          </w:r>
          <w:r>
            <w:instrText xml:space="preserve"> PAGEREF _Toc202350694 \h </w:instrText>
          </w:r>
          <w:r>
            <w:fldChar w:fldCharType="separate"/>
          </w:r>
          <w:r>
            <w:t>21</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"_Toc202350695" </w:instrText>
          </w:r>
          <w:r>
            <w:fldChar w:fldCharType="separate"/>
          </w:r>
          <w:r>
            <w:rPr>
              <w:rStyle w:val="24"/>
              <w:rFonts w:hint="eastAsia"/>
            </w:rPr>
            <w:t>五、封山育林</w:t>
          </w:r>
          <w:r>
            <w:tab/>
          </w:r>
          <w:r>
            <w:fldChar w:fldCharType="begin"/>
          </w:r>
          <w:r>
            <w:instrText xml:space="preserve"> PAGEREF _Toc202350695 \h </w:instrText>
          </w:r>
          <w:r>
            <w:fldChar w:fldCharType="separate"/>
          </w:r>
          <w:r>
            <w:t>22</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"_Toc202350696" </w:instrText>
          </w:r>
          <w:r>
            <w:fldChar w:fldCharType="separate"/>
          </w:r>
          <w:r>
            <w:rPr>
              <w:rStyle w:val="24"/>
              <w:rFonts w:hint="eastAsia"/>
            </w:rPr>
            <w:t>六、重点工程</w:t>
          </w:r>
          <w:r>
            <w:tab/>
          </w:r>
          <w:r>
            <w:fldChar w:fldCharType="begin"/>
          </w:r>
          <w:r>
            <w:instrText xml:space="preserve"> PAGEREF _Toc202350696 \h </w:instrText>
          </w:r>
          <w:r>
            <w:fldChar w:fldCharType="separate"/>
          </w:r>
          <w:r>
            <w:t>23</w:t>
          </w:r>
          <w:r>
            <w:fldChar w:fldCharType="end"/>
          </w:r>
          <w:r>
            <w:fldChar w:fldCharType="end"/>
          </w:r>
        </w:p>
        <w:p>
          <w:pPr>
            <w:pStyle w:val="14"/>
            <w:rPr>
              <w:rFonts w:asciiTheme="minorHAnsi" w:hAnsiTheme="minorHAnsi" w:eastAsiaTheme="minorEastAsia" w:cstheme="minorBidi"/>
              <w:b w:val="0"/>
              <w:bCs w:val="0"/>
              <w:sz w:val="21"/>
              <w:szCs w:val="22"/>
            </w:rPr>
          </w:pPr>
          <w:r>
            <w:fldChar w:fldCharType="begin"/>
          </w:r>
          <w:r>
            <w:instrText xml:space="preserve"> HYPERLINK \l "_Toc202350697" </w:instrText>
          </w:r>
          <w:r>
            <w:fldChar w:fldCharType="separate"/>
          </w:r>
          <w:r>
            <w:rPr>
              <w:rStyle w:val="24"/>
              <w:rFonts w:hint="eastAsia"/>
            </w:rPr>
            <w:t>第七章</w:t>
          </w:r>
          <w:r>
            <w:rPr>
              <w:rStyle w:val="24"/>
            </w:rPr>
            <w:t xml:space="preserve"> </w:t>
          </w:r>
          <w:r>
            <w:rPr>
              <w:rStyle w:val="24"/>
              <w:rFonts w:hint="eastAsia"/>
            </w:rPr>
            <w:t>环境影响评价与水资源论证</w:t>
          </w:r>
          <w:r>
            <w:tab/>
          </w:r>
          <w:r>
            <w:fldChar w:fldCharType="begin"/>
          </w:r>
          <w:r>
            <w:instrText xml:space="preserve"> PAGEREF _Toc202350697 \h </w:instrText>
          </w:r>
          <w:r>
            <w:fldChar w:fldCharType="separate"/>
          </w:r>
          <w:r>
            <w:t>24</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"_Toc202350698" </w:instrText>
          </w:r>
          <w:r>
            <w:fldChar w:fldCharType="separate"/>
          </w:r>
          <w:r>
            <w:rPr>
              <w:rStyle w:val="24"/>
              <w:rFonts w:hint="eastAsia"/>
            </w:rPr>
            <w:t>一、环境影响评价</w:t>
          </w:r>
          <w:r>
            <w:tab/>
          </w:r>
          <w:r>
            <w:fldChar w:fldCharType="begin"/>
          </w:r>
          <w:r>
            <w:instrText xml:space="preserve"> PAGEREF _Toc202350698 \h </w:instrText>
          </w:r>
          <w:r>
            <w:fldChar w:fldCharType="separate"/>
          </w:r>
          <w:r>
            <w:t>24</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"_Toc202350699" </w:instrText>
          </w:r>
          <w:r>
            <w:fldChar w:fldCharType="separate"/>
          </w:r>
          <w:r>
            <w:rPr>
              <w:rStyle w:val="24"/>
              <w:rFonts w:hint="eastAsia"/>
            </w:rPr>
            <w:t>二、水资源论证</w:t>
          </w:r>
          <w:r>
            <w:tab/>
          </w:r>
          <w:r>
            <w:fldChar w:fldCharType="begin"/>
          </w:r>
          <w:r>
            <w:instrText xml:space="preserve"> PAGEREF _Toc202350699 \h </w:instrText>
          </w:r>
          <w:r>
            <w:fldChar w:fldCharType="separate"/>
          </w:r>
          <w:r>
            <w:t>25</w:t>
          </w:r>
          <w:r>
            <w:fldChar w:fldCharType="end"/>
          </w:r>
          <w:r>
            <w:fldChar w:fldCharType="end"/>
          </w:r>
        </w:p>
        <w:p>
          <w:pPr>
            <w:pStyle w:val="14"/>
            <w:rPr>
              <w:rFonts w:asciiTheme="minorHAnsi" w:hAnsiTheme="minorHAnsi" w:eastAsiaTheme="minorEastAsia" w:cstheme="minorBidi"/>
              <w:b w:val="0"/>
              <w:bCs w:val="0"/>
              <w:sz w:val="21"/>
              <w:szCs w:val="22"/>
            </w:rPr>
          </w:pPr>
          <w:r>
            <w:fldChar w:fldCharType="begin"/>
          </w:r>
          <w:r>
            <w:instrText xml:space="preserve"> HYPERLINK \l "_Toc202350700" </w:instrText>
          </w:r>
          <w:r>
            <w:fldChar w:fldCharType="separate"/>
          </w:r>
          <w:r>
            <w:rPr>
              <w:rStyle w:val="24"/>
              <w:rFonts w:hint="eastAsia"/>
            </w:rPr>
            <w:t>第八章</w:t>
          </w:r>
          <w:r>
            <w:rPr>
              <w:rStyle w:val="24"/>
            </w:rPr>
            <w:t xml:space="preserve"> </w:t>
          </w:r>
          <w:r>
            <w:rPr>
              <w:rStyle w:val="24"/>
              <w:rFonts w:hint="eastAsia"/>
            </w:rPr>
            <w:t>项目管理及保障措施</w:t>
          </w:r>
          <w:r>
            <w:tab/>
          </w:r>
          <w:r>
            <w:fldChar w:fldCharType="begin"/>
          </w:r>
          <w:r>
            <w:instrText xml:space="preserve"> PAGEREF _Toc202350700 \h </w:instrText>
          </w:r>
          <w:r>
            <w:fldChar w:fldCharType="separate"/>
          </w:r>
          <w:r>
            <w:t>26</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"_Toc202350701" </w:instrText>
          </w:r>
          <w:r>
            <w:fldChar w:fldCharType="separate"/>
          </w:r>
          <w:r>
            <w:rPr>
              <w:rStyle w:val="24"/>
              <w:rFonts w:hint="eastAsia"/>
            </w:rPr>
            <w:t>一、建设管理</w:t>
          </w:r>
          <w:r>
            <w:tab/>
          </w:r>
          <w:r>
            <w:fldChar w:fldCharType="begin"/>
          </w:r>
          <w:r>
            <w:instrText xml:space="preserve"> PAGEREF _Toc202350701 \h </w:instrText>
          </w:r>
          <w:r>
            <w:fldChar w:fldCharType="separate"/>
          </w:r>
          <w:r>
            <w:t>26</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"_Toc202350702" </w:instrText>
          </w:r>
          <w:r>
            <w:fldChar w:fldCharType="separate"/>
          </w:r>
          <w:r>
            <w:rPr>
              <w:rStyle w:val="24"/>
              <w:rFonts w:hint="eastAsia"/>
            </w:rPr>
            <w:t>二、运行管理</w:t>
          </w:r>
          <w:r>
            <w:tab/>
          </w:r>
          <w:r>
            <w:fldChar w:fldCharType="begin"/>
          </w:r>
          <w:r>
            <w:instrText xml:space="preserve"> PAGEREF _Toc202350702 \h </w:instrText>
          </w:r>
          <w:r>
            <w:fldChar w:fldCharType="separate"/>
          </w:r>
          <w:r>
            <w:t>26</w:t>
          </w:r>
          <w:r>
            <w:fldChar w:fldCharType="end"/>
          </w:r>
          <w:r>
            <w:fldChar w:fldCharType="end"/>
          </w:r>
        </w:p>
        <w:p>
          <w:pPr>
            <w:pStyle w:val="15"/>
            <w:rPr>
              <w:rFonts w:asciiTheme="minorHAnsi" w:hAnsiTheme="minorHAnsi" w:eastAsiaTheme="minorEastAsia" w:cstheme="minorBidi"/>
              <w:sz w:val="21"/>
              <w:szCs w:val="22"/>
            </w:rPr>
          </w:pPr>
          <w:r>
            <w:fldChar w:fldCharType="begin"/>
          </w:r>
          <w:r>
            <w:instrText xml:space="preserve"> HYPERLINK \l "_Toc202350703" </w:instrText>
          </w:r>
          <w:r>
            <w:fldChar w:fldCharType="separate"/>
          </w:r>
          <w:r>
            <w:rPr>
              <w:rStyle w:val="24"/>
              <w:rFonts w:hint="eastAsia"/>
            </w:rPr>
            <w:t>三、保障措施</w:t>
          </w:r>
          <w:r>
            <w:tab/>
          </w:r>
          <w:r>
            <w:fldChar w:fldCharType="begin"/>
          </w:r>
          <w:r>
            <w:instrText xml:space="preserve"> PAGEREF _Toc202350703 \h </w:instrText>
          </w:r>
          <w:r>
            <w:fldChar w:fldCharType="separate"/>
          </w:r>
          <w:r>
            <w:t>27</w:t>
          </w:r>
          <w:r>
            <w:fldChar w:fldCharType="end"/>
          </w:r>
          <w:r>
            <w:fldChar w:fldCharType="end"/>
          </w:r>
        </w:p>
        <w:p>
          <w:pPr>
            <w:spacing w:line="336" w:lineRule="auto"/>
            <w:rPr>
              <w:sz w:val="24"/>
              <w:szCs w:val="24"/>
            </w:rPr>
          </w:pPr>
          <w:r>
            <w:rPr>
              <w:szCs w:val="24"/>
            </w:rPr>
            <w:fldChar w:fldCharType="end"/>
          </w:r>
        </w:p>
      </w:sdtContent>
    </w:sdt>
    <w:p>
      <w:pPr>
        <w:rPr>
          <w:b/>
          <w:bCs/>
          <w:spacing w:val="-5"/>
          <w:sz w:val="24"/>
          <w:szCs w:val="24"/>
        </w:rPr>
      </w:pPr>
    </w:p>
    <w:p>
      <w:pPr>
        <w:rPr>
          <w:b/>
          <w:bCs/>
          <w:spacing w:val="-5"/>
          <w:sz w:val="24"/>
          <w:szCs w:val="24"/>
        </w:rPr>
      </w:pPr>
      <w:r>
        <w:rPr>
          <w:b/>
          <w:bCs/>
          <w:spacing w:val="-5"/>
          <w:sz w:val="24"/>
          <w:szCs w:val="24"/>
        </w:rPr>
        <w:t>附表</w:t>
      </w:r>
    </w:p>
    <w:p>
      <w:pPr>
        <w:spacing w:before="272" w:line="225" w:lineRule="auto"/>
        <w:ind w:left="570"/>
        <w:rPr>
          <w:spacing w:val="-4"/>
          <w:sz w:val="24"/>
          <w:szCs w:val="24"/>
        </w:rPr>
      </w:pPr>
      <w:bookmarkStart w:id="10" w:name="_Toc187397251"/>
      <w:bookmarkStart w:id="11" w:name="_Toc187331263"/>
      <w:bookmarkStart w:id="12" w:name="_Toc167285519"/>
      <w:bookmarkStart w:id="13" w:name="_Toc198726192"/>
      <w:bookmarkStart w:id="14" w:name="_Toc4341"/>
      <w:bookmarkStart w:id="15" w:name="_Toc185513657"/>
      <w:bookmarkStart w:id="16" w:name="_Toc1218967216"/>
      <w:bookmarkStart w:id="17" w:name="_Toc185513604"/>
      <w:bookmarkStart w:id="18" w:name="_Toc167285426"/>
      <w:bookmarkStart w:id="19" w:name="_Toc198709036"/>
      <w:r>
        <w:rPr>
          <w:spacing w:val="-4"/>
          <w:sz w:val="24"/>
          <w:szCs w:val="24"/>
        </w:rPr>
        <w:t>1 北京市三北工程六期项目范围表</w:t>
      </w:r>
      <w:bookmarkEnd w:id="10"/>
      <w:bookmarkEnd w:id="11"/>
      <w:bookmarkEnd w:id="12"/>
      <w:bookmarkEnd w:id="13"/>
      <w:bookmarkEnd w:id="14"/>
      <w:bookmarkEnd w:id="15"/>
      <w:bookmarkEnd w:id="16"/>
      <w:bookmarkEnd w:id="17"/>
      <w:bookmarkEnd w:id="18"/>
      <w:bookmarkEnd w:id="19"/>
    </w:p>
    <w:p>
      <w:pPr>
        <w:spacing w:before="272" w:line="225" w:lineRule="auto"/>
        <w:ind w:left="570"/>
        <w:rPr>
          <w:spacing w:val="-5"/>
          <w:sz w:val="24"/>
          <w:szCs w:val="24"/>
        </w:rPr>
      </w:pPr>
      <w:r>
        <w:rPr>
          <w:spacing w:val="-5"/>
          <w:sz w:val="24"/>
          <w:szCs w:val="24"/>
        </w:rPr>
        <w:t>2 北京市沙化土地治理情况分区统计表</w:t>
      </w:r>
    </w:p>
    <w:p>
      <w:pPr>
        <w:spacing w:before="272" w:line="225" w:lineRule="auto"/>
        <w:ind w:left="570"/>
        <w:rPr>
          <w:spacing w:val="-5"/>
          <w:sz w:val="24"/>
          <w:szCs w:val="24"/>
        </w:rPr>
      </w:pPr>
      <w:r>
        <w:rPr>
          <w:spacing w:val="-5"/>
          <w:sz w:val="24"/>
          <w:szCs w:val="24"/>
        </w:rPr>
        <w:t>3-1北京市三北工程六期沙化土地综合治理建设任务表</w:t>
      </w:r>
    </w:p>
    <w:p>
      <w:pPr>
        <w:spacing w:before="272" w:line="225" w:lineRule="auto"/>
        <w:ind w:left="570"/>
        <w:rPr>
          <w:spacing w:val="-5"/>
          <w:sz w:val="24"/>
          <w:szCs w:val="24"/>
        </w:rPr>
      </w:pPr>
      <w:r>
        <w:rPr>
          <w:spacing w:val="-5"/>
          <w:sz w:val="24"/>
          <w:szCs w:val="24"/>
        </w:rPr>
        <w:t>3-2北京市三北工程六期非沙化土地林草修复建设任务表</w:t>
      </w:r>
    </w:p>
    <w:p>
      <w:pPr>
        <w:spacing w:before="272" w:line="225" w:lineRule="auto"/>
        <w:ind w:left="570"/>
        <w:rPr>
          <w:spacing w:val="-5"/>
          <w:sz w:val="24"/>
          <w:szCs w:val="24"/>
        </w:rPr>
      </w:pPr>
      <w:r>
        <w:rPr>
          <w:spacing w:val="-5"/>
          <w:sz w:val="24"/>
          <w:szCs w:val="24"/>
        </w:rPr>
        <w:t>3-3北京市三北工程六期封山育林建设任务表</w:t>
      </w:r>
    </w:p>
    <w:p>
      <w:pPr>
        <w:spacing w:before="272" w:line="225" w:lineRule="auto"/>
        <w:ind w:left="570"/>
        <w:rPr>
          <w:spacing w:val="-5"/>
          <w:sz w:val="24"/>
          <w:szCs w:val="24"/>
        </w:rPr>
      </w:pPr>
      <w:r>
        <w:rPr>
          <w:spacing w:val="-5"/>
          <w:sz w:val="24"/>
          <w:szCs w:val="24"/>
        </w:rPr>
        <w:t>3-4北京市三北工程六期林草质量巩固提升建设任务表</w:t>
      </w:r>
    </w:p>
    <w:p>
      <w:pPr>
        <w:rPr>
          <w:b/>
          <w:bCs/>
          <w:spacing w:val="-5"/>
          <w:sz w:val="24"/>
          <w:szCs w:val="24"/>
        </w:rPr>
      </w:pPr>
      <w:bookmarkStart w:id="20" w:name="_Toc167285427"/>
      <w:bookmarkStart w:id="21" w:name="_Toc167285520"/>
      <w:bookmarkStart w:id="22" w:name="_Toc1211329054"/>
      <w:bookmarkStart w:id="23" w:name="_Toc198726193"/>
      <w:bookmarkStart w:id="24" w:name="_Toc187397252"/>
      <w:bookmarkStart w:id="25" w:name="_Toc185513605"/>
      <w:bookmarkStart w:id="26" w:name="_Toc187331264"/>
      <w:bookmarkStart w:id="27" w:name="_Toc198709037"/>
      <w:bookmarkStart w:id="28" w:name="_Toc185513658"/>
      <w:bookmarkStart w:id="29" w:name="OLE_LINK65"/>
      <w:bookmarkStart w:id="30" w:name="OLE_LINK64"/>
      <w:r>
        <w:rPr>
          <w:b/>
          <w:bCs/>
          <w:spacing w:val="-5"/>
          <w:sz w:val="24"/>
          <w:szCs w:val="24"/>
        </w:rPr>
        <w:t>附图</w:t>
      </w:r>
      <w:bookmarkEnd w:id="20"/>
      <w:bookmarkEnd w:id="21"/>
      <w:bookmarkEnd w:id="22"/>
      <w:bookmarkEnd w:id="23"/>
      <w:bookmarkEnd w:id="24"/>
      <w:bookmarkEnd w:id="25"/>
      <w:bookmarkEnd w:id="26"/>
      <w:bookmarkEnd w:id="27"/>
      <w:bookmarkEnd w:id="28"/>
    </w:p>
    <w:bookmarkEnd w:id="29"/>
    <w:bookmarkEnd w:id="30"/>
    <w:p>
      <w:pPr>
        <w:spacing w:before="277" w:line="226" w:lineRule="auto"/>
        <w:ind w:left="601"/>
        <w:rPr>
          <w:spacing w:val="-8"/>
          <w:sz w:val="24"/>
          <w:szCs w:val="24"/>
        </w:rPr>
      </w:pPr>
      <w:r>
        <w:rPr>
          <w:spacing w:val="-8"/>
          <w:sz w:val="24"/>
          <w:szCs w:val="24"/>
        </w:rPr>
        <w:t xml:space="preserve">1 </w:t>
      </w:r>
      <w:r>
        <w:rPr>
          <w:spacing w:val="-5"/>
          <w:sz w:val="24"/>
          <w:szCs w:val="24"/>
        </w:rPr>
        <w:t>北京市</w:t>
      </w:r>
      <w:r>
        <w:rPr>
          <w:spacing w:val="-8"/>
          <w:sz w:val="24"/>
          <w:szCs w:val="24"/>
        </w:rPr>
        <w:t>行政区划图</w:t>
      </w:r>
    </w:p>
    <w:p>
      <w:pPr>
        <w:spacing w:before="282" w:line="225" w:lineRule="auto"/>
        <w:ind w:left="601"/>
        <w:rPr>
          <w:sz w:val="24"/>
          <w:szCs w:val="24"/>
        </w:rPr>
      </w:pPr>
      <w:r>
        <w:rPr>
          <w:spacing w:val="-4"/>
          <w:sz w:val="24"/>
          <w:szCs w:val="24"/>
        </w:rPr>
        <w:t xml:space="preserve">2 </w:t>
      </w:r>
      <w:r>
        <w:rPr>
          <w:spacing w:val="-5"/>
          <w:sz w:val="24"/>
          <w:szCs w:val="24"/>
        </w:rPr>
        <w:t>北京市</w:t>
      </w:r>
      <w:r>
        <w:rPr>
          <w:spacing w:val="-4"/>
          <w:sz w:val="24"/>
          <w:szCs w:val="24"/>
        </w:rPr>
        <w:t>沙化土地治理情况现状图</w:t>
      </w:r>
    </w:p>
    <w:p>
      <w:pPr>
        <w:spacing w:before="282" w:line="225" w:lineRule="auto"/>
        <w:ind w:left="601"/>
        <w:rPr>
          <w:sz w:val="24"/>
          <w:szCs w:val="24"/>
        </w:rPr>
      </w:pPr>
      <w:r>
        <w:rPr>
          <w:spacing w:val="-4"/>
          <w:sz w:val="24"/>
          <w:szCs w:val="24"/>
        </w:rPr>
        <w:t xml:space="preserve">3 </w:t>
      </w:r>
      <w:r>
        <w:rPr>
          <w:spacing w:val="-5"/>
          <w:sz w:val="24"/>
          <w:szCs w:val="24"/>
        </w:rPr>
        <w:t>北京市</w:t>
      </w:r>
      <w:r>
        <w:rPr>
          <w:spacing w:val="-4"/>
          <w:sz w:val="24"/>
          <w:szCs w:val="24"/>
        </w:rPr>
        <w:t>三北工程六期规划分区布局图</w:t>
      </w:r>
    </w:p>
    <w:p>
      <w:pPr>
        <w:spacing w:before="283" w:line="225" w:lineRule="auto"/>
        <w:ind w:left="601"/>
        <w:rPr>
          <w:sz w:val="24"/>
          <w:szCs w:val="24"/>
        </w:rPr>
      </w:pPr>
      <w:r>
        <w:rPr>
          <w:spacing w:val="-3"/>
          <w:sz w:val="24"/>
          <w:szCs w:val="24"/>
        </w:rPr>
        <w:t xml:space="preserve">4 </w:t>
      </w:r>
      <w:r>
        <w:rPr>
          <w:spacing w:val="-5"/>
          <w:sz w:val="24"/>
          <w:szCs w:val="24"/>
        </w:rPr>
        <w:t>北京市</w:t>
      </w:r>
      <w:r>
        <w:rPr>
          <w:spacing w:val="-3"/>
          <w:sz w:val="24"/>
          <w:szCs w:val="24"/>
        </w:rPr>
        <w:t>三北工程六期规划重</w:t>
      </w:r>
      <w:r>
        <w:rPr>
          <w:spacing w:val="-4"/>
          <w:sz w:val="24"/>
          <w:szCs w:val="24"/>
        </w:rPr>
        <w:t>点项目布局图</w:t>
      </w:r>
    </w:p>
    <w:p>
      <w:pPr>
        <w:spacing w:line="225" w:lineRule="auto"/>
        <w:rPr>
          <w:rFonts w:eastAsia="楷体"/>
          <w:sz w:val="28"/>
          <w:szCs w:val="28"/>
        </w:rPr>
      </w:pPr>
    </w:p>
    <w:p>
      <w:pPr>
        <w:pStyle w:val="3"/>
        <w:rPr>
          <w:rFonts w:ascii="Times New Roman" w:hAnsi="Times New Roman" w:cs="Times New Roman"/>
        </w:rPr>
        <w:sectPr>
          <w:footerReference r:id="rId3" w:type="default"/>
          <w:pgSz w:w="11906" w:h="16839"/>
          <w:pgMar w:top="1431" w:right="1785" w:bottom="1120" w:left="1785" w:header="0" w:footer="848" w:gutter="0"/>
          <w:cols w:space="720" w:num="1"/>
        </w:sectPr>
      </w:pPr>
    </w:p>
    <w:p>
      <w:pPr>
        <w:pStyle w:val="3"/>
        <w:rPr>
          <w:rFonts w:ascii="Times New Roman" w:hAnsi="Times New Roman" w:cs="Times New Roman"/>
        </w:rPr>
      </w:pPr>
      <w:bookmarkStart w:id="31" w:name="_Toc23294"/>
      <w:bookmarkStart w:id="32" w:name="_Toc166412178"/>
      <w:bookmarkStart w:id="33" w:name="_Toc202350675"/>
      <w:bookmarkStart w:id="34" w:name="OLE_LINK4"/>
      <w:r>
        <w:rPr>
          <w:rFonts w:ascii="Times New Roman" w:hAnsi="Times New Roman" w:cs="Times New Roman"/>
        </w:rPr>
        <w:t xml:space="preserve">第一章 </w:t>
      </w:r>
      <w:bookmarkEnd w:id="31"/>
      <w:bookmarkEnd w:id="32"/>
      <w:r>
        <w:rPr>
          <w:rFonts w:ascii="Times New Roman" w:hAnsi="Times New Roman" w:cs="Times New Roman"/>
        </w:rPr>
        <w:t>规划背景</w:t>
      </w:r>
      <w:bookmarkEnd w:id="33"/>
    </w:p>
    <w:bookmarkEnd w:id="34"/>
    <w:p>
      <w:pPr>
        <w:autoSpaceDE w:val="0"/>
        <w:autoSpaceDN w:val="0"/>
        <w:adjustRightInd w:val="0"/>
        <w:snapToGrid w:val="0"/>
        <w:spacing w:line="588"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三北工程作为我国生态建设的重大战略举措，自启动以来，在防风固沙、保持水土、改善生态环境等方面发挥了不可替代的关键作用，成为守护我国北方生态安全的坚实屏障。而北京作为三北工程的重要节点城市，不仅承载着国家首都的特殊功能，更在生态保护与建设领域肩负着示范引领的重大使命。</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bookmarkStart w:id="35" w:name="OLE_LINK49"/>
      <w:bookmarkStart w:id="36" w:name="OLE_LINK50"/>
      <w:r>
        <w:rPr>
          <w:rFonts w:hint="eastAsia" w:ascii="仿宋_GB2312" w:hAnsi="仿宋_GB2312" w:eastAsia="仿宋_GB2312" w:cs="仿宋_GB2312"/>
          <w:color w:val="000000"/>
          <w:sz w:val="30"/>
          <w:szCs w:val="30"/>
        </w:rPr>
        <w:t>北京三北工程经过近40年的建设和发展，到2020年，全市森林覆盖率由16.63%提升到了44.4%，提高了27.77%，平均每年提高0.7个百分点；林地面积增加了544.8万亩，平均每年增加13.95万亩；活立木总蓄积平均每年增加47.57万立方米。</w:t>
      </w:r>
      <w:bookmarkEnd w:id="35"/>
      <w:bookmarkEnd w:id="36"/>
      <w:r>
        <w:rPr>
          <w:rFonts w:hint="eastAsia" w:ascii="仿宋_GB2312" w:hAnsi="仿宋_GB2312" w:eastAsia="仿宋_GB2312" w:cs="仿宋_GB2312"/>
          <w:color w:val="000000"/>
          <w:sz w:val="30"/>
          <w:szCs w:val="30"/>
        </w:rPr>
        <w:t>呈现出了山区绿屏、平原绿海、城市绿景的园林绿化生态格局，为北京城市建设和京津冀协同发展、建设国际一流的和谐宜居之都奠定坚实的生态基础。</w:t>
      </w:r>
    </w:p>
    <w:p>
      <w:pPr>
        <w:spacing w:line="560" w:lineRule="exact"/>
        <w:ind w:firstLine="600" w:firstLineChars="200"/>
        <w:rPr>
          <w:rFonts w:eastAsia="黑体"/>
          <w:spacing w:val="7"/>
          <w:sz w:val="30"/>
          <w:szCs w:val="30"/>
        </w:rPr>
      </w:pPr>
      <w:bookmarkStart w:id="37" w:name="OLE_LINK12"/>
      <w:bookmarkStart w:id="38" w:name="OLE_LINK11"/>
      <w:r>
        <w:rPr>
          <w:rFonts w:hint="eastAsia" w:ascii="仿宋_GB2312" w:hAnsi="仿宋_GB2312" w:eastAsia="仿宋_GB2312" w:cs="仿宋_GB2312"/>
          <w:color w:val="000000"/>
          <w:sz w:val="30"/>
          <w:szCs w:val="30"/>
        </w:rPr>
        <w:t>2023年6月6日，习近平总书记在加强荒漠化综合防治和推进“三北”等重点生态工程建设座谈会上</w:t>
      </w:r>
      <w:bookmarkEnd w:id="37"/>
      <w:bookmarkEnd w:id="38"/>
      <w:r>
        <w:rPr>
          <w:rFonts w:hint="eastAsia" w:ascii="仿宋_GB2312" w:hAnsi="仿宋_GB2312" w:eastAsia="仿宋_GB2312" w:cs="仿宋_GB2312"/>
          <w:color w:val="000000"/>
          <w:sz w:val="30"/>
          <w:szCs w:val="30"/>
        </w:rPr>
        <w:t>强调，实施三北工程是国家重大战略，2021-2030年是巩固拓展防沙治沙成果的关键期，是推动三北工程高质量发展的攻坚期。为深入贯彻落实习</w:t>
      </w:r>
      <w:bookmarkStart w:id="39" w:name="OLE_LINK17"/>
      <w:bookmarkStart w:id="40" w:name="OLE_LINK24"/>
      <w:r>
        <w:rPr>
          <w:rFonts w:hint="eastAsia" w:ascii="仿宋_GB2312" w:hAnsi="仿宋_GB2312" w:eastAsia="仿宋_GB2312" w:cs="仿宋_GB2312"/>
          <w:color w:val="000000"/>
          <w:sz w:val="30"/>
          <w:szCs w:val="30"/>
        </w:rPr>
        <w:t>近平总书记重要讲话精神，完整、准确、全面贯彻新发展理念，牢固树立绿</w:t>
      </w:r>
      <w:bookmarkEnd w:id="39"/>
      <w:bookmarkEnd w:id="40"/>
      <w:r>
        <w:rPr>
          <w:rFonts w:hint="eastAsia" w:ascii="仿宋_GB2312" w:hAnsi="仿宋_GB2312" w:eastAsia="仿宋_GB2312" w:cs="仿宋_GB2312"/>
          <w:color w:val="000000"/>
          <w:sz w:val="30"/>
          <w:szCs w:val="30"/>
        </w:rPr>
        <w:t>水青山就是金山银山理念，传承弘扬“三北精神”，国家三北</w:t>
      </w:r>
      <w:r>
        <w:rPr>
          <w:rFonts w:hint="eastAsia" w:ascii="仿宋_GB2312" w:hAnsi="仿宋_GB2312" w:eastAsia="仿宋_GB2312" w:cs="仿宋_GB2312"/>
          <w:color w:val="000000"/>
          <w:sz w:val="30"/>
          <w:szCs w:val="30"/>
          <w:lang w:eastAsia="zh-CN"/>
        </w:rPr>
        <w:t>工程</w:t>
      </w:r>
      <w:r>
        <w:rPr>
          <w:rFonts w:hint="eastAsia" w:ascii="仿宋_GB2312" w:hAnsi="仿宋_GB2312" w:eastAsia="仿宋_GB2312" w:cs="仿宋_GB2312"/>
          <w:color w:val="000000"/>
          <w:sz w:val="30"/>
          <w:szCs w:val="30"/>
        </w:rPr>
        <w:t>六期规划以筑牢北方生态安全屏障为根本目标，通过沙化土地综合治理、封山（沙）育林、中幼林抚育等措施，规划</w:t>
      </w:r>
      <w:r>
        <w:rPr>
          <w:rFonts w:hint="eastAsia" w:ascii="仿宋_GB2312" w:hAnsi="仿宋_GB2312" w:eastAsia="仿宋_GB2312" w:cs="仿宋_GB2312"/>
          <w:color w:val="000000"/>
          <w:sz w:val="30"/>
          <w:szCs w:val="30"/>
          <w:lang w:eastAsia="zh-CN"/>
        </w:rPr>
        <w:t>实施</w:t>
      </w:r>
      <w:r>
        <w:rPr>
          <w:rFonts w:hint="eastAsia" w:ascii="仿宋_GB2312" w:hAnsi="仿宋_GB2312" w:eastAsia="仿宋_GB2312" w:cs="仿宋_GB2312"/>
          <w:color w:val="000000"/>
          <w:sz w:val="30"/>
          <w:szCs w:val="30"/>
        </w:rPr>
        <w:t>总面积为448.6万平方公里的</w:t>
      </w:r>
      <w:r>
        <w:rPr>
          <w:rFonts w:hint="eastAsia" w:ascii="仿宋_GB2312" w:hAnsi="仿宋_GB2312" w:eastAsia="仿宋_GB2312" w:cs="仿宋_GB2312"/>
          <w:color w:val="000000"/>
          <w:sz w:val="30"/>
          <w:szCs w:val="30"/>
          <w:lang w:eastAsia="zh-CN"/>
        </w:rPr>
        <w:t>建设</w:t>
      </w:r>
      <w:r>
        <w:rPr>
          <w:rFonts w:hint="eastAsia" w:ascii="仿宋_GB2312" w:hAnsi="仿宋_GB2312" w:eastAsia="仿宋_GB2312" w:cs="仿宋_GB2312"/>
          <w:color w:val="000000"/>
          <w:sz w:val="30"/>
          <w:szCs w:val="30"/>
        </w:rPr>
        <w:t>任务。依据国家三北</w:t>
      </w:r>
      <w:r>
        <w:rPr>
          <w:rFonts w:hint="eastAsia" w:ascii="仿宋_GB2312" w:hAnsi="仿宋_GB2312" w:eastAsia="仿宋_GB2312" w:cs="仿宋_GB2312"/>
          <w:color w:val="000000"/>
          <w:sz w:val="30"/>
          <w:szCs w:val="30"/>
          <w:lang w:eastAsia="zh-CN"/>
        </w:rPr>
        <w:t>工程</w:t>
      </w:r>
      <w:r>
        <w:rPr>
          <w:rFonts w:hint="eastAsia" w:ascii="仿宋_GB2312" w:hAnsi="仿宋_GB2312" w:eastAsia="仿宋_GB2312" w:cs="仿宋_GB2312"/>
          <w:color w:val="000000"/>
          <w:sz w:val="30"/>
          <w:szCs w:val="30"/>
        </w:rPr>
        <w:t>六期规划任务，北京市园林绿化局结合本市的实际情况，启动了《北京市三北工程六期规划（2021－2030年）》（以下简称《规划》）的编制工作。《规划》的编制与实施，将为筑牢功能完备、牢不可破的北疆绿色长城、生态安全屏障，为建设美</w:t>
      </w:r>
      <w:r>
        <w:rPr>
          <w:rFonts w:hint="eastAsia" w:ascii="仿宋_GB2312" w:hAnsi="仿宋_GB2312" w:eastAsia="仿宋_GB2312" w:cs="仿宋_GB2312"/>
          <w:sz w:val="30"/>
          <w:szCs w:val="30"/>
        </w:rPr>
        <w:t>丽中国、</w:t>
      </w:r>
      <w:r>
        <w:rPr>
          <w:rFonts w:hint="eastAsia" w:ascii="仿宋_GB2312" w:hAnsi="仿宋_GB2312" w:eastAsia="仿宋_GB2312" w:cs="仿宋_GB2312"/>
          <w:color w:val="000000"/>
          <w:sz w:val="30"/>
          <w:szCs w:val="30"/>
        </w:rPr>
        <w:t>实现人与自然和谐共生的现代化作出新的更大贡献。</w:t>
      </w:r>
      <w:bookmarkStart w:id="41" w:name="_Toc166412181"/>
      <w:bookmarkStart w:id="42" w:name="_Toc9743"/>
      <w:r>
        <w:rPr>
          <w:rFonts w:eastAsia="黑体"/>
          <w:spacing w:val="7"/>
          <w:sz w:val="30"/>
          <w:szCs w:val="30"/>
        </w:rPr>
        <w:br w:type="page"/>
      </w:r>
    </w:p>
    <w:p>
      <w:pPr>
        <w:pStyle w:val="3"/>
        <w:keepNext w:val="0"/>
        <w:keepLines w:val="0"/>
        <w:pageBreakBefore w:val="0"/>
        <w:widowControl w:val="0"/>
        <w:kinsoku/>
        <w:wordWrap/>
        <w:topLinePunct w:val="0"/>
        <w:autoSpaceDE/>
        <w:autoSpaceDN/>
        <w:bidi w:val="0"/>
        <w:adjustRightInd w:val="0"/>
        <w:snapToGrid w:val="0"/>
        <w:spacing w:line="560" w:lineRule="exact"/>
        <w:textAlignment w:val="auto"/>
        <w:rPr>
          <w:rFonts w:ascii="Times New Roman" w:hAnsi="Times New Roman" w:cs="Times New Roman"/>
        </w:rPr>
      </w:pPr>
      <w:bookmarkStart w:id="43" w:name="_Toc202350676"/>
      <w:bookmarkStart w:id="44" w:name="OLE_LINK8"/>
      <w:bookmarkStart w:id="45" w:name="OLE_LINK7"/>
      <w:r>
        <w:rPr>
          <w:rFonts w:ascii="Times New Roman" w:hAnsi="Times New Roman" w:cs="Times New Roman"/>
        </w:rPr>
        <w:t>第二章 自然条件及森林资源状况</w:t>
      </w:r>
      <w:bookmarkEnd w:id="43"/>
    </w:p>
    <w:bookmarkEnd w:id="44"/>
    <w:bookmarkEnd w:id="45"/>
    <w:p>
      <w:pPr>
        <w:pStyle w:val="4"/>
        <w:keepNext w:val="0"/>
        <w:keepLines w:val="0"/>
        <w:pageBreakBefore w:val="0"/>
        <w:widowControl w:val="0"/>
        <w:kinsoku/>
        <w:wordWrap/>
        <w:topLinePunct w:val="0"/>
        <w:autoSpaceDE/>
        <w:autoSpaceDN/>
        <w:bidi w:val="0"/>
        <w:adjustRightInd w:val="0"/>
        <w:snapToGrid w:val="0"/>
        <w:spacing w:before="120" w:after="120" w:line="560" w:lineRule="exact"/>
        <w:ind w:firstLine="600"/>
        <w:textAlignment w:val="auto"/>
        <w:rPr>
          <w:rFonts w:ascii="Times New Roman" w:hAnsi="Times New Roman" w:cs="Times New Roman"/>
        </w:rPr>
      </w:pPr>
      <w:bookmarkStart w:id="46" w:name="_Toc202350677"/>
      <w:bookmarkStart w:id="47" w:name="OLE_LINK25"/>
      <w:r>
        <w:rPr>
          <w:rFonts w:ascii="Times New Roman" w:hAnsi="Times New Roman" w:cs="Times New Roman"/>
        </w:rPr>
        <w:t>一、</w:t>
      </w:r>
      <w:r>
        <w:rPr>
          <w:rFonts w:hint="eastAsia" w:ascii="Times New Roman" w:hAnsi="Times New Roman" w:cs="Times New Roman"/>
        </w:rPr>
        <w:t>全市情况</w:t>
      </w:r>
      <w:bookmarkEnd w:id="46"/>
    </w:p>
    <w:p>
      <w:pPr>
        <w:keepNext w:val="0"/>
        <w:keepLines w:val="0"/>
        <w:pageBreakBefore w:val="0"/>
        <w:widowControl w:val="0"/>
        <w:kinsoku/>
        <w:wordWrap/>
        <w:topLinePunct w:val="0"/>
        <w:autoSpaceDE/>
        <w:autoSpaceDN/>
        <w:bidi w:val="0"/>
        <w:adjustRightInd w:val="0"/>
        <w:snapToGrid w:val="0"/>
        <w:spacing w:before="120" w:beforeLines="50" w:after="120" w:afterLines="50" w:line="560" w:lineRule="exact"/>
        <w:ind w:firstLine="641"/>
        <w:textAlignment w:val="auto"/>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1.地理区位</w:t>
      </w:r>
    </w:p>
    <w:p>
      <w:pPr>
        <w:keepNext w:val="0"/>
        <w:keepLines w:val="0"/>
        <w:pageBreakBefore w:val="0"/>
        <w:widowControl w:val="0"/>
        <w:kinsoku/>
        <w:wordWrap/>
        <w:topLinePunct w:val="0"/>
        <w:autoSpaceDE/>
        <w:autoSpaceDN/>
        <w:bidi w:val="0"/>
        <w:adjustRightInd w:val="0"/>
        <w:snapToGrid w:val="0"/>
        <w:spacing w:line="560" w:lineRule="exact"/>
        <w:ind w:firstLine="606" w:firstLineChars="202"/>
        <w:textAlignment w:val="auto"/>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北京市位于华北大平原的北端，北以燕山山地与内蒙古高原接壤，西以太行山与山西高原毗连，东北与松辽平原相通，东南距渤海约150千米，南与黄淮海平原连片。</w:t>
      </w:r>
    </w:p>
    <w:p>
      <w:pPr>
        <w:keepNext w:val="0"/>
        <w:keepLines w:val="0"/>
        <w:pageBreakBefore w:val="0"/>
        <w:widowControl w:val="0"/>
        <w:kinsoku/>
        <w:wordWrap/>
        <w:topLinePunct w:val="0"/>
        <w:autoSpaceDE/>
        <w:autoSpaceDN/>
        <w:bidi w:val="0"/>
        <w:adjustRightInd w:val="0"/>
        <w:snapToGrid w:val="0"/>
        <w:spacing w:line="560" w:lineRule="exact"/>
        <w:ind w:firstLine="606" w:firstLineChars="202"/>
        <w:textAlignment w:val="auto"/>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地理坐标为东经115°25′～117°30′，北纬39°28′～41°05′，东西经度横跨2°05′，约160千米；南北纬度相间1°37′，约176千米。北京市土地总面积16410平方公里，</w:t>
      </w:r>
      <w:bookmarkEnd w:id="47"/>
      <w:r>
        <w:rPr>
          <w:rFonts w:hint="eastAsia" w:ascii="仿宋_GB2312" w:hAnsi="仿宋_GB2312" w:eastAsia="仿宋_GB2312" w:cs="仿宋_GB2312"/>
          <w:color w:val="000000" w:themeColor="text1"/>
          <w:sz w:val="30"/>
          <w:szCs w:val="30"/>
          <w14:textFill>
            <w14:solidFill>
              <w14:schemeClr w14:val="tx1"/>
            </w14:solidFill>
          </w14:textFill>
        </w:rPr>
        <w:t>其中山地面积10072平方公里，占总面积的61.4％；平原面积6338平方公里，占38.6％。</w:t>
      </w:r>
    </w:p>
    <w:p>
      <w:pPr>
        <w:keepNext w:val="0"/>
        <w:keepLines w:val="0"/>
        <w:pageBreakBefore w:val="0"/>
        <w:widowControl w:val="0"/>
        <w:kinsoku/>
        <w:wordWrap/>
        <w:topLinePunct w:val="0"/>
        <w:autoSpaceDE/>
        <w:autoSpaceDN/>
        <w:bidi w:val="0"/>
        <w:adjustRightInd w:val="0"/>
        <w:snapToGrid w:val="0"/>
        <w:spacing w:line="560" w:lineRule="exact"/>
        <w:ind w:firstLine="640"/>
        <w:textAlignment w:val="auto"/>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2.地形地貌</w:t>
      </w:r>
    </w:p>
    <w:p>
      <w:pPr>
        <w:keepNext w:val="0"/>
        <w:keepLines w:val="0"/>
        <w:pageBreakBefore w:val="0"/>
        <w:widowControl w:val="0"/>
        <w:kinsoku/>
        <w:wordWrap/>
        <w:topLinePunct w:val="0"/>
        <w:autoSpaceDE/>
        <w:autoSpaceDN/>
        <w:bidi w:val="0"/>
        <w:adjustRightInd w:val="0"/>
        <w:snapToGrid w:val="0"/>
        <w:spacing w:line="560" w:lineRule="exact"/>
        <w:ind w:firstLine="606" w:firstLineChars="202"/>
        <w:textAlignment w:val="auto"/>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处于内蒙古高原和华北平原的交接地带，地跨山区和平原两大地理区，地势由西北向东南倾斜。西北部山脉绵延，山峰林立，其中东灵山海拔2303米，为全市的最高点，平原海拔一般不超过100米，绝大部分为30-50米。总体上由西部山地、北部山地和东南部平原三大单元构成。西部山地，从南口的关沟到拒马河一带统称为西山，属太行山余脉，由一系列东北—西南走向，大致平行的褶皱山脉组成。北部山地统称为军都山，属燕山山脉，是一个有着若干山间盆地的断块山地，其地势由南而北呈阶梯状逐级上升，而后进入蒙古高原。这两条山脉在南口附近交会，形成一个向东南展开的半圆形大山弯，人们称之为“北京弯”，环抱着北京小平原。</w:t>
      </w:r>
    </w:p>
    <w:p>
      <w:pPr>
        <w:keepNext w:val="0"/>
        <w:keepLines w:val="0"/>
        <w:pageBreakBefore w:val="0"/>
        <w:widowControl w:val="0"/>
        <w:kinsoku/>
        <w:wordWrap/>
        <w:topLinePunct w:val="0"/>
        <w:autoSpaceDE/>
        <w:autoSpaceDN/>
        <w:bidi w:val="0"/>
        <w:adjustRightInd w:val="0"/>
        <w:snapToGrid w:val="0"/>
        <w:spacing w:line="560" w:lineRule="exact"/>
        <w:ind w:firstLine="640"/>
        <w:textAlignment w:val="auto"/>
        <w:rPr>
          <w:rFonts w:hint="eastAsia" w:ascii="仿宋_GB2312" w:hAnsi="仿宋_GB2312" w:eastAsia="仿宋_GB2312" w:cs="仿宋_GB2312"/>
          <w:b/>
          <w:bCs/>
          <w:color w:val="000000" w:themeColor="text1"/>
          <w:sz w:val="30"/>
          <w:szCs w:val="30"/>
          <w14:textFill>
            <w14:solidFill>
              <w14:schemeClr w14:val="tx1"/>
            </w14:solidFill>
          </w14:textFill>
        </w:rPr>
      </w:pPr>
    </w:p>
    <w:p>
      <w:pPr>
        <w:keepNext w:val="0"/>
        <w:keepLines w:val="0"/>
        <w:pageBreakBefore w:val="0"/>
        <w:widowControl w:val="0"/>
        <w:kinsoku/>
        <w:wordWrap/>
        <w:topLinePunct w:val="0"/>
        <w:autoSpaceDE/>
        <w:autoSpaceDN/>
        <w:bidi w:val="0"/>
        <w:adjustRightInd w:val="0"/>
        <w:snapToGrid w:val="0"/>
        <w:spacing w:line="560" w:lineRule="exact"/>
        <w:ind w:firstLine="640"/>
        <w:textAlignment w:val="auto"/>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3.气候条件</w:t>
      </w:r>
    </w:p>
    <w:p>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市的气候具有明显暖温带半湿润大陆性季风型气候特点，四季分明，夏季炎热多雨，冬季寒冷干燥。全市年平均气温在平原地区为11.5℃，在浅山区为10℃，在西北部山区年平均气温8℃左右，7月份平均气温26.27℃，最高气温有时超过40℃，1月份平均气温4.7℃。全年无霜期在平原区为180～200天，在低山区（海拔800米以下）为150～180天，在中山区（海拔800米以上）为90～160天。</w:t>
      </w:r>
      <w:r>
        <w:rPr>
          <w:rFonts w:hint="eastAsia" w:ascii="仿宋_GB2312" w:hAnsi="仿宋_GB2312" w:eastAsia="仿宋_GB2312" w:cs="仿宋_GB2312"/>
          <w:color w:val="000000" w:themeColor="text1"/>
          <w:sz w:val="30"/>
          <w:szCs w:val="30"/>
          <w:lang w:eastAsia="zh-CN"/>
          <w14:textFill>
            <w14:solidFill>
              <w14:schemeClr w14:val="tx1"/>
            </w14:solidFill>
          </w14:textFill>
        </w:rPr>
        <w:t>多</w:t>
      </w:r>
      <w:r>
        <w:rPr>
          <w:rFonts w:hint="eastAsia" w:ascii="仿宋_GB2312" w:hAnsi="仿宋_GB2312" w:eastAsia="仿宋_GB2312" w:cs="仿宋_GB2312"/>
          <w:color w:val="000000" w:themeColor="text1"/>
          <w:sz w:val="30"/>
          <w:szCs w:val="30"/>
          <w14:textFill>
            <w14:solidFill>
              <w14:schemeClr w14:val="tx1"/>
            </w14:solidFill>
          </w14:textFill>
        </w:rPr>
        <w:t>年平均降水量</w:t>
      </w:r>
      <w:r>
        <w:rPr>
          <w:rFonts w:hint="eastAsia" w:ascii="仿宋_GB2312" w:hAnsi="仿宋_GB2312" w:eastAsia="仿宋_GB2312" w:cs="仿宋_GB2312"/>
          <w:color w:val="000000" w:themeColor="text1"/>
          <w:sz w:val="30"/>
          <w:szCs w:val="30"/>
          <w:lang w:eastAsia="zh-CN"/>
          <w14:textFill>
            <w14:solidFill>
              <w14:schemeClr w14:val="tx1"/>
            </w14:solidFill>
          </w14:textFill>
        </w:rPr>
        <w:t>接近</w:t>
      </w:r>
      <w:r>
        <w:rPr>
          <w:rFonts w:hint="eastAsia" w:ascii="仿宋_GB2312" w:hAnsi="仿宋_GB2312" w:eastAsia="仿宋_GB2312" w:cs="仿宋_GB2312"/>
          <w:color w:val="000000" w:themeColor="text1"/>
          <w:sz w:val="30"/>
          <w:szCs w:val="30"/>
          <w14:textFill>
            <w14:solidFill>
              <w14:schemeClr w14:val="tx1"/>
            </w14:solidFill>
          </w14:textFill>
        </w:rPr>
        <w:t>600毫米，降水季节分配很不均匀，夏季降水量约占全年降水量的74%，在七月和八月常有暴雨，而冬季降水量仅约占全年的2%。年平均总辐射量为112～136千卡/平方厘米，年日照时数为2600～2800小时。</w:t>
      </w:r>
    </w:p>
    <w:p>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4.土壤状况</w:t>
      </w:r>
    </w:p>
    <w:p>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从山地到平原，受地带性和垂直带性因素及地貌和水热条件的影响，北京地区的土壤分布具有明显规律性。山区土壤从高到低依次是山地草甸土、山地棕壤和山地褐土。山地草甸土一般分布在海拔1500米以上的山顶、平缓山坡或山顶局部的洼地，土层深厚，有机质分解较慢，有机质含量8%以上，有较好的团粒结构，碳酸钙全部被淋溶，呈酸性反应。山地棕壤（森林棕壤）分布在海拔800米以上，有机质含量较高，一般为5%～8%之间，腐殖质层较厚，孔隙度较大，呈中性到微酸性反应；花岗岩母质在海拔400～500米的阴坡也有分布。山地褐土多分布在海拔60～800米之间的低山丘陵，土层一般较薄，而且多含石砾，干旱瘠薄，有机质含量低于5%，一般呈中性到碱性反应，这种土壤易产生水土流失。由山麓至冲击平原，土壤类型依次是褐土、碳酸盐褐土和潮土类及部分水稻土，局部区域有盐碱土和沼泽类型的土壤分布。</w:t>
      </w:r>
    </w:p>
    <w:p>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5.水文条件</w:t>
      </w:r>
    </w:p>
    <w:p>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市水资源总量由山区、平原河川径流量、平原降雨入渗补给地下水量、山区侧向补给平原地下水量和外省入境水量组成。北京市境内多年平均降水总量约为98.3亿立方米，降水形成地表径流量约17.7亿立方米，地下水资源量约25.6亿立方米。北京地处海河流域，贯穿五大水系，河网发达，分布着大小河流100多条，长达2700千米。大多数河流源于西、北部山区，分属于海河流域的大清河水系、永定河水系、北运河水系、潮白河水系和蓟运河水系五大水系，其中，北运河水系发源于北京市境内，其他四条河流均为过境河流。河流基本走向是西北向东南，最后流入渤海。全市共有大、中、小型水库82座，总库容量为95.05亿立方米。</w:t>
      </w:r>
    </w:p>
    <w:p>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6.植被</w:t>
      </w:r>
    </w:p>
    <w:p>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受暖温带大陆性季风气候的影响，北京的地带性植被类型为暖温带落叶阔叶林，气候顶级群落为松栎混交林，植被种类组成丰富、类型多样，次生植物群落占优势，山地植被具有明显的垂直分布特征。但由于北京的开发历史悠久，生产活动频繁，对植物的结构和分布有着巨大影响，原始植被类型已不多见，现存自然植被多为松栎林、杨桦林或灌丛草本群落。</w:t>
      </w:r>
    </w:p>
    <w:p>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从植被现状看，山地植被垂直分布可分为低山落叶阔叶灌丛和灌草丛带、中山下部松栎林带、中山上部桦树林带和山顶草甸带，天然分布的树种主要包括油松、侧柏、蒙古栎、桦树、山杨、槲树、槲栎、核桃楸等。山间盆地及沟谷地带生长有杨、柳、榆、桑、核桃楸、板栗、柿树等。北京地区人工栽植的树种主要有油松、侧柏、华北落叶松、刺槐、杨、柳、国槐、臭椿、栾树、黄栌、火炬树、元宝枫、银杏、法国梧桐等。在山间河流、库塘等地生长着湿生和水生植物；平原河岸两旁局部洼地生长着以芦苇、香蒲等为主的湿生植被。根据《北京植物志》和《北京植物检索表》统计，北京地区有维管束植物2056种（包括栽培植物），分属于169科869属。其中蕨类植物20科30属75种；裸子植物9科18属37种；被子植物140科821属1944种。</w:t>
      </w:r>
    </w:p>
    <w:p>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7.森林资源现状</w:t>
      </w:r>
    </w:p>
    <w:p>
      <w:pPr>
        <w:keepNext w:val="0"/>
        <w:keepLines w:val="0"/>
        <w:pageBreakBefore w:val="0"/>
        <w:kinsoku/>
        <w:wordWrap/>
        <w:topLinePunct w:val="0"/>
        <w:autoSpaceDE w:val="0"/>
        <w:autoSpaceDN w:val="0"/>
        <w:bidi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bookmarkStart w:id="48" w:name="OLE_LINK48"/>
      <w:bookmarkStart w:id="49" w:name="OLE_LINK47"/>
      <w:r>
        <w:rPr>
          <w:rFonts w:hint="eastAsia" w:ascii="仿宋_GB2312" w:hAnsi="仿宋_GB2312" w:eastAsia="仿宋_GB2312" w:cs="仿宋_GB2312"/>
          <w:color w:val="000000"/>
          <w:sz w:val="30"/>
          <w:szCs w:val="30"/>
        </w:rPr>
        <w:t>北京市森林资源以乔木林为主体。截至2024年底，森林面积1295.4万亩，森林覆盖率44.95%，其中平原地区森林覆盖率达到31.29%。</w:t>
      </w:r>
      <w:bookmarkEnd w:id="48"/>
      <w:bookmarkEnd w:id="49"/>
      <w:r>
        <w:rPr>
          <w:rFonts w:hint="eastAsia" w:ascii="仿宋_GB2312" w:hAnsi="仿宋_GB2312" w:eastAsia="仿宋_GB2312" w:cs="仿宋_GB2312"/>
          <w:color w:val="000000"/>
          <w:sz w:val="30"/>
          <w:szCs w:val="30"/>
        </w:rPr>
        <w:t>全市林木蓄积4330.57万立方米，乔木林蓄积3668.48万立方米。</w:t>
      </w:r>
    </w:p>
    <w:p>
      <w:pPr>
        <w:pStyle w:val="4"/>
        <w:keepNext w:val="0"/>
        <w:keepLines w:val="0"/>
        <w:pageBreakBefore w:val="0"/>
        <w:kinsoku/>
        <w:wordWrap/>
        <w:topLinePunct w:val="0"/>
        <w:bidi w:val="0"/>
        <w:adjustRightInd w:val="0"/>
        <w:snapToGrid w:val="0"/>
        <w:spacing w:before="0" w:beforeLines="0" w:after="0" w:afterLines="0"/>
        <w:ind w:firstLine="600"/>
        <w:rPr>
          <w:rFonts w:ascii="Times New Roman" w:hAnsi="Times New Roman" w:cs="Times New Roman"/>
        </w:rPr>
      </w:pPr>
      <w:bookmarkStart w:id="50" w:name="_Toc202350678"/>
      <w:r>
        <w:rPr>
          <w:rFonts w:hint="eastAsia" w:ascii="Times New Roman" w:hAnsi="Times New Roman" w:cs="Times New Roman"/>
        </w:rPr>
        <w:t>二、生态屏障情况</w:t>
      </w:r>
      <w:bookmarkEnd w:id="50"/>
    </w:p>
    <w:p>
      <w:pPr>
        <w:keepNext w:val="0"/>
        <w:keepLines w:val="0"/>
        <w:pageBreakBefore w:val="0"/>
        <w:kinsoku/>
        <w:wordWrap/>
        <w:topLinePunct w:val="0"/>
        <w:bidi w:val="0"/>
        <w:adjustRightInd w:val="0"/>
        <w:snapToGrid w:val="0"/>
        <w:spacing w:line="560" w:lineRule="exact"/>
        <w:ind w:firstLine="641"/>
        <w:rPr>
          <w:rFonts w:ascii="仿宋_GB2312" w:hAnsi="仿宋_GB2312" w:eastAsia="仿宋_GB2312" w:cs="仿宋_GB2312"/>
          <w:b/>
          <w:bCs/>
          <w:color w:val="000000" w:themeColor="text1"/>
          <w:sz w:val="30"/>
          <w:szCs w:val="30"/>
          <w14:textFill>
            <w14:solidFill>
              <w14:schemeClr w14:val="tx1"/>
            </w14:solidFill>
          </w14:textFill>
        </w:rPr>
      </w:pPr>
      <w:bookmarkStart w:id="51" w:name="OLE_LINK36"/>
      <w:bookmarkStart w:id="52" w:name="OLE_LINK35"/>
      <w:r>
        <w:rPr>
          <w:rFonts w:hint="eastAsia" w:ascii="仿宋_GB2312" w:hAnsi="仿宋_GB2312" w:eastAsia="仿宋_GB2312" w:cs="仿宋_GB2312"/>
          <w:b/>
          <w:bCs/>
          <w:color w:val="000000" w:themeColor="text1"/>
          <w:sz w:val="30"/>
          <w:szCs w:val="30"/>
          <w14:textFill>
            <w14:solidFill>
              <w14:schemeClr w14:val="tx1"/>
            </w14:solidFill>
          </w14:textFill>
        </w:rPr>
        <w:t>1.</w:t>
      </w:r>
      <w:bookmarkStart w:id="53" w:name="OLE_LINK217"/>
      <w:bookmarkStart w:id="54" w:name="OLE_LINK216"/>
      <w:r>
        <w:rPr>
          <w:rFonts w:hint="eastAsia" w:ascii="仿宋_GB2312" w:hAnsi="仿宋_GB2312" w:eastAsia="仿宋_GB2312" w:cs="仿宋_GB2312"/>
          <w:b/>
          <w:bCs/>
          <w:color w:val="000000" w:themeColor="text1"/>
          <w:sz w:val="30"/>
          <w:szCs w:val="30"/>
          <w14:textFill>
            <w14:solidFill>
              <w14:schemeClr w14:val="tx1"/>
            </w14:solidFill>
          </w14:textFill>
        </w:rPr>
        <w:t>太行山山脉</w:t>
      </w:r>
    </w:p>
    <w:bookmarkEnd w:id="51"/>
    <w:bookmarkEnd w:id="52"/>
    <w:bookmarkEnd w:id="53"/>
    <w:bookmarkEnd w:id="54"/>
    <w:p>
      <w:pPr>
        <w:keepNext w:val="0"/>
        <w:keepLines w:val="0"/>
        <w:pageBreakBefore w:val="0"/>
        <w:kinsoku/>
        <w:wordWrap/>
        <w:topLinePunct w:val="0"/>
        <w:bidi w:val="0"/>
        <w:adjustRightInd w:val="0"/>
        <w:snapToGrid w:val="0"/>
        <w:spacing w:line="560" w:lineRule="exact"/>
        <w:ind w:firstLine="450" w:firstLineChars="150"/>
        <w:rPr>
          <w:rFonts w:ascii="仿宋_GB2312" w:hAnsi="仿宋_GB2312" w:eastAsia="仿宋_GB2312" w:cs="仿宋_GB2312"/>
          <w:color w:val="000000" w:themeColor="text1"/>
          <w:sz w:val="30"/>
          <w:szCs w:val="30"/>
          <w14:textFill>
            <w14:solidFill>
              <w14:schemeClr w14:val="tx1"/>
            </w14:solidFill>
          </w14:textFill>
        </w:rPr>
      </w:pPr>
      <w:bookmarkStart w:id="55" w:name="OLE_LINK203"/>
      <w:bookmarkStart w:id="56" w:name="OLE_LINK1"/>
      <w:bookmarkStart w:id="57" w:name="OLE_LINK2"/>
      <w:bookmarkStart w:id="58" w:name="OLE_LINK304"/>
      <w:r>
        <w:rPr>
          <w:rFonts w:hint="eastAsia" w:ascii="仿宋_GB2312" w:hAnsi="仿宋_GB2312" w:eastAsia="仿宋_GB2312" w:cs="仿宋_GB2312"/>
          <w:color w:val="000000" w:themeColor="text1"/>
          <w:sz w:val="30"/>
          <w:szCs w:val="30"/>
          <w14:textFill>
            <w14:solidFill>
              <w14:schemeClr w14:val="tx1"/>
            </w14:solidFill>
          </w14:textFill>
        </w:rPr>
        <w:t>太行山山脉北京段在北京的西部，与市区接近，北以永定河为界与燕山相接，西临山西高原，东接华北平原，呈东北-西南走向</w:t>
      </w:r>
      <w:bookmarkEnd w:id="55"/>
      <w:bookmarkStart w:id="59" w:name="OLE_LINK205"/>
      <w:bookmarkStart w:id="60" w:name="OLE_LINK204"/>
      <w:r>
        <w:rPr>
          <w:rFonts w:hint="eastAsia" w:ascii="仿宋_GB2312" w:hAnsi="仿宋_GB2312" w:eastAsia="仿宋_GB2312" w:cs="仿宋_GB2312"/>
          <w:color w:val="000000" w:themeColor="text1"/>
          <w:sz w:val="30"/>
          <w:szCs w:val="30"/>
          <w:lang w:eastAsia="zh-CN"/>
          <w14:textFill>
            <w14:solidFill>
              <w14:schemeClr w14:val="tx1"/>
            </w14:solidFill>
          </w14:textFill>
        </w:rPr>
        <w:t>，</w:t>
      </w:r>
      <w:r>
        <w:rPr>
          <w:rFonts w:hint="eastAsia" w:ascii="仿宋_GB2312" w:hAnsi="仿宋_GB2312" w:eastAsia="仿宋_GB2312" w:cs="仿宋_GB2312"/>
          <w:color w:val="000000" w:themeColor="text1"/>
          <w:sz w:val="30"/>
          <w:szCs w:val="30"/>
          <w14:textFill>
            <w14:solidFill>
              <w14:schemeClr w14:val="tx1"/>
            </w14:solidFill>
          </w14:textFill>
        </w:rPr>
        <w:t>山峰众多、峡谷幽</w:t>
      </w:r>
      <w:bookmarkStart w:id="61" w:name="OLE_LINK215"/>
      <w:bookmarkStart w:id="62" w:name="OLE_LINK214"/>
      <w:r>
        <w:rPr>
          <w:rFonts w:hint="eastAsia" w:ascii="仿宋_GB2312" w:hAnsi="仿宋_GB2312" w:eastAsia="仿宋_GB2312" w:cs="仿宋_GB2312"/>
          <w:color w:val="000000" w:themeColor="text1"/>
          <w:sz w:val="30"/>
          <w:szCs w:val="30"/>
          <w14:textFill>
            <w14:solidFill>
              <w14:schemeClr w14:val="tx1"/>
            </w14:solidFill>
          </w14:textFill>
        </w:rPr>
        <w:t>深</w:t>
      </w:r>
      <w:r>
        <w:rPr>
          <w:rFonts w:hint="eastAsia" w:ascii="仿宋_GB2312" w:hAnsi="仿宋_GB2312" w:eastAsia="仿宋_GB2312" w:cs="仿宋_GB2312"/>
          <w:color w:val="000000" w:themeColor="text1"/>
          <w:sz w:val="30"/>
          <w:szCs w:val="30"/>
          <w:lang w:eastAsia="zh-CN"/>
          <w14:textFill>
            <w14:solidFill>
              <w14:schemeClr w14:val="tx1"/>
            </w14:solidFill>
          </w14:textFill>
        </w:rPr>
        <w:t>，</w:t>
      </w:r>
      <w:r>
        <w:rPr>
          <w:rFonts w:hint="eastAsia" w:ascii="仿宋_GB2312" w:hAnsi="仿宋_GB2312" w:eastAsia="仿宋_GB2312" w:cs="仿宋_GB2312"/>
          <w:color w:val="000000" w:themeColor="text1"/>
          <w:sz w:val="30"/>
          <w:szCs w:val="30"/>
          <w14:textFill>
            <w14:solidFill>
              <w14:schemeClr w14:val="tx1"/>
            </w14:solidFill>
          </w14:textFill>
        </w:rPr>
        <w:t>石灰岩、页岩、砂岩等岩石地貌丰富。</w:t>
      </w:r>
      <w:bookmarkStart w:id="63" w:name="OLE_LINK208"/>
      <w:bookmarkStart w:id="64" w:name="OLE_LINK209"/>
    </w:p>
    <w:p>
      <w:pPr>
        <w:keepNext w:val="0"/>
        <w:keepLines w:val="0"/>
        <w:pageBreakBefore w:val="0"/>
        <w:kinsoku/>
        <w:wordWrap/>
        <w:topLinePunct w:val="0"/>
        <w:bidi w:val="0"/>
        <w:adjustRightInd w:val="0"/>
        <w:snapToGrid w:val="0"/>
        <w:spacing w:line="56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一年四季</w:t>
      </w:r>
      <w:bookmarkStart w:id="65" w:name="OLE_LINK213"/>
      <w:bookmarkStart w:id="66" w:name="OLE_LINK212"/>
      <w:r>
        <w:rPr>
          <w:rFonts w:hint="eastAsia" w:ascii="仿宋_GB2312" w:hAnsi="仿宋_GB2312" w:eastAsia="仿宋_GB2312" w:cs="仿宋_GB2312"/>
          <w:color w:val="000000" w:themeColor="text1"/>
          <w:sz w:val="30"/>
          <w:szCs w:val="30"/>
          <w14:textFill>
            <w14:solidFill>
              <w14:schemeClr w14:val="tx1"/>
            </w14:solidFill>
          </w14:textFill>
        </w:rPr>
        <w:t>分明，冬季受西北寒流影响，较为寒冷干燥；夏季受东南季风影响，高温</w:t>
      </w:r>
      <w:bookmarkEnd w:id="56"/>
      <w:bookmarkEnd w:id="57"/>
      <w:r>
        <w:rPr>
          <w:rFonts w:hint="eastAsia" w:ascii="仿宋_GB2312" w:hAnsi="仿宋_GB2312" w:eastAsia="仿宋_GB2312" w:cs="仿宋_GB2312"/>
          <w:color w:val="000000" w:themeColor="text1"/>
          <w:sz w:val="30"/>
          <w:szCs w:val="30"/>
          <w14:textFill>
            <w14:solidFill>
              <w14:schemeClr w14:val="tx1"/>
            </w14:solidFill>
          </w14:textFill>
        </w:rPr>
        <w:t>多雨；春秋两季较为短暂。随着海拔升高，气温逐渐降低，降水和植被也呈现</w:t>
      </w:r>
      <w:bookmarkEnd w:id="61"/>
      <w:bookmarkEnd w:id="62"/>
      <w:r>
        <w:rPr>
          <w:rFonts w:hint="eastAsia" w:ascii="仿宋_GB2312" w:hAnsi="仿宋_GB2312" w:eastAsia="仿宋_GB2312" w:cs="仿宋_GB2312"/>
          <w:color w:val="000000" w:themeColor="text1"/>
          <w:sz w:val="30"/>
          <w:szCs w:val="30"/>
          <w14:textFill>
            <w14:solidFill>
              <w14:schemeClr w14:val="tx1"/>
            </w14:solidFill>
          </w14:textFill>
        </w:rPr>
        <w:t>出明显的垂直变化，在高海拔地区，夏季气温也相对凉爽。</w:t>
      </w:r>
    </w:p>
    <w:p>
      <w:pPr>
        <w:keepNext w:val="0"/>
        <w:keepLines w:val="0"/>
        <w:pageBreakBefore w:val="0"/>
        <w:kinsoku/>
        <w:wordWrap/>
        <w:topLinePunct w:val="0"/>
        <w:bidi w:val="0"/>
        <w:adjustRightInd w:val="0"/>
        <w:snapToGrid w:val="0"/>
        <w:spacing w:line="560" w:lineRule="exact"/>
        <w:ind w:firstLine="641"/>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太行山山脉是永定河等河流的重要水源地，永定河贯穿北京段太行山山脉，为周边地区提供了丰富的水资源，此外还有拒马河等河流，在山区形成了众多溪流、瀑布等水景。</w:t>
      </w:r>
    </w:p>
    <w:bookmarkEnd w:id="63"/>
    <w:bookmarkEnd w:id="64"/>
    <w:p>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植被丰富，有松、柏、杨、柳等乔木，还有荆条、酸枣等灌木，以及多种草本植物，森林覆盖率较高。有松鼠、野兔、山鸡等常见动物，还有豹猫等珍稀动物，形成了相对完整的生态系统。</w:t>
      </w:r>
    </w:p>
    <w:bookmarkEnd w:id="65"/>
    <w:bookmarkEnd w:id="66"/>
    <w:p>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67" w:name="OLE_LINK289"/>
      <w:bookmarkStart w:id="68" w:name="OLE_LINK290"/>
      <w:bookmarkStart w:id="69" w:name="OLE_LINK224"/>
      <w:bookmarkStart w:id="70" w:name="OLE_LINK225"/>
      <w:r>
        <w:rPr>
          <w:rFonts w:hint="eastAsia" w:ascii="仿宋_GB2312" w:hAnsi="仿宋_GB2312" w:eastAsia="仿宋_GB2312" w:cs="仿宋_GB2312"/>
          <w:color w:val="000000" w:themeColor="text1"/>
          <w:sz w:val="30"/>
          <w:szCs w:val="30"/>
          <w14:textFill>
            <w14:solidFill>
              <w14:schemeClr w14:val="tx1"/>
            </w14:solidFill>
          </w14:textFill>
        </w:rPr>
        <w:t>太行山山脉</w:t>
      </w:r>
      <w:bookmarkEnd w:id="67"/>
      <w:bookmarkEnd w:id="68"/>
      <w:r>
        <w:rPr>
          <w:rFonts w:hint="eastAsia" w:ascii="仿宋_GB2312" w:hAnsi="仿宋_GB2312" w:eastAsia="仿宋_GB2312" w:cs="仿宋_GB2312"/>
          <w:color w:val="000000" w:themeColor="text1"/>
          <w:sz w:val="30"/>
          <w:szCs w:val="30"/>
          <w14:textFill>
            <w14:solidFill>
              <w14:schemeClr w14:val="tx1"/>
            </w14:solidFill>
          </w14:textFill>
        </w:rPr>
        <w:t>作为北京西部的天然屏障，</w:t>
      </w:r>
      <w:bookmarkStart w:id="71" w:name="OLE_LINK227"/>
      <w:bookmarkStart w:id="72" w:name="OLE_LINK226"/>
      <w:r>
        <w:rPr>
          <w:rFonts w:hint="eastAsia" w:ascii="仿宋_GB2312" w:hAnsi="仿宋_GB2312" w:eastAsia="仿宋_GB2312" w:cs="仿宋_GB2312"/>
          <w:color w:val="000000" w:themeColor="text1"/>
          <w:sz w:val="30"/>
          <w:szCs w:val="30"/>
          <w14:textFill>
            <w14:solidFill>
              <w14:schemeClr w14:val="tx1"/>
            </w14:solidFill>
          </w14:textFill>
        </w:rPr>
        <w:t>阻</w:t>
      </w:r>
      <w:bookmarkStart w:id="73" w:name="OLE_LINK220"/>
      <w:bookmarkStart w:id="74" w:name="OLE_LINK221"/>
      <w:r>
        <w:rPr>
          <w:rFonts w:hint="eastAsia" w:ascii="仿宋_GB2312" w:hAnsi="仿宋_GB2312" w:eastAsia="仿宋_GB2312" w:cs="仿宋_GB2312"/>
          <w:color w:val="000000" w:themeColor="text1"/>
          <w:sz w:val="30"/>
          <w:szCs w:val="30"/>
          <w14:textFill>
            <w14:solidFill>
              <w14:schemeClr w14:val="tx1"/>
            </w14:solidFill>
          </w14:textFill>
        </w:rPr>
        <w:t>挡了</w:t>
      </w:r>
      <w:bookmarkStart w:id="75" w:name="OLE_LINK238"/>
      <w:bookmarkStart w:id="76" w:name="OLE_LINK239"/>
      <w:r>
        <w:rPr>
          <w:rFonts w:hint="eastAsia" w:ascii="仿宋_GB2312" w:hAnsi="仿宋_GB2312" w:eastAsia="仿宋_GB2312" w:cs="仿宋_GB2312"/>
          <w:color w:val="000000" w:themeColor="text1"/>
          <w:sz w:val="30"/>
          <w:szCs w:val="30"/>
          <w14:textFill>
            <w14:solidFill>
              <w14:schemeClr w14:val="tx1"/>
            </w14:solidFill>
          </w14:textFill>
        </w:rPr>
        <w:t>风沙与污染物</w:t>
      </w:r>
      <w:bookmarkEnd w:id="71"/>
      <w:bookmarkEnd w:id="72"/>
      <w:bookmarkEnd w:id="73"/>
      <w:bookmarkEnd w:id="74"/>
      <w:r>
        <w:rPr>
          <w:rFonts w:hint="eastAsia" w:ascii="仿宋_GB2312" w:hAnsi="仿宋_GB2312" w:eastAsia="仿宋_GB2312" w:cs="仿宋_GB2312"/>
          <w:color w:val="000000" w:themeColor="text1"/>
          <w:sz w:val="30"/>
          <w:szCs w:val="30"/>
          <w14:textFill>
            <w14:solidFill>
              <w14:schemeClr w14:val="tx1"/>
            </w14:solidFill>
          </w14:textFill>
        </w:rPr>
        <w:t>、调节气候与环境、涵养水源、防治水土流失</w:t>
      </w:r>
      <w:bookmarkStart w:id="77" w:name="OLE_LINK219"/>
      <w:bookmarkStart w:id="78" w:name="OLE_LINK218"/>
      <w:r>
        <w:rPr>
          <w:rFonts w:hint="eastAsia" w:ascii="仿宋_GB2312" w:hAnsi="仿宋_GB2312" w:eastAsia="仿宋_GB2312" w:cs="仿宋_GB2312"/>
          <w:color w:val="000000" w:themeColor="text1"/>
          <w:sz w:val="30"/>
          <w:szCs w:val="30"/>
          <w14:textFill>
            <w14:solidFill>
              <w14:schemeClr w14:val="tx1"/>
            </w14:solidFill>
          </w14:textFill>
        </w:rPr>
        <w:t>，同时</w:t>
      </w:r>
      <w:bookmarkStart w:id="79" w:name="OLE_LINK236"/>
      <w:bookmarkStart w:id="80" w:name="OLE_LINK237"/>
      <w:r>
        <w:rPr>
          <w:rFonts w:hint="eastAsia" w:ascii="仿宋_GB2312" w:hAnsi="仿宋_GB2312" w:eastAsia="仿宋_GB2312" w:cs="仿宋_GB2312"/>
          <w:color w:val="000000" w:themeColor="text1"/>
          <w:sz w:val="30"/>
          <w:szCs w:val="30"/>
          <w14:textFill>
            <w14:solidFill>
              <w14:schemeClr w14:val="tx1"/>
            </w14:solidFill>
          </w14:textFill>
        </w:rPr>
        <w:t>为野生动植物提供了栖息地，连接了华北平原与山西高原的生态廊道，促进物种迁徙与基因交流。</w:t>
      </w:r>
      <w:bookmarkEnd w:id="69"/>
      <w:bookmarkEnd w:id="70"/>
      <w:bookmarkEnd w:id="77"/>
      <w:bookmarkEnd w:id="78"/>
      <w:bookmarkEnd w:id="79"/>
      <w:bookmarkEnd w:id="80"/>
      <w:r>
        <w:rPr>
          <w:rFonts w:hint="eastAsia" w:ascii="仿宋_GB2312" w:hAnsi="仿宋_GB2312" w:eastAsia="仿宋_GB2312" w:cs="仿宋_GB2312"/>
          <w:color w:val="000000" w:themeColor="text1"/>
          <w:sz w:val="30"/>
          <w:szCs w:val="30"/>
          <w14:textFill>
            <w14:solidFill>
              <w14:schemeClr w14:val="tx1"/>
            </w14:solidFill>
          </w14:textFill>
        </w:rPr>
        <w:t>太行山山脉多重生态功能，成为城市可持续发展的“绿色屏障”，对保障区域生态安全、优化人居环境具有不可替代的作用。</w:t>
      </w:r>
    </w:p>
    <w:bookmarkEnd w:id="59"/>
    <w:bookmarkEnd w:id="60"/>
    <w:bookmarkEnd w:id="75"/>
    <w:bookmarkEnd w:id="76"/>
    <w:p>
      <w:pPr>
        <w:keepNext w:val="0"/>
        <w:keepLines w:val="0"/>
        <w:pageBreakBefore w:val="0"/>
        <w:kinsoku/>
        <w:wordWrap/>
        <w:topLinePunct w:val="0"/>
        <w:bidi w:val="0"/>
        <w:adjustRightInd w:val="0"/>
        <w:snapToGrid w:val="0"/>
        <w:spacing w:line="560" w:lineRule="exact"/>
        <w:ind w:firstLine="641"/>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2.燕山山脉</w:t>
      </w:r>
    </w:p>
    <w:p>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81" w:name="OLE_LINK243"/>
      <w:bookmarkStart w:id="82" w:name="OLE_LINK242"/>
      <w:bookmarkStart w:id="83" w:name="OLE_LINK248"/>
      <w:bookmarkStart w:id="84" w:name="OLE_LINK246"/>
      <w:bookmarkStart w:id="85" w:name="OLE_LINK247"/>
      <w:r>
        <w:rPr>
          <w:rFonts w:hint="eastAsia" w:ascii="仿宋_GB2312" w:hAnsi="仿宋_GB2312" w:eastAsia="仿宋_GB2312" w:cs="仿宋_GB2312"/>
          <w:color w:val="000000" w:themeColor="text1"/>
          <w:sz w:val="30"/>
          <w:szCs w:val="30"/>
          <w14:textFill>
            <w14:solidFill>
              <w14:schemeClr w14:val="tx1"/>
            </w14:solidFill>
          </w14:textFill>
        </w:rPr>
        <w:t>燕山山脉</w:t>
      </w:r>
      <w:bookmarkEnd w:id="81"/>
      <w:bookmarkEnd w:id="82"/>
      <w:bookmarkEnd w:id="83"/>
      <w:r>
        <w:rPr>
          <w:rFonts w:hint="eastAsia" w:ascii="仿宋_GB2312" w:hAnsi="仿宋_GB2312" w:eastAsia="仿宋_GB2312" w:cs="仿宋_GB2312"/>
          <w:color w:val="000000" w:themeColor="text1"/>
          <w:sz w:val="30"/>
          <w:szCs w:val="30"/>
          <w14:textFill>
            <w14:solidFill>
              <w14:schemeClr w14:val="tx1"/>
            </w14:solidFill>
          </w14:textFill>
        </w:rPr>
        <w:t>北京段位于北京市北部，是燕山山脉的重要组成部分，西起关沟，东到昌平、延庆、怀柔、密云等区，面积约7000多平方公里，约占全市面积的43%。它处于燕山山脉和太行山山脉的接合部位，东以古北口与燕山相邻，西界为居庸关同太行山相对峙，北接冀北中部山地，南临北京小平原。</w:t>
      </w:r>
    </w:p>
    <w:p>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86" w:name="OLE_LINK291"/>
      <w:bookmarkStart w:id="87" w:name="OLE_LINK303"/>
      <w:bookmarkStart w:id="88" w:name="OLE_LINK292"/>
      <w:r>
        <w:rPr>
          <w:rFonts w:hint="eastAsia" w:ascii="仿宋_GB2312" w:hAnsi="仿宋_GB2312" w:eastAsia="仿宋_GB2312" w:cs="仿宋_GB2312"/>
          <w:color w:val="000000" w:themeColor="text1"/>
          <w:sz w:val="30"/>
          <w:szCs w:val="30"/>
          <w14:textFill>
            <w14:solidFill>
              <w14:schemeClr w14:val="tx1"/>
            </w14:solidFill>
          </w14:textFill>
        </w:rPr>
        <w:t>燕山山脉山体呈现出复杂的地形起伏和山势变化。主要由花岗岩等岩浆岩以及古老变质岩构成，部分地区如蟒山的山体主要成分是砂页岩。燕山山脉以低山为主，山体分散，相对高差较小，山势略缓，海拔一般在1000-1500米左右。白河、潮河等水系斜穿山区，深切峡谷，曲流发育，形成了如白河峡谷等典型的地貌景观。</w:t>
      </w:r>
    </w:p>
    <w:bookmarkEnd w:id="86"/>
    <w:bookmarkEnd w:id="87"/>
    <w:bookmarkEnd w:id="88"/>
    <w:p>
      <w:pPr>
        <w:widowControl/>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89" w:name="OLE_LINK301"/>
      <w:bookmarkStart w:id="90" w:name="OLE_LINK302"/>
      <w:r>
        <w:rPr>
          <w:rFonts w:hint="eastAsia" w:ascii="仿宋_GB2312" w:hAnsi="仿宋_GB2312" w:eastAsia="仿宋_GB2312" w:cs="仿宋_GB2312"/>
          <w:color w:val="000000" w:themeColor="text1"/>
          <w:sz w:val="30"/>
          <w:szCs w:val="30"/>
          <w14:textFill>
            <w14:solidFill>
              <w14:schemeClr w14:val="tx1"/>
            </w14:solidFill>
          </w14:textFill>
        </w:rPr>
        <w:t>植被主要为次生落叶阔叶林及灌丛，</w:t>
      </w:r>
      <w:bookmarkEnd w:id="89"/>
      <w:bookmarkEnd w:id="90"/>
      <w:r>
        <w:rPr>
          <w:rFonts w:hint="eastAsia" w:ascii="仿宋_GB2312" w:hAnsi="仿宋_GB2312" w:eastAsia="仿宋_GB2312" w:cs="仿宋_GB2312"/>
          <w:color w:val="000000" w:themeColor="text1"/>
          <w:sz w:val="30"/>
          <w:szCs w:val="30"/>
          <w14:textFill>
            <w14:solidFill>
              <w14:schemeClr w14:val="tx1"/>
            </w14:solidFill>
          </w14:textFill>
        </w:rPr>
        <w:t>部分山地有人工油松林，海坨山、云蒙山的自然植被保存较好。有松鼠、野兔、山鸡等常见动物，还有一些珍稀物种，如豹猫等。</w:t>
      </w:r>
    </w:p>
    <w:p>
      <w:pPr>
        <w:spacing w:line="560" w:lineRule="exact"/>
        <w:ind w:firstLine="750" w:firstLineChars="250"/>
        <w:rPr>
          <w:rFonts w:ascii="仿宋_GB2312" w:hAnsi="仿宋_GB2312" w:eastAsia="仿宋_GB2312" w:cs="仿宋_GB2312"/>
          <w:color w:val="000000" w:themeColor="text1"/>
          <w:sz w:val="30"/>
          <w:szCs w:val="30"/>
          <w14:textFill>
            <w14:solidFill>
              <w14:schemeClr w14:val="tx1"/>
            </w14:solidFill>
          </w14:textFill>
        </w:rPr>
      </w:pPr>
      <w:bookmarkStart w:id="91" w:name="OLE_LINK257"/>
      <w:bookmarkStart w:id="92" w:name="OLE_LINK256"/>
      <w:r>
        <w:rPr>
          <w:rFonts w:hint="eastAsia" w:ascii="仿宋_GB2312" w:hAnsi="仿宋_GB2312" w:eastAsia="仿宋_GB2312" w:cs="仿宋_GB2312"/>
          <w:color w:val="000000" w:themeColor="text1"/>
          <w:sz w:val="30"/>
          <w:szCs w:val="30"/>
          <w14:textFill>
            <w14:solidFill>
              <w14:schemeClr w14:val="tx1"/>
            </w14:solidFill>
          </w14:textFill>
        </w:rPr>
        <w:t>燕山山脉北京段约占北京全市面积43%，与西部太行山脉共同构成了北京的“生态屏障”，为北京构建了“山水林田湖草”的整体生态格局，是生物多样性、水源安全和人文保护的核心区域，对城市可持续发展具有不可替代的作用。</w:t>
      </w:r>
    </w:p>
    <w:bookmarkEnd w:id="58"/>
    <w:bookmarkEnd w:id="84"/>
    <w:bookmarkEnd w:id="85"/>
    <w:bookmarkEnd w:id="91"/>
    <w:bookmarkEnd w:id="92"/>
    <w:p>
      <w:pPr>
        <w:autoSpaceDE w:val="0"/>
        <w:autoSpaceDN w:val="0"/>
        <w:adjustRightInd w:val="0"/>
        <w:snapToGrid w:val="0"/>
        <w:spacing w:line="560" w:lineRule="exact"/>
        <w:ind w:firstLine="420" w:firstLineChars="200"/>
        <w:textAlignment w:val="baseline"/>
      </w:pPr>
      <w:r>
        <w:br w:type="page"/>
      </w:r>
    </w:p>
    <w:p>
      <w:pPr>
        <w:pStyle w:val="3"/>
        <w:rPr>
          <w:rFonts w:ascii="Times New Roman" w:hAnsi="Times New Roman" w:cs="Times New Roman"/>
        </w:rPr>
      </w:pPr>
      <w:bookmarkStart w:id="93" w:name="_Toc202350679"/>
      <w:bookmarkStart w:id="94" w:name="OLE_LINK9"/>
      <w:bookmarkStart w:id="95" w:name="OLE_LINK10"/>
      <w:r>
        <w:rPr>
          <w:rFonts w:ascii="Times New Roman" w:hAnsi="Times New Roman" w:cs="Times New Roman"/>
        </w:rPr>
        <w:t>第三章</w:t>
      </w:r>
      <w:bookmarkStart w:id="96" w:name="OLE_LINK106"/>
      <w:bookmarkStart w:id="97" w:name="OLE_LINK107"/>
      <w:r>
        <w:rPr>
          <w:rFonts w:hint="eastAsia" w:ascii="Times New Roman" w:hAnsi="Times New Roman" w:cs="Times New Roman"/>
        </w:rPr>
        <w:t xml:space="preserve"> </w:t>
      </w:r>
      <w:r>
        <w:rPr>
          <w:rFonts w:ascii="Times New Roman" w:hAnsi="Times New Roman" w:cs="Times New Roman"/>
        </w:rPr>
        <w:t>建设成就</w:t>
      </w:r>
      <w:bookmarkEnd w:id="96"/>
      <w:bookmarkEnd w:id="97"/>
      <w:r>
        <w:rPr>
          <w:rFonts w:ascii="Times New Roman" w:hAnsi="Times New Roman" w:cs="Times New Roman"/>
        </w:rPr>
        <w:t>及面临形势</w:t>
      </w:r>
      <w:bookmarkEnd w:id="93"/>
    </w:p>
    <w:bookmarkEnd w:id="94"/>
    <w:bookmarkEnd w:id="95"/>
    <w:p>
      <w:pPr>
        <w:pStyle w:val="4"/>
        <w:spacing w:before="120" w:after="120"/>
        <w:ind w:firstLine="600"/>
        <w:rPr>
          <w:rFonts w:ascii="Times New Roman" w:hAnsi="Times New Roman" w:cs="Times New Roman"/>
        </w:rPr>
      </w:pPr>
      <w:bookmarkStart w:id="98" w:name="_Toc202350680"/>
      <w:r>
        <w:rPr>
          <w:rFonts w:ascii="Times New Roman" w:hAnsi="Times New Roman" w:cs="Times New Roman"/>
        </w:rPr>
        <w:t>一、建设成就</w:t>
      </w:r>
      <w:bookmarkEnd w:id="98"/>
    </w:p>
    <w:p>
      <w:pPr>
        <w:spacing w:before="120" w:beforeLines="50" w:after="120" w:afterLines="50" w:line="560" w:lineRule="exact"/>
        <w:ind w:firstLine="641"/>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北京市1982年列入了国家三北工程建设范围，是北京市实施的第一个国家级林业重点工程，通过实施三北工程，对推动北京市林业工程规范化管理起到了引领示范作用，为将北京建设成为山川秀美、空气清新、环境优美、生态良好、人与自然和谐、经济社会全面协调、可持续发展的生态城市发挥了重要作用。</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一期工程建设（1982—1985年）：北京市从1982年开始列入国家三北防护林体系建设工程范围，其中：密云、怀柔、延庆、昌平、房山、丰台、大兴、门头沟、平谷、顺义、通县等11个县（区）纳入了工程范围，其中前7个县（区）为建设的重点县。一期工程共完成营造林140.7万亩，其中：完成人工造林95.55万亩，封山育林43.2万亩，飞播造林1.95万亩。</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第二期工程建设（1986—1995年）：三北工程二期把北京市全部纳入了工程建设范围。二期工程共完成营造林495.6万亩，其中：完成人工造林201万亩，封山育林202.95万亩，飞播造林91.65万亩。</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三期工程建设（1996年—2000年）：三北工程三期把北京市平谷、密云、怀柔、延庆、昌平、门头沟、房山、顺义八个县（区）纳入了工程建设范围。三期工程共完成营造林197.25万亩，其中：完成人工造林59.1万亩，封山育林104.55万亩，飞播造林33.6万亩。</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第四期工程建设（2001年—2010年）：三北工程四期把北京市大兴、通州、顺义、朝阳四个区纳入了工程建设范围。四期工程共完成营造林95.7万亩，其中：完成人工造林82.35万亩，封山育林13.35万亩。</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第五期工程建设（2011年—2020年）：三北工程五期把四期工程的大兴、通州、顺义、朝阳四个区和北京市京津风沙源平谷、密云、怀柔、延庆、昌平、门头沟六个区纳入了工程建设范围。五期工程共完成</w:t>
      </w:r>
      <w:r>
        <w:rPr>
          <w:rFonts w:hint="eastAsia" w:ascii="仿宋_GB2312" w:hAnsi="仿宋_GB2312" w:eastAsia="仿宋_GB2312" w:cs="仿宋_GB2312"/>
          <w:color w:val="000000"/>
          <w:sz w:val="30"/>
          <w:szCs w:val="30"/>
          <w:lang w:eastAsia="zh-CN"/>
        </w:rPr>
        <w:t>营造林</w:t>
      </w:r>
      <w:r>
        <w:rPr>
          <w:rFonts w:hint="eastAsia" w:ascii="仿宋_GB2312" w:hAnsi="仿宋_GB2312" w:eastAsia="仿宋_GB2312" w:cs="仿宋_GB2312"/>
          <w:color w:val="000000"/>
          <w:sz w:val="30"/>
          <w:szCs w:val="30"/>
        </w:rPr>
        <w:t>440.85万亩，其中：完成人工造林222.9万亩，封山育林217.95万亩。</w:t>
      </w:r>
    </w:p>
    <w:p>
      <w:pPr>
        <w:pStyle w:val="4"/>
        <w:spacing w:before="120" w:after="120"/>
        <w:ind w:firstLine="600"/>
        <w:rPr>
          <w:rFonts w:ascii="Times New Roman" w:hAnsi="Times New Roman" w:cs="Times New Roman"/>
        </w:rPr>
      </w:pPr>
      <w:bookmarkStart w:id="99" w:name="_Toc202350681"/>
      <w:r>
        <w:rPr>
          <w:rFonts w:ascii="Times New Roman" w:hAnsi="Times New Roman" w:cs="Times New Roman"/>
        </w:rPr>
        <w:t>二、面临形势</w:t>
      </w:r>
      <w:bookmarkEnd w:id="99"/>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color w:val="000000"/>
          <w:sz w:val="30"/>
          <w:szCs w:val="30"/>
        </w:rPr>
        <w:t>通过实施三北工程，北京</w:t>
      </w:r>
      <w:r>
        <w:rPr>
          <w:rFonts w:hint="eastAsia" w:ascii="仿宋_GB2312" w:hAnsi="仿宋_GB2312" w:eastAsia="仿宋_GB2312" w:cs="仿宋_GB2312"/>
          <w:color w:val="000000"/>
          <w:sz w:val="30"/>
          <w:szCs w:val="30"/>
          <w:lang w:eastAsia="zh-CN"/>
        </w:rPr>
        <w:t>市</w:t>
      </w:r>
      <w:r>
        <w:rPr>
          <w:rFonts w:hint="eastAsia" w:ascii="仿宋_GB2312" w:hAnsi="仿宋_GB2312" w:eastAsia="仿宋_GB2312" w:cs="仿宋_GB2312"/>
          <w:color w:val="000000"/>
          <w:sz w:val="30"/>
          <w:szCs w:val="30"/>
        </w:rPr>
        <w:t>生态环境质量明显改善，环境面貌显著提升，三北工程在首都林业发展中发挥重要作用，并取得显著的生</w:t>
      </w:r>
      <w:r>
        <w:rPr>
          <w:rFonts w:hint="eastAsia" w:ascii="仿宋_GB2312" w:hAnsi="仿宋_GB2312" w:eastAsia="仿宋_GB2312" w:cs="仿宋_GB2312"/>
          <w:sz w:val="30"/>
          <w:szCs w:val="30"/>
        </w:rPr>
        <w:t>态效益、社会效益和经济效益。但还存在不足：</w:t>
      </w:r>
    </w:p>
    <w:p>
      <w:pPr>
        <w:widowControl/>
        <w:shd w:val="clear" w:color="auto" w:fill="FFFFFF"/>
        <w:spacing w:line="560" w:lineRule="exact"/>
        <w:ind w:firstLine="602" w:firstLineChars="200"/>
        <w:jc w:val="left"/>
        <w:rPr>
          <w:rFonts w:ascii="仿宋_GB2312" w:hAnsi="仿宋_GB2312" w:eastAsia="仿宋_GB2312" w:cs="仿宋_GB2312"/>
          <w:sz w:val="30"/>
          <w:szCs w:val="30"/>
        </w:rPr>
      </w:pPr>
      <w:bookmarkStart w:id="100" w:name="OLE_LINK23"/>
      <w:r>
        <w:rPr>
          <w:rFonts w:hint="eastAsia" w:ascii="仿宋_GB2312" w:hAnsi="仿宋_GB2312" w:eastAsia="仿宋_GB2312" w:cs="仿宋_GB2312"/>
          <w:b/>
          <w:sz w:val="30"/>
          <w:szCs w:val="30"/>
        </w:rPr>
        <w:t>山区</w:t>
      </w:r>
      <w:bookmarkStart w:id="101" w:name="OLE_LINK32"/>
      <w:bookmarkStart w:id="102" w:name="OLE_LINK37"/>
      <w:r>
        <w:rPr>
          <w:rFonts w:hint="eastAsia" w:ascii="仿宋_GB2312" w:hAnsi="仿宋_GB2312" w:eastAsia="仿宋_GB2312" w:cs="仿宋_GB2312"/>
          <w:b/>
          <w:sz w:val="30"/>
          <w:szCs w:val="30"/>
        </w:rPr>
        <w:t>灌木林</w:t>
      </w:r>
      <w:bookmarkEnd w:id="100"/>
      <w:bookmarkEnd w:id="101"/>
      <w:bookmarkEnd w:id="102"/>
      <w:r>
        <w:rPr>
          <w:rFonts w:hint="eastAsia" w:ascii="仿宋_GB2312" w:hAnsi="仿宋_GB2312" w:eastAsia="仿宋_GB2312" w:cs="仿宋_GB2312"/>
          <w:b/>
          <w:sz w:val="30"/>
          <w:szCs w:val="30"/>
        </w:rPr>
        <w:t>生态潜力有待提升。</w:t>
      </w:r>
      <w:r>
        <w:rPr>
          <w:rFonts w:hint="eastAsia" w:ascii="仿宋_GB2312" w:hAnsi="仿宋_GB2312" w:eastAsia="仿宋_GB2312" w:cs="仿宋_GB2312"/>
          <w:sz w:val="30"/>
          <w:szCs w:val="30"/>
        </w:rPr>
        <w:t>西部太行山区和北部燕山山区因地形复杂，土壤条件差，海拔高等影响，分布着大面积的灌木林，灌木林的生态功能相对弱、森林质量不高、生物多样性有限，需加大经营改造力度，通过提升灌木林质量及灌改乔等措施，激发灌木林地生态潜力。</w:t>
      </w:r>
    </w:p>
    <w:p>
      <w:pPr>
        <w:pStyle w:val="2"/>
        <w:spacing w:line="560" w:lineRule="exact"/>
        <w:ind w:firstLine="602" w:firstLineChars="200"/>
        <w:rPr>
          <w:rFonts w:ascii="仿宋_GB2312" w:hAnsi="仿宋_GB2312" w:eastAsia="仿宋_GB2312" w:cs="仿宋_GB2312"/>
          <w:color w:val="FF0000"/>
          <w:sz w:val="30"/>
          <w:szCs w:val="30"/>
        </w:rPr>
      </w:pPr>
      <w:r>
        <w:rPr>
          <w:rFonts w:hint="eastAsia" w:ascii="仿宋_GB2312" w:hAnsi="仿宋_GB2312" w:eastAsia="仿宋_GB2312" w:cs="仿宋_GB2312"/>
          <w:b/>
          <w:sz w:val="30"/>
          <w:szCs w:val="30"/>
        </w:rPr>
        <w:t>中幼林抚育需求迫切</w:t>
      </w:r>
      <w:r>
        <w:rPr>
          <w:rFonts w:hint="eastAsia" w:ascii="仿宋_GB2312" w:hAnsi="仿宋_GB2312" w:eastAsia="仿宋_GB2312" w:cs="仿宋_GB2312"/>
          <w:b/>
          <w:bCs/>
          <w:sz w:val="30"/>
          <w:szCs w:val="30"/>
        </w:rPr>
        <w:t>。</w:t>
      </w:r>
      <w:r>
        <w:rPr>
          <w:rFonts w:hint="eastAsia" w:ascii="仿宋_GB2312" w:hAnsi="仿宋_GB2312" w:eastAsia="仿宋_GB2312" w:cs="仿宋_GB2312"/>
          <w:sz w:val="30"/>
          <w:szCs w:val="30"/>
        </w:rPr>
        <w:t>全市中幼林比例较大，部分中幼林林分生长导致树冠竞争激烈、树干纤细、林下光照不足；人工林中混交比例低、树种组成单一，有待进一步多样化；部分林分遭受病虫害等危害。需通过对中幼林的抚育管理，优化林分结构、促进林木生长、提高森林质量。此外，一些中幼林郁闭度较小，与构建混交、复层、异龄、密度适宜的理想森林群落还存在一定差距，需采取造林种草等措施提高森林质量，提升森林生态系统稳定性。</w:t>
      </w:r>
    </w:p>
    <w:p>
      <w:pPr>
        <w:autoSpaceDE w:val="0"/>
        <w:autoSpaceDN w:val="0"/>
        <w:adjustRightInd w:val="0"/>
        <w:snapToGrid w:val="0"/>
        <w:spacing w:line="560" w:lineRule="exact"/>
        <w:ind w:firstLine="602"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b/>
          <w:sz w:val="30"/>
          <w:szCs w:val="30"/>
        </w:rPr>
        <w:t>林分退化现象仍一定程度存在。</w:t>
      </w:r>
      <w:bookmarkStart w:id="103" w:name="OLE_LINK28"/>
      <w:bookmarkStart w:id="104" w:name="OLE_LINK29"/>
      <w:r>
        <w:rPr>
          <w:rFonts w:hint="eastAsia" w:ascii="仿宋_GB2312" w:hAnsi="仿宋_GB2312" w:eastAsia="仿宋_GB2312" w:cs="仿宋_GB2312"/>
          <w:sz w:val="30"/>
          <w:szCs w:val="30"/>
        </w:rPr>
        <w:t>由于生理衰弱、自然灾害等多种原因，目前，仍存在一定面积的退化林，影响森林生态系统稳定性和可持续性。部分林木出现生长不良、濒死、枯死等现象，稳定性降低，短期内难以自然恢复。需通过采用退化林修复措施，结合退化林修复和灾后修复等工作，持续改善退化林林分结构，提高林分质量，恢复和提升森林功能。</w:t>
      </w:r>
    </w:p>
    <w:bookmarkEnd w:id="103"/>
    <w:bookmarkEnd w:id="104"/>
    <w:p>
      <w:pPr>
        <w:pStyle w:val="2"/>
        <w:spacing w:line="560" w:lineRule="exact"/>
        <w:ind w:firstLine="602" w:firstLineChars="200"/>
        <w:rPr>
          <w:rFonts w:ascii="仿宋_GB2312" w:hAnsi="仿宋_GB2312" w:eastAsia="仿宋_GB2312" w:cs="仿宋_GB2312"/>
          <w:color w:val="000000"/>
          <w:sz w:val="30"/>
          <w:szCs w:val="30"/>
        </w:rPr>
      </w:pPr>
      <w:r>
        <w:rPr>
          <w:rFonts w:hint="eastAsia" w:ascii="仿宋_GB2312" w:hAnsi="仿宋_GB2312" w:eastAsia="仿宋_GB2312" w:cs="仿宋_GB2312"/>
          <w:b/>
          <w:color w:val="000000"/>
          <w:sz w:val="30"/>
          <w:szCs w:val="30"/>
        </w:rPr>
        <w:t>生态脆弱，生态安全保障难度大。</w:t>
      </w:r>
      <w:bookmarkStart w:id="105" w:name="OLE_LINK313"/>
      <w:bookmarkStart w:id="106" w:name="OLE_LINK323"/>
      <w:bookmarkStart w:id="107" w:name="OLE_LINK322"/>
      <w:bookmarkStart w:id="108" w:name="OLE_LINK314"/>
      <w:r>
        <w:rPr>
          <w:rFonts w:hint="eastAsia" w:ascii="仿宋_GB2312" w:hAnsi="仿宋_GB2312" w:eastAsia="仿宋_GB2312" w:cs="仿宋_GB2312"/>
          <w:color w:val="000000"/>
          <w:sz w:val="30"/>
          <w:szCs w:val="30"/>
        </w:rPr>
        <w:t>太行山山地和燕山山地岩石特性，</w:t>
      </w:r>
      <w:bookmarkStart w:id="109" w:name="OLE_LINK331"/>
      <w:bookmarkStart w:id="110" w:name="OLE_LINK330"/>
      <w:r>
        <w:rPr>
          <w:rFonts w:hint="eastAsia" w:ascii="仿宋_GB2312" w:hAnsi="仿宋_GB2312" w:eastAsia="仿宋_GB2312" w:cs="仿宋_GB2312"/>
          <w:color w:val="000000"/>
          <w:sz w:val="30"/>
          <w:szCs w:val="30"/>
        </w:rPr>
        <w:t>及部分区域岩石裸露或土层浅薄（如陡坡基岩出露处），</w:t>
      </w:r>
      <w:bookmarkEnd w:id="109"/>
      <w:bookmarkEnd w:id="110"/>
      <w:r>
        <w:rPr>
          <w:rFonts w:hint="eastAsia" w:ascii="仿宋_GB2312" w:hAnsi="仿宋_GB2312" w:eastAsia="仿宋_GB2312" w:cs="仿宋_GB2312"/>
          <w:color w:val="000000"/>
          <w:sz w:val="30"/>
          <w:szCs w:val="30"/>
        </w:rPr>
        <w:t>水土流失严重。沟壑密度大，部分岩体稳定性差。</w:t>
      </w:r>
      <w:bookmarkStart w:id="111" w:name="OLE_LINK346"/>
      <w:bookmarkStart w:id="112" w:name="OLE_LINK347"/>
      <w:bookmarkStart w:id="113" w:name="OLE_LINK345"/>
      <w:r>
        <w:rPr>
          <w:rFonts w:hint="eastAsia" w:ascii="仿宋_GB2312" w:hAnsi="仿宋_GB2312" w:eastAsia="仿宋_GB2312" w:cs="仿宋_GB2312"/>
          <w:color w:val="000000"/>
          <w:sz w:val="30"/>
          <w:szCs w:val="30"/>
        </w:rPr>
        <w:t>陡坡地形形成的径流冲刷</w:t>
      </w:r>
      <w:bookmarkEnd w:id="111"/>
      <w:bookmarkEnd w:id="112"/>
      <w:bookmarkEnd w:id="113"/>
      <w:r>
        <w:rPr>
          <w:rFonts w:hint="eastAsia" w:ascii="仿宋_GB2312" w:hAnsi="仿宋_GB2312" w:eastAsia="仿宋_GB2312" w:cs="仿宋_GB2312"/>
          <w:color w:val="000000"/>
          <w:sz w:val="30"/>
          <w:szCs w:val="30"/>
        </w:rPr>
        <w:t>，堆积地貌的生态脆弱性、气候干旱与降水不均、土层浅薄（不足30厘米）等，植被覆盖率下降，森林郁闭度降低，森林生态系统自维持和修复能力不够等问题，</w:t>
      </w:r>
      <w:r>
        <w:rPr>
          <w:rFonts w:hint="eastAsia" w:ascii="仿宋_GB2312" w:hAnsi="仿宋_GB2312" w:eastAsia="仿宋_GB2312" w:cs="仿宋_GB2312"/>
          <w:color w:val="000000"/>
          <w:sz w:val="30"/>
          <w:szCs w:val="30"/>
          <w:lang w:eastAsia="zh-CN"/>
        </w:rPr>
        <w:t>亟需</w:t>
      </w:r>
      <w:r>
        <w:rPr>
          <w:rFonts w:hint="eastAsia" w:ascii="仿宋_GB2312" w:hAnsi="仿宋_GB2312" w:eastAsia="仿宋_GB2312" w:cs="仿宋_GB2312"/>
          <w:color w:val="000000"/>
          <w:sz w:val="30"/>
          <w:szCs w:val="30"/>
        </w:rPr>
        <w:t>通过植被恢复结合基础设施建设，加大治理强度，提高森林抗干扰能力，提升防灾减灾能力。2023年7月的暴雨造成西部山区森林生态系统的损毁就是防灾能力差的一个典型例子。</w:t>
      </w:r>
    </w:p>
    <w:bookmarkEnd w:id="41"/>
    <w:bookmarkEnd w:id="42"/>
    <w:bookmarkEnd w:id="105"/>
    <w:bookmarkEnd w:id="106"/>
    <w:bookmarkEnd w:id="107"/>
    <w:bookmarkEnd w:id="108"/>
    <w:p>
      <w:pPr>
        <w:pStyle w:val="4"/>
        <w:spacing w:before="120" w:after="120"/>
        <w:ind w:firstLine="600"/>
        <w:rPr>
          <w:rFonts w:ascii="Times New Roman" w:hAnsi="Times New Roman" w:cs="Times New Roman"/>
        </w:rPr>
      </w:pPr>
      <w:bookmarkStart w:id="114" w:name="_Toc166412182"/>
      <w:bookmarkStart w:id="115" w:name="_Toc202350682"/>
      <w:bookmarkStart w:id="116" w:name="_Toc21740"/>
      <w:r>
        <w:rPr>
          <w:rFonts w:ascii="Times New Roman" w:hAnsi="Times New Roman" w:cs="Times New Roman"/>
        </w:rPr>
        <w:t>三、发展机遇</w:t>
      </w:r>
      <w:bookmarkEnd w:id="114"/>
      <w:bookmarkEnd w:id="115"/>
      <w:bookmarkEnd w:id="116"/>
    </w:p>
    <w:p>
      <w:pPr>
        <w:autoSpaceDE w:val="0"/>
        <w:autoSpaceDN w:val="0"/>
        <w:adjustRightInd w:val="0"/>
        <w:snapToGrid w:val="0"/>
        <w:spacing w:line="560" w:lineRule="exact"/>
        <w:ind w:firstLine="602"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b/>
          <w:bCs/>
          <w:sz w:val="30"/>
          <w:szCs w:val="30"/>
        </w:rPr>
        <w:t>党中央、国务院高度重视三北工程建设工作。</w:t>
      </w:r>
      <w:bookmarkStart w:id="117" w:name="OLE_LINK5"/>
      <w:bookmarkStart w:id="118" w:name="OLE_LINK15"/>
      <w:bookmarkStart w:id="119" w:name="OLE_LINK16"/>
      <w:bookmarkStart w:id="120" w:name="OLE_LINK18"/>
      <w:r>
        <w:rPr>
          <w:rFonts w:hint="eastAsia" w:ascii="仿宋_GB2312" w:hAnsi="仿宋_GB2312" w:eastAsia="仿宋_GB2312" w:cs="仿宋_GB2312"/>
          <w:sz w:val="30"/>
          <w:szCs w:val="30"/>
        </w:rPr>
        <w:t>加强荒漠化综合防治、深入推进“三北”等重点生态工程建设，事关我国生态安全、事关强国建设、事关中华民族永续发展。当前，我国沙化土地面积大、分布广、程度重、治理难的基本面尚未根本改变，荒漠化防治和防沙治沙工作形势依然严峻，特别是“三北”地区生态脆弱，生态环境问题依然突出。</w:t>
      </w:r>
      <w:bookmarkEnd w:id="117"/>
      <w:bookmarkEnd w:id="118"/>
    </w:p>
    <w:bookmarkEnd w:id="119"/>
    <w:bookmarkEnd w:id="120"/>
    <w:p>
      <w:pPr>
        <w:pStyle w:val="17"/>
        <w:spacing w:before="0" w:after="0" w:line="560" w:lineRule="exact"/>
        <w:ind w:firstLine="602" w:firstLineChars="200"/>
        <w:rPr>
          <w:rFonts w:ascii="仿宋_GB2312" w:hAnsi="仿宋_GB2312" w:eastAsia="仿宋_GB2312" w:cs="仿宋_GB2312"/>
          <w:sz w:val="30"/>
          <w:szCs w:val="30"/>
        </w:rPr>
      </w:pPr>
      <w:r>
        <w:rPr>
          <w:rFonts w:hint="eastAsia" w:ascii="仿宋_GB2312" w:hAnsi="仿宋_GB2312" w:eastAsia="仿宋_GB2312" w:cs="仿宋_GB2312"/>
          <w:kern w:val="2"/>
          <w:sz w:val="30"/>
          <w:szCs w:val="30"/>
        </w:rPr>
        <w:t>山水林田湖草沙系统化治理理念不断发展完善。</w:t>
      </w:r>
      <w:bookmarkStart w:id="121" w:name="OLE_LINK298"/>
      <w:r>
        <w:rPr>
          <w:rFonts w:hint="eastAsia" w:ascii="仿宋_GB2312" w:hAnsi="仿宋_GB2312" w:eastAsia="仿宋_GB2312" w:cs="仿宋_GB2312"/>
          <w:b w:val="0"/>
          <w:bCs w:val="0"/>
          <w:kern w:val="2"/>
          <w:sz w:val="30"/>
          <w:szCs w:val="30"/>
        </w:rPr>
        <w:t>党的二十大报告提出“坚持山水林田湖草沙一体化保护和系统治理”“提升生态系统多样性、稳定性、持续性”。</w:t>
      </w:r>
      <w:bookmarkStart w:id="122" w:name="OLE_LINK295"/>
      <w:r>
        <w:rPr>
          <w:rFonts w:hint="eastAsia" w:ascii="仿宋_GB2312" w:hAnsi="仿宋_GB2312" w:eastAsia="仿宋_GB2312" w:cs="仿宋_GB2312"/>
          <w:b w:val="0"/>
          <w:bCs w:val="0"/>
          <w:kern w:val="2"/>
          <w:sz w:val="30"/>
          <w:szCs w:val="30"/>
        </w:rPr>
        <w:t>“山水林田湖草沙”综合治理理念，是将生态系统各要素视为有机整体。从“山水林田湖”到“山水林田湖草”，再到“山水林田湖草沙”，这一理念的发展完善，体现了对生态系统复杂性和整体性认</w:t>
      </w:r>
      <w:bookmarkEnd w:id="122"/>
      <w:r>
        <w:rPr>
          <w:rFonts w:hint="eastAsia" w:ascii="仿宋_GB2312" w:hAnsi="仿宋_GB2312" w:eastAsia="仿宋_GB2312" w:cs="仿宋_GB2312"/>
          <w:b w:val="0"/>
          <w:bCs w:val="0"/>
          <w:kern w:val="2"/>
          <w:sz w:val="30"/>
          <w:szCs w:val="30"/>
        </w:rPr>
        <w:t>识的深化。它强调统筹考虑各要素的相互联系和影响，通过整体保护、系统修复、综合治理，实现生态系统的良性循环，促进人与自然和谐共生。这一理念为我国生态环境保护和修复提供了重要指导。</w:t>
      </w:r>
      <w:bookmarkEnd w:id="121"/>
    </w:p>
    <w:p>
      <w:pPr>
        <w:autoSpaceDE w:val="0"/>
        <w:autoSpaceDN w:val="0"/>
        <w:adjustRightInd w:val="0"/>
        <w:snapToGrid w:val="0"/>
        <w:spacing w:line="560" w:lineRule="exact"/>
        <w:ind w:firstLine="451" w:firstLineChars="150"/>
        <w:textAlignment w:val="baseline"/>
        <w:rPr>
          <w:rFonts w:eastAsia="方正小标宋_GBK"/>
          <w:sz w:val="36"/>
          <w:szCs w:val="36"/>
        </w:rPr>
      </w:pPr>
      <w:r>
        <w:rPr>
          <w:rFonts w:hint="eastAsia" w:ascii="仿宋_GB2312" w:hAnsi="仿宋_GB2312" w:eastAsia="仿宋_GB2312" w:cs="仿宋_GB2312"/>
          <w:b/>
          <w:bCs/>
          <w:sz w:val="30"/>
          <w:szCs w:val="30"/>
        </w:rPr>
        <w:t>为</w:t>
      </w:r>
      <w:bookmarkStart w:id="123" w:name="OLE_LINK272"/>
      <w:bookmarkStart w:id="124" w:name="OLE_LINK271"/>
      <w:r>
        <w:rPr>
          <w:rFonts w:hint="eastAsia" w:ascii="仿宋_GB2312" w:hAnsi="仿宋_GB2312" w:eastAsia="仿宋_GB2312" w:cs="仿宋_GB2312"/>
          <w:b/>
          <w:bCs/>
          <w:sz w:val="30"/>
          <w:szCs w:val="30"/>
        </w:rPr>
        <w:t>北京全域森林城市高质量发展</w:t>
      </w:r>
      <w:bookmarkEnd w:id="123"/>
      <w:bookmarkEnd w:id="124"/>
      <w:r>
        <w:rPr>
          <w:rFonts w:hint="eastAsia" w:ascii="仿宋_GB2312" w:hAnsi="仿宋_GB2312" w:eastAsia="仿宋_GB2312" w:cs="仿宋_GB2312"/>
          <w:b/>
          <w:bCs/>
          <w:sz w:val="30"/>
          <w:szCs w:val="30"/>
        </w:rPr>
        <w:t>和花园城市建设提供重要支撑。</w:t>
      </w:r>
      <w:r>
        <w:rPr>
          <w:rFonts w:hint="eastAsia" w:ascii="仿宋_GB2312" w:hAnsi="仿宋_GB2312" w:eastAsia="仿宋_GB2312" w:cs="仿宋_GB2312"/>
          <w:sz w:val="30"/>
          <w:szCs w:val="30"/>
        </w:rPr>
        <w:t>深入贯彻习近平生态文明思想，全面落实习近平总书记关于努力建设全域森林城市的重要指示，以及习近平总书记参加首都义务植树活动时“把首都建设成为一个大花园” 的重要讲话精神。北京市将充分利用</w:t>
      </w:r>
      <w:r>
        <w:rPr>
          <w:rFonts w:hint="eastAsia" w:ascii="仿宋_GB2312" w:hAnsi="仿宋_GB2312" w:eastAsia="仿宋_GB2312" w:cs="仿宋_GB2312"/>
          <w:color w:val="000000" w:themeColor="text1"/>
          <w:sz w:val="30"/>
          <w:szCs w:val="30"/>
          <w14:textFill>
            <w14:solidFill>
              <w14:schemeClr w14:val="tx1"/>
            </w14:solidFill>
          </w14:textFill>
        </w:rPr>
        <w:t>燕山山脉与太行山山脉共同构成的“生态屏障”，构建的北京“山水林田湖草”的整体生态格局。北京市</w:t>
      </w:r>
      <w:r>
        <w:rPr>
          <w:rFonts w:hint="eastAsia" w:ascii="仿宋_GB2312" w:hAnsi="仿宋_GB2312" w:eastAsia="仿宋_GB2312" w:cs="仿宋_GB2312"/>
          <w:sz w:val="30"/>
          <w:szCs w:val="30"/>
        </w:rPr>
        <w:t>三北六期规划将以</w:t>
      </w:r>
      <w:r>
        <w:rPr>
          <w:rFonts w:hint="eastAsia" w:ascii="仿宋_GB2312" w:hAnsi="仿宋_GB2312" w:eastAsia="仿宋_GB2312" w:cs="仿宋_GB2312"/>
          <w:color w:val="000000"/>
          <w:sz w:val="30"/>
          <w:szCs w:val="30"/>
        </w:rPr>
        <w:t>燕山山地南部生态综合治理和太行山东北部生态综合治理2个项目</w:t>
      </w:r>
      <w:bookmarkStart w:id="125" w:name="OLE_LINK268"/>
      <w:bookmarkStart w:id="126" w:name="OLE_LINK267"/>
      <w:r>
        <w:rPr>
          <w:rFonts w:hint="eastAsia" w:ascii="仿宋_GB2312" w:hAnsi="仿宋_GB2312" w:eastAsia="仿宋_GB2312" w:cs="仿宋_GB2312"/>
          <w:color w:val="000000"/>
          <w:sz w:val="30"/>
          <w:szCs w:val="30"/>
        </w:rPr>
        <w:t>为重点</w:t>
      </w:r>
      <w:r>
        <w:rPr>
          <w:rFonts w:hint="eastAsia" w:ascii="仿宋_GB2312" w:hAnsi="仿宋_GB2312" w:eastAsia="仿宋_GB2312" w:cs="仿宋_GB2312"/>
          <w:sz w:val="30"/>
          <w:szCs w:val="30"/>
        </w:rPr>
        <w:t>建设任务</w:t>
      </w:r>
      <w:bookmarkEnd w:id="125"/>
      <w:bookmarkEnd w:id="126"/>
      <w:r>
        <w:rPr>
          <w:rFonts w:hint="eastAsia" w:ascii="仿宋_GB2312" w:hAnsi="仿宋_GB2312" w:eastAsia="仿宋_GB2312" w:cs="仿宋_GB2312"/>
          <w:color w:val="000000"/>
          <w:sz w:val="30"/>
          <w:szCs w:val="30"/>
        </w:rPr>
        <w:t>，统筹山水林田湖草沙系统治理，为</w:t>
      </w:r>
      <w:r>
        <w:rPr>
          <w:rFonts w:hint="eastAsia" w:ascii="仿宋_GB2312" w:hAnsi="仿宋_GB2312" w:eastAsia="仿宋_GB2312" w:cs="仿宋_GB2312"/>
          <w:sz w:val="30"/>
          <w:szCs w:val="30"/>
        </w:rPr>
        <w:t>北京全域构建总量充足、分布均衡、结构合理、功能完备、健康稳定的森林生态系统提供支撑，增强绿色生态屏障护卫城市的能力，为北京成为天蓝水清、森拥园簇、秩序壮美、和谐宜居的花园之都奠定基础。</w:t>
      </w:r>
      <w:r>
        <w:br w:type="page"/>
      </w:r>
    </w:p>
    <w:p>
      <w:pPr>
        <w:pStyle w:val="3"/>
        <w:rPr>
          <w:rFonts w:ascii="Times New Roman" w:hAnsi="Times New Roman" w:cs="Times New Roman"/>
        </w:rPr>
      </w:pPr>
      <w:bookmarkStart w:id="127" w:name="_Toc202350683"/>
      <w:r>
        <w:rPr>
          <w:rFonts w:ascii="Times New Roman" w:hAnsi="Times New Roman" w:cs="Times New Roman"/>
        </w:rPr>
        <w:t>第四章 总体要求</w:t>
      </w:r>
      <w:bookmarkEnd w:id="127"/>
    </w:p>
    <w:p>
      <w:pPr>
        <w:pStyle w:val="4"/>
        <w:spacing w:before="120" w:after="120"/>
        <w:ind w:firstLine="600"/>
        <w:rPr>
          <w:rFonts w:ascii="Times New Roman" w:hAnsi="Times New Roman" w:cs="Times New Roman"/>
        </w:rPr>
      </w:pPr>
      <w:bookmarkStart w:id="128" w:name="_Toc14777"/>
      <w:bookmarkStart w:id="129" w:name="_Toc202350684"/>
      <w:bookmarkStart w:id="130" w:name="_Toc166412184"/>
      <w:r>
        <w:rPr>
          <w:rFonts w:ascii="Times New Roman" w:hAnsi="Times New Roman" w:cs="Times New Roman"/>
        </w:rPr>
        <w:t>一、指导思想</w:t>
      </w:r>
      <w:r>
        <w:rPr>
          <w:rFonts w:hint="eastAsia" w:ascii="Times New Roman" w:hAnsi="Times New Roman" w:cs="Times New Roman"/>
        </w:rPr>
        <w:t>及</w:t>
      </w:r>
      <w:r>
        <w:rPr>
          <w:rFonts w:ascii="Times New Roman" w:hAnsi="Times New Roman" w:cs="Times New Roman"/>
        </w:rPr>
        <w:t>原则</w:t>
      </w:r>
      <w:bookmarkEnd w:id="128"/>
      <w:bookmarkEnd w:id="129"/>
      <w:bookmarkEnd w:id="130"/>
    </w:p>
    <w:p>
      <w:pPr>
        <w:pStyle w:val="5"/>
        <w:adjustRightInd w:val="0"/>
        <w:snapToGrid w:val="0"/>
        <w:spacing w:before="0" w:line="560" w:lineRule="exact"/>
        <w:rPr>
          <w:rFonts w:ascii="Times New Roman" w:hAnsi="Times New Roman" w:eastAsia="楷体_GB2312" w:cs="Times New Roman"/>
          <w:highlight w:val="yellow"/>
        </w:rPr>
      </w:pPr>
      <w:r>
        <w:rPr>
          <w:rFonts w:ascii="Times New Roman" w:hAnsi="Times New Roman" w:eastAsia="楷体_GB2312" w:cs="Times New Roman"/>
        </w:rPr>
        <w:t>（一）指导思想</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深入贯彻习近平生态文明思想，完整、准确、全面贯彻新发展理念，弘扬“三北”精神，坚持山水林田湖草沙一体化保护和系</w:t>
      </w:r>
      <w:bookmarkStart w:id="131" w:name="OLE_LINK255"/>
      <w:r>
        <w:rPr>
          <w:rFonts w:hint="eastAsia" w:ascii="仿宋_GB2312" w:hAnsi="仿宋_GB2312" w:eastAsia="仿宋_GB2312" w:cs="仿宋_GB2312"/>
          <w:color w:val="000000"/>
          <w:sz w:val="30"/>
          <w:szCs w:val="30"/>
        </w:rPr>
        <w:t>统治理，以筑牢我国北方和首都生态安全屏障为根本目标，</w:t>
      </w:r>
      <w:bookmarkStart w:id="132" w:name="OLE_LINK266"/>
      <w:bookmarkStart w:id="133" w:name="OLE_LINK265"/>
      <w:r>
        <w:rPr>
          <w:rFonts w:hint="eastAsia" w:ascii="仿宋_GB2312" w:hAnsi="仿宋_GB2312" w:eastAsia="仿宋_GB2312" w:cs="仿宋_GB2312"/>
          <w:color w:val="000000"/>
          <w:sz w:val="30"/>
          <w:szCs w:val="30"/>
        </w:rPr>
        <w:t>以燕山山地南部生态综合治理和太行山东北部生态综合治理两个重点项目为抓手</w:t>
      </w:r>
      <w:bookmarkEnd w:id="132"/>
      <w:bookmarkEnd w:id="133"/>
      <w:r>
        <w:rPr>
          <w:rFonts w:hint="eastAsia" w:ascii="仿宋_GB2312" w:hAnsi="仿宋_GB2312" w:eastAsia="仿宋_GB2312" w:cs="仿宋_GB2312"/>
          <w:color w:val="000000"/>
          <w:sz w:val="30"/>
          <w:szCs w:val="30"/>
        </w:rPr>
        <w:t>，立足首都功能定位，</w:t>
      </w:r>
      <w:bookmarkStart w:id="134" w:name="OLE_LINK197"/>
      <w:bookmarkStart w:id="135" w:name="OLE_LINK251"/>
      <w:bookmarkStart w:id="136" w:name="OLE_LINK193"/>
      <w:bookmarkStart w:id="137" w:name="OLE_LINK198"/>
      <w:bookmarkStart w:id="138" w:name="OLE_LINK194"/>
      <w:bookmarkStart w:id="139" w:name="OLE_LINK253"/>
      <w:bookmarkStart w:id="140" w:name="OLE_LINK252"/>
      <w:r>
        <w:rPr>
          <w:rFonts w:hint="eastAsia" w:ascii="仿宋_GB2312" w:hAnsi="仿宋_GB2312" w:eastAsia="仿宋_GB2312" w:cs="仿宋_GB2312"/>
          <w:color w:val="000000"/>
          <w:sz w:val="30"/>
          <w:szCs w:val="30"/>
        </w:rPr>
        <w:t>坚持以首都高质量发展为目的，不断优化绿色空间布局，科学提升生态环境质量，夯实花园城市生态基底，加快推进首都花园城市建</w:t>
      </w:r>
      <w:bookmarkStart w:id="141" w:name="OLE_LINK260"/>
      <w:bookmarkStart w:id="142" w:name="OLE_LINK261"/>
      <w:r>
        <w:rPr>
          <w:rFonts w:hint="eastAsia" w:ascii="仿宋_GB2312" w:hAnsi="仿宋_GB2312" w:eastAsia="仿宋_GB2312" w:cs="仿宋_GB2312"/>
          <w:color w:val="000000"/>
          <w:sz w:val="30"/>
          <w:szCs w:val="30"/>
        </w:rPr>
        <w:t>设，将北京建设成为天蓝水清、森拥园簇、秩序壮美、和谐宜居的花园之都</w:t>
      </w:r>
      <w:bookmarkEnd w:id="141"/>
      <w:bookmarkEnd w:id="142"/>
      <w:r>
        <w:rPr>
          <w:rFonts w:hint="eastAsia" w:ascii="仿宋_GB2312" w:hAnsi="仿宋_GB2312" w:eastAsia="仿宋_GB2312" w:cs="仿宋_GB2312"/>
          <w:color w:val="000000"/>
          <w:sz w:val="30"/>
          <w:szCs w:val="30"/>
        </w:rPr>
        <w:t>。</w:t>
      </w:r>
    </w:p>
    <w:bookmarkEnd w:id="131"/>
    <w:bookmarkEnd w:id="134"/>
    <w:bookmarkEnd w:id="135"/>
    <w:bookmarkEnd w:id="136"/>
    <w:bookmarkEnd w:id="137"/>
    <w:bookmarkEnd w:id="138"/>
    <w:bookmarkEnd w:id="139"/>
    <w:bookmarkEnd w:id="140"/>
    <w:p>
      <w:pPr>
        <w:pStyle w:val="5"/>
        <w:adjustRightInd w:val="0"/>
        <w:snapToGrid w:val="0"/>
        <w:spacing w:before="0" w:line="560" w:lineRule="exact"/>
        <w:rPr>
          <w:rFonts w:ascii="Times New Roman" w:hAnsi="Times New Roman" w:eastAsia="楷体_GB2312" w:cs="Times New Roman"/>
        </w:rPr>
      </w:pPr>
      <w:r>
        <w:rPr>
          <w:rFonts w:ascii="Times New Roman" w:hAnsi="Times New Roman" w:eastAsia="楷体_GB2312" w:cs="Times New Roman"/>
        </w:rPr>
        <w:t>（二）基本原则</w:t>
      </w:r>
    </w:p>
    <w:p>
      <w:pPr>
        <w:autoSpaceDE w:val="0"/>
        <w:autoSpaceDN w:val="0"/>
        <w:adjustRightInd w:val="0"/>
        <w:snapToGrid w:val="0"/>
        <w:spacing w:line="560" w:lineRule="exact"/>
        <w:ind w:firstLine="602" w:firstLineChars="200"/>
        <w:textAlignment w:val="baseline"/>
        <w:rPr>
          <w:rFonts w:eastAsia="仿宋_GB2312"/>
          <w:color w:val="000000"/>
          <w:sz w:val="30"/>
          <w:szCs w:val="30"/>
        </w:rPr>
      </w:pPr>
      <w:r>
        <w:rPr>
          <w:rFonts w:eastAsia="仿宋_GB2312"/>
          <w:b/>
          <w:bCs/>
          <w:color w:val="000000"/>
          <w:sz w:val="30"/>
          <w:szCs w:val="30"/>
        </w:rPr>
        <w:t>坚持保护优先、系统治理。</w:t>
      </w:r>
      <w:r>
        <w:rPr>
          <w:rFonts w:eastAsia="仿宋_GB2312"/>
          <w:color w:val="000000"/>
          <w:sz w:val="30"/>
          <w:szCs w:val="30"/>
        </w:rPr>
        <w:t>坚持山水林田湖草沙一体化保护修复，保护优先，自然恢复与人工修复相结合；按山系、流域等自然特征严格保护现有林草植被；把握生态系统演替规律，促进森林、湿地生态系统修复，提升生态系统的稳定性。</w:t>
      </w:r>
    </w:p>
    <w:p>
      <w:pPr>
        <w:autoSpaceDE w:val="0"/>
        <w:autoSpaceDN w:val="0"/>
        <w:adjustRightInd w:val="0"/>
        <w:snapToGrid w:val="0"/>
        <w:spacing w:line="560" w:lineRule="exact"/>
        <w:ind w:firstLine="602" w:firstLineChars="200"/>
        <w:textAlignment w:val="baseline"/>
        <w:rPr>
          <w:rFonts w:eastAsia="仿宋_GB2312"/>
          <w:color w:val="000000"/>
          <w:sz w:val="30"/>
          <w:szCs w:val="30"/>
        </w:rPr>
      </w:pPr>
      <w:r>
        <w:rPr>
          <w:rFonts w:eastAsia="仿宋_GB2312"/>
          <w:b/>
          <w:bCs/>
          <w:color w:val="000000"/>
          <w:sz w:val="30"/>
          <w:szCs w:val="30"/>
        </w:rPr>
        <w:t>坚持因地制宜，精准治理。</w:t>
      </w:r>
      <w:r>
        <w:rPr>
          <w:rFonts w:eastAsia="仿宋_GB2312"/>
          <w:color w:val="000000"/>
          <w:sz w:val="30"/>
          <w:szCs w:val="30"/>
        </w:rPr>
        <w:t>以沙化土地自然条件为基础，因地制宜、实事求是、科学施策，合理确定主攻方向、治理措施和任务安排，解决重点区域突出生态问题，加强生态涵养重点生态功能区、浅山生态脆弱区生态修复，促进生态斑块互联互通，不断完善市域绿色空间格局。</w:t>
      </w:r>
    </w:p>
    <w:p>
      <w:pPr>
        <w:autoSpaceDE w:val="0"/>
        <w:autoSpaceDN w:val="0"/>
        <w:adjustRightInd w:val="0"/>
        <w:snapToGrid w:val="0"/>
        <w:spacing w:line="560" w:lineRule="exact"/>
        <w:ind w:firstLine="602" w:firstLineChars="200"/>
        <w:textAlignment w:val="baseline"/>
        <w:rPr>
          <w:rFonts w:eastAsia="仿宋_GB2312"/>
          <w:color w:val="000000"/>
          <w:sz w:val="30"/>
          <w:szCs w:val="30"/>
        </w:rPr>
      </w:pPr>
      <w:r>
        <w:rPr>
          <w:rFonts w:eastAsia="仿宋_GB2312"/>
          <w:b/>
          <w:bCs/>
          <w:color w:val="000000"/>
          <w:sz w:val="30"/>
          <w:szCs w:val="30"/>
        </w:rPr>
        <w:t>坚持绿色发展，生态惠民。</w:t>
      </w:r>
      <w:r>
        <w:rPr>
          <w:rFonts w:eastAsia="仿宋_GB2312"/>
          <w:color w:val="000000"/>
          <w:sz w:val="30"/>
          <w:szCs w:val="30"/>
        </w:rPr>
        <w:t>践行绿水青山就是金山银山理念，在生态保护的前提下，适度发展绿色产业，推进生态惠民、生态利民、生态为民，不断满足人民群众对优质生态产品的需求，提升群众的获得感，实现生态、经济和社会效益综合最大化，普惠民生。</w:t>
      </w:r>
    </w:p>
    <w:p>
      <w:pPr>
        <w:pStyle w:val="4"/>
        <w:spacing w:before="120" w:after="120"/>
        <w:ind w:firstLine="600"/>
        <w:rPr>
          <w:rFonts w:ascii="Times New Roman" w:hAnsi="Times New Roman" w:cs="Times New Roman"/>
        </w:rPr>
      </w:pPr>
      <w:bookmarkStart w:id="143" w:name="_Toc202350685"/>
      <w:bookmarkStart w:id="144" w:name="_Toc3485"/>
      <w:bookmarkStart w:id="145" w:name="_Toc166412185"/>
      <w:r>
        <w:rPr>
          <w:rFonts w:ascii="Times New Roman" w:hAnsi="Times New Roman" w:cs="Times New Roman"/>
        </w:rPr>
        <w:t>二、规划目标</w:t>
      </w:r>
      <w:bookmarkEnd w:id="143"/>
      <w:bookmarkEnd w:id="144"/>
      <w:bookmarkEnd w:id="145"/>
    </w:p>
    <w:p>
      <w:pPr>
        <w:autoSpaceDE w:val="0"/>
        <w:autoSpaceDN w:val="0"/>
        <w:adjustRightInd w:val="0"/>
        <w:snapToGrid w:val="0"/>
        <w:spacing w:line="560" w:lineRule="exact"/>
        <w:ind w:firstLine="600" w:firstLineChars="200"/>
        <w:textAlignment w:val="baseline"/>
        <w:rPr>
          <w:rFonts w:ascii="Times New Roman" w:hAnsi="Times New Roman" w:cs="Times New Roman"/>
        </w:rPr>
      </w:pPr>
      <w:bookmarkStart w:id="146" w:name="OLE_LINK63"/>
      <w:bookmarkStart w:id="147" w:name="OLE_LINK62"/>
      <w:r>
        <w:rPr>
          <w:rFonts w:hint="eastAsia" w:ascii="仿宋_GB2312" w:hAnsi="仿宋_GB2312" w:eastAsia="仿宋_GB2312" w:cs="仿宋_GB2312"/>
          <w:color w:val="000000" w:themeColor="text1"/>
          <w:sz w:val="30"/>
          <w:szCs w:val="30"/>
          <w14:textFill>
            <w14:solidFill>
              <w14:schemeClr w14:val="tx1"/>
            </w14:solidFill>
          </w14:textFill>
        </w:rPr>
        <w:t>落实国家三北工程规划目标及任务，明确我市相关规划任务。重点实施燕山山地南部生态综合治理和太行山东北部生态综合治理2个重点项目。完成沙化土地综合治理6万亩、非沙化土地林草修复28万亩、封山育林90万亩、中幼林抚育85</w:t>
      </w:r>
      <w:r>
        <w:rPr>
          <w:rFonts w:hint="eastAsia" w:ascii="仿宋_GB2312" w:hAnsi="仿宋_GB2312" w:eastAsia="仿宋_GB2312" w:cs="仿宋_GB2312"/>
          <w:color w:val="000000" w:themeColor="text1"/>
          <w:sz w:val="30"/>
          <w:szCs w:val="30"/>
          <w:lang w:val="en-US" w:eastAsia="zh-CN"/>
          <w14:textFill>
            <w14:solidFill>
              <w14:schemeClr w14:val="tx1"/>
            </w14:solidFill>
          </w14:textFill>
        </w:rPr>
        <w:t>0</w:t>
      </w:r>
      <w:r>
        <w:rPr>
          <w:rFonts w:hint="eastAsia" w:ascii="仿宋_GB2312" w:hAnsi="仿宋_GB2312" w:eastAsia="仿宋_GB2312" w:cs="仿宋_GB2312"/>
          <w:color w:val="000000" w:themeColor="text1"/>
          <w:sz w:val="30"/>
          <w:szCs w:val="30"/>
          <w14:textFill>
            <w14:solidFill>
              <w14:schemeClr w14:val="tx1"/>
            </w14:solidFill>
          </w14:textFill>
        </w:rPr>
        <w:t>万亩、退化林修复30万亩。</w:t>
      </w:r>
      <w:bookmarkEnd w:id="146"/>
      <w:bookmarkEnd w:id="147"/>
      <w:r>
        <w:rPr>
          <w:rFonts w:hint="eastAsia" w:ascii="仿宋_GB2312" w:hAnsi="仿宋_GB2312" w:eastAsia="仿宋_GB2312" w:cs="仿宋_GB2312"/>
          <w:color w:val="000000" w:themeColor="text1"/>
          <w:sz w:val="30"/>
          <w:szCs w:val="30"/>
          <w14:textFill>
            <w14:solidFill>
              <w14:schemeClr w14:val="tx1"/>
            </w14:solidFill>
          </w14:textFill>
        </w:rPr>
        <w:t>通过实施三北工程六期规划任务，全市林草植被持续增加，林草资源总量和质量持续提升，沙化治理成果得到有效巩固，森林保护修复水平全面提升，水土流失状况持续改善，生物多样性保护持续加强，山水林田湖草沙一体化保护和系统治理能力明显提高，首都生态屏障更加牢固。</w:t>
      </w:r>
    </w:p>
    <w:p>
      <w:pPr>
        <w:pStyle w:val="2"/>
        <w:rPr>
          <w:rFonts w:ascii="Times New Roman" w:hAnsi="Times New Roman" w:eastAsia="方正小标宋_GBK"/>
          <w:sz w:val="36"/>
          <w:szCs w:val="36"/>
        </w:rPr>
      </w:pPr>
      <w:r>
        <w:rPr>
          <w:rFonts w:ascii="Times New Roman" w:hAnsi="Times New Roman"/>
        </w:rPr>
        <w:br w:type="page"/>
      </w:r>
    </w:p>
    <w:p>
      <w:pPr>
        <w:pStyle w:val="3"/>
        <w:rPr>
          <w:rFonts w:ascii="Times New Roman" w:hAnsi="Times New Roman" w:cs="Times New Roman"/>
        </w:rPr>
      </w:pPr>
      <w:bookmarkStart w:id="148" w:name="_Toc202350686"/>
      <w:r>
        <w:rPr>
          <w:rFonts w:ascii="Times New Roman" w:hAnsi="Times New Roman" w:cs="Times New Roman"/>
        </w:rPr>
        <w:t>第五章</w:t>
      </w:r>
      <w:r>
        <w:rPr>
          <w:rFonts w:hint="eastAsia" w:ascii="Times New Roman" w:hAnsi="Times New Roman" w:cs="Times New Roman"/>
        </w:rPr>
        <w:t xml:space="preserve"> </w:t>
      </w:r>
      <w:r>
        <w:rPr>
          <w:rFonts w:ascii="Times New Roman" w:hAnsi="Times New Roman" w:cs="Times New Roman"/>
        </w:rPr>
        <w:t>规划任务</w:t>
      </w:r>
      <w:r>
        <w:rPr>
          <w:rFonts w:hint="eastAsia" w:ascii="Times New Roman" w:hAnsi="Times New Roman" w:cs="Times New Roman"/>
        </w:rPr>
        <w:t>及总体布局</w:t>
      </w:r>
      <w:bookmarkEnd w:id="148"/>
    </w:p>
    <w:p>
      <w:pPr>
        <w:spacing w:line="560" w:lineRule="exact"/>
        <w:rPr>
          <w:rFonts w:eastAsia="仿宋_GB2312"/>
          <w:color w:val="000000"/>
          <w:spacing w:val="7"/>
          <w:sz w:val="30"/>
          <w:szCs w:val="30"/>
        </w:rPr>
      </w:pPr>
      <w:r>
        <w:rPr>
          <w:rFonts w:eastAsia="方正小标宋_GBK"/>
          <w:sz w:val="36"/>
          <w:szCs w:val="36"/>
        </w:rPr>
        <w:t xml:space="preserve">    </w:t>
      </w:r>
      <w:r>
        <w:rPr>
          <w:rFonts w:eastAsia="仿宋_GB2312"/>
          <w:color w:val="000000"/>
          <w:spacing w:val="7"/>
          <w:sz w:val="30"/>
          <w:szCs w:val="30"/>
        </w:rPr>
        <w:t>按照国家三北工程六期规划的建设布局，以及北京市生态区位的重要性，北京分属防沙治沙和林草修复任务较重的协同推进区和巩固拓展区，主要任务是建设第二道防线，着力构建多层次，多方位的生态防护网络和持续巩固提升建设成果，保护好来之不易的森林、草地，形成统筹兼顾、协同发力、整体推进的治理格局，打造人与自然和谐共生的绿美样板。</w:t>
      </w:r>
    </w:p>
    <w:p>
      <w:pPr>
        <w:pStyle w:val="4"/>
        <w:spacing w:before="120" w:after="120"/>
        <w:ind w:firstLine="600"/>
        <w:rPr>
          <w:rFonts w:ascii="Times New Roman" w:hAnsi="Times New Roman" w:cs="Times New Roman"/>
        </w:rPr>
      </w:pPr>
      <w:bookmarkStart w:id="149" w:name="_Toc202350687"/>
      <w:bookmarkStart w:id="150" w:name="OLE_LINK90"/>
      <w:bookmarkStart w:id="151" w:name="OLE_LINK91"/>
      <w:r>
        <w:rPr>
          <w:rFonts w:ascii="Times New Roman" w:hAnsi="Times New Roman" w:cs="Times New Roman"/>
        </w:rPr>
        <w:t>一、国家规划任务</w:t>
      </w:r>
      <w:bookmarkEnd w:id="149"/>
    </w:p>
    <w:bookmarkEnd w:id="150"/>
    <w:bookmarkEnd w:id="151"/>
    <w:p>
      <w:pPr>
        <w:spacing w:line="560" w:lineRule="exact"/>
        <w:ind w:firstLine="628" w:firstLineChars="200"/>
        <w:rPr>
          <w:rFonts w:ascii="仿宋_GB2312" w:hAnsi="仿宋_GB2312" w:eastAsia="仿宋_GB2312" w:cs="仿宋_GB2312"/>
        </w:rPr>
      </w:pPr>
      <w:r>
        <w:rPr>
          <w:rFonts w:hint="eastAsia" w:ascii="仿宋_GB2312" w:hAnsi="仿宋_GB2312" w:eastAsia="仿宋_GB2312" w:cs="仿宋_GB2312"/>
          <w:color w:val="000000"/>
          <w:spacing w:val="7"/>
          <w:sz w:val="30"/>
          <w:szCs w:val="30"/>
        </w:rPr>
        <w:t>国家三北工程六期建设范围包括“三北”地区13个省（自治区、直辖市）的775个县（市、区、旗，以下简称县）以及新疆生产建设兵团所属团（场），总面积448.6万平方公里，并确定了三大区域。一是以黄河“几字湾”攻坚战，科尔沁和浑善达克沙地歼灭战、河西走廊-塔克拉玛干沙漠边缘阻击战涉及的核心攻坚区。</w:t>
      </w:r>
      <w:bookmarkStart w:id="152" w:name="OLE_LINK51"/>
      <w:r>
        <w:rPr>
          <w:rFonts w:hint="eastAsia" w:ascii="仿宋_GB2312" w:hAnsi="仿宋_GB2312" w:eastAsia="仿宋_GB2312" w:cs="仿宋_GB2312"/>
          <w:color w:val="000000"/>
          <w:spacing w:val="7"/>
          <w:sz w:val="30"/>
          <w:szCs w:val="30"/>
        </w:rPr>
        <w:t>核心攻坚区是主攻阵地，涵盖11个省区的238个县以及新疆生产建设兵团有关团（场），占三北工程区总面积的66.59%。</w:t>
      </w:r>
      <w:bookmarkEnd w:id="152"/>
      <w:r>
        <w:rPr>
          <w:rFonts w:hint="eastAsia" w:ascii="仿宋_GB2312" w:hAnsi="仿宋_GB2312" w:eastAsia="仿宋_GB2312" w:cs="仿宋_GB2312"/>
          <w:color w:val="000000"/>
          <w:spacing w:val="7"/>
          <w:sz w:val="30"/>
          <w:szCs w:val="30"/>
        </w:rPr>
        <w:t>二是部署生态区位重要、防沙治沙和林草修复任务较重的协同推进区。协同推进区是协防阵地，涵盖12个省（自治区、直辖市）的240个县以及新疆生产建设兵团有关团（场），占三北工程区总面积的26.68%。三是构筑功能完备、牢不可破的北方生态安全屏障，在核心攻坚区和协同推进区之外，部署了巩固拓展区。巩固拓展区是外延阵地，涉及核心攻坚区和协同推进区外的207个县，占三北工程区总面积的6.73%。</w:t>
      </w:r>
    </w:p>
    <w:p>
      <w:pPr>
        <w:pStyle w:val="4"/>
        <w:spacing w:before="120" w:after="120"/>
        <w:ind w:firstLine="600"/>
        <w:rPr>
          <w:rFonts w:ascii="Times New Roman" w:hAnsi="Times New Roman" w:cs="Times New Roman"/>
        </w:rPr>
      </w:pPr>
      <w:bookmarkStart w:id="153" w:name="_Toc202350688"/>
      <w:r>
        <w:rPr>
          <w:rFonts w:ascii="Times New Roman" w:hAnsi="Times New Roman" w:cs="Times New Roman"/>
        </w:rPr>
        <w:t>二、</w:t>
      </w:r>
      <w:bookmarkStart w:id="154" w:name="OLE_LINK94"/>
      <w:bookmarkStart w:id="155" w:name="OLE_LINK95"/>
      <w:r>
        <w:rPr>
          <w:rFonts w:hint="eastAsia" w:ascii="Times New Roman" w:hAnsi="Times New Roman" w:cs="Times New Roman"/>
        </w:rPr>
        <w:t>北京市三北工程六期规划</w:t>
      </w:r>
      <w:r>
        <w:rPr>
          <w:rFonts w:ascii="Times New Roman" w:hAnsi="Times New Roman" w:cs="Times New Roman"/>
        </w:rPr>
        <w:t>任务</w:t>
      </w:r>
      <w:bookmarkEnd w:id="153"/>
    </w:p>
    <w:bookmarkEnd w:id="154"/>
    <w:bookmarkEnd w:id="155"/>
    <w:p>
      <w:pPr>
        <w:keepNext w:val="0"/>
        <w:keepLines w:val="0"/>
        <w:pageBreakBefore w:val="0"/>
        <w:widowControl w:val="0"/>
        <w:kinsoku/>
        <w:wordWrap/>
        <w:overflowPunct/>
        <w:topLinePunct w:val="0"/>
        <w:autoSpaceDE/>
        <w:autoSpaceDN/>
        <w:bidi w:val="0"/>
        <w:adjustRightInd w:val="0"/>
        <w:snapToGrid w:val="0"/>
        <w:spacing w:line="560" w:lineRule="exact"/>
        <w:ind w:firstLine="600" w:firstLineChars="20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国家三北工程</w:t>
      </w:r>
      <w:bookmarkStart w:id="156" w:name="OLE_LINK112"/>
      <w:bookmarkStart w:id="157" w:name="OLE_LINK113"/>
      <w:r>
        <w:rPr>
          <w:rFonts w:hint="eastAsia" w:ascii="仿宋_GB2312" w:hAnsi="仿宋_GB2312" w:eastAsia="仿宋_GB2312" w:cs="仿宋_GB2312"/>
          <w:sz w:val="30"/>
          <w:szCs w:val="30"/>
        </w:rPr>
        <w:t>六期规划</w:t>
      </w:r>
      <w:bookmarkEnd w:id="156"/>
      <w:bookmarkEnd w:id="157"/>
      <w:r>
        <w:rPr>
          <w:rFonts w:hint="eastAsia" w:ascii="仿宋_GB2312" w:hAnsi="仿宋_GB2312" w:eastAsia="仿宋_GB2312" w:cs="仿宋_GB2312"/>
          <w:sz w:val="30"/>
          <w:szCs w:val="30"/>
        </w:rPr>
        <w:t>中明确了北京市昌平区、怀柔区、平谷区、密云区、延庆区、门头沟区、房山区、朝阳区、通州区、顺义区和大兴区11个区纳入三北工程范围，分属于</w:t>
      </w:r>
      <w:bookmarkStart w:id="158" w:name="OLE_LINK101"/>
      <w:bookmarkStart w:id="159" w:name="OLE_LINK100"/>
      <w:r>
        <w:rPr>
          <w:rFonts w:hint="eastAsia" w:ascii="仿宋_GB2312" w:hAnsi="仿宋_GB2312" w:eastAsia="仿宋_GB2312" w:cs="仿宋_GB2312"/>
          <w:sz w:val="30"/>
          <w:szCs w:val="30"/>
        </w:rPr>
        <w:t>协同推进</w:t>
      </w:r>
      <w:bookmarkStart w:id="160" w:name="OLE_LINK111"/>
      <w:bookmarkStart w:id="161" w:name="OLE_LINK114"/>
      <w:r>
        <w:rPr>
          <w:rFonts w:hint="eastAsia" w:ascii="仿宋_GB2312" w:hAnsi="仿宋_GB2312" w:eastAsia="仿宋_GB2312" w:cs="仿宋_GB2312"/>
          <w:sz w:val="30"/>
          <w:szCs w:val="30"/>
        </w:rPr>
        <w:t>区</w:t>
      </w:r>
      <w:bookmarkEnd w:id="158"/>
      <w:bookmarkEnd w:id="159"/>
      <w:r>
        <w:rPr>
          <w:rFonts w:hint="eastAsia" w:ascii="仿宋_GB2312" w:hAnsi="仿宋_GB2312" w:eastAsia="仿宋_GB2312" w:cs="仿宋_GB2312"/>
          <w:sz w:val="30"/>
          <w:szCs w:val="30"/>
        </w:rPr>
        <w:t>的华北平原北部生态保护修复区和巩固拓展区的华北平原-内蒙古高原生态廊道连通区。</w:t>
      </w:r>
    </w:p>
    <w:p>
      <w:pPr>
        <w:keepNext w:val="0"/>
        <w:keepLines w:val="0"/>
        <w:pageBreakBefore w:val="0"/>
        <w:widowControl w:val="0"/>
        <w:kinsoku/>
        <w:wordWrap/>
        <w:overflowPunct/>
        <w:topLinePunct w:val="0"/>
        <w:autoSpaceDE/>
        <w:autoSpaceDN/>
        <w:bidi w:val="0"/>
        <w:adjustRightInd w:val="0"/>
        <w:snapToGrid w:val="0"/>
        <w:spacing w:line="560" w:lineRule="exact"/>
        <w:ind w:firstLine="600" w:firstLineChars="200"/>
        <w:textAlignment w:val="auto"/>
        <w:rPr>
          <w:rFonts w:hint="eastAsia" w:ascii="仿宋_GB2312" w:hAnsi="仿宋_GB2312" w:eastAsia="仿宋_GB2312" w:cs="仿宋_GB2312"/>
          <w:sz w:val="30"/>
          <w:szCs w:val="30"/>
        </w:rPr>
      </w:pPr>
      <w:bookmarkStart w:id="162" w:name="OLE_LINK97"/>
      <w:bookmarkStart w:id="163" w:name="OLE_LINK96"/>
      <w:r>
        <w:rPr>
          <w:rFonts w:hint="eastAsia" w:ascii="仿宋_GB2312" w:hAnsi="仿宋_GB2312" w:eastAsia="仿宋_GB2312" w:cs="仿宋_GB2312"/>
          <w:sz w:val="30"/>
          <w:szCs w:val="30"/>
        </w:rPr>
        <w:t>协同推进区</w:t>
      </w:r>
      <w:bookmarkEnd w:id="162"/>
      <w:bookmarkEnd w:id="163"/>
      <w:r>
        <w:rPr>
          <w:rFonts w:hint="eastAsia" w:ascii="仿宋_GB2312" w:hAnsi="仿宋_GB2312" w:eastAsia="仿宋_GB2312" w:cs="仿宋_GB2312"/>
          <w:sz w:val="30"/>
          <w:szCs w:val="30"/>
        </w:rPr>
        <w:t>的</w:t>
      </w:r>
      <w:bookmarkStart w:id="164" w:name="OLE_LINK105"/>
      <w:bookmarkStart w:id="165" w:name="OLE_LINK104"/>
      <w:r>
        <w:rPr>
          <w:rFonts w:hint="eastAsia" w:ascii="仿宋_GB2312" w:hAnsi="仿宋_GB2312" w:eastAsia="仿宋_GB2312" w:cs="仿宋_GB2312"/>
          <w:sz w:val="30"/>
          <w:szCs w:val="30"/>
        </w:rPr>
        <w:t>华北平原北部生态保护修复区</w:t>
      </w:r>
      <w:bookmarkEnd w:id="164"/>
      <w:bookmarkEnd w:id="165"/>
      <w:r>
        <w:rPr>
          <w:rFonts w:hint="eastAsia" w:ascii="仿宋_GB2312" w:hAnsi="仿宋_GB2312" w:eastAsia="仿宋_GB2312" w:cs="仿宋_GB2312"/>
          <w:sz w:val="30"/>
          <w:szCs w:val="30"/>
        </w:rPr>
        <w:t>，</w:t>
      </w:r>
      <w:bookmarkStart w:id="166" w:name="OLE_LINK68"/>
      <w:bookmarkStart w:id="167" w:name="OLE_LINK69"/>
      <w:r>
        <w:rPr>
          <w:rFonts w:hint="eastAsia" w:ascii="仿宋_GB2312" w:hAnsi="仿宋_GB2312" w:eastAsia="仿宋_GB2312" w:cs="仿宋_GB2312"/>
          <w:sz w:val="30"/>
          <w:szCs w:val="30"/>
        </w:rPr>
        <w:t>涉及昌平区、怀柔区、平谷区、密云区、延庆区</w:t>
      </w:r>
      <w:bookmarkEnd w:id="166"/>
      <w:bookmarkEnd w:id="167"/>
      <w:r>
        <w:rPr>
          <w:rFonts w:hint="eastAsia" w:ascii="仿宋_GB2312" w:hAnsi="仿宋_GB2312" w:eastAsia="仿宋_GB2312" w:cs="仿宋_GB2312"/>
          <w:sz w:val="30"/>
          <w:szCs w:val="30"/>
        </w:rPr>
        <w:t>、房山区和门头沟区7个区，部署了</w:t>
      </w:r>
      <w:bookmarkStart w:id="168" w:name="OLE_LINK76"/>
      <w:bookmarkStart w:id="169" w:name="OLE_LINK77"/>
      <w:bookmarkStart w:id="170" w:name="OLE_LINK117"/>
      <w:bookmarkStart w:id="171" w:name="OLE_LINK118"/>
      <w:bookmarkStart w:id="172" w:name="OLE_LINK254"/>
      <w:r>
        <w:rPr>
          <w:rFonts w:hint="eastAsia" w:ascii="仿宋_GB2312" w:hAnsi="仿宋_GB2312" w:eastAsia="仿宋_GB2312" w:cs="仿宋_GB2312"/>
          <w:sz w:val="30"/>
          <w:szCs w:val="30"/>
        </w:rPr>
        <w:t>燕山山地南部生态综合治理</w:t>
      </w:r>
      <w:bookmarkEnd w:id="168"/>
      <w:bookmarkEnd w:id="169"/>
      <w:r>
        <w:rPr>
          <w:rFonts w:hint="eastAsia" w:ascii="仿宋_GB2312" w:hAnsi="仿宋_GB2312" w:eastAsia="仿宋_GB2312" w:cs="仿宋_GB2312"/>
          <w:sz w:val="30"/>
          <w:szCs w:val="30"/>
        </w:rPr>
        <w:t>和</w:t>
      </w:r>
      <w:bookmarkStart w:id="173" w:name="OLE_LINK93"/>
      <w:bookmarkStart w:id="174" w:name="OLE_LINK92"/>
      <w:r>
        <w:rPr>
          <w:rFonts w:hint="eastAsia" w:ascii="仿宋_GB2312" w:hAnsi="仿宋_GB2312" w:eastAsia="仿宋_GB2312" w:cs="仿宋_GB2312"/>
          <w:sz w:val="30"/>
          <w:szCs w:val="30"/>
        </w:rPr>
        <w:t>太行山东北部生态综合治理</w:t>
      </w:r>
      <w:bookmarkEnd w:id="170"/>
      <w:bookmarkEnd w:id="171"/>
      <w:bookmarkEnd w:id="173"/>
      <w:bookmarkEnd w:id="174"/>
      <w:r>
        <w:rPr>
          <w:rFonts w:hint="eastAsia" w:ascii="仿宋_GB2312" w:hAnsi="仿宋_GB2312" w:eastAsia="仿宋_GB2312" w:cs="仿宋_GB2312"/>
          <w:sz w:val="30"/>
          <w:szCs w:val="30"/>
        </w:rPr>
        <w:t>2个重点项目</w:t>
      </w:r>
      <w:bookmarkEnd w:id="172"/>
      <w:r>
        <w:rPr>
          <w:rFonts w:hint="eastAsia" w:ascii="仿宋_GB2312" w:hAnsi="仿宋_GB2312" w:eastAsia="仿宋_GB2312" w:cs="仿宋_GB2312"/>
          <w:sz w:val="30"/>
          <w:szCs w:val="30"/>
        </w:rPr>
        <w:t>。燕山山地南部生态综合治理项目建设任务为：</w:t>
      </w:r>
      <w:bookmarkStart w:id="175" w:name="OLE_LINK82"/>
      <w:bookmarkStart w:id="176" w:name="OLE_LINK83"/>
      <w:r>
        <w:rPr>
          <w:rFonts w:hint="eastAsia" w:ascii="仿宋_GB2312" w:hAnsi="仿宋_GB2312" w:eastAsia="仿宋_GB2312" w:cs="仿宋_GB2312"/>
          <w:sz w:val="30"/>
          <w:szCs w:val="30"/>
        </w:rPr>
        <w:t>严格保护天然林和公益林，开展封山育林、人工造林种草，在山地、湿地周边营造乔灌草结合的水源涵养林和水土保持林，统筹实施森林抚育、退化林修复，巩固首都北部绿色生态屏障。开展水土流失综合治理。统筹生活、生产和生态用水，优化水资源配置，对退化湿地进行修复。</w:t>
      </w:r>
      <w:bookmarkEnd w:id="175"/>
      <w:bookmarkEnd w:id="176"/>
      <w:r>
        <w:rPr>
          <w:rFonts w:hint="eastAsia" w:ascii="仿宋_GB2312" w:hAnsi="仿宋_GB2312" w:eastAsia="仿宋_GB2312" w:cs="仿宋_GB2312"/>
          <w:sz w:val="30"/>
          <w:szCs w:val="30"/>
        </w:rPr>
        <w:t>太行山东北部生态综合治理建设任务为</w:t>
      </w:r>
      <w:bookmarkStart w:id="177" w:name="OLE_LINK86"/>
      <w:r>
        <w:rPr>
          <w:rFonts w:hint="eastAsia" w:ascii="仿宋_GB2312" w:hAnsi="仿宋_GB2312" w:eastAsia="仿宋_GB2312" w:cs="仿宋_GB2312"/>
          <w:sz w:val="30"/>
          <w:szCs w:val="30"/>
        </w:rPr>
        <w:t>：严格保护林草植被，禁止天然林和公益林商业性采伐活动。加强生态防护林建设，科学实施人工造林种草、退化林修复和森林抚育。强化湿地保护修复，推进永定河绿色生态治理。建设针阔混交防护型用材林，发展绿色高效生态农业。</w:t>
      </w:r>
      <w:bookmarkEnd w:id="177"/>
    </w:p>
    <w:p>
      <w:pPr>
        <w:keepNext w:val="0"/>
        <w:keepLines w:val="0"/>
        <w:pageBreakBefore w:val="0"/>
        <w:widowControl w:val="0"/>
        <w:kinsoku/>
        <w:wordWrap/>
        <w:overflowPunct/>
        <w:topLinePunct w:val="0"/>
        <w:autoSpaceDE/>
        <w:autoSpaceDN/>
        <w:bidi w:val="0"/>
        <w:adjustRightInd w:val="0"/>
        <w:snapToGrid w:val="0"/>
        <w:spacing w:line="560" w:lineRule="exact"/>
        <w:ind w:firstLine="600" w:firstLineChars="200"/>
        <w:textAlignment w:val="auto"/>
        <w:rPr>
          <w:rFonts w:hint="eastAsia" w:ascii="仿宋_GB2312" w:hAnsi="仿宋_GB2312" w:eastAsia="仿宋_GB2312" w:cs="仿宋_GB2312"/>
          <w:sz w:val="30"/>
          <w:szCs w:val="30"/>
        </w:rPr>
      </w:pPr>
      <w:bookmarkStart w:id="178" w:name="OLE_LINK98"/>
      <w:bookmarkStart w:id="179" w:name="OLE_LINK99"/>
      <w:bookmarkStart w:id="180" w:name="OLE_LINK14"/>
      <w:bookmarkStart w:id="181" w:name="OLE_LINK13"/>
      <w:r>
        <w:rPr>
          <w:rFonts w:hint="eastAsia" w:ascii="仿宋_GB2312" w:hAnsi="仿宋_GB2312" w:eastAsia="仿宋_GB2312" w:cs="仿宋_GB2312"/>
          <w:sz w:val="30"/>
          <w:szCs w:val="30"/>
        </w:rPr>
        <w:t>巩固拓展区</w:t>
      </w:r>
      <w:bookmarkEnd w:id="178"/>
      <w:bookmarkEnd w:id="179"/>
      <w:bookmarkStart w:id="182" w:name="OLE_LINK108"/>
      <w:r>
        <w:rPr>
          <w:rFonts w:hint="eastAsia" w:ascii="仿宋_GB2312" w:hAnsi="仿宋_GB2312" w:eastAsia="仿宋_GB2312" w:cs="仿宋_GB2312"/>
          <w:sz w:val="30"/>
          <w:szCs w:val="30"/>
        </w:rPr>
        <w:t>的华北平原-内蒙古高原生态廊道连通区</w:t>
      </w:r>
      <w:bookmarkEnd w:id="180"/>
      <w:bookmarkEnd w:id="181"/>
      <w:bookmarkEnd w:id="182"/>
      <w:bookmarkStart w:id="183" w:name="OLE_LINK103"/>
      <w:bookmarkStart w:id="184" w:name="OLE_LINK102"/>
      <w:r>
        <w:rPr>
          <w:rFonts w:hint="eastAsia" w:ascii="仿宋_GB2312" w:hAnsi="仿宋_GB2312" w:eastAsia="仿宋_GB2312" w:cs="仿宋_GB2312"/>
          <w:sz w:val="30"/>
          <w:szCs w:val="30"/>
        </w:rPr>
        <w:t>，涉及顺义区、朝阳区、大兴区、通州区4个区，建设任务为：统筹采用封山育林育草、人工造林种草等措施，积极推进中幼林抚育、退化林修复，营造乔灌草结合的复层水源涵养林和水土保持林，提升</w:t>
      </w:r>
      <w:bookmarkStart w:id="185" w:name="OLE_LINK119"/>
      <w:bookmarkStart w:id="186" w:name="OLE_LINK120"/>
      <w:r>
        <w:rPr>
          <w:rFonts w:hint="eastAsia" w:ascii="仿宋_GB2312" w:hAnsi="仿宋_GB2312" w:eastAsia="仿宋_GB2312" w:cs="仿宋_GB2312"/>
          <w:sz w:val="30"/>
          <w:szCs w:val="30"/>
        </w:rPr>
        <w:t>燕山东南麓</w:t>
      </w:r>
      <w:bookmarkEnd w:id="185"/>
      <w:bookmarkEnd w:id="186"/>
      <w:r>
        <w:rPr>
          <w:rFonts w:hint="eastAsia" w:ascii="仿宋_GB2312" w:hAnsi="仿宋_GB2312" w:eastAsia="仿宋_GB2312" w:cs="仿宋_GB2312"/>
          <w:sz w:val="30"/>
          <w:szCs w:val="30"/>
        </w:rPr>
        <w:t>生态功能。加强</w:t>
      </w:r>
      <w:bookmarkStart w:id="187" w:name="OLE_LINK128"/>
      <w:bookmarkStart w:id="188" w:name="OLE_LINK127"/>
      <w:r>
        <w:rPr>
          <w:rFonts w:hint="eastAsia" w:ascii="仿宋_GB2312" w:hAnsi="仿宋_GB2312" w:eastAsia="仿宋_GB2312" w:cs="仿宋_GB2312"/>
          <w:sz w:val="30"/>
          <w:szCs w:val="30"/>
        </w:rPr>
        <w:t>海河流域</w:t>
      </w:r>
      <w:bookmarkEnd w:id="187"/>
      <w:bookmarkEnd w:id="188"/>
      <w:r>
        <w:rPr>
          <w:rFonts w:hint="eastAsia" w:ascii="仿宋_GB2312" w:hAnsi="仿宋_GB2312" w:eastAsia="仿宋_GB2312" w:cs="仿宋_GB2312"/>
          <w:sz w:val="30"/>
          <w:szCs w:val="30"/>
        </w:rPr>
        <w:t>河流水系及水生态性保护修复，建设海河流域生态绿网。高质量推进城乡绿化美化，加强绿地保护，实施城市山体、河湖、湿地生态修复。加大城乡公园绿地建设力度，形成布局合理的公园体系，提升城乡绿地生态功能。充分利用城乡废弃地、边角地、房前屋后、闲散地等，见缝插绿，积极发展立体绿化，实现应绿尽绿。持续开展园林城市、园林县城、森林城市、森林乡镇等创建活动，建设生态宜居的美丽乡村。</w:t>
      </w:r>
    </w:p>
    <w:bookmarkEnd w:id="160"/>
    <w:bookmarkEnd w:id="161"/>
    <w:bookmarkEnd w:id="183"/>
    <w:bookmarkEnd w:id="184"/>
    <w:p>
      <w:pPr>
        <w:pStyle w:val="2"/>
        <w:spacing w:before="120" w:beforeLines="50"/>
        <w:jc w:val="center"/>
        <w:rPr>
          <w:rFonts w:ascii="仿宋_GB2312" w:hAnsi="仿宋_GB2312" w:eastAsia="仿宋_GB2312" w:cs="仿宋_GB2312"/>
          <w:spacing w:val="-3"/>
          <w:position w:val="19"/>
          <w:sz w:val="24"/>
          <w:szCs w:val="24"/>
        </w:rPr>
      </w:pPr>
      <w:bookmarkStart w:id="189" w:name="_Toc166412186"/>
      <w:bookmarkStart w:id="190" w:name="_Toc14601"/>
      <w:r>
        <w:rPr>
          <w:rFonts w:hint="eastAsia" w:ascii="仿宋_GB2312" w:hAnsi="仿宋_GB2312" w:eastAsia="仿宋_GB2312" w:cs="仿宋_GB2312"/>
          <w:spacing w:val="-3"/>
          <w:position w:val="19"/>
          <w:sz w:val="24"/>
          <w:szCs w:val="24"/>
        </w:rPr>
        <w:t>表4-1北京市三北工程六期规划任务量表</w:t>
      </w:r>
    </w:p>
    <w:p>
      <w:pPr>
        <w:spacing w:line="116" w:lineRule="exact"/>
      </w:pPr>
    </w:p>
    <w:tbl>
      <w:tblPr>
        <w:tblStyle w:val="35"/>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86"/>
        <w:gridCol w:w="4337"/>
        <w:gridCol w:w="1288"/>
        <w:gridCol w:w="1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59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b/>
                <w:bCs/>
                <w:color w:val="000000"/>
                <w:kern w:val="0"/>
                <w:sz w:val="24"/>
                <w:szCs w:val="24"/>
              </w:rPr>
            </w:pPr>
            <w:bookmarkStart w:id="191" w:name="OLE_LINK122"/>
            <w:bookmarkStart w:id="192" w:name="OLE_LINK123"/>
            <w:r>
              <w:rPr>
                <w:rFonts w:hint="eastAsia" w:ascii="仿宋_GB2312" w:hAnsi="仿宋_GB2312" w:eastAsia="仿宋_GB2312" w:cs="仿宋_GB2312"/>
                <w:b/>
                <w:bCs/>
                <w:color w:val="000000"/>
                <w:kern w:val="0"/>
                <w:sz w:val="24"/>
                <w:szCs w:val="24"/>
              </w:rPr>
              <w:t>序号</w:t>
            </w:r>
          </w:p>
        </w:tc>
        <w:tc>
          <w:tcPr>
            <w:tcW w:w="2595"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b/>
                <w:bCs/>
                <w:color w:val="000000"/>
                <w:kern w:val="0"/>
                <w:sz w:val="24"/>
                <w:szCs w:val="24"/>
              </w:rPr>
            </w:pPr>
            <w:r>
              <w:rPr>
                <w:rFonts w:hint="eastAsia" w:ascii="仿宋_GB2312" w:hAnsi="仿宋_GB2312" w:eastAsia="仿宋_GB2312" w:cs="仿宋_GB2312"/>
                <w:b/>
                <w:bCs/>
                <w:color w:val="000000"/>
                <w:kern w:val="0"/>
                <w:sz w:val="24"/>
                <w:szCs w:val="24"/>
              </w:rPr>
              <w:t>重点任务</w:t>
            </w:r>
          </w:p>
        </w:tc>
        <w:tc>
          <w:tcPr>
            <w:tcW w:w="77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b/>
                <w:bCs/>
                <w:color w:val="000000"/>
                <w:kern w:val="0"/>
                <w:sz w:val="24"/>
                <w:szCs w:val="24"/>
              </w:rPr>
            </w:pPr>
            <w:r>
              <w:rPr>
                <w:rFonts w:hint="eastAsia" w:ascii="仿宋_GB2312" w:hAnsi="仿宋_GB2312" w:eastAsia="仿宋_GB2312" w:cs="仿宋_GB2312"/>
                <w:b/>
                <w:bCs/>
                <w:color w:val="000000"/>
                <w:kern w:val="0"/>
                <w:sz w:val="24"/>
                <w:szCs w:val="24"/>
              </w:rPr>
              <w:t>单位</w:t>
            </w:r>
          </w:p>
        </w:tc>
        <w:tc>
          <w:tcPr>
            <w:tcW w:w="1043" w:type="pct"/>
            <w:tcBorders>
              <w:top w:val="single" w:color="auto" w:sz="4" w:space="0"/>
              <w:left w:val="single" w:color="auto" w:sz="4" w:space="0"/>
              <w:bottom w:val="single" w:color="auto" w:sz="4" w:space="0"/>
              <w:right w:val="single" w:color="auto" w:sz="4" w:space="0"/>
            </w:tcBorders>
            <w:vAlign w:val="center"/>
          </w:tcPr>
          <w:p>
            <w:pPr>
              <w:pStyle w:val="36"/>
              <w:spacing w:before="0" w:line="240" w:lineRule="auto"/>
              <w:rPr>
                <w:rFonts w:ascii="仿宋_GB2312" w:hAnsi="仿宋_GB2312" w:eastAsia="仿宋_GB2312" w:cs="仿宋_GB2312"/>
                <w:b/>
                <w:bCs/>
                <w:sz w:val="24"/>
                <w:szCs w:val="24"/>
                <w:lang w:eastAsia="zh-CN"/>
              </w:rPr>
            </w:pPr>
            <w:r>
              <w:rPr>
                <w:rFonts w:hint="eastAsia" w:ascii="仿宋_GB2312" w:hAnsi="仿宋_GB2312" w:eastAsia="仿宋_GB2312" w:cs="仿宋_GB2312"/>
                <w:b/>
                <w:bCs/>
                <w:sz w:val="24"/>
                <w:szCs w:val="24"/>
                <w:lang w:eastAsia="zh-CN"/>
              </w:rPr>
              <w:t xml:space="preserve">任务量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bookmarkStart w:id="193" w:name="_Hlk198726541"/>
            <w:r>
              <w:rPr>
                <w:rFonts w:hint="eastAsia" w:ascii="仿宋_GB2312" w:hAnsi="仿宋_GB2312" w:eastAsia="仿宋_GB2312" w:cs="仿宋_GB2312"/>
                <w:color w:val="000000"/>
                <w:kern w:val="0"/>
                <w:sz w:val="24"/>
                <w:szCs w:val="24"/>
              </w:rPr>
              <w:t>1</w:t>
            </w:r>
          </w:p>
        </w:tc>
        <w:tc>
          <w:tcPr>
            <w:tcW w:w="2595"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bookmarkStart w:id="194" w:name="OLE_LINK66"/>
            <w:bookmarkStart w:id="195" w:name="OLE_LINK67"/>
            <w:r>
              <w:rPr>
                <w:rFonts w:hint="eastAsia" w:ascii="仿宋_GB2312" w:hAnsi="仿宋_GB2312" w:eastAsia="仿宋_GB2312" w:cs="仿宋_GB2312"/>
                <w:color w:val="000000"/>
                <w:kern w:val="0"/>
                <w:sz w:val="24"/>
                <w:szCs w:val="24"/>
              </w:rPr>
              <w:t>造林种草</w:t>
            </w:r>
            <w:bookmarkEnd w:id="194"/>
            <w:bookmarkEnd w:id="195"/>
          </w:p>
        </w:tc>
        <w:tc>
          <w:tcPr>
            <w:tcW w:w="77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2</w:t>
            </w:r>
          </w:p>
        </w:tc>
        <w:tc>
          <w:tcPr>
            <w:tcW w:w="2595"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封山育林</w:t>
            </w:r>
          </w:p>
        </w:tc>
        <w:tc>
          <w:tcPr>
            <w:tcW w:w="77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3</w:t>
            </w:r>
          </w:p>
        </w:tc>
        <w:tc>
          <w:tcPr>
            <w:tcW w:w="2595"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中幼林抚育</w:t>
            </w:r>
          </w:p>
        </w:tc>
        <w:tc>
          <w:tcPr>
            <w:tcW w:w="77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仿宋_GB2312" w:hAnsi="仿宋_GB2312" w:eastAsia="仿宋_GB2312" w:cs="仿宋_GB2312"/>
                <w:color w:val="000000"/>
                <w:kern w:val="0"/>
                <w:sz w:val="24"/>
                <w:szCs w:val="24"/>
                <w:lang w:eastAsia="zh-CN"/>
              </w:rPr>
            </w:pPr>
            <w:r>
              <w:rPr>
                <w:rFonts w:hint="eastAsia" w:ascii="仿宋_GB2312" w:hAnsi="仿宋_GB2312" w:eastAsia="仿宋_GB2312" w:cs="仿宋_GB2312"/>
                <w:color w:val="000000"/>
                <w:kern w:val="0"/>
                <w:sz w:val="24"/>
                <w:szCs w:val="24"/>
              </w:rPr>
              <w:t>85</w:t>
            </w:r>
            <w:r>
              <w:rPr>
                <w:rFonts w:hint="eastAsia" w:ascii="仿宋_GB2312" w:hAnsi="仿宋_GB2312" w:eastAsia="仿宋_GB2312" w:cs="仿宋_GB2312"/>
                <w:color w:val="000000"/>
                <w:kern w:val="0"/>
                <w:sz w:val="24"/>
                <w:szCs w:val="24"/>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4</w:t>
            </w:r>
          </w:p>
        </w:tc>
        <w:tc>
          <w:tcPr>
            <w:tcW w:w="2595"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退化林修复</w:t>
            </w:r>
          </w:p>
        </w:tc>
        <w:tc>
          <w:tcPr>
            <w:tcW w:w="771"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30</w:t>
            </w:r>
          </w:p>
        </w:tc>
      </w:tr>
      <w:bookmarkEnd w:id="191"/>
      <w:bookmarkEnd w:id="192"/>
      <w:bookmarkEnd w:id="193"/>
    </w:tbl>
    <w:p>
      <w:pPr>
        <w:pStyle w:val="4"/>
        <w:spacing w:before="120" w:after="120"/>
        <w:ind w:firstLine="600"/>
        <w:rPr>
          <w:rFonts w:ascii="Times New Roman" w:hAnsi="Times New Roman" w:cs="Times New Roman"/>
        </w:rPr>
      </w:pPr>
      <w:bookmarkStart w:id="196" w:name="_Toc202350689"/>
      <w:r>
        <w:rPr>
          <w:rFonts w:hint="eastAsia" w:ascii="Times New Roman" w:hAnsi="Times New Roman" w:cs="Times New Roman"/>
        </w:rPr>
        <w:t>三、总体布局</w:t>
      </w:r>
      <w:bookmarkEnd w:id="189"/>
      <w:bookmarkEnd w:id="190"/>
      <w:bookmarkEnd w:id="196"/>
    </w:p>
    <w:p>
      <w:pPr>
        <w:spacing w:before="120" w:beforeLines="50" w:after="120" w:afterLines="50" w:line="560" w:lineRule="exact"/>
        <w:ind w:firstLine="641"/>
        <w:rPr>
          <w:rFonts w:ascii="仿宋_GB2312" w:hAnsi="仿宋_GB2312" w:eastAsia="仿宋_GB2312" w:cs="仿宋_GB2312"/>
          <w:sz w:val="30"/>
          <w:szCs w:val="30"/>
        </w:rPr>
      </w:pPr>
      <w:r>
        <w:rPr>
          <w:rFonts w:hint="eastAsia" w:ascii="仿宋_GB2312" w:hAnsi="仿宋_GB2312" w:eastAsia="仿宋_GB2312" w:cs="仿宋_GB2312"/>
          <w:color w:val="000000"/>
          <w:sz w:val="30"/>
          <w:szCs w:val="30"/>
        </w:rPr>
        <w:t>依据国家《三北工程六期规划》战略布局，北京市三北工程六期工程区属于国家三北工程六期工程区的协同推进区和巩固拓展区，涵盖北京市11</w:t>
      </w:r>
      <w:bookmarkStart w:id="197" w:name="OLE_LINK88"/>
      <w:bookmarkStart w:id="198" w:name="OLE_LINK78"/>
      <w:bookmarkStart w:id="199" w:name="OLE_LINK79"/>
      <w:r>
        <w:rPr>
          <w:rFonts w:hint="eastAsia" w:ascii="仿宋_GB2312" w:hAnsi="仿宋_GB2312" w:eastAsia="仿宋_GB2312" w:cs="仿宋_GB2312"/>
          <w:color w:val="000000"/>
          <w:sz w:val="30"/>
          <w:szCs w:val="30"/>
        </w:rPr>
        <w:t>个区，分属于协同推进区的</w:t>
      </w:r>
      <w:bookmarkStart w:id="200" w:name="OLE_LINK184"/>
      <w:bookmarkStart w:id="201" w:name="OLE_LINK185"/>
      <w:r>
        <w:rPr>
          <w:rFonts w:hint="eastAsia" w:ascii="仿宋_GB2312" w:hAnsi="仿宋_GB2312" w:eastAsia="仿宋_GB2312" w:cs="仿宋_GB2312"/>
          <w:color w:val="000000"/>
          <w:sz w:val="30"/>
          <w:szCs w:val="30"/>
        </w:rPr>
        <w:t>华北平原北部生态保护修复区和</w:t>
      </w:r>
      <w:r>
        <w:rPr>
          <w:rFonts w:hint="eastAsia" w:ascii="仿宋_GB2312" w:hAnsi="仿宋_GB2312" w:eastAsia="仿宋_GB2312" w:cs="仿宋_GB2312"/>
          <w:sz w:val="30"/>
          <w:szCs w:val="30"/>
        </w:rPr>
        <w:t>巩固拓展区的华北平原-内蒙古高原生态廊道连通区</w:t>
      </w:r>
      <w:bookmarkEnd w:id="200"/>
      <w:bookmarkEnd w:id="201"/>
      <w:r>
        <w:rPr>
          <w:rFonts w:hint="eastAsia" w:ascii="仿宋_GB2312" w:hAnsi="仿宋_GB2312" w:eastAsia="仿宋_GB2312" w:cs="仿宋_GB2312"/>
          <w:sz w:val="30"/>
          <w:szCs w:val="30"/>
        </w:rPr>
        <w:t>。</w:t>
      </w:r>
      <w:bookmarkEnd w:id="197"/>
      <w:bookmarkEnd w:id="198"/>
      <w:bookmarkEnd w:id="199"/>
      <w:r>
        <w:rPr>
          <w:rFonts w:hint="eastAsia" w:ascii="仿宋_GB2312" w:hAnsi="仿宋_GB2312" w:eastAsia="仿宋_GB2312" w:cs="仿宋_GB2312"/>
          <w:sz w:val="30"/>
          <w:szCs w:val="30"/>
        </w:rPr>
        <w:t>结合北京市实际情况</w:t>
      </w:r>
      <w:bookmarkStart w:id="202" w:name="OLE_LINK136"/>
      <w:bookmarkStart w:id="203" w:name="OLE_LINK137"/>
      <w:r>
        <w:rPr>
          <w:rFonts w:hint="eastAsia" w:ascii="仿宋_GB2312" w:hAnsi="仿宋_GB2312" w:eastAsia="仿宋_GB2312" w:cs="仿宋_GB2312"/>
          <w:sz w:val="30"/>
          <w:szCs w:val="30"/>
        </w:rPr>
        <w:t>分为三个片区。一是</w:t>
      </w:r>
      <w:bookmarkStart w:id="204" w:name="OLE_LINK126"/>
      <w:bookmarkStart w:id="205" w:name="OLE_LINK121"/>
      <w:r>
        <w:rPr>
          <w:rFonts w:hint="eastAsia" w:ascii="仿宋_GB2312" w:hAnsi="仿宋_GB2312" w:eastAsia="仿宋_GB2312" w:cs="仿宋_GB2312"/>
          <w:sz w:val="30"/>
          <w:szCs w:val="30"/>
        </w:rPr>
        <w:t>燕山山地南部</w:t>
      </w:r>
      <w:bookmarkEnd w:id="204"/>
      <w:bookmarkEnd w:id="205"/>
      <w:r>
        <w:rPr>
          <w:rFonts w:hint="eastAsia" w:ascii="仿宋_GB2312" w:hAnsi="仿宋_GB2312" w:eastAsia="仿宋_GB2312" w:cs="仿宋_GB2312"/>
          <w:sz w:val="30"/>
          <w:szCs w:val="30"/>
        </w:rPr>
        <w:t>片区，涉及昌平区、怀柔区、平谷区、密云区和延庆区</w:t>
      </w:r>
      <w:bookmarkStart w:id="206" w:name="OLE_LINK142"/>
      <w:bookmarkStart w:id="207" w:name="OLE_LINK141"/>
      <w:bookmarkStart w:id="208" w:name="OLE_LINK133"/>
      <w:bookmarkStart w:id="209" w:name="OLE_LINK132"/>
      <w:r>
        <w:rPr>
          <w:rFonts w:hint="eastAsia" w:ascii="仿宋_GB2312" w:hAnsi="仿宋_GB2312" w:eastAsia="仿宋_GB2312" w:cs="仿宋_GB2312"/>
          <w:sz w:val="30"/>
          <w:szCs w:val="30"/>
        </w:rPr>
        <w:t>5个区，通过燕山山地南部生态综合治理</w:t>
      </w:r>
      <w:r>
        <w:rPr>
          <w:rFonts w:hint="eastAsia" w:ascii="仿宋_GB2312" w:hAnsi="仿宋_GB2312" w:eastAsia="仿宋_GB2312" w:cs="仿宋_GB2312"/>
          <w:sz w:val="30"/>
          <w:szCs w:val="30"/>
          <w:lang w:eastAsia="zh-CN"/>
        </w:rPr>
        <w:t>工程等国家重点生态工程，</w:t>
      </w:r>
      <w:r>
        <w:rPr>
          <w:rFonts w:hint="eastAsia" w:ascii="仿宋_GB2312" w:hAnsi="仿宋_GB2312" w:eastAsia="仿宋_GB2312" w:cs="仿宋_GB2312"/>
          <w:sz w:val="30"/>
          <w:szCs w:val="30"/>
        </w:rPr>
        <w:t>结合北京</w:t>
      </w:r>
      <w:r>
        <w:rPr>
          <w:rFonts w:hint="eastAsia" w:ascii="仿宋_GB2312" w:hAnsi="仿宋_GB2312" w:eastAsia="仿宋_GB2312" w:cs="仿宋_GB2312"/>
          <w:sz w:val="30"/>
          <w:szCs w:val="30"/>
          <w:lang w:eastAsia="zh-CN"/>
        </w:rPr>
        <w:t>市</w:t>
      </w:r>
      <w:r>
        <w:rPr>
          <w:rFonts w:hint="eastAsia" w:ascii="仿宋_GB2312" w:hAnsi="仿宋_GB2312" w:eastAsia="仿宋_GB2312" w:cs="仿宋_GB2312"/>
          <w:sz w:val="30"/>
          <w:szCs w:val="30"/>
        </w:rPr>
        <w:t>平原生态林</w:t>
      </w:r>
      <w:r>
        <w:rPr>
          <w:rFonts w:hint="eastAsia" w:ascii="仿宋_GB2312" w:hAnsi="仿宋_GB2312" w:eastAsia="仿宋_GB2312" w:cs="仿宋_GB2312"/>
          <w:sz w:val="30"/>
          <w:szCs w:val="30"/>
          <w:lang w:eastAsia="zh-CN"/>
        </w:rPr>
        <w:t>年度</w:t>
      </w:r>
      <w:r>
        <w:rPr>
          <w:rFonts w:hint="eastAsia" w:ascii="仿宋_GB2312" w:hAnsi="仿宋_GB2312" w:eastAsia="仿宋_GB2312" w:cs="仿宋_GB2312"/>
          <w:sz w:val="30"/>
          <w:szCs w:val="30"/>
        </w:rPr>
        <w:t>养护</w:t>
      </w:r>
      <w:r>
        <w:rPr>
          <w:rFonts w:hint="eastAsia" w:ascii="仿宋_GB2312" w:hAnsi="仿宋_GB2312" w:eastAsia="仿宋_GB2312" w:cs="仿宋_GB2312"/>
          <w:sz w:val="30"/>
          <w:szCs w:val="30"/>
          <w:lang w:eastAsia="zh-CN"/>
        </w:rPr>
        <w:t>、山区森林经营</w:t>
      </w:r>
      <w:r>
        <w:rPr>
          <w:rFonts w:hint="eastAsia" w:ascii="仿宋_GB2312" w:hAnsi="仿宋_GB2312" w:eastAsia="仿宋_GB2312" w:cs="仿宋_GB2312"/>
          <w:sz w:val="30"/>
          <w:szCs w:val="30"/>
        </w:rPr>
        <w:t>等</w:t>
      </w:r>
      <w:bookmarkEnd w:id="206"/>
      <w:bookmarkEnd w:id="207"/>
      <w:r>
        <w:rPr>
          <w:rFonts w:hint="eastAsia" w:ascii="仿宋_GB2312" w:hAnsi="仿宋_GB2312" w:eastAsia="仿宋_GB2312" w:cs="仿宋_GB2312"/>
          <w:sz w:val="30"/>
          <w:szCs w:val="30"/>
        </w:rPr>
        <w:t>，</w:t>
      </w:r>
      <w:bookmarkStart w:id="210" w:name="OLE_LINK186"/>
      <w:r>
        <w:rPr>
          <w:rFonts w:hint="eastAsia" w:ascii="仿宋_GB2312" w:hAnsi="仿宋_GB2312" w:eastAsia="仿宋_GB2312" w:cs="仿宋_GB2312"/>
          <w:sz w:val="30"/>
          <w:szCs w:val="30"/>
        </w:rPr>
        <w:t>完成</w:t>
      </w:r>
      <w:r>
        <w:rPr>
          <w:rFonts w:hint="eastAsia" w:ascii="仿宋_GB2312" w:hAnsi="仿宋_GB2312" w:eastAsia="仿宋_GB2312" w:cs="仿宋_GB2312"/>
          <w:color w:val="000000"/>
          <w:sz w:val="30"/>
          <w:szCs w:val="30"/>
        </w:rPr>
        <w:t>华北平原北部生态保护修复</w:t>
      </w:r>
      <w:bookmarkStart w:id="211" w:name="OLE_LINK188"/>
      <w:bookmarkStart w:id="212" w:name="OLE_LINK187"/>
      <w:r>
        <w:rPr>
          <w:rFonts w:hint="eastAsia" w:ascii="仿宋_GB2312" w:hAnsi="仿宋_GB2312" w:eastAsia="仿宋_GB2312" w:cs="仿宋_GB2312"/>
          <w:color w:val="000000"/>
          <w:sz w:val="30"/>
          <w:szCs w:val="30"/>
        </w:rPr>
        <w:t>的建设任务</w:t>
      </w:r>
      <w:r>
        <w:rPr>
          <w:rFonts w:hint="eastAsia" w:ascii="仿宋_GB2312" w:hAnsi="仿宋_GB2312" w:eastAsia="仿宋_GB2312" w:cs="仿宋_GB2312"/>
          <w:sz w:val="30"/>
          <w:szCs w:val="30"/>
        </w:rPr>
        <w:t>。</w:t>
      </w:r>
      <w:bookmarkEnd w:id="208"/>
      <w:bookmarkEnd w:id="209"/>
      <w:bookmarkEnd w:id="210"/>
      <w:bookmarkEnd w:id="211"/>
      <w:bookmarkEnd w:id="212"/>
      <w:r>
        <w:rPr>
          <w:rFonts w:hint="eastAsia" w:ascii="仿宋_GB2312" w:hAnsi="仿宋_GB2312" w:eastAsia="仿宋_GB2312" w:cs="仿宋_GB2312"/>
          <w:sz w:val="30"/>
          <w:szCs w:val="30"/>
        </w:rPr>
        <w:t>二是</w:t>
      </w:r>
      <w:bookmarkStart w:id="213" w:name="OLE_LINK134"/>
      <w:bookmarkStart w:id="214" w:name="OLE_LINK135"/>
      <w:r>
        <w:rPr>
          <w:rFonts w:hint="eastAsia" w:ascii="仿宋_GB2312" w:hAnsi="仿宋_GB2312" w:eastAsia="仿宋_GB2312" w:cs="仿宋_GB2312"/>
          <w:sz w:val="30"/>
          <w:szCs w:val="30"/>
        </w:rPr>
        <w:t>太行山东北部</w:t>
      </w:r>
      <w:bookmarkEnd w:id="213"/>
      <w:bookmarkEnd w:id="214"/>
      <w:r>
        <w:rPr>
          <w:rFonts w:hint="eastAsia" w:ascii="仿宋_GB2312" w:hAnsi="仿宋_GB2312" w:eastAsia="仿宋_GB2312" w:cs="仿宋_GB2312"/>
          <w:sz w:val="30"/>
          <w:szCs w:val="30"/>
        </w:rPr>
        <w:t>片区，涉及房山区、门头沟区2个区，通过太行山东北部生态综合治理</w:t>
      </w:r>
      <w:r>
        <w:rPr>
          <w:rFonts w:hint="eastAsia" w:ascii="仿宋_GB2312" w:hAnsi="仿宋_GB2312" w:eastAsia="仿宋_GB2312" w:cs="仿宋_GB2312"/>
          <w:sz w:val="30"/>
          <w:szCs w:val="30"/>
          <w:lang w:eastAsia="zh-CN"/>
        </w:rPr>
        <w:t>工程等国家重点生态工程，</w:t>
      </w:r>
      <w:r>
        <w:rPr>
          <w:rFonts w:hint="eastAsia" w:ascii="仿宋_GB2312" w:hAnsi="仿宋_GB2312" w:eastAsia="仿宋_GB2312" w:cs="仿宋_GB2312"/>
          <w:sz w:val="30"/>
          <w:szCs w:val="30"/>
        </w:rPr>
        <w:t>结合北京</w:t>
      </w:r>
      <w:r>
        <w:rPr>
          <w:rFonts w:hint="eastAsia" w:ascii="仿宋_GB2312" w:hAnsi="仿宋_GB2312" w:eastAsia="仿宋_GB2312" w:cs="仿宋_GB2312"/>
          <w:sz w:val="30"/>
          <w:szCs w:val="30"/>
          <w:lang w:eastAsia="zh-CN"/>
        </w:rPr>
        <w:t>市</w:t>
      </w:r>
      <w:r>
        <w:rPr>
          <w:rFonts w:hint="eastAsia" w:ascii="仿宋_GB2312" w:hAnsi="仿宋_GB2312" w:eastAsia="仿宋_GB2312" w:cs="仿宋_GB2312"/>
          <w:sz w:val="30"/>
          <w:szCs w:val="30"/>
        </w:rPr>
        <w:t>平原生态林</w:t>
      </w:r>
      <w:r>
        <w:rPr>
          <w:rFonts w:hint="eastAsia" w:ascii="仿宋_GB2312" w:hAnsi="仿宋_GB2312" w:eastAsia="仿宋_GB2312" w:cs="仿宋_GB2312"/>
          <w:sz w:val="30"/>
          <w:szCs w:val="30"/>
          <w:lang w:eastAsia="zh-CN"/>
        </w:rPr>
        <w:t>年度</w:t>
      </w:r>
      <w:r>
        <w:rPr>
          <w:rFonts w:hint="eastAsia" w:ascii="仿宋_GB2312" w:hAnsi="仿宋_GB2312" w:eastAsia="仿宋_GB2312" w:cs="仿宋_GB2312"/>
          <w:sz w:val="30"/>
          <w:szCs w:val="30"/>
        </w:rPr>
        <w:t>养护</w:t>
      </w:r>
      <w:r>
        <w:rPr>
          <w:rFonts w:hint="eastAsia" w:ascii="仿宋_GB2312" w:hAnsi="仿宋_GB2312" w:eastAsia="仿宋_GB2312" w:cs="仿宋_GB2312"/>
          <w:sz w:val="30"/>
          <w:szCs w:val="30"/>
          <w:lang w:eastAsia="zh-CN"/>
        </w:rPr>
        <w:t>、山区森林经营</w:t>
      </w:r>
      <w:r>
        <w:rPr>
          <w:rFonts w:hint="eastAsia" w:ascii="仿宋_GB2312" w:hAnsi="仿宋_GB2312" w:eastAsia="仿宋_GB2312" w:cs="仿宋_GB2312"/>
          <w:sz w:val="30"/>
          <w:szCs w:val="30"/>
        </w:rPr>
        <w:t>等，完成</w:t>
      </w:r>
      <w:r>
        <w:rPr>
          <w:rFonts w:hint="eastAsia" w:ascii="仿宋_GB2312" w:hAnsi="仿宋_GB2312" w:eastAsia="仿宋_GB2312" w:cs="仿宋_GB2312"/>
          <w:color w:val="000000"/>
          <w:sz w:val="30"/>
          <w:szCs w:val="30"/>
        </w:rPr>
        <w:t>华北平原北部生态保护修复的建设任务</w:t>
      </w:r>
      <w:r>
        <w:rPr>
          <w:rFonts w:hint="eastAsia" w:ascii="仿宋_GB2312" w:hAnsi="仿宋_GB2312" w:eastAsia="仿宋_GB2312" w:cs="仿宋_GB2312"/>
          <w:sz w:val="30"/>
          <w:szCs w:val="30"/>
        </w:rPr>
        <w:t>。三是平原片区，涉及</w:t>
      </w:r>
      <w:bookmarkStart w:id="215" w:name="OLE_LINK138"/>
      <w:bookmarkStart w:id="216" w:name="OLE_LINK139"/>
      <w:r>
        <w:rPr>
          <w:rFonts w:hint="eastAsia" w:ascii="仿宋_GB2312" w:hAnsi="仿宋_GB2312" w:eastAsia="仿宋_GB2312" w:cs="仿宋_GB2312"/>
          <w:sz w:val="30"/>
          <w:szCs w:val="30"/>
        </w:rPr>
        <w:t>顺义区、朝阳区、大兴区和通州区</w:t>
      </w:r>
      <w:bookmarkEnd w:id="215"/>
      <w:bookmarkEnd w:id="216"/>
      <w:r>
        <w:rPr>
          <w:rFonts w:hint="eastAsia" w:ascii="仿宋_GB2312" w:hAnsi="仿宋_GB2312" w:eastAsia="仿宋_GB2312" w:cs="仿宋_GB2312"/>
          <w:sz w:val="30"/>
          <w:szCs w:val="30"/>
        </w:rPr>
        <w:t>4个区，结合北京</w:t>
      </w:r>
      <w:r>
        <w:rPr>
          <w:rFonts w:hint="eastAsia" w:ascii="仿宋_GB2312" w:hAnsi="仿宋_GB2312" w:eastAsia="仿宋_GB2312" w:cs="仿宋_GB2312"/>
          <w:sz w:val="30"/>
          <w:szCs w:val="30"/>
          <w:lang w:eastAsia="zh-CN"/>
        </w:rPr>
        <w:t>市</w:t>
      </w:r>
      <w:r>
        <w:rPr>
          <w:rFonts w:hint="eastAsia" w:ascii="仿宋_GB2312" w:hAnsi="仿宋_GB2312" w:eastAsia="仿宋_GB2312" w:cs="仿宋_GB2312"/>
          <w:sz w:val="30"/>
          <w:szCs w:val="30"/>
        </w:rPr>
        <w:t>平原生态林</w:t>
      </w:r>
      <w:r>
        <w:rPr>
          <w:rFonts w:hint="eastAsia" w:ascii="仿宋_GB2312" w:hAnsi="仿宋_GB2312" w:eastAsia="仿宋_GB2312" w:cs="仿宋_GB2312"/>
          <w:sz w:val="30"/>
          <w:szCs w:val="30"/>
          <w:lang w:eastAsia="zh-CN"/>
        </w:rPr>
        <w:t>年度</w:t>
      </w:r>
      <w:r>
        <w:rPr>
          <w:rFonts w:hint="eastAsia" w:ascii="仿宋_GB2312" w:hAnsi="仿宋_GB2312" w:eastAsia="仿宋_GB2312" w:cs="仿宋_GB2312"/>
          <w:sz w:val="30"/>
          <w:szCs w:val="30"/>
        </w:rPr>
        <w:t>养护等工作，完成</w:t>
      </w:r>
      <w:bookmarkEnd w:id="202"/>
      <w:bookmarkEnd w:id="203"/>
      <w:r>
        <w:rPr>
          <w:rFonts w:hint="eastAsia" w:ascii="仿宋_GB2312" w:hAnsi="仿宋_GB2312" w:eastAsia="仿宋_GB2312" w:cs="仿宋_GB2312"/>
          <w:sz w:val="30"/>
          <w:szCs w:val="30"/>
        </w:rPr>
        <w:t>华北平原-内蒙古高原生态廊道连通</w:t>
      </w:r>
      <w:r>
        <w:rPr>
          <w:rFonts w:hint="eastAsia" w:ascii="仿宋_GB2312" w:hAnsi="仿宋_GB2312" w:eastAsia="仿宋_GB2312" w:cs="仿宋_GB2312"/>
          <w:color w:val="000000"/>
          <w:sz w:val="30"/>
          <w:szCs w:val="30"/>
        </w:rPr>
        <w:t>的建设任务</w:t>
      </w:r>
      <w:r>
        <w:rPr>
          <w:rFonts w:hint="eastAsia" w:ascii="仿宋_GB2312" w:hAnsi="仿宋_GB2312" w:eastAsia="仿宋_GB2312" w:cs="仿宋_GB2312"/>
          <w:sz w:val="30"/>
          <w:szCs w:val="30"/>
        </w:rPr>
        <w:t>。</w:t>
      </w:r>
    </w:p>
    <w:p>
      <w:pPr>
        <w:spacing w:before="120" w:beforeLines="50" w:line="560" w:lineRule="exact"/>
        <w:jc w:val="center"/>
        <w:rPr>
          <w:rFonts w:eastAsia="仿宋_GB2312"/>
          <w:spacing w:val="-3"/>
          <w:position w:val="19"/>
          <w:sz w:val="24"/>
          <w:szCs w:val="24"/>
        </w:rPr>
      </w:pPr>
      <w:r>
        <w:drawing>
          <wp:anchor distT="0" distB="0" distL="114300" distR="114300" simplePos="0" relativeHeight="251663360" behindDoc="0" locked="0" layoutInCell="1" allowOverlap="1">
            <wp:simplePos x="0" y="0"/>
            <wp:positionH relativeFrom="column">
              <wp:posOffset>119380</wp:posOffset>
            </wp:positionH>
            <wp:positionV relativeFrom="paragraph">
              <wp:posOffset>232410</wp:posOffset>
            </wp:positionV>
            <wp:extent cx="5054600" cy="3249930"/>
            <wp:effectExtent l="0" t="0" r="0" b="762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7">
                      <a:extLst>
                        <a:ext uri="{28A0092B-C50C-407E-A947-70E740481C1C}">
                          <a14:useLocalDpi xmlns:a14="http://schemas.microsoft.com/office/drawing/2010/main" val="0"/>
                        </a:ext>
                      </a:extLst>
                    </a:blip>
                    <a:srcRect t="5431" b="3615"/>
                    <a:stretch>
                      <a:fillRect/>
                    </a:stretch>
                  </pic:blipFill>
                  <pic:spPr>
                    <a:xfrm>
                      <a:off x="0" y="0"/>
                      <a:ext cx="5054600" cy="3249930"/>
                    </a:xfrm>
                    <a:prstGeom prst="rect">
                      <a:avLst/>
                    </a:prstGeom>
                    <a:noFill/>
                  </pic:spPr>
                </pic:pic>
              </a:graphicData>
            </a:graphic>
          </wp:anchor>
        </w:drawing>
      </w:r>
      <w:r>
        <w:rPr>
          <w:rFonts w:hint="eastAsia" w:eastAsia="仿宋_GB2312"/>
          <w:spacing w:val="-3"/>
          <w:position w:val="19"/>
          <w:sz w:val="24"/>
          <w:szCs w:val="24"/>
        </w:rPr>
        <w:t>图5</w:t>
      </w:r>
      <w:r>
        <w:rPr>
          <w:rFonts w:eastAsia="仿宋_GB2312"/>
          <w:spacing w:val="-3"/>
          <w:position w:val="19"/>
          <w:sz w:val="24"/>
          <w:szCs w:val="24"/>
        </w:rPr>
        <w:t>-</w:t>
      </w:r>
      <w:r>
        <w:rPr>
          <w:rFonts w:eastAsia="仿宋_GB2312"/>
          <w:spacing w:val="-33"/>
          <w:position w:val="19"/>
          <w:sz w:val="24"/>
          <w:szCs w:val="24"/>
        </w:rPr>
        <w:t xml:space="preserve"> </w:t>
      </w:r>
      <w:r>
        <w:rPr>
          <w:rFonts w:eastAsia="仿宋_GB2312"/>
          <w:spacing w:val="-3"/>
          <w:position w:val="19"/>
          <w:sz w:val="24"/>
          <w:szCs w:val="24"/>
        </w:rPr>
        <w:t xml:space="preserve">1  </w:t>
      </w:r>
      <w:r>
        <w:rPr>
          <w:rFonts w:hint="eastAsia" w:eastAsia="仿宋_GB2312"/>
          <w:spacing w:val="-3"/>
          <w:position w:val="19"/>
          <w:sz w:val="24"/>
          <w:szCs w:val="24"/>
        </w:rPr>
        <w:t>北京市三北工程六期规划布局图</w:t>
      </w:r>
    </w:p>
    <w:p>
      <w:pPr>
        <w:pStyle w:val="2"/>
      </w:pPr>
    </w:p>
    <w:p>
      <w:pPr>
        <w:pStyle w:val="3"/>
        <w:rPr>
          <w:rFonts w:ascii="Times New Roman" w:hAnsi="Times New Roman" w:cs="Times New Roman"/>
        </w:rPr>
      </w:pPr>
      <w:bookmarkStart w:id="217" w:name="_Toc166412183"/>
      <w:bookmarkStart w:id="218" w:name="_Toc26968"/>
      <w:r>
        <w:rPr>
          <w:rFonts w:ascii="Times New Roman" w:hAnsi="Times New Roman" w:cs="Times New Roman"/>
        </w:rPr>
        <w:br w:type="page"/>
      </w:r>
      <w:bookmarkEnd w:id="217"/>
      <w:bookmarkEnd w:id="218"/>
      <w:bookmarkStart w:id="219" w:name="_Toc23680"/>
      <w:bookmarkStart w:id="220" w:name="_Toc166412188"/>
      <w:bookmarkStart w:id="221" w:name="_Toc202350690"/>
      <w:bookmarkStart w:id="222" w:name="OLE_LINK125"/>
      <w:bookmarkStart w:id="223" w:name="OLE_LINK124"/>
      <w:r>
        <w:rPr>
          <w:rFonts w:ascii="Times New Roman" w:hAnsi="Times New Roman" w:cs="Times New Roman"/>
        </w:rPr>
        <w:t xml:space="preserve">第六章 </w:t>
      </w:r>
      <w:bookmarkEnd w:id="219"/>
      <w:bookmarkEnd w:id="220"/>
      <w:r>
        <w:rPr>
          <w:rFonts w:ascii="Times New Roman" w:hAnsi="Times New Roman" w:cs="Times New Roman"/>
        </w:rPr>
        <w:t>建设任务</w:t>
      </w:r>
      <w:bookmarkEnd w:id="221"/>
    </w:p>
    <w:p>
      <w:pPr>
        <w:pStyle w:val="4"/>
        <w:spacing w:before="120" w:after="120"/>
        <w:ind w:firstLine="600"/>
        <w:rPr>
          <w:rFonts w:ascii="Times New Roman" w:hAnsi="Times New Roman" w:cs="Times New Roman"/>
        </w:rPr>
      </w:pPr>
      <w:bookmarkStart w:id="224" w:name="_Toc202350691"/>
      <w:bookmarkStart w:id="225" w:name="_Toc166412190"/>
      <w:bookmarkStart w:id="226" w:name="_Toc19214"/>
      <w:r>
        <w:rPr>
          <w:rFonts w:ascii="Times New Roman" w:hAnsi="Times New Roman" w:cs="Times New Roman"/>
        </w:rPr>
        <w:t>一、</w:t>
      </w:r>
      <w:r>
        <w:rPr>
          <w:rFonts w:hint="eastAsia" w:ascii="Times New Roman" w:hAnsi="Times New Roman" w:cs="Times New Roman"/>
        </w:rPr>
        <w:t>人工造林</w:t>
      </w:r>
      <w:bookmarkEnd w:id="224"/>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27" w:name="OLE_LINK154"/>
      <w:r>
        <w:rPr>
          <w:rFonts w:hint="eastAsia" w:ascii="Times New Roman" w:hAnsi="Times New Roman" w:eastAsia="楷体_GB2312" w:cs="Times New Roman"/>
        </w:rPr>
        <w:t>（一）适用范围</w:t>
      </w:r>
    </w:p>
    <w:bookmarkEnd w:id="227"/>
    <w:p>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主要针对两类区域实施：一是山区具备灌木林改造为乔木林条件的区域，二是平原地区通过</w:t>
      </w:r>
      <w:bookmarkStart w:id="228" w:name="OLE_LINK34"/>
      <w:bookmarkStart w:id="229" w:name="OLE_LINK33"/>
      <w:r>
        <w:rPr>
          <w:rFonts w:hint="eastAsia" w:ascii="仿宋_GB2312" w:hAnsi="仿宋_GB2312" w:eastAsia="仿宋_GB2312" w:cs="仿宋_GB2312"/>
          <w:sz w:val="30"/>
          <w:szCs w:val="30"/>
        </w:rPr>
        <w:t>“腾退扩绿”“见缝插绿”</w:t>
      </w:r>
      <w:bookmarkEnd w:id="228"/>
      <w:bookmarkEnd w:id="229"/>
      <w:r>
        <w:rPr>
          <w:rFonts w:hint="eastAsia" w:ascii="仿宋_GB2312" w:hAnsi="仿宋_GB2312" w:eastAsia="仿宋_GB2312" w:cs="仿宋_GB2312"/>
          <w:sz w:val="30"/>
          <w:szCs w:val="30"/>
        </w:rPr>
        <w:t>等精细化绿化方式提升植被覆盖率的区域。</w:t>
      </w:r>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30" w:name="OLE_LINK155"/>
      <w:bookmarkStart w:id="231" w:name="OLE_LINK156"/>
      <w:r>
        <w:rPr>
          <w:rFonts w:hint="eastAsia" w:ascii="Times New Roman" w:hAnsi="Times New Roman" w:eastAsia="楷体_GB2312" w:cs="Times New Roman"/>
        </w:rPr>
        <w:t>（二）建设目标</w:t>
      </w:r>
    </w:p>
    <w:bookmarkEnd w:id="230"/>
    <w:bookmarkEnd w:id="231"/>
    <w:p>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1</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对具备改造条件的灌木林地进行乔木化改造，优化林分结构，提升森林质量；2</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在平原地区开展精细化绿化工程，通过织补型方式充分挖掘绿化潜力，增加绿量；3</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构建生态廊道网络，修复破碎化生态空间，促进生态斑块间的连通性和完整性。最终实现区域森林资源总量增长、结构优化和功能提升，构建稳定、健康、高效的森林生态系统。</w:t>
      </w:r>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32" w:name="OLE_LINK278"/>
      <w:bookmarkStart w:id="233" w:name="OLE_LINK158"/>
      <w:bookmarkStart w:id="234" w:name="OLE_LINK157"/>
      <w:r>
        <w:rPr>
          <w:rFonts w:hint="eastAsia" w:ascii="Times New Roman" w:hAnsi="Times New Roman" w:eastAsia="楷体_GB2312" w:cs="Times New Roman"/>
        </w:rPr>
        <w:t>（三）具体措施</w:t>
      </w:r>
    </w:p>
    <w:bookmarkEnd w:id="232"/>
    <w:bookmarkEnd w:id="233"/>
    <w:bookmarkEnd w:id="234"/>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sz w:val="30"/>
          <w:szCs w:val="30"/>
        </w:rPr>
        <w:t>结合立地条件和前期造林经验，遵循因地制宜、适地适树的原则，选择抗逆性强、根系发达、耐干旱瘠薄、易成活、适应环境能力强、生长较快的乡土树种。根据项目区实际情况，选择侧柏、油松、白皮松、华北落叶松、元宝枫、蒙古栎、栓皮栎、栾树、黄栌等。</w:t>
      </w:r>
    </w:p>
    <w:p>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1</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山区灌改乔工程：基于立地条件和生态功能定位，科学确定目标林相结构，优先选择乡土树种和多功能树种；2</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平原腾退地造林：采取“保护现有、补充新植”策略，保留利用现有散生木资源，结合人工促进天然更新技术，开展详细的立地条件调查评估，针对性地实施土壤改良措施。遵循《新一轮百万亩造林技术导</w:t>
      </w:r>
      <w:bookmarkStart w:id="235" w:name="OLE_LINK275"/>
      <w:bookmarkStart w:id="236" w:name="OLE_LINK277"/>
      <w:bookmarkStart w:id="237" w:name="OLE_LINK276"/>
      <w:r>
        <w:rPr>
          <w:rFonts w:hint="eastAsia" w:ascii="仿宋_GB2312" w:hAnsi="仿宋_GB2312" w:eastAsia="仿宋_GB2312" w:cs="仿宋_GB2312"/>
          <w:sz w:val="30"/>
          <w:szCs w:val="30"/>
        </w:rPr>
        <w:t>则》要求，按照“因地制宜、适地适树”原则，加强栽后三年管护，根据区域主导生态</w:t>
      </w:r>
      <w:bookmarkEnd w:id="235"/>
      <w:bookmarkEnd w:id="236"/>
      <w:bookmarkEnd w:id="237"/>
      <w:r>
        <w:rPr>
          <w:rFonts w:hint="eastAsia" w:ascii="仿宋_GB2312" w:hAnsi="仿宋_GB2312" w:eastAsia="仿宋_GB2312" w:cs="仿宋_GB2312"/>
          <w:sz w:val="30"/>
          <w:szCs w:val="30"/>
        </w:rPr>
        <w:t>功能确定培育方向和经营措施。</w:t>
      </w:r>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38" w:name="OLE_LINK159"/>
      <w:bookmarkStart w:id="239" w:name="OLE_LINK160"/>
      <w:r>
        <w:rPr>
          <w:rFonts w:hint="eastAsia" w:ascii="Times New Roman" w:hAnsi="Times New Roman" w:eastAsia="楷体_GB2312" w:cs="Times New Roman"/>
        </w:rPr>
        <w:t>（四）</w:t>
      </w:r>
      <w:bookmarkStart w:id="240" w:name="OLE_LINK172"/>
      <w:r>
        <w:rPr>
          <w:rFonts w:hint="eastAsia" w:ascii="Times New Roman" w:hAnsi="Times New Roman" w:eastAsia="楷体_GB2312" w:cs="Times New Roman"/>
        </w:rPr>
        <w:t>实施区域</w:t>
      </w:r>
      <w:bookmarkEnd w:id="240"/>
      <w:r>
        <w:rPr>
          <w:rFonts w:hint="eastAsia" w:ascii="Times New Roman" w:hAnsi="Times New Roman" w:eastAsia="楷体_GB2312" w:cs="Times New Roman"/>
        </w:rPr>
        <w:t>及面积</w:t>
      </w:r>
      <w:bookmarkEnd w:id="238"/>
      <w:bookmarkEnd w:id="239"/>
    </w:p>
    <w:p>
      <w:pPr>
        <w:spacing w:line="560" w:lineRule="exact"/>
        <w:ind w:firstLine="600" w:firstLineChars="200"/>
        <w:rPr>
          <w:rFonts w:ascii="仿宋_GB2312" w:hAnsi="仿宋_GB2312" w:eastAsia="仿宋_GB2312" w:cs="仿宋_GB2312"/>
          <w:sz w:val="30"/>
          <w:szCs w:val="30"/>
        </w:rPr>
      </w:pPr>
      <w:bookmarkStart w:id="241" w:name="OLE_LINK274"/>
      <w:bookmarkStart w:id="242" w:name="OLE_LINK273"/>
      <w:r>
        <w:rPr>
          <w:rFonts w:hint="eastAsia" w:ascii="仿宋_GB2312" w:hAnsi="仿宋_GB2312" w:eastAsia="仿宋_GB2312" w:cs="仿宋_GB2312"/>
          <w:sz w:val="30"/>
          <w:szCs w:val="30"/>
        </w:rPr>
        <w:t>实施区域：昌平区、怀柔区、平谷区、密云区、延庆区、门头沟区、房山区、朝阳区、通州区、顺义区、大兴区。实施面积：30.89万亩（其中沙化土地综合治理区域5.91万亩，非沙化土地林草修复区域24.98万亩）。</w:t>
      </w:r>
    </w:p>
    <w:bookmarkEnd w:id="241"/>
    <w:bookmarkEnd w:id="242"/>
    <w:p>
      <w:pPr>
        <w:pStyle w:val="4"/>
        <w:spacing w:before="120" w:after="120"/>
        <w:ind w:firstLine="600"/>
        <w:rPr>
          <w:rFonts w:ascii="Times New Roman" w:hAnsi="Times New Roman" w:cs="Times New Roman"/>
        </w:rPr>
      </w:pPr>
      <w:bookmarkStart w:id="243" w:name="_Toc202350692"/>
      <w:r>
        <w:rPr>
          <w:rFonts w:ascii="Times New Roman" w:hAnsi="Times New Roman" w:cs="Times New Roman"/>
        </w:rPr>
        <w:t>二、</w:t>
      </w:r>
      <w:bookmarkStart w:id="244" w:name="OLE_LINK144"/>
      <w:bookmarkStart w:id="245" w:name="OLE_LINK145"/>
      <w:bookmarkStart w:id="246" w:name="OLE_LINK41"/>
      <w:bookmarkStart w:id="247" w:name="OLE_LINK42"/>
      <w:r>
        <w:rPr>
          <w:rFonts w:ascii="Times New Roman" w:hAnsi="Times New Roman" w:cs="Times New Roman"/>
        </w:rPr>
        <w:t>种草</w:t>
      </w:r>
      <w:bookmarkEnd w:id="243"/>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pPr>
        <w:spacing w:line="560" w:lineRule="exact"/>
        <w:ind w:firstLine="600" w:firstLineChars="200"/>
        <w:rPr>
          <w:rFonts w:eastAsia="仿宋_GB2312"/>
          <w:sz w:val="30"/>
          <w:szCs w:val="30"/>
        </w:rPr>
      </w:pPr>
      <w:r>
        <w:rPr>
          <w:rFonts w:eastAsia="仿宋_GB2312"/>
          <w:sz w:val="30"/>
          <w:szCs w:val="30"/>
        </w:rPr>
        <w:t>已出现沙化现象的土地，或虽未沙化但植被覆盖度较低的土地。</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（二）建设目标</w:t>
      </w:r>
    </w:p>
    <w:p>
      <w:pPr>
        <w:pStyle w:val="2"/>
        <w:spacing w:line="560" w:lineRule="exact"/>
        <w:ind w:firstLine="600" w:firstLineChars="200"/>
      </w:pPr>
      <w:r>
        <w:rPr>
          <w:rFonts w:hint="eastAsia" w:eastAsia="仿宋_GB2312"/>
          <w:sz w:val="30"/>
          <w:szCs w:val="30"/>
        </w:rPr>
        <w:t>通过人工种草恢复植被，提高植被覆盖率，增强土壤抗蚀能力，减少水土流失和风沙危害，提升区域生态系统的稳定性和生物多样性。</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（三）具体措施</w:t>
      </w:r>
    </w:p>
    <w:p>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根据项目区自然条件、植被类型和草种的生物学特征，选择苔草、二月兰、苜蓿、蒲公英等乡土草种为播种草种。</w:t>
      </w:r>
    </w:p>
    <w:p>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需先对场地进行清理，去除苫盖物，清除地面垃圾。适当松土，重点保护好原生地被。需要混播的，需将种子进行充分混合，避免因混合不均匀而出现的品种生长分布不均现象。采用撒播、条播等方式，播种后开展补播、浇水等抚育管护措施。</w:t>
      </w:r>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48" w:name="OLE_LINK287"/>
      <w:bookmarkStart w:id="249" w:name="OLE_LINK143"/>
      <w:bookmarkStart w:id="250" w:name="OLE_LINK288"/>
      <w:r>
        <w:rPr>
          <w:rFonts w:hint="eastAsia" w:ascii="Times New Roman" w:hAnsi="Times New Roman" w:eastAsia="楷体_GB2312" w:cs="Times New Roman"/>
        </w:rPr>
        <w:t>（四）实施区域及面积</w:t>
      </w:r>
    </w:p>
    <w:bookmarkEnd w:id="248"/>
    <w:bookmarkEnd w:id="249"/>
    <w:bookmarkEnd w:id="250"/>
    <w:p>
      <w:pPr>
        <w:spacing w:line="560" w:lineRule="exact"/>
        <w:ind w:firstLine="450" w:firstLineChars="150"/>
        <w:rPr>
          <w:rFonts w:ascii="仿宋_GB2312" w:hAnsi="仿宋_GB2312" w:eastAsia="仿宋_GB2312" w:cs="仿宋_GB2312"/>
          <w:sz w:val="30"/>
          <w:szCs w:val="30"/>
        </w:rPr>
      </w:pPr>
      <w:bookmarkStart w:id="251" w:name="OLE_LINK174"/>
      <w:bookmarkStart w:id="252" w:name="OLE_LINK175"/>
      <w:r>
        <w:rPr>
          <w:rFonts w:hint="eastAsia" w:ascii="仿宋_GB2312" w:hAnsi="仿宋_GB2312" w:eastAsia="仿宋_GB2312" w:cs="仿宋_GB2312"/>
          <w:sz w:val="30"/>
          <w:szCs w:val="30"/>
        </w:rPr>
        <w:t>实施区域：昌平区、房山区、延庆区、顺义区。实施面积为3.24万亩（其中沙化土地综合治理区域0.12万亩，非沙化土地林草修复区域3.12万亩）。</w:t>
      </w:r>
      <w:bookmarkEnd w:id="244"/>
      <w:bookmarkEnd w:id="245"/>
    </w:p>
    <w:bookmarkEnd w:id="246"/>
    <w:bookmarkEnd w:id="247"/>
    <w:bookmarkEnd w:id="251"/>
    <w:bookmarkEnd w:id="252"/>
    <w:p>
      <w:pPr>
        <w:pStyle w:val="4"/>
        <w:spacing w:before="120" w:after="120"/>
        <w:ind w:firstLine="600"/>
        <w:rPr>
          <w:rFonts w:ascii="Times New Roman" w:hAnsi="Times New Roman" w:cs="Times New Roman"/>
        </w:rPr>
      </w:pPr>
      <w:bookmarkStart w:id="253" w:name="_Toc202350693"/>
      <w:r>
        <w:rPr>
          <w:rFonts w:ascii="Times New Roman" w:hAnsi="Times New Roman" w:cs="Times New Roman"/>
        </w:rPr>
        <w:t>三、中幼林抚育</w:t>
      </w:r>
      <w:bookmarkEnd w:id="253"/>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优先覆盖北部山区水源涵养林区、西部水土保持林区，以及</w:t>
      </w:r>
      <w:bookmarkStart w:id="254" w:name="OLE_LINK3"/>
      <w:bookmarkStart w:id="255" w:name="OLE_LINK6"/>
      <w:r>
        <w:rPr>
          <w:rFonts w:ascii="Times New Roman" w:hAnsi="Times New Roman" w:eastAsia="仿宋_GB2312"/>
          <w:sz w:val="30"/>
          <w:szCs w:val="30"/>
        </w:rPr>
        <w:t>潮白河流域生态廊道关键节点的平原生态林带</w:t>
      </w:r>
      <w:bookmarkEnd w:id="254"/>
      <w:bookmarkEnd w:id="255"/>
      <w:r>
        <w:rPr>
          <w:rFonts w:hint="eastAsia" w:ascii="Times New Roman" w:hAnsi="Times New Roman" w:eastAsia="仿宋_GB2312"/>
          <w:sz w:val="30"/>
          <w:szCs w:val="30"/>
        </w:rPr>
        <w:t>和其他平原区生态林</w:t>
      </w:r>
      <w:r>
        <w:rPr>
          <w:rFonts w:ascii="Times New Roman" w:hAnsi="Times New Roman" w:eastAsia="仿宋_GB2312"/>
          <w:sz w:val="30"/>
          <w:szCs w:val="30"/>
        </w:rPr>
        <w:t>。</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（二）抚育目标</w:t>
      </w:r>
    </w:p>
    <w:p>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以构建结构合理、功能完备的森林生态系统为根本导向。通过科学抚育措施、优化林分结构，形成乔木、灌木、草本等多层次植被体系，提升森林的水源涵养、碳汇功能和生物多样性。</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（三）技术措施</w:t>
      </w:r>
    </w:p>
    <w:p>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在山区森林经营中，全面推行近自然林业经营理念，重点采用目标树单株木经营体系。该体系以生态系统整体性为出发点，贯穿森林全生命周期管理过程。</w:t>
      </w:r>
      <w:r>
        <w:rPr>
          <w:rFonts w:hint="eastAsia" w:ascii="Times New Roman" w:hAnsi="Times New Roman" w:eastAsia="仿宋_GB2312"/>
          <w:sz w:val="30"/>
          <w:szCs w:val="30"/>
        </w:rPr>
        <w:t>利用平原林养护政策，每年对两轮百万亩造林形成的中幼林进行抚育，</w:t>
      </w:r>
      <w:r>
        <w:rPr>
          <w:rFonts w:ascii="Times New Roman" w:hAnsi="Times New Roman" w:eastAsia="仿宋_GB2312"/>
          <w:sz w:val="30"/>
          <w:szCs w:val="30"/>
        </w:rPr>
        <w:t>辅以大树林分质量整体促进措施，促进平原区差异化森林结构的形成，培育</w:t>
      </w:r>
      <w:r>
        <w:rPr>
          <w:rFonts w:hint="eastAsia" w:ascii="Times New Roman" w:hAnsi="Times New Roman" w:eastAsia="仿宋_GB2312"/>
          <w:sz w:val="30"/>
          <w:szCs w:val="30"/>
        </w:rPr>
        <w:t>“</w:t>
      </w:r>
      <w:r>
        <w:rPr>
          <w:rFonts w:ascii="Times New Roman" w:hAnsi="Times New Roman" w:eastAsia="仿宋_GB2312"/>
          <w:sz w:val="30"/>
          <w:szCs w:val="30"/>
        </w:rPr>
        <w:t>高大、长寿、健康、多样</w:t>
      </w:r>
      <w:r>
        <w:rPr>
          <w:rFonts w:hint="eastAsia" w:ascii="Times New Roman" w:hAnsi="Times New Roman" w:eastAsia="仿宋_GB2312"/>
          <w:sz w:val="30"/>
          <w:szCs w:val="30"/>
        </w:rPr>
        <w:t>”</w:t>
      </w:r>
      <w:r>
        <w:rPr>
          <w:rFonts w:ascii="Times New Roman" w:hAnsi="Times New Roman" w:eastAsia="仿宋_GB2312"/>
          <w:sz w:val="30"/>
          <w:szCs w:val="30"/>
        </w:rPr>
        <w:t>的平原森林。</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（四）实施区域及面积</w:t>
      </w:r>
    </w:p>
    <w:p>
      <w:pPr>
        <w:pStyle w:val="2"/>
        <w:spacing w:line="560" w:lineRule="exact"/>
        <w:ind w:firstLine="600" w:firstLineChars="200"/>
        <w:rPr>
          <w:rFonts w:ascii="仿宋_GB2312" w:hAnsi="仿宋_GB2312" w:eastAsia="仿宋_GB2312" w:cs="仿宋_GB2312"/>
          <w:sz w:val="30"/>
          <w:szCs w:val="30"/>
        </w:rPr>
      </w:pPr>
      <w:bookmarkStart w:id="256" w:name="OLE_LINK168"/>
      <w:bookmarkStart w:id="257" w:name="OLE_LINK169"/>
      <w:r>
        <w:rPr>
          <w:rFonts w:hint="eastAsia" w:ascii="仿宋_GB2312" w:hAnsi="仿宋_GB2312" w:eastAsia="仿宋_GB2312" w:cs="仿宋_GB2312"/>
          <w:sz w:val="30"/>
          <w:szCs w:val="30"/>
        </w:rPr>
        <w:t>实施区域：</w:t>
      </w:r>
      <w:bookmarkEnd w:id="256"/>
      <w:bookmarkEnd w:id="257"/>
      <w:bookmarkStart w:id="258" w:name="OLE_LINK61"/>
      <w:bookmarkStart w:id="259" w:name="OLE_LINK60"/>
      <w:r>
        <w:rPr>
          <w:rFonts w:hint="eastAsia" w:ascii="仿宋_GB2312" w:hAnsi="仿宋_GB2312" w:eastAsia="仿宋_GB2312" w:cs="仿宋_GB2312"/>
          <w:sz w:val="30"/>
          <w:szCs w:val="30"/>
        </w:rPr>
        <w:t>昌平区、怀柔区、平谷区、密云区、延庆区、门头沟区、房山区、</w:t>
      </w:r>
      <w:bookmarkStart w:id="260" w:name="OLE_LINK129"/>
      <w:bookmarkStart w:id="261" w:name="OLE_LINK130"/>
      <w:r>
        <w:rPr>
          <w:rFonts w:hint="eastAsia" w:ascii="仿宋_GB2312" w:hAnsi="仿宋_GB2312" w:eastAsia="仿宋_GB2312" w:cs="仿宋_GB2312"/>
          <w:sz w:val="30"/>
          <w:szCs w:val="30"/>
        </w:rPr>
        <w:t>朝阳区、通州区、顺义区、大兴区</w:t>
      </w:r>
      <w:bookmarkEnd w:id="260"/>
      <w:bookmarkEnd w:id="261"/>
      <w:r>
        <w:rPr>
          <w:rFonts w:hint="eastAsia" w:ascii="仿宋_GB2312" w:hAnsi="仿宋_GB2312" w:eastAsia="仿宋_GB2312" w:cs="仿宋_GB2312"/>
          <w:sz w:val="30"/>
          <w:szCs w:val="30"/>
        </w:rPr>
        <w:t>。</w:t>
      </w:r>
      <w:bookmarkEnd w:id="258"/>
      <w:bookmarkEnd w:id="259"/>
      <w:r>
        <w:rPr>
          <w:rFonts w:hint="eastAsia" w:ascii="仿宋_GB2312" w:hAnsi="仿宋_GB2312" w:eastAsia="仿宋_GB2312" w:cs="仿宋_GB2312"/>
          <w:sz w:val="30"/>
          <w:szCs w:val="30"/>
        </w:rPr>
        <w:t>实施面积：854.41万亩。</w:t>
      </w:r>
    </w:p>
    <w:p>
      <w:pPr>
        <w:pStyle w:val="4"/>
        <w:spacing w:before="120" w:after="120"/>
        <w:ind w:firstLine="600"/>
        <w:rPr>
          <w:rFonts w:ascii="Times New Roman" w:hAnsi="Times New Roman" w:cs="Times New Roman"/>
        </w:rPr>
      </w:pPr>
      <w:bookmarkStart w:id="262" w:name="_Toc202350694"/>
      <w:r>
        <w:rPr>
          <w:rFonts w:ascii="Times New Roman" w:hAnsi="Times New Roman" w:cs="Times New Roman"/>
        </w:rPr>
        <w:t>四、</w:t>
      </w:r>
      <w:bookmarkStart w:id="263" w:name="OLE_LINK44"/>
      <w:bookmarkStart w:id="264" w:name="OLE_LINK147"/>
      <w:bookmarkStart w:id="265" w:name="OLE_LINK45"/>
      <w:bookmarkStart w:id="266" w:name="OLE_LINK146"/>
      <w:r>
        <w:rPr>
          <w:rFonts w:ascii="Times New Roman" w:hAnsi="Times New Roman" w:cs="Times New Roman"/>
        </w:rPr>
        <w:t>退化林修复</w:t>
      </w:r>
      <w:bookmarkEnd w:id="262"/>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在山区地带，重点修复太行山和燕山山脉区的高密度人工侧柏林、呈现明显衰退特征的油松林、刺槐林、以及生长停滞的栎类萌生林。</w:t>
      </w:r>
      <w:r>
        <w:rPr>
          <w:rFonts w:hint="eastAsia" w:ascii="Times New Roman" w:hAnsi="Times New Roman" w:eastAsia="仿宋_GB2312"/>
          <w:sz w:val="30"/>
          <w:szCs w:val="30"/>
        </w:rPr>
        <w:t>在平原区，重点修复生长衰退严重的白蜡林、柳树林、国槐林等退化林分。</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（二）修复目标</w:t>
      </w:r>
    </w:p>
    <w:p>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优化林分结构，调整郁闭度至合理范围，通过补植以及人工促进天然更新措施等形成针阔混交林；提升林分健康水平，构建多层次林分结构，增强生物多样性，恢复生态功能。</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（三）技术措施</w:t>
      </w:r>
    </w:p>
    <w:p>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根据山区退化林林分特点，主要采用补植补播、采伐修复和平茬复壮三种方式，通过补植乡土树种、疏伐高密度林分、受灾林分或截干促萌（黄栌等特定树种）等措施恢复林分健康；平原退化林则以补植补播和更替修复为主，采用群团状更新和渐进式更替技术，逐步改善林分结构。具体技术操作可遵循《退化生态公益林修复技术规程》（DB11/T793—2024），并结合项目区立地条件、植被现状等实际情况进行适应性调整。</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（四）实施区域及面积</w:t>
      </w:r>
    </w:p>
    <w:p>
      <w:pPr>
        <w:pStyle w:val="2"/>
        <w:spacing w:line="560" w:lineRule="exact"/>
        <w:ind w:firstLine="600" w:firstLineChars="200"/>
        <w:rPr>
          <w:rFonts w:ascii="仿宋_GB2312" w:hAnsi="仿宋_GB2312" w:eastAsia="仿宋_GB2312" w:cs="仿宋_GB2312"/>
          <w:sz w:val="30"/>
          <w:szCs w:val="30"/>
        </w:rPr>
      </w:pPr>
      <w:bookmarkStart w:id="267" w:name="OLE_LINK173"/>
      <w:r>
        <w:rPr>
          <w:rFonts w:hint="eastAsia" w:ascii="仿宋_GB2312" w:hAnsi="仿宋_GB2312" w:eastAsia="仿宋_GB2312" w:cs="仿宋_GB2312"/>
          <w:sz w:val="30"/>
          <w:szCs w:val="30"/>
        </w:rPr>
        <w:t>实施区域：昌平区、怀柔区、平谷区、密云区、延庆区、门头沟区、房山区。实施面积：30万亩。</w:t>
      </w:r>
    </w:p>
    <w:bookmarkEnd w:id="263"/>
    <w:bookmarkEnd w:id="264"/>
    <w:bookmarkEnd w:id="265"/>
    <w:bookmarkEnd w:id="266"/>
    <w:bookmarkEnd w:id="267"/>
    <w:p>
      <w:pPr>
        <w:pStyle w:val="4"/>
        <w:spacing w:before="120" w:after="120"/>
        <w:ind w:firstLine="600"/>
        <w:rPr>
          <w:rFonts w:ascii="Times New Roman" w:hAnsi="Times New Roman" w:cs="Times New Roman"/>
        </w:rPr>
      </w:pPr>
      <w:bookmarkStart w:id="268" w:name="_Toc202350695"/>
      <w:r>
        <w:rPr>
          <w:rFonts w:ascii="Times New Roman" w:hAnsi="Times New Roman" w:cs="Times New Roman"/>
        </w:rPr>
        <w:t>五、</w:t>
      </w:r>
      <w:bookmarkStart w:id="269" w:name="OLE_LINK46"/>
      <w:r>
        <w:rPr>
          <w:rFonts w:hint="eastAsia" w:ascii="Times New Roman" w:hAnsi="Times New Roman" w:cs="Times New Roman"/>
        </w:rPr>
        <w:t>封山育林</w:t>
      </w:r>
      <w:bookmarkEnd w:id="268"/>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pPr>
        <w:pStyle w:val="2"/>
        <w:spacing w:line="560" w:lineRule="exact"/>
        <w:ind w:firstLine="600" w:firstLineChars="200"/>
        <w:rPr>
          <w:rFonts w:ascii="Times New Roman" w:hAnsi="Times New Roman" w:eastAsia="仿宋_GB2312" w:cs="Courier New"/>
          <w:sz w:val="30"/>
          <w:szCs w:val="30"/>
        </w:rPr>
      </w:pPr>
      <w:r>
        <w:rPr>
          <w:rFonts w:hint="eastAsia" w:ascii="Times New Roman" w:hAnsi="Times New Roman" w:eastAsia="仿宋_GB2312"/>
          <w:sz w:val="30"/>
          <w:szCs w:val="30"/>
        </w:rPr>
        <w:t>具有天然下种或萌蘖能力的疏林地、迹地、未成林造林地、乔木林地以及灌木林地。</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（二）封育目标</w:t>
      </w:r>
    </w:p>
    <w:p>
      <w:pPr>
        <w:pStyle w:val="2"/>
        <w:spacing w:line="560" w:lineRule="exact"/>
        <w:ind w:firstLine="600" w:firstLineChars="200"/>
        <w:rPr>
          <w:rFonts w:ascii="Times New Roman" w:hAnsi="Times New Roman" w:eastAsia="仿宋_GB2312"/>
          <w:sz w:val="30"/>
          <w:szCs w:val="30"/>
        </w:rPr>
      </w:pPr>
      <w:r>
        <w:rPr>
          <w:rFonts w:hint="eastAsia" w:ascii="Times New Roman" w:hAnsi="Times New Roman" w:eastAsia="仿宋_GB2312"/>
          <w:sz w:val="30"/>
          <w:szCs w:val="30"/>
        </w:rPr>
        <w:t>通过自然恢复，增加森林覆盖面积，同时减少人为干扰，促进植被种类增多、森林结构优化，提升林地生产力，增强森林的水源涵养、水土保持等生态功能。</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（三）技术措施</w:t>
      </w:r>
    </w:p>
    <w:p>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根据培育目标和植被恢复预期，将封育区划分为三种主要植被恢复类型：1</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乔木型（以乔木树种为主）；2</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乔灌型（乔木与灌木混交）；3</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灌木型（以灌木为主）。封育方式可根据实际情况选择全封闭式、半封或轮替式管理。标准封育周期设定为5年，若期满后未能达到预期恢复目标，经评估后可延长封育期限。具体实施时，可采取保护、人工辅助育林和生态保育相结合的综合措施。</w:t>
      </w:r>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70" w:name="OLE_LINK43"/>
      <w:r>
        <w:rPr>
          <w:rFonts w:hint="eastAsia" w:ascii="Times New Roman" w:hAnsi="Times New Roman" w:eastAsia="楷体_GB2312" w:cs="Times New Roman"/>
        </w:rPr>
        <w:t>（四）实施区域及面积</w:t>
      </w:r>
    </w:p>
    <w:p>
      <w:pPr>
        <w:pStyle w:val="2"/>
        <w:adjustRightInd w:val="0"/>
        <w:snapToGrid w:val="0"/>
        <w:spacing w:line="540" w:lineRule="exact"/>
        <w:ind w:firstLine="600" w:firstLineChars="200"/>
        <w:rPr>
          <w:rFonts w:ascii="仿宋_GB2312" w:hAnsi="仿宋_GB2312" w:eastAsia="仿宋_GB2312" w:cs="仿宋_GB2312"/>
          <w:sz w:val="30"/>
          <w:szCs w:val="30"/>
        </w:rPr>
      </w:pPr>
      <w:bookmarkStart w:id="271" w:name="OLE_LINK171"/>
      <w:bookmarkStart w:id="272" w:name="OLE_LINK170"/>
      <w:r>
        <w:rPr>
          <w:rFonts w:hint="eastAsia" w:ascii="仿宋_GB2312" w:hAnsi="仿宋_GB2312" w:eastAsia="仿宋_GB2312" w:cs="仿宋_GB2312"/>
          <w:sz w:val="30"/>
          <w:szCs w:val="30"/>
        </w:rPr>
        <w:t>实施</w:t>
      </w:r>
      <w:bookmarkEnd w:id="271"/>
      <w:bookmarkEnd w:id="272"/>
      <w:r>
        <w:rPr>
          <w:rFonts w:hint="eastAsia" w:ascii="仿宋_GB2312" w:hAnsi="仿宋_GB2312" w:eastAsia="仿宋_GB2312" w:cs="仿宋_GB2312"/>
          <w:sz w:val="30"/>
          <w:szCs w:val="30"/>
        </w:rPr>
        <w:t>区域：昌平区、怀柔区、密云区、延庆区、门头沟区、房山区。</w:t>
      </w:r>
      <w:bookmarkStart w:id="273" w:name="OLE_LINK148"/>
      <w:r>
        <w:rPr>
          <w:rFonts w:hint="eastAsia" w:ascii="仿宋_GB2312" w:hAnsi="仿宋_GB2312" w:eastAsia="仿宋_GB2312" w:cs="仿宋_GB2312"/>
          <w:sz w:val="30"/>
          <w:szCs w:val="30"/>
        </w:rPr>
        <w:t>实施面积</w:t>
      </w:r>
      <w:bookmarkEnd w:id="273"/>
      <w:r>
        <w:rPr>
          <w:rFonts w:hint="eastAsia" w:ascii="仿宋_GB2312" w:hAnsi="仿宋_GB2312" w:eastAsia="仿宋_GB2312" w:cs="仿宋_GB2312"/>
          <w:sz w:val="30"/>
          <w:szCs w:val="30"/>
        </w:rPr>
        <w:t>：90万亩。</w:t>
      </w:r>
      <w:bookmarkEnd w:id="270"/>
    </w:p>
    <w:bookmarkEnd w:id="269"/>
    <w:p>
      <w:pPr>
        <w:pStyle w:val="4"/>
        <w:adjustRightInd w:val="0"/>
        <w:snapToGrid w:val="0"/>
        <w:spacing w:before="120" w:after="120" w:line="540" w:lineRule="exact"/>
        <w:ind w:firstLine="600"/>
        <w:rPr>
          <w:rFonts w:ascii="Times New Roman" w:hAnsi="Times New Roman" w:cs="Times New Roman"/>
        </w:rPr>
      </w:pPr>
      <w:bookmarkStart w:id="274" w:name="_Toc202350696"/>
      <w:r>
        <w:rPr>
          <w:rFonts w:ascii="Times New Roman" w:hAnsi="Times New Roman" w:cs="Times New Roman"/>
        </w:rPr>
        <w:t>六、重点工程</w:t>
      </w:r>
      <w:bookmarkEnd w:id="274"/>
    </w:p>
    <w:p>
      <w:pPr>
        <w:adjustRightInd w:val="0"/>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实施京津风沙源治理二期工程、燕山山地南部生态综合治理工程、太行山东北部生态综合治理工程等</w:t>
      </w:r>
      <w:r>
        <w:rPr>
          <w:rFonts w:hint="eastAsia" w:ascii="仿宋_GB2312" w:hAnsi="仿宋_GB2312" w:eastAsia="仿宋_GB2312" w:cs="仿宋_GB2312"/>
          <w:color w:val="000000"/>
          <w:sz w:val="30"/>
          <w:szCs w:val="30"/>
          <w:lang w:eastAsia="zh-CN"/>
        </w:rPr>
        <w:t>国家</w:t>
      </w:r>
      <w:r>
        <w:rPr>
          <w:rFonts w:hint="eastAsia" w:ascii="仿宋_GB2312" w:hAnsi="仿宋_GB2312" w:eastAsia="仿宋_GB2312" w:cs="仿宋_GB2312"/>
          <w:color w:val="000000"/>
          <w:sz w:val="30"/>
          <w:szCs w:val="30"/>
        </w:rPr>
        <w:t>重大生态工程，结合北京市山区森林健康经营、平原生态林年度养护等工作，完成华北平原北部生态保护修复区和华北平原-内蒙古高原生态廊道连通区</w:t>
      </w:r>
      <w:bookmarkStart w:id="275" w:name="_Hlk198885094"/>
      <w:r>
        <w:rPr>
          <w:rFonts w:hint="eastAsia" w:ascii="仿宋_GB2312" w:hAnsi="仿宋_GB2312" w:eastAsia="仿宋_GB2312" w:cs="仿宋_GB2312"/>
          <w:color w:val="000000"/>
          <w:sz w:val="30"/>
          <w:szCs w:val="30"/>
        </w:rPr>
        <w:t>建设任务。</w:t>
      </w:r>
      <w:bookmarkEnd w:id="275"/>
    </w:p>
    <w:p>
      <w:pPr>
        <w:adjustRightInd w:val="0"/>
        <w:snapToGrid w:val="0"/>
        <w:spacing w:line="540" w:lineRule="exact"/>
        <w:ind w:firstLine="600" w:firstLineChars="200"/>
        <w:rPr>
          <w:rFonts w:eastAsia="方正小标宋_GBK"/>
          <w:sz w:val="36"/>
          <w:szCs w:val="36"/>
        </w:rPr>
      </w:pPr>
      <w:r>
        <w:rPr>
          <w:rFonts w:hint="eastAsia" w:ascii="仿宋_GB2312" w:hAnsi="仿宋_GB2312" w:eastAsia="仿宋_GB2312" w:cs="仿宋_GB2312"/>
          <w:color w:val="000000"/>
          <w:sz w:val="30"/>
          <w:szCs w:val="30"/>
        </w:rPr>
        <w:t>“十四五”时期，已完成沙化土地综合治理6.03万亩、非沙化土地林草修复28.1万亩、封山育林85万亩；中幼林抚育508.61万亩、退化林修复25.2万亩。</w:t>
      </w:r>
      <w:bookmarkEnd w:id="222"/>
      <w:bookmarkEnd w:id="223"/>
      <w:bookmarkEnd w:id="225"/>
      <w:bookmarkEnd w:id="226"/>
      <w:r>
        <w:br w:type="page"/>
      </w:r>
    </w:p>
    <w:p>
      <w:pPr>
        <w:pStyle w:val="3"/>
        <w:rPr>
          <w:rFonts w:ascii="Times New Roman" w:hAnsi="Times New Roman" w:cs="Times New Roman"/>
        </w:rPr>
      </w:pPr>
      <w:bookmarkStart w:id="276" w:name="_Toc202350697"/>
      <w:r>
        <w:rPr>
          <w:rFonts w:ascii="Times New Roman" w:hAnsi="Times New Roman" w:cs="Times New Roman"/>
        </w:rPr>
        <w:t>第七章</w:t>
      </w:r>
      <w:bookmarkStart w:id="277" w:name="OLE_LINK151"/>
      <w:r>
        <w:rPr>
          <w:rFonts w:hint="eastAsia" w:ascii="Times New Roman" w:hAnsi="Times New Roman" w:cs="Times New Roman"/>
        </w:rPr>
        <w:t xml:space="preserve"> 环境影响评价与水资源论证</w:t>
      </w:r>
      <w:bookmarkEnd w:id="276"/>
      <w:bookmarkEnd w:id="277"/>
    </w:p>
    <w:p>
      <w:pPr>
        <w:pStyle w:val="4"/>
        <w:spacing w:before="120" w:after="120"/>
        <w:ind w:firstLine="600"/>
        <w:rPr>
          <w:rFonts w:ascii="Times New Roman" w:hAnsi="Times New Roman" w:cs="Times New Roman"/>
        </w:rPr>
      </w:pPr>
      <w:bookmarkStart w:id="278" w:name="_Toc202350698"/>
      <w:bookmarkStart w:id="279" w:name="_Toc185513681"/>
      <w:bookmarkStart w:id="280" w:name="_Hlk187396624"/>
      <w:r>
        <w:rPr>
          <w:rFonts w:hint="eastAsia" w:ascii="Times New Roman" w:hAnsi="Times New Roman" w:cs="Times New Roman"/>
        </w:rPr>
        <w:t>一、环境影响评价</w:t>
      </w:r>
      <w:bookmarkEnd w:id="278"/>
      <w:bookmarkEnd w:id="279"/>
    </w:p>
    <w:p>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（一）环境影响预测</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项目建设整体上对环境不会产生负面影响，仅在开展人工造林、封山育林、中幼林抚育、退化林修复等方面，因整地、栽植、化肥农药以及人为活动增加等因素，将会对原有生态环境造成一定的干扰。</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在项目建设时，整地会使土体裸露、疏松，暂时破坏土壤稳定结构，产生一定面积的裸露地面；经营活动使动物栖息地减少和生境发生变化，干扰斑块增多和增大，导致动植物种类和数量减少。随着施工结束，不利影响也会随之消失。</w:t>
      </w:r>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81" w:name="OLE_LINK284"/>
      <w:bookmarkStart w:id="282" w:name="OLE_LINK282"/>
      <w:bookmarkStart w:id="283" w:name="OLE_LINK283"/>
      <w:r>
        <w:rPr>
          <w:rFonts w:hint="eastAsia" w:ascii="Times New Roman" w:hAnsi="Times New Roman" w:eastAsia="楷体_GB2312" w:cs="Times New Roman"/>
        </w:rPr>
        <w:t>（二）环境保护措施</w:t>
      </w:r>
    </w:p>
    <w:bookmarkEnd w:id="281"/>
    <w:bookmarkEnd w:id="282"/>
    <w:bookmarkEnd w:id="283"/>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在项目实施过程中，针对不同类型的林地采取相应的水土保持措施，避免全面整地，采取局部整地，整地后及时栽植。将临时占地面积控制在最低限度，避免造成土壤和植被的大面积破坏，并减少各种废渣、废水和废气及噪声的产生。</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综合以上分析，项目建设整体上对环境不会产生负面影响，仅在建设过程中会对原有生态环境造成一定的干扰，但这些影响具有历时短、影响分散等特点，采取合理的规避和保护措施，能有效地将对环境可能造成的不利影响降到最小程度或基本消除。通过规划实施，能明显增加林草植被盖度，提高森林生态系统功能，改善湿地生态系统质量，调节区域小气候，促进工程区生物多样性保护和恢复。</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综合以上分析和预测，规划实施对区域生态环境正面效益显著，负面影响可控，实施后对于提升生态系统功能具有积极作用。</w:t>
      </w:r>
    </w:p>
    <w:p>
      <w:pPr>
        <w:pStyle w:val="4"/>
        <w:spacing w:before="120" w:after="120"/>
        <w:ind w:firstLine="600"/>
        <w:rPr>
          <w:rFonts w:ascii="Times New Roman" w:hAnsi="Times New Roman" w:cs="Times New Roman"/>
        </w:rPr>
      </w:pPr>
      <w:bookmarkStart w:id="284" w:name="_Toc202350699"/>
      <w:bookmarkStart w:id="285" w:name="_Toc185513682"/>
      <w:r>
        <w:rPr>
          <w:rFonts w:hint="eastAsia" w:ascii="Times New Roman" w:hAnsi="Times New Roman" w:cs="Times New Roman"/>
        </w:rPr>
        <w:t>二、水资源论证</w:t>
      </w:r>
      <w:bookmarkEnd w:id="284"/>
      <w:bookmarkEnd w:id="285"/>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86" w:name="OLE_LINK285"/>
      <w:bookmarkStart w:id="287" w:name="OLE_LINK279"/>
      <w:bookmarkStart w:id="288" w:name="OLE_LINK280"/>
      <w:r>
        <w:rPr>
          <w:rFonts w:hint="eastAsia" w:ascii="Times New Roman" w:hAnsi="Times New Roman" w:eastAsia="楷体_GB2312" w:cs="Times New Roman"/>
        </w:rPr>
        <w:t>（一）</w:t>
      </w:r>
      <w:r>
        <w:rPr>
          <w:rFonts w:ascii="Times New Roman" w:hAnsi="Times New Roman" w:eastAsia="楷体_GB2312" w:cs="Times New Roman"/>
        </w:rPr>
        <w:t>水资源禀赋条件</w:t>
      </w:r>
    </w:p>
    <w:bookmarkEnd w:id="286"/>
    <w:bookmarkEnd w:id="287"/>
    <w:bookmarkEnd w:id="288"/>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北京市属暖温带半湿润半干旱季风气候，降水时空差异显著，北京市多年平均降水量585毫米，其中汛期（6-9月）多年平均降水量488毫米，非汛期（1-5月，10-12月）多年平均降水量97毫米。多年平均水资源总量37.39亿立方米，其中地表水资源量17.72亿立方米。水资源开发利用程度总体较高，供需矛盾较为突出。根据《北京市水资源公报》（2020），2020年北京市总供水量为40.6亿立方米，总用水量为40.6亿立方米，其中环境用水17.4亿立方米。</w:t>
      </w:r>
    </w:p>
    <w:p>
      <w:pPr>
        <w:pStyle w:val="5"/>
        <w:adjustRightInd w:val="0"/>
        <w:snapToGrid w:val="0"/>
        <w:spacing w:before="0" w:line="560" w:lineRule="exact"/>
        <w:ind w:left="0" w:firstLine="628" w:firstLineChars="200"/>
        <w:rPr>
          <w:rFonts w:ascii="Times New Roman" w:hAnsi="Times New Roman" w:eastAsia="楷体_GB2312" w:cs="Times New Roman"/>
        </w:rPr>
      </w:pPr>
      <w:bookmarkStart w:id="289" w:name="OLE_LINK286"/>
      <w:bookmarkStart w:id="290" w:name="OLE_LINK281"/>
      <w:r>
        <w:rPr>
          <w:rFonts w:hint="eastAsia" w:ascii="Times New Roman" w:hAnsi="Times New Roman" w:eastAsia="楷体_GB2312" w:cs="Times New Roman"/>
        </w:rPr>
        <w:t>（</w:t>
      </w:r>
      <w:r>
        <w:rPr>
          <w:rFonts w:ascii="Times New Roman" w:hAnsi="Times New Roman" w:eastAsia="楷体_GB2312" w:cs="Times New Roman"/>
        </w:rPr>
        <w:t>二</w:t>
      </w:r>
      <w:r>
        <w:rPr>
          <w:rFonts w:hint="eastAsia" w:ascii="Times New Roman" w:hAnsi="Times New Roman" w:eastAsia="楷体_GB2312" w:cs="Times New Roman"/>
        </w:rPr>
        <w:t>）</w:t>
      </w:r>
      <w:r>
        <w:rPr>
          <w:rFonts w:ascii="Times New Roman" w:hAnsi="Times New Roman" w:eastAsia="楷体_GB2312" w:cs="Times New Roman"/>
        </w:rPr>
        <w:t>水资源管理和保护对策</w:t>
      </w:r>
    </w:p>
    <w:bookmarkEnd w:id="289"/>
    <w:bookmarkEnd w:id="290"/>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严格落实《国务院办公厅关于科学绿化的指导意见》要求，在工程推进中，应加强水资源管理，根据区域内水资源分布状况，分类指导，分区施策，坚持以水定绿，量水而行，科学评估水资源承载能力，宜林则林、宜荒则荒，因地制宜，科学恢复林草植被。主要利用天然降水，运用保水剂等节水材料，提高工程用水效率，确保项目建设与水资源条件相适应。</w:t>
      </w:r>
      <w:bookmarkEnd w:id="280"/>
    </w:p>
    <w:p>
      <w:pPr>
        <w:widowControl/>
        <w:adjustRightInd w:val="0"/>
        <w:snapToGrid w:val="0"/>
        <w:spacing w:line="560" w:lineRule="exact"/>
        <w:jc w:val="left"/>
        <w:rPr>
          <w:rFonts w:eastAsia="方正小标宋_GBK"/>
          <w:sz w:val="36"/>
          <w:szCs w:val="36"/>
        </w:rPr>
      </w:pPr>
      <w:r>
        <w:br w:type="page"/>
      </w:r>
    </w:p>
    <w:p>
      <w:pPr>
        <w:pStyle w:val="3"/>
        <w:rPr>
          <w:rFonts w:ascii="Times New Roman" w:hAnsi="Times New Roman" w:cs="Times New Roman"/>
        </w:rPr>
      </w:pPr>
      <w:bookmarkStart w:id="291" w:name="_Toc13883"/>
      <w:bookmarkStart w:id="292" w:name="_Toc166412204"/>
      <w:bookmarkStart w:id="293" w:name="_Toc202350700"/>
      <w:r>
        <w:rPr>
          <w:rFonts w:ascii="Times New Roman" w:hAnsi="Times New Roman" w:cs="Times New Roman"/>
        </w:rPr>
        <w:t>第八章 项目管理及保障措施</w:t>
      </w:r>
      <w:bookmarkEnd w:id="291"/>
      <w:bookmarkEnd w:id="292"/>
      <w:bookmarkEnd w:id="293"/>
    </w:p>
    <w:p>
      <w:pPr>
        <w:pStyle w:val="4"/>
        <w:spacing w:before="120" w:after="120"/>
        <w:ind w:firstLine="600"/>
        <w:rPr>
          <w:rFonts w:ascii="Times New Roman" w:hAnsi="Times New Roman" w:cs="Times New Roman"/>
        </w:rPr>
      </w:pPr>
      <w:bookmarkStart w:id="294" w:name="_Toc166412205"/>
      <w:bookmarkStart w:id="295" w:name="_Toc10914"/>
      <w:bookmarkStart w:id="296" w:name="_Toc202350701"/>
      <w:r>
        <w:rPr>
          <w:rFonts w:ascii="Times New Roman" w:hAnsi="Times New Roman" w:cs="Times New Roman"/>
        </w:rPr>
        <w:t>一、建设管理</w:t>
      </w:r>
      <w:bookmarkEnd w:id="294"/>
      <w:bookmarkEnd w:id="295"/>
      <w:bookmarkEnd w:id="296"/>
    </w:p>
    <w:p>
      <w:pPr>
        <w:pStyle w:val="5"/>
        <w:adjustRightInd w:val="0"/>
        <w:snapToGrid w:val="0"/>
        <w:spacing w:before="0" w:line="560" w:lineRule="exact"/>
        <w:ind w:left="0" w:firstLine="600" w:firstLineChars="200"/>
        <w:rPr>
          <w:rFonts w:ascii="Times New Roman" w:hAnsi="Times New Roman" w:eastAsia="楷体_GB2312" w:cs="Times New Roman"/>
          <w:color w:val="000000"/>
          <w:spacing w:val="0"/>
        </w:rPr>
      </w:pPr>
      <w:r>
        <w:rPr>
          <w:rFonts w:ascii="Times New Roman" w:hAnsi="Times New Roman" w:eastAsia="楷体_GB2312" w:cs="Times New Roman"/>
          <w:color w:val="000000"/>
          <w:spacing w:val="0"/>
        </w:rPr>
        <w:t>（一）组织管理</w:t>
      </w:r>
    </w:p>
    <w:p>
      <w:pPr>
        <w:pStyle w:val="16"/>
        <w:widowControl/>
        <w:adjustRightInd w:val="0"/>
        <w:snapToGrid w:val="0"/>
        <w:spacing w:line="560" w:lineRule="exact"/>
        <w:ind w:firstLine="600" w:firstLineChars="200"/>
        <w:jc w:val="both"/>
        <w:rPr>
          <w:rFonts w:hint="default" w:ascii="仿宋_GB2312" w:hAnsi="仿宋_GB2312" w:eastAsia="仿宋_GB2312" w:cs="仿宋_GB2312"/>
          <w:color w:val="000000"/>
          <w:kern w:val="2"/>
          <w:sz w:val="30"/>
          <w:szCs w:val="30"/>
        </w:rPr>
      </w:pPr>
      <w:r>
        <w:rPr>
          <w:rFonts w:ascii="仿宋_GB2312" w:hAnsi="仿宋_GB2312" w:eastAsia="仿宋_GB2312" w:cs="仿宋_GB2312"/>
          <w:color w:val="000000"/>
          <w:kern w:val="2"/>
          <w:sz w:val="30"/>
          <w:szCs w:val="30"/>
        </w:rPr>
        <w:t>切实增强做好生态保护和建设工作的责任感和使命感，北京市园林绿化局成立“三北”六期工程建设领导小组，研究、决策和推进本市“三北”六期工程建设中的重要事项、项目等工作，协调解决遇到的重大问题。成立由相关业务处室组成的工作专班，</w:t>
      </w:r>
      <w:r>
        <w:rPr>
          <w:rFonts w:ascii="仿宋_GB2312" w:hAnsi="仿宋_GB2312" w:eastAsia="仿宋_GB2312" w:cs="仿宋_GB2312"/>
          <w:color w:val="000000"/>
          <w:sz w:val="30"/>
          <w:szCs w:val="30"/>
        </w:rPr>
        <w:t>对项目实施开展行业指导，</w:t>
      </w:r>
      <w:r>
        <w:rPr>
          <w:rFonts w:ascii="仿宋_GB2312" w:hAnsi="仿宋_GB2312" w:eastAsia="仿宋_GB2312" w:cs="仿宋_GB2312"/>
          <w:color w:val="000000"/>
          <w:kern w:val="2"/>
          <w:sz w:val="30"/>
          <w:szCs w:val="30"/>
        </w:rPr>
        <w:t>专班成员之间互相支持，协同作战、配合联动，切实做到每项工作任务高起点推动、高标准落实。</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（二）监督检查</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北京市园林绿化局、</w:t>
      </w:r>
      <w:bookmarkStart w:id="297" w:name="OLE_LINK140"/>
      <w:bookmarkStart w:id="298" w:name="OLE_LINK131"/>
      <w:r>
        <w:rPr>
          <w:rFonts w:eastAsia="仿宋_GB2312"/>
          <w:color w:val="000000"/>
          <w:sz w:val="30"/>
          <w:szCs w:val="30"/>
        </w:rPr>
        <w:t>市发展改革委</w:t>
      </w:r>
      <w:bookmarkEnd w:id="297"/>
      <w:bookmarkEnd w:id="298"/>
      <w:r>
        <w:rPr>
          <w:rFonts w:eastAsia="仿宋_GB2312"/>
          <w:color w:val="000000"/>
          <w:sz w:val="30"/>
          <w:szCs w:val="30"/>
        </w:rPr>
        <w:t>共同负责</w:t>
      </w:r>
      <w:r>
        <w:rPr>
          <w:rFonts w:hint="eastAsia" w:eastAsia="仿宋_GB2312"/>
          <w:color w:val="000000"/>
          <w:sz w:val="30"/>
          <w:szCs w:val="30"/>
          <w:lang w:eastAsia="zh-CN"/>
        </w:rPr>
        <w:t>国家重点生态工程</w:t>
      </w:r>
      <w:r>
        <w:rPr>
          <w:rFonts w:eastAsia="仿宋_GB2312"/>
          <w:color w:val="000000"/>
          <w:sz w:val="30"/>
          <w:szCs w:val="30"/>
        </w:rPr>
        <w:t>的监督管理，共同做好项目建设的事前、事中、事后监督工作，跟踪项目实施进度。各区园林绿化局、林场负责组织对项目的监督、验收，接受市园林绿化局组织的督导、抽查。</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（三）绩效考核</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bookmarkStart w:id="299" w:name="_Toc21138"/>
      <w:bookmarkStart w:id="300" w:name="_Toc166412206"/>
      <w:r>
        <w:rPr>
          <w:rFonts w:hint="eastAsia" w:eastAsia="仿宋_GB2312"/>
          <w:color w:val="000000"/>
          <w:sz w:val="30"/>
          <w:szCs w:val="30"/>
        </w:rPr>
        <w:t>开展项目全过程预算绩效管理工作。在预算执行环节，各项目单位应按财政部门要求实施预算绩效运行监控，重点监控资金运行状况和绩效目标预期实现程度，发现绩效运行与预期绩效目标发生偏离时及时采取措施予以纠正。预算执行结束后，各区园林绿化部门应按照区财政部门要求，对照年度绩效目标任务开展绩效自评，报市财政、园林绿化主管部门审核汇总，并对自评结果和绩效评价相关材料的真实性负责。</w:t>
      </w:r>
    </w:p>
    <w:p>
      <w:pPr>
        <w:pStyle w:val="4"/>
        <w:spacing w:before="120" w:after="120"/>
        <w:ind w:firstLine="600"/>
        <w:rPr>
          <w:rFonts w:ascii="Times New Roman" w:hAnsi="Times New Roman" w:cs="Times New Roman"/>
        </w:rPr>
      </w:pPr>
      <w:bookmarkStart w:id="301" w:name="_Toc202350702"/>
      <w:r>
        <w:rPr>
          <w:rFonts w:ascii="Times New Roman" w:hAnsi="Times New Roman" w:cs="Times New Roman"/>
        </w:rPr>
        <w:t>二、运行管理</w:t>
      </w:r>
      <w:bookmarkEnd w:id="299"/>
      <w:bookmarkEnd w:id="300"/>
      <w:bookmarkEnd w:id="301"/>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（一）项目管理</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ascii="仿宋_GB2312" w:hAnsi="仿宋_GB2312" w:eastAsia="仿宋_GB2312" w:cs="仿宋_GB2312"/>
          <w:color w:val="000000"/>
          <w:sz w:val="30"/>
          <w:szCs w:val="30"/>
        </w:rPr>
        <w:t>提高</w:t>
      </w:r>
      <w:r>
        <w:rPr>
          <w:rFonts w:hint="eastAsia" w:ascii="仿宋_GB2312" w:hAnsi="仿宋_GB2312" w:eastAsia="仿宋_GB2312" w:cs="仿宋_GB2312"/>
          <w:color w:val="000000"/>
          <w:sz w:val="30"/>
          <w:szCs w:val="30"/>
          <w:lang w:eastAsia="zh-CN"/>
        </w:rPr>
        <w:t>国家重点生态工程</w:t>
      </w:r>
      <w:r>
        <w:rPr>
          <w:rFonts w:hint="eastAsia" w:ascii="仿宋_GB2312" w:hAnsi="仿宋_GB2312" w:eastAsia="仿宋_GB2312" w:cs="仿宋_GB2312"/>
          <w:color w:val="000000"/>
          <w:sz w:val="30"/>
          <w:szCs w:val="30"/>
        </w:rPr>
        <w:t>建设的计划性，在项目实施全过程全环节必须坚持、并逐项落实、抓好“事前、事中、事后”各环节管理。项目实施前，依据经批准的项目可行性研究报告，明确项目负责人，拟定建设计划、制定项目质量管理相关奖惩制度，做好项目技术培训工作等。项目实施过程中，科学安排建设计划，落实责任目标，落实各项管理措施，加强各项工作检查监督。项目建成后，及时总结，整理项目建设过程中所有往来文件和技术资料，及时归档，为项目生产经营管理提供依据。</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（二）资金管理</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严格按照国家政策及有关规定，进行预算、支出、报销等程序。做到建设资金专款专用，禁止和杜绝任何形式的截</w:t>
      </w:r>
      <w:r>
        <w:rPr>
          <w:rFonts w:hint="eastAsia" w:eastAsia="仿宋_GB2312"/>
          <w:color w:val="000000"/>
          <w:sz w:val="30"/>
          <w:szCs w:val="30"/>
          <w:lang w:eastAsia="zh-CN"/>
        </w:rPr>
        <w:t>留</w:t>
      </w:r>
      <w:r>
        <w:rPr>
          <w:rFonts w:eastAsia="仿宋_GB2312"/>
          <w:color w:val="000000"/>
          <w:sz w:val="30"/>
          <w:szCs w:val="30"/>
        </w:rPr>
        <w:t>、挪用</w:t>
      </w:r>
      <w:r>
        <w:rPr>
          <w:rFonts w:hint="eastAsia" w:eastAsia="仿宋_GB2312"/>
          <w:color w:val="000000"/>
          <w:sz w:val="30"/>
          <w:szCs w:val="30"/>
          <w:lang w:eastAsia="zh-CN"/>
        </w:rPr>
        <w:t>，</w:t>
      </w:r>
      <w:r>
        <w:rPr>
          <w:rFonts w:eastAsia="仿宋_GB2312"/>
          <w:color w:val="000000"/>
          <w:sz w:val="30"/>
          <w:szCs w:val="30"/>
        </w:rPr>
        <w:t>严禁借退化林修复破坏森林资源，确保森林资源安全，确保项目建设成效。在工程项目全过程监督检查发现违法违规问题的，根据情节轻重，采取责令整改、通报批评、暂停拨付资金、撤销项目等处罚措施，并建议有关部门追究相关人员责任。</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（三）信息管理</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从项目申报开始，及时收集项目区现有信息、资料、档案。项目信息管理主要包括项目建设所有来往文件、项目管理、技术经济、试验测定、病虫害及火灾发生情况、研究动态、科研成果推广应用、质量效益评价等。依托林草生态网络感知系统和国土绿化落地上图系统等平台和工具，</w:t>
      </w:r>
      <w:r>
        <w:rPr>
          <w:rFonts w:hint="eastAsia" w:eastAsia="仿宋_GB2312"/>
          <w:color w:val="000000"/>
          <w:sz w:val="30"/>
          <w:szCs w:val="30"/>
          <w:lang w:eastAsia="zh-CN"/>
        </w:rPr>
        <w:t>国家重点生态工程</w:t>
      </w:r>
      <w:r>
        <w:rPr>
          <w:rFonts w:eastAsia="仿宋_GB2312"/>
          <w:color w:val="000000"/>
          <w:sz w:val="30"/>
          <w:szCs w:val="30"/>
        </w:rPr>
        <w:t>建设空间、建设内容、规模和任务量全部落地上图。</w:t>
      </w:r>
    </w:p>
    <w:p>
      <w:pPr>
        <w:pStyle w:val="4"/>
        <w:spacing w:before="120" w:after="120"/>
        <w:ind w:firstLine="600"/>
        <w:rPr>
          <w:rFonts w:ascii="Times New Roman" w:hAnsi="Times New Roman" w:cs="Times New Roman"/>
        </w:rPr>
      </w:pPr>
      <w:bookmarkStart w:id="302" w:name="_Toc202350703"/>
      <w:bookmarkStart w:id="303" w:name="_Toc166412207"/>
      <w:bookmarkStart w:id="304" w:name="_Toc1990"/>
      <w:r>
        <w:rPr>
          <w:rFonts w:ascii="Times New Roman" w:hAnsi="Times New Roman" w:cs="Times New Roman"/>
        </w:rPr>
        <w:t>三、保障措施</w:t>
      </w:r>
      <w:bookmarkEnd w:id="302"/>
      <w:bookmarkEnd w:id="303"/>
      <w:bookmarkEnd w:id="304"/>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（一）法律法规保障</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认真贯彻执行国家、北京市生态保护和建设的法律法规，依法保护管理林草植被。土地所有权、使用权、经营权分离，实行权属明确的土地使用政策。引导社会各层面投资生态保护和建设，打破行业、地区、所有制界限，形成多元投资生态保护和建设的新格局。</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（二）资金保障</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项目资金来源主要包括中央预算内投资、超长期特别国债资金、地方财政投入，要严格执行《重点区域生态保护和修复工程中央预算内投资专项管理办法》《财政部 国家发展改革委关于印发&lt;关于财政支持“三北”工程建设的意见&gt;的通知》等有关规定，项目资金监管部门要严格落实投资计划执行监管责任，建立工作机制，制定监管计划，切实加强对项目计划执行进度、资金使用和拨付等重点关键环节的监督检查力度。</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（三）技术保障</w:t>
      </w:r>
    </w:p>
    <w:p>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坚持科技创新，推进科技兴林，发挥林业、生态等方面专家的引领作用。强化专家在项目的实施方案编制、造林树种选择、修复模式优化、森林质量提升等方面的技术支撑和指导，保障项目建设的科学性和合理性。</w:t>
      </w:r>
    </w:p>
    <w:p>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（四）管理保障</w:t>
      </w:r>
    </w:p>
    <w:p>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sectPr>
          <w:footerReference r:id="rId4" w:type="default"/>
          <w:pgSz w:w="11906" w:h="16839"/>
          <w:pgMar w:top="1431" w:right="1785" w:bottom="1120" w:left="1785" w:header="0" w:footer="680" w:gutter="0"/>
          <w:pgNumType w:start="1"/>
          <w:cols w:space="720" w:num="1"/>
          <w:docGrid w:linePitch="286" w:charSpace="0"/>
        </w:sectPr>
      </w:pPr>
      <w:r>
        <w:rPr>
          <w:rFonts w:hint="eastAsia" w:ascii="仿宋_GB2312" w:hAnsi="仿宋_GB2312" w:eastAsia="仿宋_GB2312" w:cs="仿宋_GB2312"/>
          <w:color w:val="000000"/>
          <w:sz w:val="30"/>
          <w:szCs w:val="30"/>
        </w:rPr>
        <w:t>各级管理单位要从战略和全局高度，深刻认识“三北”工程建设的重大意义，切实增强做好生态保护和建设工作的责任感和使命感。切实加强生态安全建设工作的组织领导，建立健全目标责任制。按照职能分工，要各负其责、密切配合，共同做好生态保护和建设工作。同时强化对项目实施的监督，自觉接受人大、政协以及社会各界对执行情况的监督检查。在项目实施过程中开展适时跟踪，及时发现问题、解决问题。</w:t>
      </w:r>
    </w:p>
    <w:p>
      <w:pPr>
        <w:spacing w:before="272" w:line="225" w:lineRule="auto"/>
        <w:jc w:val="center"/>
        <w:rPr>
          <w:rFonts w:hint="eastAsia" w:ascii="仿宋_GB2312" w:hAnsi="仿宋_GB2312" w:eastAsia="仿宋_GB2312" w:cs="仿宋_GB2312"/>
          <w:sz w:val="24"/>
          <w:szCs w:val="24"/>
        </w:rPr>
      </w:pPr>
      <w:r>
        <w:rPr>
          <w:rFonts w:hint="eastAsia" w:ascii="仿宋_GB2312" w:hAnsi="仿宋_GB2312" w:eastAsia="仿宋_GB2312" w:cs="仿宋_GB2312"/>
          <w:spacing w:val="-5"/>
          <w:sz w:val="24"/>
          <w:szCs w:val="24"/>
        </w:rPr>
        <w:t>附表</w:t>
      </w:r>
      <w:r>
        <w:rPr>
          <w:rFonts w:hint="eastAsia" w:ascii="仿宋_GB2312" w:hAnsi="仿宋_GB2312" w:eastAsia="仿宋_GB2312" w:cs="仿宋_GB2312"/>
          <w:spacing w:val="-39"/>
          <w:sz w:val="24"/>
          <w:szCs w:val="24"/>
        </w:rPr>
        <w:t xml:space="preserve"> </w:t>
      </w:r>
      <w:r>
        <w:rPr>
          <w:rFonts w:hint="eastAsia" w:ascii="仿宋_GB2312" w:hAnsi="仿宋_GB2312" w:eastAsia="仿宋_GB2312" w:cs="仿宋_GB2312"/>
          <w:spacing w:val="-5"/>
          <w:sz w:val="24"/>
          <w:szCs w:val="24"/>
        </w:rPr>
        <w:t>1</w:t>
      </w:r>
      <w:r>
        <w:rPr>
          <w:rFonts w:hint="eastAsia" w:ascii="仿宋_GB2312" w:hAnsi="仿宋_GB2312" w:eastAsia="仿宋_GB2312" w:cs="仿宋_GB2312"/>
          <w:spacing w:val="24"/>
          <w:sz w:val="24"/>
          <w:szCs w:val="24"/>
        </w:rPr>
        <w:t xml:space="preserve"> </w:t>
      </w:r>
      <w:r>
        <w:rPr>
          <w:rFonts w:hint="eastAsia" w:ascii="仿宋_GB2312" w:hAnsi="仿宋_GB2312" w:eastAsia="仿宋_GB2312" w:cs="仿宋_GB2312"/>
          <w:spacing w:val="-5"/>
          <w:sz w:val="24"/>
          <w:szCs w:val="24"/>
        </w:rPr>
        <w:t>北京市三北工程六期项目范围表</w:t>
      </w:r>
    </w:p>
    <w:tbl>
      <w:tblPr>
        <w:tblStyle w:val="19"/>
        <w:tblW w:w="5000" w:type="pct"/>
        <w:tblInd w:w="0" w:type="dxa"/>
        <w:tblLayout w:type="autofit"/>
        <w:tblCellMar>
          <w:top w:w="0" w:type="dxa"/>
          <w:left w:w="108" w:type="dxa"/>
          <w:bottom w:w="0" w:type="dxa"/>
          <w:right w:w="108" w:type="dxa"/>
        </w:tblCellMar>
      </w:tblPr>
      <w:tblGrid>
        <w:gridCol w:w="631"/>
        <w:gridCol w:w="1502"/>
        <w:gridCol w:w="3408"/>
        <w:gridCol w:w="3851"/>
        <w:gridCol w:w="1612"/>
        <w:gridCol w:w="4610"/>
      </w:tblGrid>
      <w:tr>
        <w:tblPrEx>
          <w:tblCellMar>
            <w:top w:w="0" w:type="dxa"/>
            <w:left w:w="108" w:type="dxa"/>
            <w:bottom w:w="0" w:type="dxa"/>
            <w:right w:w="108" w:type="dxa"/>
          </w:tblCellMar>
        </w:tblPrEx>
        <w:trPr>
          <w:trHeight w:val="312" w:hRule="atLeast"/>
        </w:trPr>
        <w:tc>
          <w:tcPr>
            <w:tcW w:w="20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b/>
                <w:bCs/>
                <w:color w:val="000000"/>
                <w:kern w:val="0"/>
                <w:sz w:val="24"/>
                <w:szCs w:val="24"/>
              </w:rPr>
            </w:pPr>
            <w:r>
              <w:rPr>
                <w:rFonts w:eastAsia="仿宋_GB2312"/>
                <w:b/>
                <w:bCs/>
                <w:color w:val="000000"/>
                <w:kern w:val="0"/>
                <w:sz w:val="24"/>
                <w:szCs w:val="24"/>
              </w:rPr>
              <w:t>序号</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b/>
                <w:bCs/>
                <w:color w:val="000000"/>
                <w:kern w:val="0"/>
                <w:sz w:val="24"/>
                <w:szCs w:val="24"/>
              </w:rPr>
            </w:pPr>
            <w:r>
              <w:rPr>
                <w:rFonts w:eastAsia="仿宋_GB2312"/>
                <w:b/>
                <w:bCs/>
                <w:color w:val="000000"/>
                <w:kern w:val="0"/>
                <w:sz w:val="24"/>
                <w:szCs w:val="24"/>
              </w:rPr>
              <w:t>区域</w:t>
            </w:r>
          </w:p>
        </w:tc>
        <w:tc>
          <w:tcPr>
            <w:tcW w:w="10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b/>
                <w:bCs/>
                <w:color w:val="000000"/>
                <w:kern w:val="0"/>
                <w:sz w:val="24"/>
                <w:szCs w:val="24"/>
              </w:rPr>
            </w:pPr>
            <w:r>
              <w:rPr>
                <w:rFonts w:eastAsia="仿宋_GB2312"/>
                <w:b/>
                <w:bCs/>
                <w:color w:val="000000"/>
                <w:kern w:val="0"/>
                <w:sz w:val="24"/>
                <w:szCs w:val="24"/>
              </w:rPr>
              <w:t>重点治理区及区域</w:t>
            </w:r>
          </w:p>
        </w:tc>
        <w:tc>
          <w:tcPr>
            <w:tcW w:w="12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b/>
                <w:bCs/>
                <w:color w:val="000000"/>
                <w:kern w:val="0"/>
                <w:sz w:val="24"/>
                <w:szCs w:val="24"/>
              </w:rPr>
            </w:pPr>
            <w:r>
              <w:rPr>
                <w:rFonts w:eastAsia="仿宋_GB2312"/>
                <w:b/>
                <w:bCs/>
                <w:color w:val="000000"/>
                <w:kern w:val="0"/>
                <w:sz w:val="24"/>
                <w:szCs w:val="24"/>
              </w:rPr>
              <w:t>重点项目</w:t>
            </w:r>
          </w:p>
        </w:tc>
        <w:tc>
          <w:tcPr>
            <w:tcW w:w="5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b/>
                <w:bCs/>
                <w:color w:val="000000"/>
                <w:kern w:val="0"/>
                <w:sz w:val="24"/>
                <w:szCs w:val="24"/>
              </w:rPr>
            </w:pPr>
            <w:r>
              <w:rPr>
                <w:rFonts w:eastAsia="仿宋_GB2312"/>
                <w:b/>
                <w:bCs/>
                <w:color w:val="000000"/>
                <w:kern w:val="0"/>
                <w:sz w:val="24"/>
                <w:szCs w:val="24"/>
              </w:rPr>
              <w:t>县（区）数</w:t>
            </w:r>
          </w:p>
        </w:tc>
        <w:tc>
          <w:tcPr>
            <w:tcW w:w="14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b/>
                <w:bCs/>
                <w:color w:val="000000"/>
                <w:kern w:val="0"/>
                <w:sz w:val="24"/>
                <w:szCs w:val="24"/>
              </w:rPr>
            </w:pPr>
            <w:r>
              <w:rPr>
                <w:rFonts w:eastAsia="仿宋_GB2312"/>
                <w:b/>
                <w:bCs/>
                <w:color w:val="000000"/>
                <w:kern w:val="0"/>
                <w:sz w:val="24"/>
                <w:szCs w:val="24"/>
              </w:rPr>
              <w:t>县（区）</w:t>
            </w:r>
          </w:p>
        </w:tc>
      </w:tr>
      <w:tr>
        <w:tblPrEx>
          <w:tblCellMar>
            <w:top w:w="0" w:type="dxa"/>
            <w:left w:w="108" w:type="dxa"/>
            <w:bottom w:w="0" w:type="dxa"/>
            <w:right w:w="108" w:type="dxa"/>
          </w:tblCellMar>
        </w:tblPrEx>
        <w:trPr>
          <w:trHeight w:val="312" w:hRule="atLeast"/>
        </w:trPr>
        <w:tc>
          <w:tcPr>
            <w:tcW w:w="202"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b/>
                <w:bCs/>
                <w:color w:val="000000"/>
                <w:kern w:val="0"/>
                <w:sz w:val="24"/>
                <w:szCs w:val="24"/>
              </w:rPr>
            </w:pPr>
          </w:p>
        </w:tc>
        <w:tc>
          <w:tcPr>
            <w:tcW w:w="481"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b/>
                <w:bCs/>
                <w:color w:val="000000"/>
                <w:kern w:val="0"/>
                <w:sz w:val="24"/>
                <w:szCs w:val="24"/>
              </w:rPr>
            </w:pPr>
          </w:p>
        </w:tc>
        <w:tc>
          <w:tcPr>
            <w:tcW w:w="1091"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b/>
                <w:bCs/>
                <w:color w:val="000000"/>
                <w:kern w:val="0"/>
                <w:sz w:val="24"/>
                <w:szCs w:val="24"/>
              </w:rPr>
            </w:pPr>
          </w:p>
        </w:tc>
        <w:tc>
          <w:tcPr>
            <w:tcW w:w="1232"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b/>
                <w:bCs/>
                <w:color w:val="000000"/>
                <w:kern w:val="0"/>
                <w:sz w:val="24"/>
                <w:szCs w:val="24"/>
              </w:rPr>
            </w:pPr>
          </w:p>
        </w:tc>
        <w:tc>
          <w:tcPr>
            <w:tcW w:w="516"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b/>
                <w:bCs/>
                <w:color w:val="000000"/>
                <w:kern w:val="0"/>
                <w:sz w:val="24"/>
                <w:szCs w:val="24"/>
              </w:rPr>
            </w:pPr>
          </w:p>
        </w:tc>
        <w:tc>
          <w:tcPr>
            <w:tcW w:w="1476"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b/>
                <w:bCs/>
                <w:color w:val="000000"/>
                <w:kern w:val="0"/>
                <w:sz w:val="24"/>
                <w:szCs w:val="24"/>
              </w:rPr>
            </w:pPr>
          </w:p>
        </w:tc>
      </w:tr>
      <w:tr>
        <w:tblPrEx>
          <w:tblCellMar>
            <w:top w:w="0" w:type="dxa"/>
            <w:left w:w="108" w:type="dxa"/>
            <w:bottom w:w="0" w:type="dxa"/>
            <w:right w:w="108" w:type="dxa"/>
          </w:tblCellMar>
        </w:tblPrEx>
        <w:trPr>
          <w:trHeight w:val="288"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eastAsia="仿宋_GB2312"/>
                <w:kern w:val="0"/>
                <w:sz w:val="24"/>
                <w:szCs w:val="24"/>
              </w:rPr>
            </w:pPr>
          </w:p>
        </w:tc>
        <w:tc>
          <w:tcPr>
            <w:tcW w:w="28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eastAsia="仿宋_GB2312"/>
                <w:b/>
                <w:bCs/>
                <w:color w:val="000000"/>
                <w:kern w:val="0"/>
                <w:sz w:val="24"/>
                <w:szCs w:val="24"/>
              </w:rPr>
            </w:pPr>
            <w:r>
              <w:rPr>
                <w:rFonts w:eastAsia="仿宋_GB2312"/>
                <w:b/>
                <w:bCs/>
                <w:color w:val="000000"/>
                <w:kern w:val="0"/>
                <w:sz w:val="24"/>
                <w:szCs w:val="24"/>
              </w:rPr>
              <w:t>合计</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eastAsia="仿宋_GB2312"/>
                <w:b/>
                <w:bCs/>
                <w:color w:val="000000"/>
                <w:kern w:val="0"/>
                <w:sz w:val="24"/>
                <w:szCs w:val="24"/>
              </w:rPr>
            </w:pPr>
            <w:r>
              <w:rPr>
                <w:rFonts w:eastAsia="仿宋_GB2312"/>
                <w:b/>
                <w:bCs/>
                <w:color w:val="000000"/>
                <w:kern w:val="0"/>
                <w:sz w:val="24"/>
                <w:szCs w:val="24"/>
              </w:rPr>
              <w:t>11</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b/>
                <w:bCs/>
                <w:color w:val="000000"/>
                <w:kern w:val="0"/>
                <w:sz w:val="24"/>
                <w:szCs w:val="24"/>
              </w:rPr>
            </w:pPr>
          </w:p>
        </w:tc>
      </w:tr>
      <w:tr>
        <w:tblPrEx>
          <w:tblCellMar>
            <w:top w:w="0" w:type="dxa"/>
            <w:left w:w="108" w:type="dxa"/>
            <w:bottom w:w="0" w:type="dxa"/>
            <w:right w:w="108" w:type="dxa"/>
          </w:tblCellMar>
        </w:tblPrEx>
        <w:trPr>
          <w:trHeight w:val="560" w:hRule="atLeast"/>
        </w:trPr>
        <w:tc>
          <w:tcPr>
            <w:tcW w:w="2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eastAsia="仿宋_GB2312"/>
                <w:color w:val="000000"/>
                <w:kern w:val="0"/>
                <w:sz w:val="24"/>
                <w:szCs w:val="24"/>
              </w:rPr>
            </w:pPr>
            <w:r>
              <w:rPr>
                <w:rFonts w:eastAsia="仿宋_GB2312"/>
                <w:color w:val="000000"/>
                <w:kern w:val="0"/>
                <w:sz w:val="24"/>
                <w:szCs w:val="24"/>
              </w:rPr>
              <w:t>1</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协同推进区</w:t>
            </w:r>
          </w:p>
        </w:tc>
        <w:tc>
          <w:tcPr>
            <w:tcW w:w="1091" w:type="pct"/>
            <w:vMerge w:val="restart"/>
            <w:tcBorders>
              <w:top w:val="single" w:color="000000" w:sz="4" w:space="0"/>
              <w:left w:val="single" w:color="000000" w:sz="4" w:space="0"/>
              <w:bottom w:val="nil"/>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华北平原北部生态保护修复区</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燕山山地南部生态综合治理项目</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5</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昌平区、怀柔区、平谷区、密云区、延庆区</w:t>
            </w:r>
          </w:p>
        </w:tc>
      </w:tr>
      <w:tr>
        <w:tblPrEx>
          <w:tblCellMar>
            <w:top w:w="0" w:type="dxa"/>
            <w:left w:w="108" w:type="dxa"/>
            <w:bottom w:w="0" w:type="dxa"/>
            <w:right w:w="108" w:type="dxa"/>
          </w:tblCellMar>
        </w:tblPrEx>
        <w:trPr>
          <w:trHeight w:val="288" w:hRule="atLeast"/>
        </w:trPr>
        <w:tc>
          <w:tcPr>
            <w:tcW w:w="202"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color w:val="000000"/>
                <w:kern w:val="0"/>
                <w:sz w:val="24"/>
                <w:szCs w:val="24"/>
              </w:rPr>
            </w:pPr>
          </w:p>
        </w:tc>
        <w:tc>
          <w:tcPr>
            <w:tcW w:w="481" w:type="pct"/>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eastAsia="仿宋_GB2312"/>
                <w:color w:val="000000"/>
                <w:kern w:val="0"/>
                <w:sz w:val="24"/>
                <w:szCs w:val="24"/>
              </w:rPr>
            </w:pPr>
          </w:p>
        </w:tc>
        <w:tc>
          <w:tcPr>
            <w:tcW w:w="1091" w:type="pct"/>
            <w:vMerge w:val="continue"/>
            <w:tcBorders>
              <w:top w:val="single" w:color="000000" w:sz="4" w:space="0"/>
              <w:left w:val="single" w:color="000000" w:sz="4" w:space="0"/>
              <w:bottom w:val="nil"/>
              <w:right w:val="single" w:color="000000" w:sz="4" w:space="0"/>
            </w:tcBorders>
            <w:vAlign w:val="center"/>
          </w:tcPr>
          <w:p>
            <w:pPr>
              <w:widowControl/>
              <w:jc w:val="left"/>
              <w:rPr>
                <w:rFonts w:eastAsia="仿宋_GB2312"/>
                <w:color w:val="000000"/>
                <w:kern w:val="0"/>
                <w:sz w:val="24"/>
                <w:szCs w:val="24"/>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太行山东北部生态综合治理项目</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2</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门头沟区、房山区</w:t>
            </w:r>
          </w:p>
        </w:tc>
      </w:tr>
      <w:tr>
        <w:tblPrEx>
          <w:tblCellMar>
            <w:top w:w="0" w:type="dxa"/>
            <w:left w:w="108" w:type="dxa"/>
            <w:bottom w:w="0" w:type="dxa"/>
            <w:right w:w="108" w:type="dxa"/>
          </w:tblCellMar>
        </w:tblPrEx>
        <w:trPr>
          <w:trHeight w:val="288"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eastAsia="仿宋_GB2312"/>
                <w:color w:val="000000"/>
                <w:kern w:val="0"/>
                <w:sz w:val="24"/>
                <w:szCs w:val="24"/>
              </w:rPr>
            </w:pPr>
            <w:r>
              <w:rPr>
                <w:rFonts w:eastAsia="仿宋_GB2312"/>
                <w:color w:val="000000"/>
                <w:kern w:val="0"/>
                <w:sz w:val="24"/>
                <w:szCs w:val="24"/>
              </w:rPr>
              <w:t>2</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eastAsia="仿宋_GB2312"/>
                <w:color w:val="000000"/>
                <w:kern w:val="0"/>
                <w:sz w:val="24"/>
                <w:szCs w:val="24"/>
              </w:rPr>
            </w:pPr>
            <w:r>
              <w:rPr>
                <w:rFonts w:eastAsia="仿宋_GB2312"/>
                <w:color w:val="000000"/>
                <w:kern w:val="0"/>
                <w:sz w:val="24"/>
                <w:szCs w:val="24"/>
              </w:rPr>
              <w:t>巩固拓展区</w:t>
            </w:r>
          </w:p>
        </w:tc>
        <w:tc>
          <w:tcPr>
            <w:tcW w:w="23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华北平原—内蒙古高原生态廊道连通区</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4</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eastAsia="仿宋_GB2312"/>
                <w:color w:val="000000"/>
                <w:kern w:val="0"/>
                <w:sz w:val="24"/>
                <w:szCs w:val="24"/>
              </w:rPr>
            </w:pPr>
            <w:r>
              <w:rPr>
                <w:rFonts w:eastAsia="仿宋_GB2312"/>
                <w:color w:val="000000"/>
                <w:kern w:val="0"/>
                <w:sz w:val="24"/>
                <w:szCs w:val="24"/>
              </w:rPr>
              <w:t>朝阳区、通州区、顺义区、大兴区</w:t>
            </w:r>
          </w:p>
        </w:tc>
      </w:tr>
    </w:tbl>
    <w:p>
      <w:pPr>
        <w:widowControl/>
        <w:jc w:val="left"/>
      </w:pPr>
    </w:p>
    <w:p>
      <w:pPr>
        <w:widowControl/>
        <w:jc w:val="left"/>
      </w:pPr>
    </w:p>
    <w:p>
      <w:pPr>
        <w:spacing w:before="272" w:line="225" w:lineRule="auto"/>
        <w:jc w:val="center"/>
        <w:rPr>
          <w:rFonts w:hint="eastAsia" w:ascii="仿宋_GB2312" w:hAnsi="仿宋_GB2312" w:eastAsia="仿宋_GB2312" w:cs="仿宋_GB2312"/>
          <w:spacing w:val="-5"/>
          <w:sz w:val="24"/>
          <w:szCs w:val="24"/>
        </w:rPr>
      </w:pPr>
      <w:r>
        <w:rPr>
          <w:rFonts w:hint="eastAsia" w:ascii="仿宋_GB2312" w:hAnsi="仿宋_GB2312" w:eastAsia="仿宋_GB2312" w:cs="仿宋_GB2312"/>
          <w:spacing w:val="-5"/>
          <w:sz w:val="24"/>
          <w:szCs w:val="24"/>
        </w:rPr>
        <w:t>附表2 北京市沙化土地治理情况分区统计表</w:t>
      </w:r>
    </w:p>
    <w:tbl>
      <w:tblPr>
        <w:tblStyle w:val="19"/>
        <w:tblW w:w="5000" w:type="pct"/>
        <w:tblInd w:w="0" w:type="dxa"/>
        <w:tblLayout w:type="autofit"/>
        <w:tblCellMar>
          <w:top w:w="0" w:type="dxa"/>
          <w:left w:w="108" w:type="dxa"/>
          <w:bottom w:w="0" w:type="dxa"/>
          <w:right w:w="108" w:type="dxa"/>
        </w:tblCellMar>
      </w:tblPr>
      <w:tblGrid>
        <w:gridCol w:w="2049"/>
        <w:gridCol w:w="3220"/>
        <w:gridCol w:w="3073"/>
        <w:gridCol w:w="2421"/>
        <w:gridCol w:w="2424"/>
        <w:gridCol w:w="2427"/>
      </w:tblGrid>
      <w:tr>
        <w:tblPrEx>
          <w:tblCellMar>
            <w:top w:w="0" w:type="dxa"/>
            <w:left w:w="108" w:type="dxa"/>
            <w:bottom w:w="0" w:type="dxa"/>
            <w:right w:w="108" w:type="dxa"/>
          </w:tblCellMar>
        </w:tblPrEx>
        <w:trPr>
          <w:trHeight w:val="288" w:hRule="atLeast"/>
        </w:trPr>
        <w:tc>
          <w:tcPr>
            <w:tcW w:w="6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eastAsia="仿宋"/>
                <w:b/>
                <w:bCs/>
                <w:color w:val="000000"/>
                <w:kern w:val="0"/>
                <w:sz w:val="22"/>
              </w:rPr>
            </w:pPr>
            <w:r>
              <w:rPr>
                <w:rFonts w:eastAsia="仿宋"/>
                <w:b/>
                <w:bCs/>
                <w:color w:val="000000"/>
                <w:kern w:val="0"/>
                <w:sz w:val="22"/>
              </w:rPr>
              <w:t>省（市）</w:t>
            </w:r>
          </w:p>
        </w:tc>
        <w:tc>
          <w:tcPr>
            <w:tcW w:w="103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eastAsia="仿宋"/>
                <w:b/>
                <w:bCs/>
                <w:color w:val="000000"/>
                <w:kern w:val="0"/>
                <w:sz w:val="22"/>
              </w:rPr>
            </w:pPr>
            <w:r>
              <w:rPr>
                <w:rFonts w:eastAsia="仿宋"/>
                <w:b/>
                <w:bCs/>
                <w:color w:val="000000"/>
                <w:kern w:val="0"/>
                <w:sz w:val="22"/>
              </w:rPr>
              <w:t>县级码</w:t>
            </w:r>
          </w:p>
        </w:tc>
        <w:tc>
          <w:tcPr>
            <w:tcW w:w="98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eastAsia="仿宋"/>
                <w:b/>
                <w:bCs/>
                <w:color w:val="000000"/>
                <w:kern w:val="0"/>
                <w:sz w:val="22"/>
              </w:rPr>
            </w:pPr>
            <w:r>
              <w:rPr>
                <w:rFonts w:eastAsia="仿宋"/>
                <w:b/>
                <w:bCs/>
                <w:color w:val="000000"/>
                <w:kern w:val="0"/>
                <w:sz w:val="22"/>
              </w:rPr>
              <w:t>县（区）</w:t>
            </w:r>
          </w:p>
        </w:tc>
        <w:tc>
          <w:tcPr>
            <w:tcW w:w="232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eastAsia="仿宋"/>
                <w:b/>
                <w:bCs/>
                <w:color w:val="000000"/>
                <w:kern w:val="0"/>
                <w:sz w:val="22"/>
              </w:rPr>
            </w:pPr>
            <w:r>
              <w:rPr>
                <w:rFonts w:eastAsia="仿宋"/>
                <w:b/>
                <w:bCs/>
                <w:color w:val="000000"/>
                <w:kern w:val="0"/>
                <w:sz w:val="22"/>
              </w:rPr>
              <w:t>可治理沙化土地面积（亩）</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eastAsia="仿宋"/>
                <w:b/>
                <w:bCs/>
                <w:color w:val="000000"/>
                <w:kern w:val="0"/>
                <w:sz w:val="22"/>
              </w:rPr>
            </w:pPr>
          </w:p>
        </w:tc>
        <w:tc>
          <w:tcPr>
            <w:tcW w:w="1031"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eastAsia="仿宋"/>
                <w:b/>
                <w:bCs/>
                <w:color w:val="000000"/>
                <w:kern w:val="0"/>
                <w:sz w:val="22"/>
              </w:rPr>
            </w:pPr>
          </w:p>
        </w:tc>
        <w:tc>
          <w:tcPr>
            <w:tcW w:w="984"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eastAsia="仿宋"/>
                <w:b/>
                <w:bCs/>
                <w:color w:val="000000"/>
                <w:kern w:val="0"/>
                <w:sz w:val="22"/>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eastAsia="仿宋"/>
                <w:b/>
                <w:bCs/>
                <w:color w:val="000000"/>
                <w:kern w:val="0"/>
                <w:sz w:val="22"/>
              </w:rPr>
            </w:pPr>
            <w:r>
              <w:rPr>
                <w:rFonts w:eastAsia="仿宋"/>
                <w:b/>
                <w:bCs/>
                <w:color w:val="000000"/>
                <w:kern w:val="0"/>
                <w:sz w:val="22"/>
              </w:rPr>
              <w:t>合计</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eastAsia="仿宋"/>
                <w:b/>
                <w:bCs/>
                <w:color w:val="000000"/>
                <w:kern w:val="0"/>
                <w:sz w:val="22"/>
              </w:rPr>
            </w:pPr>
            <w:r>
              <w:rPr>
                <w:rFonts w:eastAsia="仿宋"/>
                <w:b/>
                <w:bCs/>
                <w:color w:val="000000"/>
                <w:kern w:val="0"/>
                <w:sz w:val="22"/>
              </w:rPr>
              <w:t>已治理</w:t>
            </w:r>
          </w:p>
        </w:tc>
        <w:tc>
          <w:tcPr>
            <w:tcW w:w="77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eastAsia="仿宋"/>
                <w:b/>
                <w:bCs/>
                <w:color w:val="000000"/>
                <w:kern w:val="0"/>
                <w:sz w:val="22"/>
              </w:rPr>
            </w:pPr>
            <w:r>
              <w:rPr>
                <w:rFonts w:eastAsia="仿宋"/>
                <w:b/>
                <w:bCs/>
                <w:color w:val="000000"/>
                <w:kern w:val="0"/>
                <w:sz w:val="22"/>
              </w:rPr>
              <w:t>未治理</w:t>
            </w:r>
          </w:p>
        </w:tc>
      </w:tr>
      <w:tr>
        <w:tblPrEx>
          <w:tblCellMar>
            <w:top w:w="0" w:type="dxa"/>
            <w:left w:w="108" w:type="dxa"/>
            <w:bottom w:w="0" w:type="dxa"/>
            <w:right w:w="108" w:type="dxa"/>
          </w:tblCellMar>
        </w:tblPrEx>
        <w:trPr>
          <w:trHeight w:val="288" w:hRule="atLeast"/>
        </w:trPr>
        <w:tc>
          <w:tcPr>
            <w:tcW w:w="2671"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eastAsia="仿宋"/>
                <w:b/>
                <w:bCs/>
                <w:color w:val="000000"/>
                <w:kern w:val="0"/>
                <w:sz w:val="22"/>
              </w:rPr>
            </w:pPr>
            <w:r>
              <w:rPr>
                <w:rFonts w:eastAsia="仿宋"/>
                <w:b/>
                <w:bCs/>
                <w:color w:val="000000"/>
                <w:kern w:val="0"/>
                <w:sz w:val="22"/>
              </w:rPr>
              <w:t>合计</w:t>
            </w:r>
          </w:p>
        </w:tc>
        <w:tc>
          <w:tcPr>
            <w:tcW w:w="775" w:type="pct"/>
            <w:tcBorders>
              <w:top w:val="single" w:color="000000" w:sz="4" w:space="0"/>
              <w:left w:val="nil"/>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334490.85</w:t>
            </w:r>
          </w:p>
        </w:tc>
        <w:tc>
          <w:tcPr>
            <w:tcW w:w="776" w:type="pct"/>
            <w:tcBorders>
              <w:top w:val="single" w:color="000000" w:sz="4" w:space="0"/>
              <w:left w:val="nil"/>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329118.3</w:t>
            </w:r>
          </w:p>
        </w:tc>
        <w:tc>
          <w:tcPr>
            <w:tcW w:w="777" w:type="pct"/>
            <w:tcBorders>
              <w:top w:val="single" w:color="000000" w:sz="4" w:space="0"/>
              <w:left w:val="nil"/>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5372.55</w:t>
            </w:r>
          </w:p>
        </w:tc>
      </w:tr>
      <w:tr>
        <w:tblPrEx>
          <w:tblCellMar>
            <w:top w:w="0" w:type="dxa"/>
            <w:left w:w="108" w:type="dxa"/>
            <w:bottom w:w="0" w:type="dxa"/>
            <w:right w:w="108" w:type="dxa"/>
          </w:tblCellMar>
        </w:tblPrEx>
        <w:trPr>
          <w:trHeight w:val="288" w:hRule="atLeast"/>
        </w:trPr>
        <w:tc>
          <w:tcPr>
            <w:tcW w:w="6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北京市</w:t>
            </w: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110105</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朝阳区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2629.05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2629.05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color w:val="000000"/>
                <w:kern w:val="0"/>
                <w:sz w:val="22"/>
              </w:rPr>
            </w:pPr>
            <w:r>
              <w:rPr>
                <w:rFonts w:eastAsia="仿宋"/>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left w:val="single" w:color="000000" w:sz="4" w:space="0"/>
              <w:right w:val="single" w:color="000000" w:sz="4" w:space="0"/>
            </w:tcBorders>
            <w:shd w:val="clear" w:color="auto" w:fill="auto"/>
            <w:noWrap/>
            <w:vAlign w:val="center"/>
          </w:tcPr>
          <w:p>
            <w:pPr>
              <w:widowControl/>
              <w:adjustRightInd w:val="0"/>
              <w:snapToGrid w:val="0"/>
              <w:jc w:val="center"/>
              <w:rPr>
                <w:rFonts w:eastAsia="仿宋"/>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110106</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丰台区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1179</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1179</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eastAsia="Times New Roman"/>
                <w:kern w:val="0"/>
                <w:sz w:val="20"/>
                <w:szCs w:val="20"/>
              </w:rPr>
            </w:pPr>
            <w:r>
              <w:rPr>
                <w:rFonts w:eastAsia="仿宋"/>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110111</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房山区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14880.45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14880.45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color w:val="000000"/>
                <w:kern w:val="0"/>
                <w:sz w:val="22"/>
              </w:rPr>
            </w:pPr>
            <w:r>
              <w:rPr>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110112</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通州区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18985.5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18985.5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color w:val="000000"/>
                <w:kern w:val="0"/>
                <w:sz w:val="22"/>
              </w:rPr>
            </w:pPr>
            <w:r>
              <w:rPr>
                <w:rFonts w:eastAsia="仿宋"/>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110113</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顺义区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33276.75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33276.75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color w:val="000000"/>
                <w:kern w:val="0"/>
                <w:sz w:val="22"/>
              </w:rPr>
            </w:pPr>
            <w:r>
              <w:rPr>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110114</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昌平区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52596.6</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52596.6</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color w:val="000000"/>
                <w:kern w:val="0"/>
                <w:sz w:val="22"/>
              </w:rPr>
            </w:pPr>
            <w:r>
              <w:rPr>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110115</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大兴区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82008.75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82008.75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color w:val="000000"/>
                <w:kern w:val="0"/>
                <w:sz w:val="22"/>
              </w:rPr>
            </w:pPr>
            <w:r>
              <w:rPr>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110116</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怀柔区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6573.9</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6573.9</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color w:val="000000"/>
                <w:kern w:val="0"/>
                <w:sz w:val="22"/>
              </w:rPr>
            </w:pPr>
            <w:r>
              <w:rPr>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110117</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平谷区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29330.1</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29330.1</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110118</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密云区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8921.85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8502.6</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419.25</w:t>
            </w:r>
          </w:p>
        </w:tc>
      </w:tr>
      <w:tr>
        <w:tblPrEx>
          <w:tblCellMar>
            <w:top w:w="0" w:type="dxa"/>
            <w:left w:w="108" w:type="dxa"/>
            <w:bottom w:w="0" w:type="dxa"/>
            <w:right w:w="108" w:type="dxa"/>
          </w:tblCellMar>
        </w:tblPrEx>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110119</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rFonts w:eastAsia="仿宋"/>
                <w:color w:val="000000"/>
                <w:kern w:val="0"/>
                <w:sz w:val="22"/>
              </w:rPr>
              <w:t>延庆区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84108.9</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79155.6</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color w:val="000000"/>
                <w:kern w:val="0"/>
                <w:sz w:val="22"/>
              </w:rPr>
            </w:pPr>
            <w:r>
              <w:rPr>
                <w:color w:val="000000"/>
                <w:kern w:val="0"/>
                <w:sz w:val="22"/>
              </w:rPr>
              <w:t>4953.3</w:t>
            </w:r>
          </w:p>
        </w:tc>
      </w:tr>
    </w:tbl>
    <w:p>
      <w:pPr>
        <w:spacing w:before="272" w:line="225" w:lineRule="auto"/>
        <w:jc w:val="center"/>
        <w:rPr>
          <w:rFonts w:eastAsia="方正仿宋_GBK"/>
          <w:spacing w:val="-5"/>
          <w:sz w:val="24"/>
          <w:szCs w:val="24"/>
        </w:rPr>
      </w:pPr>
    </w:p>
    <w:p>
      <w:pPr>
        <w:pStyle w:val="7"/>
        <w:ind w:firstLine="460"/>
        <w:rPr>
          <w:rFonts w:eastAsia="方正仿宋_GBK"/>
          <w:spacing w:val="-5"/>
          <w:sz w:val="24"/>
          <w:szCs w:val="24"/>
        </w:rPr>
      </w:pPr>
    </w:p>
    <w:p>
      <w:pPr>
        <w:pStyle w:val="7"/>
        <w:ind w:firstLine="460"/>
        <w:rPr>
          <w:rFonts w:eastAsia="方正仿宋_GBK"/>
          <w:spacing w:val="-5"/>
          <w:sz w:val="24"/>
          <w:szCs w:val="24"/>
        </w:rPr>
      </w:pPr>
    </w:p>
    <w:p>
      <w:pPr>
        <w:pStyle w:val="7"/>
        <w:ind w:firstLine="460"/>
        <w:rPr>
          <w:rFonts w:eastAsia="方正仿宋_GBK"/>
          <w:spacing w:val="-5"/>
          <w:sz w:val="24"/>
          <w:szCs w:val="24"/>
        </w:rPr>
      </w:pPr>
    </w:p>
    <w:p>
      <w:pPr>
        <w:pStyle w:val="7"/>
        <w:ind w:firstLine="460"/>
        <w:rPr>
          <w:rFonts w:eastAsia="方正仿宋_GBK"/>
          <w:spacing w:val="-5"/>
          <w:sz w:val="24"/>
          <w:szCs w:val="24"/>
        </w:rPr>
      </w:pPr>
    </w:p>
    <w:p>
      <w:pPr>
        <w:pStyle w:val="7"/>
        <w:ind w:firstLine="460"/>
        <w:rPr>
          <w:rFonts w:eastAsia="方正仿宋_GBK"/>
          <w:spacing w:val="-5"/>
          <w:sz w:val="24"/>
          <w:szCs w:val="24"/>
        </w:rPr>
      </w:pPr>
    </w:p>
    <w:p>
      <w:pPr>
        <w:widowControl/>
        <w:jc w:val="center"/>
        <w:rPr>
          <w:rFonts w:hint="eastAsia" w:ascii="仿宋_GB2312" w:hAnsi="仿宋_GB2312" w:eastAsia="仿宋_GB2312" w:cs="仿宋_GB2312"/>
          <w:spacing w:val="-5"/>
          <w:sz w:val="24"/>
          <w:szCs w:val="24"/>
        </w:rPr>
      </w:pPr>
      <w:r>
        <w:rPr>
          <w:rFonts w:hint="eastAsia" w:ascii="仿宋_GB2312" w:hAnsi="仿宋_GB2312" w:eastAsia="仿宋_GB2312" w:cs="仿宋_GB2312"/>
          <w:spacing w:val="-5"/>
          <w:sz w:val="24"/>
          <w:szCs w:val="24"/>
        </w:rPr>
        <w:t>附表3-1 北京市三北工程六期沙化土地综合治理建设任务表</w:t>
      </w:r>
    </w:p>
    <w:tbl>
      <w:tblPr>
        <w:tblStyle w:val="19"/>
        <w:tblW w:w="5000" w:type="pct"/>
        <w:tblInd w:w="0" w:type="dxa"/>
        <w:tblLayout w:type="autofit"/>
        <w:tblCellMar>
          <w:top w:w="0" w:type="dxa"/>
          <w:left w:w="108" w:type="dxa"/>
          <w:bottom w:w="0" w:type="dxa"/>
          <w:right w:w="108" w:type="dxa"/>
        </w:tblCellMar>
      </w:tblPr>
      <w:tblGrid>
        <w:gridCol w:w="1921"/>
        <w:gridCol w:w="1293"/>
        <w:gridCol w:w="1040"/>
        <w:gridCol w:w="2027"/>
        <w:gridCol w:w="2168"/>
        <w:gridCol w:w="1677"/>
        <w:gridCol w:w="1777"/>
        <w:gridCol w:w="1965"/>
        <w:gridCol w:w="1746"/>
      </w:tblGrid>
      <w:tr>
        <w:tblPrEx>
          <w:tblCellMar>
            <w:top w:w="0" w:type="dxa"/>
            <w:left w:w="108" w:type="dxa"/>
            <w:bottom w:w="0" w:type="dxa"/>
            <w:right w:w="108" w:type="dxa"/>
          </w:tblCellMar>
        </w:tblPrEx>
        <w:trPr>
          <w:trHeight w:val="312" w:hRule="atLeast"/>
        </w:trPr>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区域及项目</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行政区</w:t>
            </w:r>
          </w:p>
        </w:tc>
        <w:tc>
          <w:tcPr>
            <w:tcW w:w="3970"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沙化土地综合治理</w:t>
            </w:r>
          </w:p>
        </w:tc>
      </w:tr>
      <w:tr>
        <w:tblPrEx>
          <w:tblCellMar>
            <w:top w:w="0" w:type="dxa"/>
            <w:left w:w="108" w:type="dxa"/>
            <w:bottom w:w="0" w:type="dxa"/>
            <w:right w:w="108" w:type="dxa"/>
          </w:tblCellMar>
        </w:tblPrEx>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414"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2213" w:type="pct"/>
            <w:gridSpan w:val="4"/>
            <w:tcBorders>
              <w:top w:val="single" w:color="000000" w:sz="4" w:space="0"/>
              <w:left w:val="nil"/>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2021-2030年</w:t>
            </w:r>
          </w:p>
        </w:tc>
        <w:tc>
          <w:tcPr>
            <w:tcW w:w="175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2021-2022年</w:t>
            </w:r>
          </w:p>
        </w:tc>
      </w:tr>
      <w:tr>
        <w:tblPrEx>
          <w:tblCellMar>
            <w:top w:w="0" w:type="dxa"/>
            <w:left w:w="108" w:type="dxa"/>
            <w:bottom w:w="0" w:type="dxa"/>
            <w:right w:w="108" w:type="dxa"/>
          </w:tblCellMar>
        </w:tblPrEx>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414"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33" w:type="pct"/>
            <w:vMerge w:val="restart"/>
            <w:tcBorders>
              <w:top w:val="single" w:color="000000" w:sz="4" w:space="0"/>
              <w:left w:val="nil"/>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6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人工造乔木面积</w:t>
            </w:r>
          </w:p>
        </w:tc>
        <w:tc>
          <w:tcPr>
            <w:tcW w:w="6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人工造灌木面积</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人工种草面积</w:t>
            </w:r>
          </w:p>
        </w:tc>
        <w:tc>
          <w:tcPr>
            <w:tcW w:w="5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人工造乔木面积</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人工造灌木面积</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人工种草面积</w:t>
            </w:r>
          </w:p>
        </w:tc>
      </w:tr>
      <w:tr>
        <w:tblPrEx>
          <w:tblCellMar>
            <w:top w:w="0" w:type="dxa"/>
            <w:left w:w="108" w:type="dxa"/>
            <w:bottom w:w="0" w:type="dxa"/>
            <w:right w:w="108" w:type="dxa"/>
          </w:tblCellMar>
        </w:tblPrEx>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414"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33" w:type="pct"/>
            <w:vMerge w:val="continue"/>
            <w:tcBorders>
              <w:top w:val="single" w:color="000000" w:sz="4" w:space="0"/>
              <w:left w:val="nil"/>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649"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694"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3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69"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629"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r>
      <w:tr>
        <w:tblPrEx>
          <w:tblCellMar>
            <w:top w:w="0" w:type="dxa"/>
            <w:left w:w="108" w:type="dxa"/>
            <w:bottom w:w="0" w:type="dxa"/>
            <w:right w:w="108" w:type="dxa"/>
          </w:tblCellMar>
        </w:tblPrEx>
        <w:trPr>
          <w:trHeight w:val="312" w:hRule="atLeast"/>
        </w:trPr>
        <w:tc>
          <w:tcPr>
            <w:tcW w:w="102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0.77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5.14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0.77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5.14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r>
      <w:tr>
        <w:tblPrEx>
          <w:tblCellMar>
            <w:top w:w="0" w:type="dxa"/>
            <w:left w:w="108" w:type="dxa"/>
            <w:bottom w:w="0" w:type="dxa"/>
            <w:right w:w="108" w:type="dxa"/>
          </w:tblCellMar>
        </w:tblPrEx>
        <w:trPr>
          <w:trHeight w:val="312" w:hRule="atLeast"/>
        </w:trPr>
        <w:tc>
          <w:tcPr>
            <w:tcW w:w="102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协同推进区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6.00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0.75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5.13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0.75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5.13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r>
      <w:tr>
        <w:tblPrEx>
          <w:tblCellMar>
            <w:top w:w="0" w:type="dxa"/>
            <w:left w:w="108" w:type="dxa"/>
            <w:bottom w:w="0" w:type="dxa"/>
            <w:right w:w="108" w:type="dxa"/>
          </w:tblCellMar>
        </w:tblPrEx>
        <w:trPr>
          <w:trHeight w:val="312" w:hRule="atLeast"/>
        </w:trPr>
        <w:tc>
          <w:tcPr>
            <w:tcW w:w="615" w:type="pct"/>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华北平原北部</w:t>
            </w:r>
          </w:p>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生态保护修复区</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昌平区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5.26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5.13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0.10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5.13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0.10 </w:t>
            </w:r>
          </w:p>
        </w:tc>
      </w:tr>
      <w:tr>
        <w:tblPrEx>
          <w:tblCellMar>
            <w:top w:w="0" w:type="dxa"/>
            <w:left w:w="108" w:type="dxa"/>
            <w:bottom w:w="0" w:type="dxa"/>
            <w:right w:w="108" w:type="dxa"/>
          </w:tblCellMar>
        </w:tblPrEx>
        <w:trPr>
          <w:trHeight w:val="312" w:hRule="atLeast"/>
        </w:trPr>
        <w:tc>
          <w:tcPr>
            <w:tcW w:w="61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怀柔区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平谷区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0.71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0.71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0.71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密云区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延庆区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门头沟区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房山区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r>
      <w:tr>
        <w:tblPrEx>
          <w:tblCellMar>
            <w:top w:w="0" w:type="dxa"/>
            <w:left w:w="108" w:type="dxa"/>
            <w:bottom w:w="0" w:type="dxa"/>
            <w:right w:w="108" w:type="dxa"/>
          </w:tblCellMar>
        </w:tblPrEx>
        <w:trPr>
          <w:trHeight w:val="312" w:hRule="atLeast"/>
        </w:trPr>
        <w:tc>
          <w:tcPr>
            <w:tcW w:w="102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巩固拓展区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0.02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0.01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0.02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0.01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华北平原—内蒙古高原生态廊道连通区</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朝阳区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通州区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顺义区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大兴区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bl>
    <w:p>
      <w:pPr>
        <w:widowControl/>
        <w:jc w:val="center"/>
      </w:pPr>
    </w:p>
    <w:p>
      <w:pPr>
        <w:widowControl/>
        <w:jc w:val="center"/>
      </w:pPr>
    </w:p>
    <w:p>
      <w:pPr>
        <w:widowControl/>
        <w:jc w:val="center"/>
      </w:pPr>
      <w:r>
        <w:br w:type="page"/>
      </w:r>
    </w:p>
    <w:p>
      <w:pPr>
        <w:widowControl/>
        <w:jc w:val="center"/>
        <w:rPr>
          <w:rFonts w:eastAsia="仿宋_GB2312"/>
          <w:spacing w:val="-5"/>
          <w:sz w:val="24"/>
          <w:szCs w:val="24"/>
        </w:rPr>
      </w:pPr>
      <w:r>
        <w:rPr>
          <w:rFonts w:hint="eastAsia" w:ascii="仿宋_GB2312" w:hAnsi="仿宋_GB2312" w:eastAsia="仿宋_GB2312" w:cs="仿宋_GB2312"/>
          <w:spacing w:val="-5"/>
          <w:sz w:val="24"/>
          <w:szCs w:val="24"/>
        </w:rPr>
        <w:t>附表3-2 北京市三北工程六期非沙化土地林草修复建设任务表</w:t>
      </w:r>
    </w:p>
    <w:tbl>
      <w:tblPr>
        <w:tblStyle w:val="19"/>
        <w:tblW w:w="5000" w:type="pct"/>
        <w:tblInd w:w="0" w:type="dxa"/>
        <w:tblLayout w:type="autofit"/>
        <w:tblCellMar>
          <w:top w:w="0" w:type="dxa"/>
          <w:left w:w="108" w:type="dxa"/>
          <w:bottom w:w="0" w:type="dxa"/>
          <w:right w:w="108" w:type="dxa"/>
        </w:tblCellMar>
      </w:tblPr>
      <w:tblGrid>
        <w:gridCol w:w="1890"/>
        <w:gridCol w:w="1156"/>
        <w:gridCol w:w="1459"/>
        <w:gridCol w:w="1580"/>
        <w:gridCol w:w="1668"/>
        <w:gridCol w:w="1577"/>
        <w:gridCol w:w="1571"/>
        <w:gridCol w:w="1571"/>
        <w:gridCol w:w="1571"/>
        <w:gridCol w:w="1571"/>
      </w:tblGrid>
      <w:tr>
        <w:tblPrEx>
          <w:tblCellMar>
            <w:top w:w="0" w:type="dxa"/>
            <w:left w:w="108" w:type="dxa"/>
            <w:bottom w:w="0" w:type="dxa"/>
            <w:right w:w="108" w:type="dxa"/>
          </w:tblCellMar>
        </w:tblPrEx>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bookmarkStart w:id="305" w:name="_Hlk202347913"/>
            <w:r>
              <w:rPr>
                <w:rFonts w:hint="eastAsia" w:ascii="仿宋_GB2312" w:hAnsi="仿宋_GB2312" w:eastAsia="仿宋_GB2312" w:cs="仿宋_GB2312"/>
                <w:b/>
                <w:bCs/>
                <w:color w:val="000000"/>
                <w:kern w:val="0"/>
                <w:szCs w:val="21"/>
              </w:rPr>
              <w:t>区域及项目</w:t>
            </w:r>
          </w:p>
        </w:tc>
        <w:tc>
          <w:tcPr>
            <w:tcW w:w="3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行政区</w:t>
            </w:r>
          </w:p>
        </w:tc>
        <w:tc>
          <w:tcPr>
            <w:tcW w:w="4024" w:type="pct"/>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非沙化土地林草修复（万亩）</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bookmarkStart w:id="306" w:name="_Hlk202347943"/>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2012"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2021-2030年</w:t>
            </w:r>
          </w:p>
        </w:tc>
        <w:tc>
          <w:tcPr>
            <w:tcW w:w="150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2021-2022年</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2023-2025年</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46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50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营造乔木面积</w:t>
            </w:r>
          </w:p>
        </w:tc>
        <w:tc>
          <w:tcPr>
            <w:tcW w:w="5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营造灌木面积</w:t>
            </w:r>
          </w:p>
        </w:tc>
        <w:tc>
          <w:tcPr>
            <w:tcW w:w="5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种草面积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营造乔木面积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营造灌木面积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种草面积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营造乔木面积</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467"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0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34"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04"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r>
      <w:tr>
        <w:tblPrEx>
          <w:tblCellMar>
            <w:top w:w="0" w:type="dxa"/>
            <w:left w:w="108" w:type="dxa"/>
            <w:bottom w:w="0" w:type="dxa"/>
            <w:right w:w="108" w:type="dxa"/>
          </w:tblCellMar>
        </w:tblPrEx>
        <w:trPr>
          <w:trHeight w:val="312" w:hRule="atLeast"/>
        </w:trPr>
        <w:tc>
          <w:tcPr>
            <w:tcW w:w="9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bookmarkStart w:id="307" w:name="_Hlk202347971"/>
            <w:r>
              <w:rPr>
                <w:rFonts w:hint="eastAsia" w:ascii="仿宋_GB2312" w:hAnsi="仿宋_GB2312" w:eastAsia="仿宋_GB2312" w:cs="仿宋_GB2312"/>
                <w:b/>
                <w:bCs/>
                <w:color w:val="000000"/>
                <w:kern w:val="0"/>
                <w:szCs w:val="21"/>
              </w:rPr>
              <w:t>合计</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28.10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24.75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3.12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23.75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3.12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1.00 </w:t>
            </w:r>
          </w:p>
        </w:tc>
      </w:tr>
      <w:tr>
        <w:tblPrEx>
          <w:tblCellMar>
            <w:top w:w="0" w:type="dxa"/>
            <w:left w:w="108" w:type="dxa"/>
            <w:bottom w:w="0" w:type="dxa"/>
            <w:right w:w="108" w:type="dxa"/>
          </w:tblCellMar>
        </w:tblPrEx>
        <w:trPr>
          <w:trHeight w:val="312" w:hRule="atLeast"/>
        </w:trPr>
        <w:tc>
          <w:tcPr>
            <w:tcW w:w="9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协同推进区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20.80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17.82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16.82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1.00 </w:t>
            </w:r>
          </w:p>
        </w:tc>
      </w:tr>
      <w:tr>
        <w:tblPrEx>
          <w:tblCellMar>
            <w:top w:w="0" w:type="dxa"/>
            <w:left w:w="108" w:type="dxa"/>
            <w:bottom w:w="0" w:type="dxa"/>
            <w:right w:w="108" w:type="dxa"/>
          </w:tblCellMar>
        </w:tblPrEx>
        <w:trPr>
          <w:trHeight w:val="312" w:hRule="atLeast"/>
        </w:trPr>
        <w:tc>
          <w:tcPr>
            <w:tcW w:w="605" w:type="pct"/>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华北平原北部</w:t>
            </w:r>
          </w:p>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生态保护修复区</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昌平区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1.97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1.97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0.47 </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怀柔区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1.53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平谷区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1.17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1.17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1.17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密云区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2.63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延庆区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4.46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2.46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2.00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2.00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0.53 </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门头沟区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1.83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房山区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7.21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6.23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6.23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9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巩固拓展区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7.30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6.93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6.93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华北平原—内蒙古高原生态廊道连通区</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朝阳区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0.90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通州区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2.64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2.64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顺义区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1.92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1.55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0.23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1.55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大兴区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1.84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1.84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bookmarkEnd w:id="305"/>
      <w:bookmarkEnd w:id="306"/>
      <w:bookmarkEnd w:id="307"/>
    </w:tbl>
    <w:p>
      <w:pPr>
        <w:widowControl/>
        <w:jc w:val="center"/>
      </w:pPr>
    </w:p>
    <w:p>
      <w:pPr>
        <w:widowControl/>
        <w:jc w:val="center"/>
        <w:sectPr>
          <w:footerReference r:id="rId5" w:type="default"/>
          <w:pgSz w:w="16838" w:h="11906" w:orient="landscape"/>
          <w:pgMar w:top="720" w:right="720" w:bottom="720" w:left="720" w:header="283" w:footer="992" w:gutter="0"/>
          <w:cols w:space="425" w:num="1"/>
          <w:docGrid w:type="lines" w:linePitch="312" w:charSpace="0"/>
        </w:sectPr>
      </w:pPr>
    </w:p>
    <w:p>
      <w:pPr>
        <w:widowControl/>
        <w:jc w:val="center"/>
        <w:rPr>
          <w:rFonts w:eastAsia="仿宋_GB2312"/>
          <w:spacing w:val="-5"/>
          <w:sz w:val="24"/>
          <w:szCs w:val="24"/>
        </w:rPr>
      </w:pPr>
      <w:r>
        <w:rPr>
          <w:rFonts w:hint="eastAsia" w:ascii="仿宋_GB2312" w:hAnsi="仿宋_GB2312" w:eastAsia="仿宋_GB2312" w:cs="仿宋_GB2312"/>
          <w:spacing w:val="-5"/>
          <w:sz w:val="24"/>
          <w:szCs w:val="24"/>
        </w:rPr>
        <w:t>附表3-3 北京市三北工程六期封山育林建设任务表</w:t>
      </w:r>
    </w:p>
    <w:tbl>
      <w:tblPr>
        <w:tblStyle w:val="19"/>
        <w:tblW w:w="5000" w:type="pct"/>
        <w:tblInd w:w="0" w:type="dxa"/>
        <w:tblLayout w:type="autofit"/>
        <w:tblCellMar>
          <w:top w:w="0" w:type="dxa"/>
          <w:left w:w="108" w:type="dxa"/>
          <w:bottom w:w="0" w:type="dxa"/>
          <w:right w:w="108" w:type="dxa"/>
        </w:tblCellMar>
      </w:tblPr>
      <w:tblGrid>
        <w:gridCol w:w="3151"/>
        <w:gridCol w:w="1955"/>
        <w:gridCol w:w="2624"/>
        <w:gridCol w:w="2624"/>
        <w:gridCol w:w="2624"/>
        <w:gridCol w:w="2636"/>
      </w:tblGrid>
      <w:tr>
        <w:tblPrEx>
          <w:tblCellMar>
            <w:top w:w="0" w:type="dxa"/>
            <w:left w:w="108" w:type="dxa"/>
            <w:bottom w:w="0" w:type="dxa"/>
            <w:right w:w="108" w:type="dxa"/>
          </w:tblCellMar>
        </w:tblPrEx>
        <w:trPr>
          <w:trHeight w:val="312" w:hRule="atLeast"/>
        </w:trPr>
        <w:tc>
          <w:tcPr>
            <w:tcW w:w="100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区域及项目</w:t>
            </w:r>
          </w:p>
        </w:tc>
        <w:tc>
          <w:tcPr>
            <w:tcW w:w="62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行政区</w:t>
            </w:r>
          </w:p>
        </w:tc>
        <w:tc>
          <w:tcPr>
            <w:tcW w:w="3364"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封山育林（万亩）</w:t>
            </w:r>
          </w:p>
        </w:tc>
      </w:tr>
      <w:tr>
        <w:tblPrEx>
          <w:tblCellMar>
            <w:top w:w="0" w:type="dxa"/>
            <w:left w:w="108" w:type="dxa"/>
            <w:bottom w:w="0" w:type="dxa"/>
            <w:right w:w="108" w:type="dxa"/>
          </w:tblCellMar>
        </w:tblPrEx>
        <w:trPr>
          <w:trHeight w:val="312" w:hRule="atLeast"/>
        </w:trPr>
        <w:tc>
          <w:tcPr>
            <w:tcW w:w="1009"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 w:val="21"/>
                <w:szCs w:val="21"/>
              </w:rPr>
            </w:pPr>
            <w:bookmarkStart w:id="308" w:name="_Hlk202347624"/>
          </w:p>
        </w:tc>
        <w:tc>
          <w:tcPr>
            <w:tcW w:w="62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 w:val="21"/>
                <w:szCs w:val="21"/>
              </w:rPr>
            </w:pPr>
          </w:p>
        </w:tc>
        <w:tc>
          <w:tcPr>
            <w:tcW w:w="840"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2021-2030年</w:t>
            </w:r>
          </w:p>
        </w:tc>
        <w:tc>
          <w:tcPr>
            <w:tcW w:w="840"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2021-2022年</w:t>
            </w:r>
          </w:p>
        </w:tc>
        <w:tc>
          <w:tcPr>
            <w:tcW w:w="840"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2023-2025年</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2026-2030年</w:t>
            </w:r>
          </w:p>
        </w:tc>
      </w:tr>
      <w:tr>
        <w:tblPrEx>
          <w:tblCellMar>
            <w:top w:w="0" w:type="dxa"/>
            <w:left w:w="108" w:type="dxa"/>
            <w:bottom w:w="0" w:type="dxa"/>
            <w:right w:w="108" w:type="dxa"/>
          </w:tblCellMar>
        </w:tblPrEx>
        <w:trPr>
          <w:trHeight w:val="312" w:hRule="atLeast"/>
        </w:trPr>
        <w:tc>
          <w:tcPr>
            <w:tcW w:w="163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协同推进区（合计）</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 xml:space="preserve">90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 xml:space="preserve">25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60</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5</w:t>
            </w:r>
          </w:p>
        </w:tc>
      </w:tr>
      <w:tr>
        <w:tblPrEx>
          <w:tblCellMar>
            <w:top w:w="0" w:type="dxa"/>
            <w:left w:w="108" w:type="dxa"/>
            <w:bottom w:w="0" w:type="dxa"/>
            <w:right w:w="108" w:type="dxa"/>
          </w:tblCellMar>
        </w:tblPrEx>
        <w:trPr>
          <w:trHeight w:val="312" w:hRule="atLeast"/>
        </w:trPr>
        <w:tc>
          <w:tcPr>
            <w:tcW w:w="1009" w:type="pct"/>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华北平原北部</w:t>
            </w:r>
          </w:p>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生态保护修复区</w:t>
            </w: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昌平区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12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10</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tblPrEx>
          <w:tblCellMar>
            <w:top w:w="0" w:type="dxa"/>
            <w:left w:w="108" w:type="dxa"/>
            <w:bottom w:w="0" w:type="dxa"/>
            <w:right w:w="108" w:type="dxa"/>
          </w:tblCellMar>
        </w:tblPrEx>
        <w:trPr>
          <w:trHeight w:val="312" w:hRule="atLeast"/>
        </w:trPr>
        <w:tc>
          <w:tcPr>
            <w:tcW w:w="1009"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怀柔区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11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2.7</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8.3 </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tblPrEx>
          <w:tblCellMar>
            <w:top w:w="0" w:type="dxa"/>
            <w:left w:w="108" w:type="dxa"/>
            <w:bottom w:w="0" w:type="dxa"/>
            <w:right w:w="108" w:type="dxa"/>
          </w:tblCellMar>
        </w:tblPrEx>
        <w:trPr>
          <w:trHeight w:val="312" w:hRule="atLeast"/>
        </w:trPr>
        <w:tc>
          <w:tcPr>
            <w:tcW w:w="1009"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平谷区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 w:val="21"/>
                <w:szCs w:val="21"/>
              </w:rPr>
            </w:pPr>
            <w:r>
              <w:rPr>
                <w:rFonts w:hint="eastAsia" w:ascii="仿宋_GB2312" w:hAnsi="仿宋_GB2312" w:eastAsia="仿宋_GB2312" w:cs="仿宋_GB2312"/>
                <w:color w:val="000000"/>
                <w:kern w:val="0"/>
                <w:sz w:val="21"/>
                <w:szCs w:val="21"/>
              </w:rPr>
              <w:t>/</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 w:val="21"/>
                <w:szCs w:val="21"/>
              </w:rPr>
            </w:pPr>
            <w:r>
              <w:rPr>
                <w:rFonts w:hint="eastAsia" w:ascii="仿宋_GB2312" w:hAnsi="仿宋_GB2312" w:eastAsia="仿宋_GB2312" w:cs="仿宋_GB2312"/>
                <w:color w:val="000000"/>
                <w:kern w:val="0"/>
                <w:sz w:val="21"/>
                <w:szCs w:val="21"/>
              </w:rPr>
              <w:t>/</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kern w:val="0"/>
                <w:sz w:val="21"/>
                <w:szCs w:val="21"/>
              </w:rPr>
            </w:pPr>
            <w:r>
              <w:rPr>
                <w:rFonts w:hint="eastAsia" w:ascii="仿宋_GB2312" w:hAnsi="仿宋_GB2312" w:eastAsia="仿宋_GB2312" w:cs="仿宋_GB2312"/>
                <w:color w:val="000000"/>
                <w:kern w:val="0"/>
                <w:sz w:val="21"/>
                <w:szCs w:val="21"/>
              </w:rPr>
              <w:t>/</w:t>
            </w:r>
          </w:p>
        </w:tc>
      </w:tr>
      <w:tr>
        <w:tblPrEx>
          <w:tblCellMar>
            <w:top w:w="0" w:type="dxa"/>
            <w:left w:w="108" w:type="dxa"/>
            <w:bottom w:w="0" w:type="dxa"/>
            <w:right w:w="108" w:type="dxa"/>
          </w:tblCellMar>
        </w:tblPrEx>
        <w:trPr>
          <w:trHeight w:val="312" w:hRule="atLeast"/>
        </w:trPr>
        <w:tc>
          <w:tcPr>
            <w:tcW w:w="1009"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密云区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25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7</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18</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tblPrEx>
          <w:tblCellMar>
            <w:top w:w="0" w:type="dxa"/>
            <w:left w:w="108" w:type="dxa"/>
            <w:bottom w:w="0" w:type="dxa"/>
            <w:right w:w="108" w:type="dxa"/>
          </w:tblCellMar>
        </w:tblPrEx>
        <w:trPr>
          <w:trHeight w:val="312" w:hRule="atLeast"/>
        </w:trPr>
        <w:tc>
          <w:tcPr>
            <w:tcW w:w="1009"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延庆区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22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7.5</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14.5 </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tblPrEx>
          <w:tblCellMar>
            <w:top w:w="0" w:type="dxa"/>
            <w:left w:w="108" w:type="dxa"/>
            <w:bottom w:w="0" w:type="dxa"/>
            <w:right w:w="108" w:type="dxa"/>
          </w:tblCellMar>
        </w:tblPrEx>
        <w:trPr>
          <w:trHeight w:val="312" w:hRule="atLeast"/>
        </w:trPr>
        <w:tc>
          <w:tcPr>
            <w:tcW w:w="1009" w:type="pct"/>
            <w:vMerge w:val="continue"/>
            <w:tcBorders>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门头沟区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10</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2.8</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4.2</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3</w:t>
            </w:r>
          </w:p>
        </w:tc>
      </w:tr>
      <w:tr>
        <w:tblPrEx>
          <w:tblCellMar>
            <w:top w:w="0" w:type="dxa"/>
            <w:left w:w="108" w:type="dxa"/>
            <w:bottom w:w="0" w:type="dxa"/>
            <w:right w:w="108" w:type="dxa"/>
          </w:tblCellMar>
        </w:tblPrEx>
        <w:trPr>
          <w:trHeight w:val="312" w:hRule="atLeast"/>
        </w:trPr>
        <w:tc>
          <w:tcPr>
            <w:tcW w:w="1009" w:type="pct"/>
            <w:vMerge w:val="continue"/>
            <w:tcBorders>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房山区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10</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3</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5</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w:t>
            </w:r>
          </w:p>
        </w:tc>
      </w:tr>
      <w:bookmarkEnd w:id="308"/>
    </w:tbl>
    <w:p>
      <w:pPr>
        <w:widowControl/>
        <w:jc w:val="center"/>
        <w:rPr>
          <w:rFonts w:hint="eastAsia" w:ascii="仿宋_GB2312" w:hAnsi="仿宋_GB2312" w:eastAsia="仿宋_GB2312" w:cs="仿宋_GB2312"/>
          <w:sz w:val="21"/>
          <w:szCs w:val="21"/>
        </w:rPr>
      </w:pPr>
    </w:p>
    <w:p>
      <w:pPr>
        <w:widowControl/>
        <w:jc w:val="center"/>
        <w:sectPr>
          <w:pgSz w:w="16838" w:h="11906" w:orient="landscape"/>
          <w:pgMar w:top="720" w:right="720" w:bottom="720" w:left="720" w:header="283" w:footer="992" w:gutter="0"/>
          <w:cols w:space="425" w:num="1"/>
          <w:docGrid w:type="lines" w:linePitch="312" w:charSpace="0"/>
        </w:sectPr>
      </w:pPr>
    </w:p>
    <w:p>
      <w:pPr>
        <w:widowControl/>
        <w:jc w:val="center"/>
        <w:rPr>
          <w:rFonts w:eastAsia="仿宋_GB2312"/>
          <w:spacing w:val="-5"/>
          <w:sz w:val="24"/>
          <w:szCs w:val="24"/>
        </w:rPr>
      </w:pPr>
      <w:r>
        <w:rPr>
          <w:rFonts w:hint="eastAsia" w:ascii="仿宋_GB2312" w:hAnsi="仿宋_GB2312" w:eastAsia="仿宋_GB2312" w:cs="仿宋_GB2312"/>
          <w:spacing w:val="-5"/>
          <w:sz w:val="24"/>
          <w:szCs w:val="24"/>
        </w:rPr>
        <w:t>附表3-4 北京市三北工程六期林草质量巩固提升建设任务表</w:t>
      </w:r>
    </w:p>
    <w:tbl>
      <w:tblPr>
        <w:tblStyle w:val="19"/>
        <w:tblW w:w="5000" w:type="pct"/>
        <w:tblInd w:w="0" w:type="dxa"/>
        <w:tblLayout w:type="autofit"/>
        <w:tblCellMar>
          <w:top w:w="0" w:type="dxa"/>
          <w:left w:w="108" w:type="dxa"/>
          <w:bottom w:w="0" w:type="dxa"/>
          <w:right w:w="108" w:type="dxa"/>
        </w:tblCellMar>
      </w:tblPr>
      <w:tblGrid>
        <w:gridCol w:w="1890"/>
        <w:gridCol w:w="1162"/>
        <w:gridCol w:w="1112"/>
        <w:gridCol w:w="1474"/>
        <w:gridCol w:w="1431"/>
        <w:gridCol w:w="1896"/>
        <w:gridCol w:w="1702"/>
        <w:gridCol w:w="1624"/>
        <w:gridCol w:w="1702"/>
        <w:gridCol w:w="1621"/>
      </w:tblGrid>
      <w:tr>
        <w:tblPrEx>
          <w:tblCellMar>
            <w:top w:w="0" w:type="dxa"/>
            <w:left w:w="108" w:type="dxa"/>
            <w:bottom w:w="0" w:type="dxa"/>
            <w:right w:w="108" w:type="dxa"/>
          </w:tblCellMar>
        </w:tblPrEx>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区域及项目</w:t>
            </w:r>
          </w:p>
        </w:tc>
        <w:tc>
          <w:tcPr>
            <w:tcW w:w="37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行政区</w:t>
            </w:r>
          </w:p>
        </w:tc>
        <w:tc>
          <w:tcPr>
            <w:tcW w:w="4022" w:type="pct"/>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林草质量巩固提升（万亩）</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bookmarkStart w:id="309" w:name="_Hlk202347463"/>
          </w:p>
        </w:tc>
        <w:tc>
          <w:tcPr>
            <w:tcW w:w="372"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128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2021-2030年</w:t>
            </w:r>
          </w:p>
        </w:tc>
        <w:tc>
          <w:tcPr>
            <w:tcW w:w="60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2021-2022年</w:t>
            </w:r>
          </w:p>
        </w:tc>
        <w:tc>
          <w:tcPr>
            <w:tcW w:w="106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2023-2025年</w:t>
            </w:r>
          </w:p>
        </w:tc>
        <w:tc>
          <w:tcPr>
            <w:tcW w:w="106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2026-2030年</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72"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4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4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退化林修复</w:t>
            </w:r>
          </w:p>
        </w:tc>
        <w:tc>
          <w:tcPr>
            <w:tcW w:w="6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5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52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退化林修复</w:t>
            </w:r>
          </w:p>
        </w:tc>
        <w:tc>
          <w:tcPr>
            <w:tcW w:w="5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5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退化林修复</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72"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356"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472"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458"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607"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20"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c>
          <w:tcPr>
            <w:tcW w:w="519"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b/>
                <w:bCs/>
                <w:color w:val="000000"/>
                <w:kern w:val="0"/>
                <w:szCs w:val="21"/>
              </w:rPr>
            </w:pPr>
          </w:p>
        </w:tc>
      </w:tr>
      <w:tr>
        <w:tblPrEx>
          <w:tblCellMar>
            <w:top w:w="0" w:type="dxa"/>
            <w:left w:w="108" w:type="dxa"/>
            <w:bottom w:w="0" w:type="dxa"/>
            <w:right w:w="108" w:type="dxa"/>
          </w:tblCellMar>
        </w:tblPrEx>
        <w:trPr>
          <w:trHeight w:val="312" w:hRule="atLeast"/>
        </w:trPr>
        <w:tc>
          <w:tcPr>
            <w:tcW w:w="9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bookmarkStart w:id="310" w:name="_Hlk202347429"/>
            <w:r>
              <w:rPr>
                <w:rFonts w:hint="eastAsia" w:ascii="仿宋_GB2312" w:hAnsi="仿宋_GB2312" w:eastAsia="仿宋_GB2312" w:cs="仿宋_GB2312"/>
                <w:b/>
                <w:bCs/>
                <w:color w:val="000000"/>
                <w:kern w:val="0"/>
                <w:szCs w:val="21"/>
              </w:rPr>
              <w:t>合计</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884.41</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 xml:space="preserve">854.41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216.61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292</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25.2</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345.8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4.8</w:t>
            </w:r>
          </w:p>
        </w:tc>
      </w:tr>
      <w:tr>
        <w:tblPrEx>
          <w:tblCellMar>
            <w:top w:w="0" w:type="dxa"/>
            <w:left w:w="108" w:type="dxa"/>
            <w:bottom w:w="0" w:type="dxa"/>
            <w:right w:w="108" w:type="dxa"/>
          </w:tblCellMar>
        </w:tblPrEx>
        <w:trPr>
          <w:trHeight w:val="312" w:hRule="atLeast"/>
        </w:trPr>
        <w:tc>
          <w:tcPr>
            <w:tcW w:w="9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协同推进区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528.09</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 xml:space="preserve">498.09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156.77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158 </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25.2</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183.32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4.8</w:t>
            </w:r>
          </w:p>
        </w:tc>
      </w:tr>
      <w:tr>
        <w:tblPrEx>
          <w:tblCellMar>
            <w:top w:w="0" w:type="dxa"/>
            <w:left w:w="108" w:type="dxa"/>
            <w:bottom w:w="0" w:type="dxa"/>
            <w:right w:w="108" w:type="dxa"/>
          </w:tblCellMar>
        </w:tblPrEx>
        <w:trPr>
          <w:trHeight w:val="312" w:hRule="atLeast"/>
        </w:trPr>
        <w:tc>
          <w:tcPr>
            <w:tcW w:w="605" w:type="pct"/>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华北平原北部</w:t>
            </w:r>
          </w:p>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生态保护修复区</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昌平区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57</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51</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8.60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16</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6</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26.4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怀柔区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70.01</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69.21</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0.8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32.41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18</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0.8</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18.8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 </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平谷区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42.09</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36.39</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5.7 </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8.39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14</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密云区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91.55</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82.85</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8.7 </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29.77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28</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25.08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延庆区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136.69</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132.69</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 </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49.49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42</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41.2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门头沟区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33.02</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29.72</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3.3</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11.88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10</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7.84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3.3</w:t>
            </w:r>
          </w:p>
        </w:tc>
      </w:tr>
      <w:tr>
        <w:tblPrEx>
          <w:tblCellMar>
            <w:top w:w="0" w:type="dxa"/>
            <w:left w:w="108" w:type="dxa"/>
            <w:bottom w:w="0" w:type="dxa"/>
            <w:right w:w="108" w:type="dxa"/>
          </w:tblCellMar>
        </w:tblPrEx>
        <w:trPr>
          <w:trHeight w:val="312" w:hRule="atLeast"/>
        </w:trPr>
        <w:tc>
          <w:tcPr>
            <w:tcW w:w="605" w:type="pct"/>
            <w:vMerge w:val="continue"/>
            <w:tcBorders>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房山区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97.73</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96.23</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1.5</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16.23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30</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1.5</w:t>
            </w:r>
          </w:p>
        </w:tc>
      </w:tr>
      <w:tr>
        <w:tblPrEx>
          <w:tblCellMar>
            <w:top w:w="0" w:type="dxa"/>
            <w:left w:w="108" w:type="dxa"/>
            <w:bottom w:w="0" w:type="dxa"/>
            <w:right w:w="108" w:type="dxa"/>
          </w:tblCellMar>
        </w:tblPrEx>
        <w:trPr>
          <w:trHeight w:val="312" w:hRule="atLeast"/>
        </w:trPr>
        <w:tc>
          <w:tcPr>
            <w:tcW w:w="9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巩固拓展区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356.32</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356.32</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59.84</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134</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162.48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华北平原—内蒙古高原生态廊道连通区</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朝阳区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9.37</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9.37</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6.97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通州区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102.84</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102.84</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9.56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41</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52.28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顺义区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100.37</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100.37</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47</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51.8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tblPrEx>
          <w:tblCellMar>
            <w:top w:w="0" w:type="dxa"/>
            <w:left w:w="108" w:type="dxa"/>
            <w:bottom w:w="0" w:type="dxa"/>
            <w:right w:w="108" w:type="dxa"/>
          </w:tblCellMar>
        </w:tblPrEx>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大兴区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143.74</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143.74</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41.74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45</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bookmarkEnd w:id="309"/>
      <w:bookmarkEnd w:id="310"/>
    </w:tbl>
    <w:p>
      <w:pPr>
        <w:widowControl/>
        <w:jc w:val="center"/>
      </w:pPr>
    </w:p>
    <w:p>
      <w:pPr>
        <w:widowControl/>
        <w:jc w:val="center"/>
      </w:pPr>
      <w:r>
        <mc:AlternateContent>
          <mc:Choice Requires="wps">
            <w:drawing>
              <wp:anchor distT="0" distB="0" distL="114300" distR="114300" simplePos="0" relativeHeight="251659264" behindDoc="0" locked="0" layoutInCell="1" allowOverlap="1">
                <wp:simplePos x="0" y="0"/>
                <wp:positionH relativeFrom="column">
                  <wp:posOffset>4687570</wp:posOffset>
                </wp:positionH>
                <wp:positionV relativeFrom="paragraph">
                  <wp:posOffset>5293360</wp:posOffset>
                </wp:positionV>
                <wp:extent cx="523240" cy="277495"/>
                <wp:effectExtent l="0" t="0" r="0" b="0"/>
                <wp:wrapNone/>
                <wp:docPr id="1" name="文本框 1"/>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1pt;margin-top:416.8pt;height:21.85pt;width:41.2pt;z-index:251659264;mso-width-relative:page;mso-height-relative:page;" filled="f" stroked="f" coordsize="21600,21600" o:gfxdata="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BYAAABkcnMvUEsBAhQAFAAAAAgAh07iQJANcT/b&#10;AAAACwEAAA8AAAAAAAAAAQAgAAAAOAAAAGRycy9kb3ducmV2LnhtbFBLAQIUABQAAAAIAIdO4kBK&#10;QNELQAIAAHMEAAAOAAAAAAAAAAEAIAAAAEABAABkcnMvZTJvRG9jLnhtbFBLBQYAAAAABgAGAFkB&#10;AADyBQAAAAA=&#10;">
                <v:fill on="f" focussize="0,0"/>
                <v:stroke on="f" weight="0.5pt"/>
                <v:imagedata o:title=""/>
                <o:lock v:ext="edit" aspectratio="f"/>
                <v:textbox>
                  <w:txbxContent>
                    <w:p>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394190" cy="6421120"/>
            <wp:effectExtent l="0" t="0" r="0" b="0"/>
            <wp:docPr id="1321412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12176"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b="3299"/>
                    <a:stretch>
                      <a:fillRect/>
                    </a:stretch>
                  </pic:blipFill>
                  <pic:spPr>
                    <a:xfrm>
                      <a:off x="0" y="0"/>
                      <a:ext cx="9394190" cy="6421120"/>
                    </a:xfrm>
                    <a:prstGeom prst="rect">
                      <a:avLst/>
                    </a:prstGeom>
                    <a:noFill/>
                    <a:ln>
                      <a:noFill/>
                    </a:ln>
                  </pic:spPr>
                </pic:pic>
              </a:graphicData>
            </a:graphic>
          </wp:inline>
        </w:drawing>
      </w:r>
    </w:p>
    <w:p>
      <w:pPr>
        <w:widowControl/>
        <w:jc w:val="center"/>
      </w:pPr>
      <w:r>
        <mc:AlternateContent>
          <mc:Choice Requires="wps">
            <w:drawing>
              <wp:anchor distT="0" distB="0" distL="114300" distR="114300" simplePos="0" relativeHeight="251660288" behindDoc="0" locked="0" layoutInCell="1" allowOverlap="1">
                <wp:simplePos x="0" y="0"/>
                <wp:positionH relativeFrom="column">
                  <wp:posOffset>4839970</wp:posOffset>
                </wp:positionH>
                <wp:positionV relativeFrom="paragraph">
                  <wp:posOffset>5414010</wp:posOffset>
                </wp:positionV>
                <wp:extent cx="523240" cy="277495"/>
                <wp:effectExtent l="0" t="0" r="0" b="0"/>
                <wp:wrapNone/>
                <wp:docPr id="2" name="文本框 2"/>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1.1pt;margin-top:426.3pt;height:21.85pt;width:41.2pt;z-index:251660288;mso-width-relative:page;mso-height-relative:page;" filled="f" stroked="f" coordsize="21600,21600" o:gfxdata="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AezpRC&#10;2wAAAAsBAAAPAAAAAAAAAAEAIAAAADgAAABkcnMvZG93bnJldi54bWxQSwECFAAUAAAACACHTuJA&#10;xJ/N2kECAABzBAAADgAAAAAAAAABACAAAABAAQAAZHJzL2Uyb0RvYy54bWxQSwUGAAAAAAYABgBZ&#10;AQAA8wUAAAAA&#10;">
                <v:fill on="f" focussize="0,0"/>
                <v:stroke on="f" weight="0.5pt"/>
                <v:imagedata o:title=""/>
                <o:lock v:ext="edit" aspectratio="f"/>
                <v:textbox>
                  <w:txbxContent>
                    <w:p>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394190" cy="6390005"/>
            <wp:effectExtent l="0" t="0" r="0" b="0"/>
            <wp:docPr id="1957522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22244" name="图片 2"/>
                    <pic:cNvPicPr>
                      <a:picLocks noChangeAspect="1" noChangeArrowheads="1"/>
                    </pic:cNvPicPr>
                  </pic:nvPicPr>
                  <pic:blipFill>
                    <a:blip r:embed="rId9" cstate="print">
                      <a:extLst>
                        <a:ext uri="{28A0092B-C50C-407E-A947-70E740481C1C}">
                          <a14:useLocalDpi xmlns:a14="http://schemas.microsoft.com/office/drawing/2010/main" val="0"/>
                        </a:ext>
                      </a:extLst>
                    </a:blip>
                    <a:srcRect b="3768"/>
                    <a:stretch>
                      <a:fillRect/>
                    </a:stretch>
                  </pic:blipFill>
                  <pic:spPr>
                    <a:xfrm>
                      <a:off x="0" y="0"/>
                      <a:ext cx="9394190" cy="6390005"/>
                    </a:xfrm>
                    <a:prstGeom prst="rect">
                      <a:avLst/>
                    </a:prstGeom>
                    <a:noFill/>
                    <a:ln>
                      <a:noFill/>
                    </a:ln>
                  </pic:spPr>
                </pic:pic>
              </a:graphicData>
            </a:graphic>
          </wp:inline>
        </w:drawing>
      </w:r>
    </w:p>
    <w:p>
      <w:pPr>
        <w:widowControl/>
        <w:jc w:val="center"/>
      </w:pPr>
      <w:r>
        <mc:AlternateContent>
          <mc:Choice Requires="wps">
            <w:drawing>
              <wp:anchor distT="0" distB="0" distL="114300" distR="114300" simplePos="0" relativeHeight="251661312" behindDoc="0" locked="0" layoutInCell="1" allowOverlap="1">
                <wp:simplePos x="0" y="0"/>
                <wp:positionH relativeFrom="column">
                  <wp:posOffset>4928235</wp:posOffset>
                </wp:positionH>
                <wp:positionV relativeFrom="paragraph">
                  <wp:posOffset>5332095</wp:posOffset>
                </wp:positionV>
                <wp:extent cx="523240" cy="277495"/>
                <wp:effectExtent l="0" t="0" r="0" b="0"/>
                <wp:wrapNone/>
                <wp:docPr id="3" name="文本框 3"/>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05pt;margin-top:419.85pt;height:21.85pt;width:41.2pt;z-index:251661312;mso-width-relative:page;mso-height-relative:page;" filled="f" stroked="f" coordsize="21600,21600" o:gfxdata="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bey2&#10;vtwAAAALAQAADwAAAAAAAAABACAAAAA4AAAAZHJzL2Rvd25yZXYueG1sUEsBAhQAFAAAAAgAh07i&#10;QL4qxpVBAgAAcwQAAA4AAAAAAAAAAQAgAAAAQQEAAGRycy9lMm9Eb2MueG1sUEsFBgAAAAAGAAYA&#10;WQEAAPQFAAAAAA==&#10;">
                <v:fill on="f" focussize="0,0"/>
                <v:stroke on="f" weight="0.5pt"/>
                <v:imagedata o:title=""/>
                <o:lock v:ext="edit" aspectratio="f"/>
                <v:textbox>
                  <w:txbxContent>
                    <w:p>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400540" cy="6422390"/>
            <wp:effectExtent l="0" t="0" r="0" b="0"/>
            <wp:docPr id="17970786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78610"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b="3363"/>
                    <a:stretch>
                      <a:fillRect/>
                    </a:stretch>
                  </pic:blipFill>
                  <pic:spPr>
                    <a:xfrm>
                      <a:off x="0" y="0"/>
                      <a:ext cx="9400540" cy="6422390"/>
                    </a:xfrm>
                    <a:prstGeom prst="rect">
                      <a:avLst/>
                    </a:prstGeom>
                    <a:noFill/>
                    <a:ln>
                      <a:noFill/>
                    </a:ln>
                  </pic:spPr>
                </pic:pic>
              </a:graphicData>
            </a:graphic>
          </wp:inline>
        </w:drawing>
      </w:r>
    </w:p>
    <w:p>
      <w:pPr>
        <w:widowControl/>
        <w:jc w:val="center"/>
      </w:pPr>
      <w:r>
        <mc:AlternateContent>
          <mc:Choice Requires="wps">
            <w:drawing>
              <wp:anchor distT="0" distB="0" distL="114300" distR="114300" simplePos="0" relativeHeight="251662336" behindDoc="0" locked="0" layoutInCell="1" allowOverlap="1">
                <wp:simplePos x="0" y="0"/>
                <wp:positionH relativeFrom="column">
                  <wp:posOffset>4953000</wp:posOffset>
                </wp:positionH>
                <wp:positionV relativeFrom="paragraph">
                  <wp:posOffset>5338445</wp:posOffset>
                </wp:positionV>
                <wp:extent cx="523240" cy="277495"/>
                <wp:effectExtent l="0" t="0" r="0" b="0"/>
                <wp:wrapNone/>
                <wp:docPr id="4" name="文本框 4"/>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pt;margin-top:420.35pt;height:21.85pt;width:41.2pt;z-index:251662336;mso-width-relative:page;mso-height-relative:page;" filled="f" stroked="f" coordsize="21600,21600" o:gfxdata="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QpZX&#10;L9wAAAALAQAADwAAAAAAAAABACAAAAA4AAAAZHJzL2Rvd25yZXYueG1sUEsBAhQAFAAAAAgAh07i&#10;QJkmhaNBAgAAcwQAAA4AAAAAAAAAAQAgAAAAQQEAAGRycy9lMm9Eb2MueG1sUEsFBgAAAAAGAAYA&#10;WQEAAPQFAAAAAA==&#10;">
                <v:fill on="f" focussize="0,0"/>
                <v:stroke on="f" weight="0.5pt"/>
                <v:imagedata o:title=""/>
                <o:lock v:ext="edit" aspectratio="f"/>
                <v:textbox>
                  <w:txbxContent>
                    <w:p>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400540" cy="6398895"/>
            <wp:effectExtent l="0" t="0" r="0" b="0"/>
            <wp:docPr id="11967699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69949" name="图片 9"/>
                    <pic:cNvPicPr>
                      <a:picLocks noChangeAspect="1" noChangeArrowheads="1"/>
                    </pic:cNvPicPr>
                  </pic:nvPicPr>
                  <pic:blipFill>
                    <a:blip r:embed="rId11" cstate="print">
                      <a:extLst>
                        <a:ext uri="{28A0092B-C50C-407E-A947-70E740481C1C}">
                          <a14:useLocalDpi xmlns:a14="http://schemas.microsoft.com/office/drawing/2010/main" val="0"/>
                        </a:ext>
                      </a:extLst>
                    </a:blip>
                    <a:srcRect b="3717"/>
                    <a:stretch>
                      <a:fillRect/>
                    </a:stretch>
                  </pic:blipFill>
                  <pic:spPr>
                    <a:xfrm>
                      <a:off x="0" y="0"/>
                      <a:ext cx="9400540" cy="6398895"/>
                    </a:xfrm>
                    <a:prstGeom prst="rect">
                      <a:avLst/>
                    </a:prstGeom>
                    <a:noFill/>
                    <a:ln>
                      <a:noFill/>
                    </a:ln>
                  </pic:spPr>
                </pic:pic>
              </a:graphicData>
            </a:graphic>
          </wp:inline>
        </w:drawing>
      </w:r>
    </w:p>
    <w:sectPr>
      <w:pgSz w:w="16838" w:h="11906" w:orient="landscape"/>
      <w:pgMar w:top="720" w:right="720" w:bottom="720" w:left="720" w:header="283"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小标宋_GBK">
    <w:panose1 w:val="02000000000000000000"/>
    <w:charset w:val="86"/>
    <w:family w:val="script"/>
    <w:pitch w:val="default"/>
    <w:sig w:usb0="00000001" w:usb1="08000000" w:usb2="00000000" w:usb3="00000000" w:csb0="00040000" w:csb1="00000000"/>
  </w:font>
  <w:font w:name="方正黑体_GBK">
    <w:panose1 w:val="02000000000000000000"/>
    <w:charset w:val="86"/>
    <w:family w:val="script"/>
    <w:pitch w:val="default"/>
    <w:sig w:usb0="00000001" w:usb1="08000000" w:usb2="00000000" w:usb3="00000000" w:csb0="00040000" w:csb1="00000000"/>
  </w:font>
  <w:font w:name="等线 Light">
    <w:altName w:val="仿宋_GB2312"/>
    <w:panose1 w:val="02010600030101010101"/>
    <w:charset w:val="86"/>
    <w:family w:val="auto"/>
    <w:pitch w:val="default"/>
    <w:sig w:usb0="00000000" w:usb1="00000000"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等线">
    <w:altName w:val="仿宋_GB2312"/>
    <w:panose1 w:val="02010600030101010101"/>
    <w:charset w:val="86"/>
    <w:family w:val="auto"/>
    <w:pitch w:val="default"/>
    <w:sig w:usb0="00000000" w:usb1="00000000" w:usb2="00000016" w:usb3="00000000" w:csb0="0004000F" w:csb1="0000000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altName w:val="方正楷体_GBK"/>
    <w:panose1 w:val="02010609060101010101"/>
    <w:charset w:val="86"/>
    <w:family w:val="modern"/>
    <w:pitch w:val="default"/>
    <w:sig w:usb0="00000000" w:usb1="00000000" w:usb2="00000016" w:usb3="00000000" w:csb0="00040001" w:csb1="00000000"/>
  </w:font>
  <w:font w:name="方正楷体_GBK">
    <w:panose1 w:val="02000000000000000000"/>
    <w:charset w:val="86"/>
    <w:family w:val="auto"/>
    <w:pitch w:val="default"/>
    <w:sig w:usb0="00000001" w:usb1="08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等线">
    <w:altName w:val="仿宋_GB2312"/>
    <w:panose1 w:val="00000000000000000000"/>
    <w:charset w:val="00"/>
    <w:family w:val="auto"/>
    <w:pitch w:val="default"/>
    <w:sig w:usb0="00000000" w:usb1="00000000" w:usb2="00000000" w:usb3="00000000" w:csb0="00000000" w:csb1="00000000"/>
  </w:font>
  <w:font w:name="Noto Sans CJK JP Bold">
    <w:panose1 w:val="020B0800000000000000"/>
    <w:charset w:val="86"/>
    <w:family w:val="auto"/>
    <w:pitch w:val="default"/>
    <w:sig w:usb0="30000003" w:usb1="2BDF3C10" w:usb2="00000016" w:usb3="00000000" w:csb0="602E0107" w:csb1="00000000"/>
  </w:font>
  <w:font w:name="华文行楷">
    <w:panose1 w:val="02010800040101010101"/>
    <w:charset w:val="86"/>
    <w:family w:val="auto"/>
    <w:pitch w:val="default"/>
    <w:sig w:usb0="00000001" w:usb1="080F0000" w:usb2="00000000" w:usb3="00000000" w:csb0="00040000" w:csb1="00000000"/>
  </w:font>
  <w:font w:name="方正魏碑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rPr>
        <w:rFonts w:ascii="仿宋" w:hAnsi="仿宋" w:eastAsia="仿宋" w:cs="仿宋"/>
        <w:sz w:val="28"/>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rPr>
        <w:caps/>
      </w:rPr>
    </w:pPr>
    <w:r>
      <w:rPr>
        <w:caps/>
      </w:rPr>
      <w:fldChar w:fldCharType="begin"/>
    </w:r>
    <w:r>
      <w:rPr>
        <w:caps/>
      </w:rPr>
      <w:instrText xml:space="preserve">PAGE   \* MERGEFORMAT</w:instrText>
    </w:r>
    <w:r>
      <w:rPr>
        <w:caps/>
      </w:rPr>
      <w:fldChar w:fldCharType="separate"/>
    </w:r>
    <w:r>
      <w:rPr>
        <w:caps/>
        <w:lang w:val="zh-CN"/>
      </w:rPr>
      <w:t>29</w:t>
    </w:r>
    <w:r>
      <w:rPr>
        <w:caps/>
      </w:rPr>
      <w:fldChar w:fldCharType="end"/>
    </w:r>
  </w:p>
  <w:p>
    <w:pPr>
      <w:spacing w:line="174" w:lineRule="auto"/>
      <w:rPr>
        <w:rFonts w:ascii="仿宋" w:hAnsi="仿宋" w:eastAsia="仿宋" w:cs="仿宋"/>
        <w:sz w:val="28"/>
        <w:szCs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color w:val="000000"/>
        <w:sz w:val="24"/>
        <w:szCs w:val="24"/>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4C50F90"/>
    <w:multiLevelType w:val="multilevel"/>
    <w:tmpl w:val="44C50F90"/>
    <w:lvl w:ilvl="0" w:tentative="0">
      <w:start w:val="1"/>
      <w:numFmt w:val="lowerLetter"/>
      <w:lvlText w:val="%1)"/>
      <w:lvlJc w:val="left"/>
      <w:pPr>
        <w:tabs>
          <w:tab w:val="left" w:pos="851"/>
        </w:tabs>
        <w:ind w:left="851" w:hanging="426"/>
      </w:pPr>
      <w:rPr>
        <w:rFonts w:hint="eastAsia" w:ascii="宋体" w:hAnsi="Times New Roman" w:eastAsia="宋体"/>
        <w:sz w:val="21"/>
      </w:rPr>
    </w:lvl>
    <w:lvl w:ilvl="1" w:tentative="0">
      <w:start w:val="1"/>
      <w:numFmt w:val="decimal"/>
      <w:pStyle w:val="68"/>
      <w:lvlText w:val="%2)"/>
      <w:lvlJc w:val="left"/>
      <w:pPr>
        <w:tabs>
          <w:tab w:val="left" w:pos="1276"/>
        </w:tabs>
        <w:ind w:left="1276" w:hanging="425"/>
      </w:pPr>
      <w:rPr>
        <w:rFonts w:hint="eastAsia" w:ascii="宋体" w:hAnsi="Times New Roman" w:eastAsia="宋体"/>
        <w:sz w:val="21"/>
      </w:rPr>
    </w:lvl>
    <w:lvl w:ilvl="2" w:tentative="0">
      <w:start w:val="1"/>
      <w:numFmt w:val="decimal"/>
      <w:pStyle w:val="69"/>
      <w:lvlText w:val="(%3)"/>
      <w:lvlJc w:val="left"/>
      <w:pPr>
        <w:ind w:left="1701" w:hanging="425"/>
      </w:pPr>
      <w:rPr>
        <w:rFonts w:hint="eastAsia" w:ascii="宋体" w:hAnsi="Times New Roman" w:eastAsia="宋体"/>
        <w:sz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1">
    <w:nsid w:val="6CEA2025"/>
    <w:multiLevelType w:val="multilevel"/>
    <w:tmpl w:val="6CEA2025"/>
    <w:lvl w:ilvl="0" w:tentative="0">
      <w:start w:val="1"/>
      <w:numFmt w:val="none"/>
      <w:pStyle w:val="66"/>
      <w:suff w:val="nothing"/>
      <w:lvlText w:val="%1"/>
      <w:lvlJc w:val="left"/>
      <w:pPr>
        <w:ind w:left="0" w:firstLine="0"/>
      </w:pPr>
      <w:rPr>
        <w:rFonts w:hint="eastAsia"/>
      </w:rPr>
    </w:lvl>
    <w:lvl w:ilvl="1" w:tentative="0">
      <w:start w:val="1"/>
      <w:numFmt w:val="decimal"/>
      <w:pStyle w:val="64"/>
      <w:suff w:val="nothing"/>
      <w:lvlText w:val="%1%2　"/>
      <w:lvlJc w:val="left"/>
      <w:pPr>
        <w:ind w:left="0" w:firstLine="0"/>
      </w:pPr>
      <w:rPr>
        <w:rFonts w:hint="eastAsia" w:ascii="黑体" w:eastAsia="黑体"/>
        <w:b w:val="0"/>
        <w:i w:val="0"/>
        <w:sz w:val="21"/>
      </w:rPr>
    </w:lvl>
    <w:lvl w:ilvl="2" w:tentative="0">
      <w:start w:val="1"/>
      <w:numFmt w:val="decimal"/>
      <w:pStyle w:val="65"/>
      <w:suff w:val="nothing"/>
      <w:lvlText w:val="%1%2.%3　"/>
      <w:lvlJc w:val="left"/>
      <w:pPr>
        <w:ind w:left="0" w:firstLine="0"/>
      </w:pPr>
      <w:rPr>
        <w:rFonts w:hint="eastAsia" w:ascii="黑体" w:hAnsi="Times New Roman" w:eastAsia="黑体" w:cs="Times New Roman"/>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60"/>
      <w:suff w:val="nothing"/>
      <w:lvlText w:val="%1%2.%3.%4　"/>
      <w:lvlJc w:val="left"/>
      <w:pPr>
        <w:ind w:left="0" w:firstLine="0"/>
      </w:pPr>
      <w:rPr>
        <w:rFonts w:hint="eastAsia" w:ascii="黑体" w:eastAsia="黑体"/>
        <w:b w:val="0"/>
        <w:i w:val="0"/>
        <w:sz w:val="21"/>
      </w:rPr>
    </w:lvl>
    <w:lvl w:ilvl="4" w:tentative="0">
      <w:start w:val="1"/>
      <w:numFmt w:val="decimal"/>
      <w:pStyle w:val="61"/>
      <w:suff w:val="nothing"/>
      <w:lvlText w:val="%1%2.%3.%4.%5　"/>
      <w:lvlJc w:val="left"/>
      <w:pPr>
        <w:ind w:left="0" w:firstLine="0"/>
      </w:pPr>
      <w:rPr>
        <w:rFonts w:hint="eastAsia" w:ascii="黑体" w:eastAsia="黑体"/>
        <w:b w:val="0"/>
        <w:i w:val="0"/>
        <w:sz w:val="21"/>
      </w:rPr>
    </w:lvl>
    <w:lvl w:ilvl="5" w:tentative="0">
      <w:start w:val="1"/>
      <w:numFmt w:val="decimal"/>
      <w:pStyle w:val="62"/>
      <w:suff w:val="nothing"/>
      <w:lvlText w:val="%1%2.%3.%4.%5.%6　"/>
      <w:lvlJc w:val="left"/>
      <w:pPr>
        <w:ind w:left="0" w:firstLine="0"/>
      </w:pPr>
      <w:rPr>
        <w:rFonts w:hint="eastAsia" w:ascii="黑体" w:eastAsia="黑体"/>
        <w:b w:val="0"/>
        <w:i w:val="0"/>
        <w:sz w:val="21"/>
      </w:rPr>
    </w:lvl>
    <w:lvl w:ilvl="6" w:tentative="0">
      <w:start w:val="1"/>
      <w:numFmt w:val="decimal"/>
      <w:pStyle w:val="63"/>
      <w:suff w:val="nothing"/>
      <w:lvlText w:val="%1%2.%3.%4.%5.%6.%7　"/>
      <w:lvlJc w:val="left"/>
      <w:pPr>
        <w:ind w:left="0" w:firstLine="0"/>
      </w:pPr>
      <w:rPr>
        <w:rFonts w:hint="eastAsia" w:asci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TrueTypeFonts/>
  <w:saveSubsetFonts/>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QxODJjNzQxYTFkNTQ0MDc5OWEwNzVmY2JhOTlhYzcifQ=="/>
  </w:docVars>
  <w:rsids>
    <w:rsidRoot w:val="00C82D9E"/>
    <w:rsid w:val="00002797"/>
    <w:rsid w:val="00003D2B"/>
    <w:rsid w:val="00006124"/>
    <w:rsid w:val="00006DCC"/>
    <w:rsid w:val="000118F1"/>
    <w:rsid w:val="000130CC"/>
    <w:rsid w:val="00015E0E"/>
    <w:rsid w:val="000160DD"/>
    <w:rsid w:val="00016F1C"/>
    <w:rsid w:val="00021293"/>
    <w:rsid w:val="00022330"/>
    <w:rsid w:val="00022369"/>
    <w:rsid w:val="000228FB"/>
    <w:rsid w:val="00023B44"/>
    <w:rsid w:val="00024725"/>
    <w:rsid w:val="00026A3C"/>
    <w:rsid w:val="00027AF1"/>
    <w:rsid w:val="00032046"/>
    <w:rsid w:val="000336B4"/>
    <w:rsid w:val="00035AAF"/>
    <w:rsid w:val="00037FC6"/>
    <w:rsid w:val="00040A4F"/>
    <w:rsid w:val="000410B6"/>
    <w:rsid w:val="000418B2"/>
    <w:rsid w:val="00045C4F"/>
    <w:rsid w:val="00045D86"/>
    <w:rsid w:val="00046941"/>
    <w:rsid w:val="00046DF0"/>
    <w:rsid w:val="000471BD"/>
    <w:rsid w:val="000531D4"/>
    <w:rsid w:val="00056E5D"/>
    <w:rsid w:val="00061079"/>
    <w:rsid w:val="00062382"/>
    <w:rsid w:val="00065004"/>
    <w:rsid w:val="000673F6"/>
    <w:rsid w:val="000673FF"/>
    <w:rsid w:val="00067E49"/>
    <w:rsid w:val="00070D2F"/>
    <w:rsid w:val="000719D1"/>
    <w:rsid w:val="00071E57"/>
    <w:rsid w:val="00074D48"/>
    <w:rsid w:val="00077855"/>
    <w:rsid w:val="000836F2"/>
    <w:rsid w:val="00084350"/>
    <w:rsid w:val="00084578"/>
    <w:rsid w:val="000868C6"/>
    <w:rsid w:val="00086E0F"/>
    <w:rsid w:val="00087B89"/>
    <w:rsid w:val="00090224"/>
    <w:rsid w:val="00093695"/>
    <w:rsid w:val="00097D91"/>
    <w:rsid w:val="000A26FF"/>
    <w:rsid w:val="000A48D0"/>
    <w:rsid w:val="000A533A"/>
    <w:rsid w:val="000A73BA"/>
    <w:rsid w:val="000A7C54"/>
    <w:rsid w:val="000B08AF"/>
    <w:rsid w:val="000B37F8"/>
    <w:rsid w:val="000B3914"/>
    <w:rsid w:val="000B436E"/>
    <w:rsid w:val="000B61B5"/>
    <w:rsid w:val="000B6A9F"/>
    <w:rsid w:val="000C096E"/>
    <w:rsid w:val="000C2A1F"/>
    <w:rsid w:val="000C4EC8"/>
    <w:rsid w:val="000C54B7"/>
    <w:rsid w:val="000C72ED"/>
    <w:rsid w:val="000D1503"/>
    <w:rsid w:val="000D28AA"/>
    <w:rsid w:val="000D5A32"/>
    <w:rsid w:val="000D6D9B"/>
    <w:rsid w:val="000D7BF2"/>
    <w:rsid w:val="000E0E2E"/>
    <w:rsid w:val="000E3677"/>
    <w:rsid w:val="000E3CAC"/>
    <w:rsid w:val="000E6408"/>
    <w:rsid w:val="000E7999"/>
    <w:rsid w:val="000E7DC9"/>
    <w:rsid w:val="000F0B91"/>
    <w:rsid w:val="000F16E4"/>
    <w:rsid w:val="000F4AE3"/>
    <w:rsid w:val="000F5B55"/>
    <w:rsid w:val="000F6B58"/>
    <w:rsid w:val="00102C79"/>
    <w:rsid w:val="00103895"/>
    <w:rsid w:val="001051D8"/>
    <w:rsid w:val="00106669"/>
    <w:rsid w:val="00107ADB"/>
    <w:rsid w:val="00107E0F"/>
    <w:rsid w:val="00110CC9"/>
    <w:rsid w:val="0011114A"/>
    <w:rsid w:val="001122AA"/>
    <w:rsid w:val="00113D68"/>
    <w:rsid w:val="00115531"/>
    <w:rsid w:val="001156C5"/>
    <w:rsid w:val="0011749D"/>
    <w:rsid w:val="00117B0B"/>
    <w:rsid w:val="00125E2D"/>
    <w:rsid w:val="00125E81"/>
    <w:rsid w:val="00127C6D"/>
    <w:rsid w:val="0013322C"/>
    <w:rsid w:val="001332F4"/>
    <w:rsid w:val="00133AC0"/>
    <w:rsid w:val="001376DD"/>
    <w:rsid w:val="00137C2E"/>
    <w:rsid w:val="0014126C"/>
    <w:rsid w:val="00141858"/>
    <w:rsid w:val="001423CD"/>
    <w:rsid w:val="00142DE5"/>
    <w:rsid w:val="001444E0"/>
    <w:rsid w:val="00144A12"/>
    <w:rsid w:val="001469F5"/>
    <w:rsid w:val="00150EF8"/>
    <w:rsid w:val="00151C35"/>
    <w:rsid w:val="00152E6C"/>
    <w:rsid w:val="0015406E"/>
    <w:rsid w:val="001555E2"/>
    <w:rsid w:val="00155E47"/>
    <w:rsid w:val="00157512"/>
    <w:rsid w:val="0016050B"/>
    <w:rsid w:val="00162DA3"/>
    <w:rsid w:val="00165107"/>
    <w:rsid w:val="00165E1F"/>
    <w:rsid w:val="00166ECD"/>
    <w:rsid w:val="001702ED"/>
    <w:rsid w:val="00170ECC"/>
    <w:rsid w:val="00173F84"/>
    <w:rsid w:val="00174123"/>
    <w:rsid w:val="00177375"/>
    <w:rsid w:val="00191133"/>
    <w:rsid w:val="00191282"/>
    <w:rsid w:val="00192951"/>
    <w:rsid w:val="00192B08"/>
    <w:rsid w:val="00194598"/>
    <w:rsid w:val="00195CC7"/>
    <w:rsid w:val="001A1AFC"/>
    <w:rsid w:val="001A4102"/>
    <w:rsid w:val="001A540C"/>
    <w:rsid w:val="001A58E9"/>
    <w:rsid w:val="001A595C"/>
    <w:rsid w:val="001A6A65"/>
    <w:rsid w:val="001A7D6E"/>
    <w:rsid w:val="001B21B4"/>
    <w:rsid w:val="001B234E"/>
    <w:rsid w:val="001B24A8"/>
    <w:rsid w:val="001B3017"/>
    <w:rsid w:val="001B4E59"/>
    <w:rsid w:val="001B6053"/>
    <w:rsid w:val="001B63BC"/>
    <w:rsid w:val="001B76AD"/>
    <w:rsid w:val="001B7AC3"/>
    <w:rsid w:val="001C1870"/>
    <w:rsid w:val="001C2F58"/>
    <w:rsid w:val="001C4EB0"/>
    <w:rsid w:val="001C6AA5"/>
    <w:rsid w:val="001D1194"/>
    <w:rsid w:val="001D285D"/>
    <w:rsid w:val="001D58D7"/>
    <w:rsid w:val="001D69BC"/>
    <w:rsid w:val="001D704E"/>
    <w:rsid w:val="001E05A4"/>
    <w:rsid w:val="001E2C7D"/>
    <w:rsid w:val="001E3260"/>
    <w:rsid w:val="001E4FE7"/>
    <w:rsid w:val="001E7CCE"/>
    <w:rsid w:val="001F0478"/>
    <w:rsid w:val="001F361E"/>
    <w:rsid w:val="001F7E77"/>
    <w:rsid w:val="00200273"/>
    <w:rsid w:val="0020547B"/>
    <w:rsid w:val="00207821"/>
    <w:rsid w:val="00210E1F"/>
    <w:rsid w:val="00211776"/>
    <w:rsid w:val="00217F81"/>
    <w:rsid w:val="002207BC"/>
    <w:rsid w:val="0022170D"/>
    <w:rsid w:val="0022564A"/>
    <w:rsid w:val="00225AE2"/>
    <w:rsid w:val="00226AA9"/>
    <w:rsid w:val="0022792F"/>
    <w:rsid w:val="00234D3F"/>
    <w:rsid w:val="00235E16"/>
    <w:rsid w:val="002426B9"/>
    <w:rsid w:val="00243004"/>
    <w:rsid w:val="0024304A"/>
    <w:rsid w:val="00244E00"/>
    <w:rsid w:val="00245648"/>
    <w:rsid w:val="00247952"/>
    <w:rsid w:val="002533E4"/>
    <w:rsid w:val="0025487C"/>
    <w:rsid w:val="0025785C"/>
    <w:rsid w:val="00260D48"/>
    <w:rsid w:val="0026212E"/>
    <w:rsid w:val="002625CA"/>
    <w:rsid w:val="00264BBF"/>
    <w:rsid w:val="00267922"/>
    <w:rsid w:val="00267C0F"/>
    <w:rsid w:val="00270A74"/>
    <w:rsid w:val="00272C95"/>
    <w:rsid w:val="002755CA"/>
    <w:rsid w:val="002761AA"/>
    <w:rsid w:val="002766A5"/>
    <w:rsid w:val="002768DE"/>
    <w:rsid w:val="00276D1D"/>
    <w:rsid w:val="00276F28"/>
    <w:rsid w:val="0029243D"/>
    <w:rsid w:val="0029291B"/>
    <w:rsid w:val="00292F7F"/>
    <w:rsid w:val="00297087"/>
    <w:rsid w:val="002A085A"/>
    <w:rsid w:val="002A0F88"/>
    <w:rsid w:val="002A13A8"/>
    <w:rsid w:val="002A17C8"/>
    <w:rsid w:val="002A28B9"/>
    <w:rsid w:val="002A467B"/>
    <w:rsid w:val="002A674C"/>
    <w:rsid w:val="002A68CD"/>
    <w:rsid w:val="002B0D9C"/>
    <w:rsid w:val="002B29D6"/>
    <w:rsid w:val="002C1878"/>
    <w:rsid w:val="002C421B"/>
    <w:rsid w:val="002C435F"/>
    <w:rsid w:val="002C471E"/>
    <w:rsid w:val="002C48C2"/>
    <w:rsid w:val="002C49CA"/>
    <w:rsid w:val="002C6A32"/>
    <w:rsid w:val="002C6EB7"/>
    <w:rsid w:val="002D0C49"/>
    <w:rsid w:val="002D1F25"/>
    <w:rsid w:val="002D3198"/>
    <w:rsid w:val="002D3F0D"/>
    <w:rsid w:val="002D6D84"/>
    <w:rsid w:val="002D7928"/>
    <w:rsid w:val="002E065B"/>
    <w:rsid w:val="002E0DCC"/>
    <w:rsid w:val="002E3A98"/>
    <w:rsid w:val="002E54B5"/>
    <w:rsid w:val="002E665B"/>
    <w:rsid w:val="002F06E7"/>
    <w:rsid w:val="002F0751"/>
    <w:rsid w:val="002F1D4C"/>
    <w:rsid w:val="002F27FB"/>
    <w:rsid w:val="002F3877"/>
    <w:rsid w:val="002F4197"/>
    <w:rsid w:val="0030141A"/>
    <w:rsid w:val="003018C9"/>
    <w:rsid w:val="00301BD6"/>
    <w:rsid w:val="003036B3"/>
    <w:rsid w:val="00304658"/>
    <w:rsid w:val="00306334"/>
    <w:rsid w:val="00307D81"/>
    <w:rsid w:val="0031000A"/>
    <w:rsid w:val="00311052"/>
    <w:rsid w:val="00311148"/>
    <w:rsid w:val="003112F8"/>
    <w:rsid w:val="003113A8"/>
    <w:rsid w:val="00311E45"/>
    <w:rsid w:val="003212CA"/>
    <w:rsid w:val="00325519"/>
    <w:rsid w:val="003263B3"/>
    <w:rsid w:val="00326934"/>
    <w:rsid w:val="003276D0"/>
    <w:rsid w:val="003312FF"/>
    <w:rsid w:val="003331A4"/>
    <w:rsid w:val="0033415C"/>
    <w:rsid w:val="003344EE"/>
    <w:rsid w:val="00334B62"/>
    <w:rsid w:val="0033645D"/>
    <w:rsid w:val="003372CC"/>
    <w:rsid w:val="003417F2"/>
    <w:rsid w:val="003436AD"/>
    <w:rsid w:val="0034639D"/>
    <w:rsid w:val="003463D6"/>
    <w:rsid w:val="00347043"/>
    <w:rsid w:val="00347984"/>
    <w:rsid w:val="00347B13"/>
    <w:rsid w:val="003528BF"/>
    <w:rsid w:val="00352AF3"/>
    <w:rsid w:val="003611B7"/>
    <w:rsid w:val="0036285C"/>
    <w:rsid w:val="00362FEC"/>
    <w:rsid w:val="00364704"/>
    <w:rsid w:val="00364945"/>
    <w:rsid w:val="0036690B"/>
    <w:rsid w:val="0037325E"/>
    <w:rsid w:val="00373671"/>
    <w:rsid w:val="00373752"/>
    <w:rsid w:val="00373B26"/>
    <w:rsid w:val="003762BE"/>
    <w:rsid w:val="00376526"/>
    <w:rsid w:val="003775CC"/>
    <w:rsid w:val="0038040F"/>
    <w:rsid w:val="00380F51"/>
    <w:rsid w:val="00381268"/>
    <w:rsid w:val="00381ADE"/>
    <w:rsid w:val="00383A44"/>
    <w:rsid w:val="003860CA"/>
    <w:rsid w:val="00386D33"/>
    <w:rsid w:val="0038794F"/>
    <w:rsid w:val="003908F8"/>
    <w:rsid w:val="00391622"/>
    <w:rsid w:val="0039232A"/>
    <w:rsid w:val="00392A25"/>
    <w:rsid w:val="00392AC1"/>
    <w:rsid w:val="00392B79"/>
    <w:rsid w:val="00393247"/>
    <w:rsid w:val="0039383D"/>
    <w:rsid w:val="00394608"/>
    <w:rsid w:val="00397015"/>
    <w:rsid w:val="00397644"/>
    <w:rsid w:val="003A19EC"/>
    <w:rsid w:val="003A2DDC"/>
    <w:rsid w:val="003A5076"/>
    <w:rsid w:val="003A6612"/>
    <w:rsid w:val="003A75FA"/>
    <w:rsid w:val="003B0AD2"/>
    <w:rsid w:val="003B3EE6"/>
    <w:rsid w:val="003B64F1"/>
    <w:rsid w:val="003C086F"/>
    <w:rsid w:val="003C3241"/>
    <w:rsid w:val="003C4D62"/>
    <w:rsid w:val="003C5319"/>
    <w:rsid w:val="003C5389"/>
    <w:rsid w:val="003C5686"/>
    <w:rsid w:val="003C6CE0"/>
    <w:rsid w:val="003C7172"/>
    <w:rsid w:val="003D0EB6"/>
    <w:rsid w:val="003D134E"/>
    <w:rsid w:val="003D3B7B"/>
    <w:rsid w:val="003E1A17"/>
    <w:rsid w:val="003E7F18"/>
    <w:rsid w:val="003F127F"/>
    <w:rsid w:val="003F1B7B"/>
    <w:rsid w:val="003F2418"/>
    <w:rsid w:val="003F2D66"/>
    <w:rsid w:val="003F3551"/>
    <w:rsid w:val="003F4030"/>
    <w:rsid w:val="003F4455"/>
    <w:rsid w:val="003F4627"/>
    <w:rsid w:val="003F6569"/>
    <w:rsid w:val="003F6B34"/>
    <w:rsid w:val="0040067C"/>
    <w:rsid w:val="004007CB"/>
    <w:rsid w:val="00401793"/>
    <w:rsid w:val="00405B9E"/>
    <w:rsid w:val="00411F67"/>
    <w:rsid w:val="004137A0"/>
    <w:rsid w:val="00414E30"/>
    <w:rsid w:val="00416155"/>
    <w:rsid w:val="00417860"/>
    <w:rsid w:val="00421A6C"/>
    <w:rsid w:val="00423795"/>
    <w:rsid w:val="00423BA4"/>
    <w:rsid w:val="00423D3D"/>
    <w:rsid w:val="00424A51"/>
    <w:rsid w:val="00431C23"/>
    <w:rsid w:val="004347D0"/>
    <w:rsid w:val="00434ACD"/>
    <w:rsid w:val="00436324"/>
    <w:rsid w:val="004371D2"/>
    <w:rsid w:val="004411B5"/>
    <w:rsid w:val="00441D86"/>
    <w:rsid w:val="00442756"/>
    <w:rsid w:val="004452AE"/>
    <w:rsid w:val="00446F5F"/>
    <w:rsid w:val="00447F83"/>
    <w:rsid w:val="00450834"/>
    <w:rsid w:val="00452213"/>
    <w:rsid w:val="0045346C"/>
    <w:rsid w:val="00453607"/>
    <w:rsid w:val="00453E77"/>
    <w:rsid w:val="004541BD"/>
    <w:rsid w:val="004571E9"/>
    <w:rsid w:val="0046465A"/>
    <w:rsid w:val="0046548E"/>
    <w:rsid w:val="00465BCF"/>
    <w:rsid w:val="00466D14"/>
    <w:rsid w:val="00471708"/>
    <w:rsid w:val="0047454A"/>
    <w:rsid w:val="0047575C"/>
    <w:rsid w:val="00481B68"/>
    <w:rsid w:val="00482010"/>
    <w:rsid w:val="0048772E"/>
    <w:rsid w:val="00487EB2"/>
    <w:rsid w:val="00495914"/>
    <w:rsid w:val="00497DD4"/>
    <w:rsid w:val="004A01B6"/>
    <w:rsid w:val="004A51DB"/>
    <w:rsid w:val="004A53E6"/>
    <w:rsid w:val="004A69E5"/>
    <w:rsid w:val="004A7C72"/>
    <w:rsid w:val="004B12D1"/>
    <w:rsid w:val="004B1C66"/>
    <w:rsid w:val="004B3C35"/>
    <w:rsid w:val="004B3EBB"/>
    <w:rsid w:val="004B70AD"/>
    <w:rsid w:val="004C558D"/>
    <w:rsid w:val="004C5FAF"/>
    <w:rsid w:val="004C6DFB"/>
    <w:rsid w:val="004C7A26"/>
    <w:rsid w:val="004D0E7E"/>
    <w:rsid w:val="004D1A69"/>
    <w:rsid w:val="004D624F"/>
    <w:rsid w:val="004E1697"/>
    <w:rsid w:val="004E7589"/>
    <w:rsid w:val="004E7C1C"/>
    <w:rsid w:val="004E7DF1"/>
    <w:rsid w:val="004F03B5"/>
    <w:rsid w:val="004F1E92"/>
    <w:rsid w:val="004F3386"/>
    <w:rsid w:val="004F3943"/>
    <w:rsid w:val="004F57D9"/>
    <w:rsid w:val="004F684F"/>
    <w:rsid w:val="004F70BC"/>
    <w:rsid w:val="004F7A7A"/>
    <w:rsid w:val="005061B0"/>
    <w:rsid w:val="00507514"/>
    <w:rsid w:val="00510715"/>
    <w:rsid w:val="00510E5D"/>
    <w:rsid w:val="005122F7"/>
    <w:rsid w:val="00516D19"/>
    <w:rsid w:val="0052150A"/>
    <w:rsid w:val="0052313E"/>
    <w:rsid w:val="005235BB"/>
    <w:rsid w:val="00525DCD"/>
    <w:rsid w:val="00525FDD"/>
    <w:rsid w:val="00527F6F"/>
    <w:rsid w:val="00532770"/>
    <w:rsid w:val="0053400A"/>
    <w:rsid w:val="00535C2D"/>
    <w:rsid w:val="00540EE2"/>
    <w:rsid w:val="00541A75"/>
    <w:rsid w:val="005467AA"/>
    <w:rsid w:val="00550B98"/>
    <w:rsid w:val="005529EB"/>
    <w:rsid w:val="0055358F"/>
    <w:rsid w:val="0055534E"/>
    <w:rsid w:val="00560688"/>
    <w:rsid w:val="00561616"/>
    <w:rsid w:val="005631E7"/>
    <w:rsid w:val="00566C83"/>
    <w:rsid w:val="00567A2B"/>
    <w:rsid w:val="0057561C"/>
    <w:rsid w:val="00576DEB"/>
    <w:rsid w:val="00580ED3"/>
    <w:rsid w:val="00580EDA"/>
    <w:rsid w:val="00583C8A"/>
    <w:rsid w:val="00583DA4"/>
    <w:rsid w:val="0058515C"/>
    <w:rsid w:val="005870DA"/>
    <w:rsid w:val="00591A9B"/>
    <w:rsid w:val="00592E95"/>
    <w:rsid w:val="00594854"/>
    <w:rsid w:val="00594B57"/>
    <w:rsid w:val="00596D8A"/>
    <w:rsid w:val="005A004F"/>
    <w:rsid w:val="005A10A7"/>
    <w:rsid w:val="005A1B57"/>
    <w:rsid w:val="005A1DEB"/>
    <w:rsid w:val="005A203C"/>
    <w:rsid w:val="005A259D"/>
    <w:rsid w:val="005A365B"/>
    <w:rsid w:val="005A48C0"/>
    <w:rsid w:val="005A694A"/>
    <w:rsid w:val="005B0848"/>
    <w:rsid w:val="005B2A7D"/>
    <w:rsid w:val="005B5372"/>
    <w:rsid w:val="005B56CB"/>
    <w:rsid w:val="005B60DC"/>
    <w:rsid w:val="005C0D2D"/>
    <w:rsid w:val="005C0F0A"/>
    <w:rsid w:val="005C19F6"/>
    <w:rsid w:val="005C1DF4"/>
    <w:rsid w:val="005C24CC"/>
    <w:rsid w:val="005D0EAD"/>
    <w:rsid w:val="005D2CE4"/>
    <w:rsid w:val="005D4812"/>
    <w:rsid w:val="005D5396"/>
    <w:rsid w:val="005D5E32"/>
    <w:rsid w:val="005E2D73"/>
    <w:rsid w:val="005E598C"/>
    <w:rsid w:val="005F1014"/>
    <w:rsid w:val="005F23F1"/>
    <w:rsid w:val="005F2AD0"/>
    <w:rsid w:val="005F3B0C"/>
    <w:rsid w:val="005F55AF"/>
    <w:rsid w:val="005F6691"/>
    <w:rsid w:val="006001C8"/>
    <w:rsid w:val="00603209"/>
    <w:rsid w:val="0060496D"/>
    <w:rsid w:val="00605C55"/>
    <w:rsid w:val="00606E68"/>
    <w:rsid w:val="00607D7E"/>
    <w:rsid w:val="00611AF5"/>
    <w:rsid w:val="00611D09"/>
    <w:rsid w:val="00614605"/>
    <w:rsid w:val="00615453"/>
    <w:rsid w:val="00622747"/>
    <w:rsid w:val="00623404"/>
    <w:rsid w:val="00625345"/>
    <w:rsid w:val="00626D68"/>
    <w:rsid w:val="006274F1"/>
    <w:rsid w:val="00627928"/>
    <w:rsid w:val="00627F4C"/>
    <w:rsid w:val="00630AAE"/>
    <w:rsid w:val="00631DCB"/>
    <w:rsid w:val="006352B4"/>
    <w:rsid w:val="0064043B"/>
    <w:rsid w:val="006416E8"/>
    <w:rsid w:val="00642F95"/>
    <w:rsid w:val="0064480C"/>
    <w:rsid w:val="00644C28"/>
    <w:rsid w:val="00645FA5"/>
    <w:rsid w:val="006471F9"/>
    <w:rsid w:val="006500F7"/>
    <w:rsid w:val="006502CE"/>
    <w:rsid w:val="006513C0"/>
    <w:rsid w:val="0065240B"/>
    <w:rsid w:val="006529AF"/>
    <w:rsid w:val="00652DF9"/>
    <w:rsid w:val="00652EF8"/>
    <w:rsid w:val="00653C2A"/>
    <w:rsid w:val="00657377"/>
    <w:rsid w:val="006573B9"/>
    <w:rsid w:val="00657AF3"/>
    <w:rsid w:val="0066237D"/>
    <w:rsid w:val="00663AA3"/>
    <w:rsid w:val="00664F7A"/>
    <w:rsid w:val="006656A8"/>
    <w:rsid w:val="00666437"/>
    <w:rsid w:val="006705E2"/>
    <w:rsid w:val="006718F0"/>
    <w:rsid w:val="00673C1A"/>
    <w:rsid w:val="00677A62"/>
    <w:rsid w:val="00680343"/>
    <w:rsid w:val="00683009"/>
    <w:rsid w:val="00685ED8"/>
    <w:rsid w:val="006923C6"/>
    <w:rsid w:val="006962AC"/>
    <w:rsid w:val="00697E3B"/>
    <w:rsid w:val="006A002C"/>
    <w:rsid w:val="006A277C"/>
    <w:rsid w:val="006A3D7C"/>
    <w:rsid w:val="006A546E"/>
    <w:rsid w:val="006A629F"/>
    <w:rsid w:val="006A70D9"/>
    <w:rsid w:val="006A71A4"/>
    <w:rsid w:val="006B3368"/>
    <w:rsid w:val="006B5D87"/>
    <w:rsid w:val="006B7360"/>
    <w:rsid w:val="006C1987"/>
    <w:rsid w:val="006C4880"/>
    <w:rsid w:val="006C5B0A"/>
    <w:rsid w:val="006C5CE7"/>
    <w:rsid w:val="006C6FB3"/>
    <w:rsid w:val="006C6FE3"/>
    <w:rsid w:val="006D0390"/>
    <w:rsid w:val="006D1898"/>
    <w:rsid w:val="006D4533"/>
    <w:rsid w:val="006D5514"/>
    <w:rsid w:val="006D61D6"/>
    <w:rsid w:val="006D7276"/>
    <w:rsid w:val="006E1C5F"/>
    <w:rsid w:val="006E3CF6"/>
    <w:rsid w:val="006E517D"/>
    <w:rsid w:val="006E7A79"/>
    <w:rsid w:val="006F3E3B"/>
    <w:rsid w:val="006F47F0"/>
    <w:rsid w:val="007016E5"/>
    <w:rsid w:val="0070332C"/>
    <w:rsid w:val="007047A7"/>
    <w:rsid w:val="00704EE6"/>
    <w:rsid w:val="00705709"/>
    <w:rsid w:val="00705D59"/>
    <w:rsid w:val="0070727F"/>
    <w:rsid w:val="007116DE"/>
    <w:rsid w:val="007119F0"/>
    <w:rsid w:val="00716DCC"/>
    <w:rsid w:val="0071785F"/>
    <w:rsid w:val="00723D86"/>
    <w:rsid w:val="00724247"/>
    <w:rsid w:val="0072444B"/>
    <w:rsid w:val="00726314"/>
    <w:rsid w:val="00726C1F"/>
    <w:rsid w:val="007308A6"/>
    <w:rsid w:val="00730C37"/>
    <w:rsid w:val="007311D6"/>
    <w:rsid w:val="007333DD"/>
    <w:rsid w:val="0073595A"/>
    <w:rsid w:val="00737800"/>
    <w:rsid w:val="00740BFC"/>
    <w:rsid w:val="00740CC2"/>
    <w:rsid w:val="007418DD"/>
    <w:rsid w:val="00741E6D"/>
    <w:rsid w:val="00742A52"/>
    <w:rsid w:val="0074445C"/>
    <w:rsid w:val="00744F08"/>
    <w:rsid w:val="0074685E"/>
    <w:rsid w:val="0074687D"/>
    <w:rsid w:val="00751350"/>
    <w:rsid w:val="0075538E"/>
    <w:rsid w:val="00757865"/>
    <w:rsid w:val="00764B6D"/>
    <w:rsid w:val="00765391"/>
    <w:rsid w:val="00767312"/>
    <w:rsid w:val="007713E7"/>
    <w:rsid w:val="007729BB"/>
    <w:rsid w:val="00776931"/>
    <w:rsid w:val="00777F9C"/>
    <w:rsid w:val="00781F4C"/>
    <w:rsid w:val="00782174"/>
    <w:rsid w:val="00782199"/>
    <w:rsid w:val="00783A56"/>
    <w:rsid w:val="0078480E"/>
    <w:rsid w:val="00792830"/>
    <w:rsid w:val="00792851"/>
    <w:rsid w:val="007942CF"/>
    <w:rsid w:val="00794998"/>
    <w:rsid w:val="00795D85"/>
    <w:rsid w:val="00795EE7"/>
    <w:rsid w:val="00796DD1"/>
    <w:rsid w:val="0079785A"/>
    <w:rsid w:val="007A0104"/>
    <w:rsid w:val="007A0370"/>
    <w:rsid w:val="007A24FC"/>
    <w:rsid w:val="007A3A77"/>
    <w:rsid w:val="007A6E32"/>
    <w:rsid w:val="007B02B4"/>
    <w:rsid w:val="007B0E4A"/>
    <w:rsid w:val="007B758F"/>
    <w:rsid w:val="007C0E77"/>
    <w:rsid w:val="007C3C3C"/>
    <w:rsid w:val="007C510A"/>
    <w:rsid w:val="007C5307"/>
    <w:rsid w:val="007C5907"/>
    <w:rsid w:val="007C7847"/>
    <w:rsid w:val="007D181A"/>
    <w:rsid w:val="007D275C"/>
    <w:rsid w:val="007D3407"/>
    <w:rsid w:val="007D4FFC"/>
    <w:rsid w:val="007D5D42"/>
    <w:rsid w:val="007D7D25"/>
    <w:rsid w:val="007E017F"/>
    <w:rsid w:val="007E0330"/>
    <w:rsid w:val="007E076C"/>
    <w:rsid w:val="007E23DE"/>
    <w:rsid w:val="007F24F8"/>
    <w:rsid w:val="007F2F36"/>
    <w:rsid w:val="007F4A4E"/>
    <w:rsid w:val="007F4EB7"/>
    <w:rsid w:val="007F5A4A"/>
    <w:rsid w:val="007F7B66"/>
    <w:rsid w:val="008020B9"/>
    <w:rsid w:val="008033E7"/>
    <w:rsid w:val="00803463"/>
    <w:rsid w:val="008037A2"/>
    <w:rsid w:val="00804049"/>
    <w:rsid w:val="00806E81"/>
    <w:rsid w:val="00810F99"/>
    <w:rsid w:val="00811AE6"/>
    <w:rsid w:val="00812316"/>
    <w:rsid w:val="00812CF2"/>
    <w:rsid w:val="00813156"/>
    <w:rsid w:val="008171C7"/>
    <w:rsid w:val="00817BA4"/>
    <w:rsid w:val="008221A7"/>
    <w:rsid w:val="00822E26"/>
    <w:rsid w:val="00826BAB"/>
    <w:rsid w:val="00827DD0"/>
    <w:rsid w:val="008302B9"/>
    <w:rsid w:val="0083082E"/>
    <w:rsid w:val="00830D02"/>
    <w:rsid w:val="00832DE0"/>
    <w:rsid w:val="00835041"/>
    <w:rsid w:val="00836A74"/>
    <w:rsid w:val="008413E2"/>
    <w:rsid w:val="008427F4"/>
    <w:rsid w:val="00842E52"/>
    <w:rsid w:val="0084303A"/>
    <w:rsid w:val="00845AAE"/>
    <w:rsid w:val="00846A72"/>
    <w:rsid w:val="00850540"/>
    <w:rsid w:val="00850EE1"/>
    <w:rsid w:val="00851DAA"/>
    <w:rsid w:val="0085259D"/>
    <w:rsid w:val="00853CD8"/>
    <w:rsid w:val="008577A9"/>
    <w:rsid w:val="008608EE"/>
    <w:rsid w:val="008635DE"/>
    <w:rsid w:val="00864826"/>
    <w:rsid w:val="008655A8"/>
    <w:rsid w:val="0086793A"/>
    <w:rsid w:val="0087247A"/>
    <w:rsid w:val="0087304B"/>
    <w:rsid w:val="00873417"/>
    <w:rsid w:val="0087496D"/>
    <w:rsid w:val="008753D8"/>
    <w:rsid w:val="008831AF"/>
    <w:rsid w:val="0088598A"/>
    <w:rsid w:val="00886F9B"/>
    <w:rsid w:val="0088736E"/>
    <w:rsid w:val="00890157"/>
    <w:rsid w:val="00890C41"/>
    <w:rsid w:val="00891DB6"/>
    <w:rsid w:val="00893321"/>
    <w:rsid w:val="0089396B"/>
    <w:rsid w:val="008956E7"/>
    <w:rsid w:val="00895DE6"/>
    <w:rsid w:val="00897DA0"/>
    <w:rsid w:val="008A0A79"/>
    <w:rsid w:val="008A13C5"/>
    <w:rsid w:val="008A15FA"/>
    <w:rsid w:val="008A215F"/>
    <w:rsid w:val="008B00C3"/>
    <w:rsid w:val="008B05AB"/>
    <w:rsid w:val="008B06BC"/>
    <w:rsid w:val="008B168F"/>
    <w:rsid w:val="008B2165"/>
    <w:rsid w:val="008B2FFC"/>
    <w:rsid w:val="008B3998"/>
    <w:rsid w:val="008B3B98"/>
    <w:rsid w:val="008B41CA"/>
    <w:rsid w:val="008B4F9B"/>
    <w:rsid w:val="008B683C"/>
    <w:rsid w:val="008B699E"/>
    <w:rsid w:val="008B7A52"/>
    <w:rsid w:val="008C0A8C"/>
    <w:rsid w:val="008C11F9"/>
    <w:rsid w:val="008C28C7"/>
    <w:rsid w:val="008C3682"/>
    <w:rsid w:val="008C3908"/>
    <w:rsid w:val="008D1C44"/>
    <w:rsid w:val="008D3223"/>
    <w:rsid w:val="008D414A"/>
    <w:rsid w:val="008D5295"/>
    <w:rsid w:val="008D57FA"/>
    <w:rsid w:val="008D7CAE"/>
    <w:rsid w:val="008E09F7"/>
    <w:rsid w:val="008E2308"/>
    <w:rsid w:val="008E7A9B"/>
    <w:rsid w:val="008F313D"/>
    <w:rsid w:val="008F38F8"/>
    <w:rsid w:val="008F65D8"/>
    <w:rsid w:val="008F6DB1"/>
    <w:rsid w:val="008F6F00"/>
    <w:rsid w:val="00900656"/>
    <w:rsid w:val="0090538D"/>
    <w:rsid w:val="0090628C"/>
    <w:rsid w:val="009076A9"/>
    <w:rsid w:val="00907B7F"/>
    <w:rsid w:val="009100FA"/>
    <w:rsid w:val="00910591"/>
    <w:rsid w:val="00911624"/>
    <w:rsid w:val="009132EE"/>
    <w:rsid w:val="00913A88"/>
    <w:rsid w:val="009141EE"/>
    <w:rsid w:val="00916C54"/>
    <w:rsid w:val="00920688"/>
    <w:rsid w:val="009238DB"/>
    <w:rsid w:val="0092400D"/>
    <w:rsid w:val="0092434F"/>
    <w:rsid w:val="00924B99"/>
    <w:rsid w:val="00925411"/>
    <w:rsid w:val="00930C9B"/>
    <w:rsid w:val="00930D35"/>
    <w:rsid w:val="0093106E"/>
    <w:rsid w:val="00931B93"/>
    <w:rsid w:val="009329CD"/>
    <w:rsid w:val="00932FD6"/>
    <w:rsid w:val="009336EF"/>
    <w:rsid w:val="00933DCF"/>
    <w:rsid w:val="0093406B"/>
    <w:rsid w:val="00936FC8"/>
    <w:rsid w:val="009372CA"/>
    <w:rsid w:val="009408BA"/>
    <w:rsid w:val="00946F4A"/>
    <w:rsid w:val="0094745F"/>
    <w:rsid w:val="00950076"/>
    <w:rsid w:val="009513E4"/>
    <w:rsid w:val="00952F59"/>
    <w:rsid w:val="009537BD"/>
    <w:rsid w:val="0095522A"/>
    <w:rsid w:val="00955533"/>
    <w:rsid w:val="00960B64"/>
    <w:rsid w:val="00962EEE"/>
    <w:rsid w:val="0096328B"/>
    <w:rsid w:val="00965010"/>
    <w:rsid w:val="00965E2A"/>
    <w:rsid w:val="00973DD2"/>
    <w:rsid w:val="009758AE"/>
    <w:rsid w:val="00977900"/>
    <w:rsid w:val="009802B6"/>
    <w:rsid w:val="00980A35"/>
    <w:rsid w:val="00980F8B"/>
    <w:rsid w:val="00983EDD"/>
    <w:rsid w:val="00986416"/>
    <w:rsid w:val="00990402"/>
    <w:rsid w:val="00991B88"/>
    <w:rsid w:val="009935F9"/>
    <w:rsid w:val="00993608"/>
    <w:rsid w:val="00993786"/>
    <w:rsid w:val="00993ABD"/>
    <w:rsid w:val="009945C1"/>
    <w:rsid w:val="00995DA6"/>
    <w:rsid w:val="009963B1"/>
    <w:rsid w:val="00996537"/>
    <w:rsid w:val="009A3A29"/>
    <w:rsid w:val="009A416F"/>
    <w:rsid w:val="009A5DC8"/>
    <w:rsid w:val="009A7364"/>
    <w:rsid w:val="009A7A39"/>
    <w:rsid w:val="009B1A1A"/>
    <w:rsid w:val="009B385E"/>
    <w:rsid w:val="009C00C7"/>
    <w:rsid w:val="009C0103"/>
    <w:rsid w:val="009C0E4B"/>
    <w:rsid w:val="009C353A"/>
    <w:rsid w:val="009C3856"/>
    <w:rsid w:val="009C4389"/>
    <w:rsid w:val="009C6F99"/>
    <w:rsid w:val="009C73E7"/>
    <w:rsid w:val="009D1A27"/>
    <w:rsid w:val="009E132C"/>
    <w:rsid w:val="009E21AA"/>
    <w:rsid w:val="009E4721"/>
    <w:rsid w:val="009E4904"/>
    <w:rsid w:val="009E4EA9"/>
    <w:rsid w:val="009E5DD4"/>
    <w:rsid w:val="009E6D66"/>
    <w:rsid w:val="009F08DF"/>
    <w:rsid w:val="009F0A04"/>
    <w:rsid w:val="009F6260"/>
    <w:rsid w:val="009F7267"/>
    <w:rsid w:val="009F7D16"/>
    <w:rsid w:val="00A00C26"/>
    <w:rsid w:val="00A01CF4"/>
    <w:rsid w:val="00A01EEA"/>
    <w:rsid w:val="00A026C3"/>
    <w:rsid w:val="00A032D5"/>
    <w:rsid w:val="00A03DC8"/>
    <w:rsid w:val="00A04791"/>
    <w:rsid w:val="00A04D89"/>
    <w:rsid w:val="00A105C7"/>
    <w:rsid w:val="00A12BC5"/>
    <w:rsid w:val="00A13937"/>
    <w:rsid w:val="00A1762B"/>
    <w:rsid w:val="00A17AA6"/>
    <w:rsid w:val="00A17BAC"/>
    <w:rsid w:val="00A17DDE"/>
    <w:rsid w:val="00A22D3A"/>
    <w:rsid w:val="00A2415C"/>
    <w:rsid w:val="00A25EEF"/>
    <w:rsid w:val="00A316B2"/>
    <w:rsid w:val="00A32B8B"/>
    <w:rsid w:val="00A354D7"/>
    <w:rsid w:val="00A35677"/>
    <w:rsid w:val="00A409E3"/>
    <w:rsid w:val="00A42032"/>
    <w:rsid w:val="00A4383D"/>
    <w:rsid w:val="00A448CD"/>
    <w:rsid w:val="00A4559D"/>
    <w:rsid w:val="00A47548"/>
    <w:rsid w:val="00A51A68"/>
    <w:rsid w:val="00A52F22"/>
    <w:rsid w:val="00A5418C"/>
    <w:rsid w:val="00A545A8"/>
    <w:rsid w:val="00A54C9E"/>
    <w:rsid w:val="00A57349"/>
    <w:rsid w:val="00A62682"/>
    <w:rsid w:val="00A6388E"/>
    <w:rsid w:val="00A64F1F"/>
    <w:rsid w:val="00A6743B"/>
    <w:rsid w:val="00A67F63"/>
    <w:rsid w:val="00A72CE4"/>
    <w:rsid w:val="00A75113"/>
    <w:rsid w:val="00A76D96"/>
    <w:rsid w:val="00A77349"/>
    <w:rsid w:val="00A77BCC"/>
    <w:rsid w:val="00A80795"/>
    <w:rsid w:val="00A821FB"/>
    <w:rsid w:val="00A82278"/>
    <w:rsid w:val="00A82F8C"/>
    <w:rsid w:val="00A85054"/>
    <w:rsid w:val="00A85BC5"/>
    <w:rsid w:val="00A878EC"/>
    <w:rsid w:val="00A914A8"/>
    <w:rsid w:val="00A927AA"/>
    <w:rsid w:val="00A96316"/>
    <w:rsid w:val="00A97CFB"/>
    <w:rsid w:val="00AA2D04"/>
    <w:rsid w:val="00AA70C6"/>
    <w:rsid w:val="00AA756B"/>
    <w:rsid w:val="00AB0E40"/>
    <w:rsid w:val="00AB229C"/>
    <w:rsid w:val="00AB2CB4"/>
    <w:rsid w:val="00AB3676"/>
    <w:rsid w:val="00AB790A"/>
    <w:rsid w:val="00AC5CF6"/>
    <w:rsid w:val="00AD2CE2"/>
    <w:rsid w:val="00AD2EFF"/>
    <w:rsid w:val="00AD374D"/>
    <w:rsid w:val="00AD5983"/>
    <w:rsid w:val="00AE21CB"/>
    <w:rsid w:val="00AE5547"/>
    <w:rsid w:val="00AE5DD9"/>
    <w:rsid w:val="00AE7255"/>
    <w:rsid w:val="00AE7C77"/>
    <w:rsid w:val="00AF0DE2"/>
    <w:rsid w:val="00AF0DF6"/>
    <w:rsid w:val="00AF578D"/>
    <w:rsid w:val="00AF6F66"/>
    <w:rsid w:val="00AF73CC"/>
    <w:rsid w:val="00AF79A7"/>
    <w:rsid w:val="00B01CF1"/>
    <w:rsid w:val="00B023F2"/>
    <w:rsid w:val="00B0372F"/>
    <w:rsid w:val="00B0504E"/>
    <w:rsid w:val="00B074CD"/>
    <w:rsid w:val="00B10864"/>
    <w:rsid w:val="00B11FB1"/>
    <w:rsid w:val="00B122CA"/>
    <w:rsid w:val="00B13258"/>
    <w:rsid w:val="00B133D5"/>
    <w:rsid w:val="00B1372C"/>
    <w:rsid w:val="00B14022"/>
    <w:rsid w:val="00B157D1"/>
    <w:rsid w:val="00B20386"/>
    <w:rsid w:val="00B21012"/>
    <w:rsid w:val="00B21C19"/>
    <w:rsid w:val="00B22243"/>
    <w:rsid w:val="00B227AB"/>
    <w:rsid w:val="00B22E69"/>
    <w:rsid w:val="00B246B0"/>
    <w:rsid w:val="00B318A7"/>
    <w:rsid w:val="00B34CCE"/>
    <w:rsid w:val="00B366F3"/>
    <w:rsid w:val="00B37B42"/>
    <w:rsid w:val="00B40879"/>
    <w:rsid w:val="00B42D50"/>
    <w:rsid w:val="00B5275E"/>
    <w:rsid w:val="00B52AC8"/>
    <w:rsid w:val="00B543E0"/>
    <w:rsid w:val="00B54734"/>
    <w:rsid w:val="00B54DB4"/>
    <w:rsid w:val="00B623C0"/>
    <w:rsid w:val="00B63014"/>
    <w:rsid w:val="00B64277"/>
    <w:rsid w:val="00B670B0"/>
    <w:rsid w:val="00B70F4E"/>
    <w:rsid w:val="00B72231"/>
    <w:rsid w:val="00B72C35"/>
    <w:rsid w:val="00B742F0"/>
    <w:rsid w:val="00B75585"/>
    <w:rsid w:val="00B80E22"/>
    <w:rsid w:val="00B81113"/>
    <w:rsid w:val="00B8117F"/>
    <w:rsid w:val="00B823F6"/>
    <w:rsid w:val="00B83B3E"/>
    <w:rsid w:val="00B83BD5"/>
    <w:rsid w:val="00B8534D"/>
    <w:rsid w:val="00B87D79"/>
    <w:rsid w:val="00B90432"/>
    <w:rsid w:val="00B91860"/>
    <w:rsid w:val="00B920E3"/>
    <w:rsid w:val="00B928A5"/>
    <w:rsid w:val="00B92D60"/>
    <w:rsid w:val="00B93A6A"/>
    <w:rsid w:val="00B93A73"/>
    <w:rsid w:val="00B93C5D"/>
    <w:rsid w:val="00B94553"/>
    <w:rsid w:val="00B94940"/>
    <w:rsid w:val="00B95224"/>
    <w:rsid w:val="00B9587E"/>
    <w:rsid w:val="00B96C52"/>
    <w:rsid w:val="00BA022D"/>
    <w:rsid w:val="00BA130D"/>
    <w:rsid w:val="00BA1AEF"/>
    <w:rsid w:val="00BA78E2"/>
    <w:rsid w:val="00BB3204"/>
    <w:rsid w:val="00BB4090"/>
    <w:rsid w:val="00BB4337"/>
    <w:rsid w:val="00BB4C7F"/>
    <w:rsid w:val="00BB709F"/>
    <w:rsid w:val="00BC2256"/>
    <w:rsid w:val="00BC2914"/>
    <w:rsid w:val="00BC5321"/>
    <w:rsid w:val="00BC6206"/>
    <w:rsid w:val="00BD1ED0"/>
    <w:rsid w:val="00BD282B"/>
    <w:rsid w:val="00BD332A"/>
    <w:rsid w:val="00BD5EEB"/>
    <w:rsid w:val="00BD5F42"/>
    <w:rsid w:val="00BD65EE"/>
    <w:rsid w:val="00BD7C90"/>
    <w:rsid w:val="00BD7FAA"/>
    <w:rsid w:val="00BE052B"/>
    <w:rsid w:val="00BE290D"/>
    <w:rsid w:val="00BE32CD"/>
    <w:rsid w:val="00BE51B2"/>
    <w:rsid w:val="00BE5BB2"/>
    <w:rsid w:val="00BE5F97"/>
    <w:rsid w:val="00BE6A12"/>
    <w:rsid w:val="00BF197E"/>
    <w:rsid w:val="00BF3C6E"/>
    <w:rsid w:val="00BF57FC"/>
    <w:rsid w:val="00BF5F41"/>
    <w:rsid w:val="00BF6206"/>
    <w:rsid w:val="00BF6B64"/>
    <w:rsid w:val="00BF70F5"/>
    <w:rsid w:val="00BF7836"/>
    <w:rsid w:val="00BF7E5F"/>
    <w:rsid w:val="00C028E5"/>
    <w:rsid w:val="00C0392B"/>
    <w:rsid w:val="00C0421D"/>
    <w:rsid w:val="00C10C47"/>
    <w:rsid w:val="00C122D5"/>
    <w:rsid w:val="00C12EF8"/>
    <w:rsid w:val="00C15922"/>
    <w:rsid w:val="00C161D6"/>
    <w:rsid w:val="00C16392"/>
    <w:rsid w:val="00C202A1"/>
    <w:rsid w:val="00C22324"/>
    <w:rsid w:val="00C23086"/>
    <w:rsid w:val="00C23EDB"/>
    <w:rsid w:val="00C30982"/>
    <w:rsid w:val="00C30C07"/>
    <w:rsid w:val="00C30FDC"/>
    <w:rsid w:val="00C31557"/>
    <w:rsid w:val="00C316A3"/>
    <w:rsid w:val="00C3363E"/>
    <w:rsid w:val="00C3392F"/>
    <w:rsid w:val="00C35800"/>
    <w:rsid w:val="00C40EEF"/>
    <w:rsid w:val="00C4489F"/>
    <w:rsid w:val="00C448F9"/>
    <w:rsid w:val="00C44E2D"/>
    <w:rsid w:val="00C4666F"/>
    <w:rsid w:val="00C470B4"/>
    <w:rsid w:val="00C47D4F"/>
    <w:rsid w:val="00C500BC"/>
    <w:rsid w:val="00C52973"/>
    <w:rsid w:val="00C52C9F"/>
    <w:rsid w:val="00C5412F"/>
    <w:rsid w:val="00C54ABF"/>
    <w:rsid w:val="00C56FCE"/>
    <w:rsid w:val="00C57F52"/>
    <w:rsid w:val="00C62DE9"/>
    <w:rsid w:val="00C73A51"/>
    <w:rsid w:val="00C741C0"/>
    <w:rsid w:val="00C759A8"/>
    <w:rsid w:val="00C768DF"/>
    <w:rsid w:val="00C772D6"/>
    <w:rsid w:val="00C81BDE"/>
    <w:rsid w:val="00C8218D"/>
    <w:rsid w:val="00C82A97"/>
    <w:rsid w:val="00C82D9E"/>
    <w:rsid w:val="00C83376"/>
    <w:rsid w:val="00C837EA"/>
    <w:rsid w:val="00C851F7"/>
    <w:rsid w:val="00C8529E"/>
    <w:rsid w:val="00C85E17"/>
    <w:rsid w:val="00C86469"/>
    <w:rsid w:val="00C90565"/>
    <w:rsid w:val="00C9109C"/>
    <w:rsid w:val="00C927E4"/>
    <w:rsid w:val="00C93022"/>
    <w:rsid w:val="00C933D2"/>
    <w:rsid w:val="00C94628"/>
    <w:rsid w:val="00C94FBD"/>
    <w:rsid w:val="00C977D5"/>
    <w:rsid w:val="00CA5049"/>
    <w:rsid w:val="00CA6423"/>
    <w:rsid w:val="00CA664F"/>
    <w:rsid w:val="00CB201E"/>
    <w:rsid w:val="00CB2855"/>
    <w:rsid w:val="00CB3CA3"/>
    <w:rsid w:val="00CB3E05"/>
    <w:rsid w:val="00CB58BE"/>
    <w:rsid w:val="00CB6B9D"/>
    <w:rsid w:val="00CC1541"/>
    <w:rsid w:val="00CC4655"/>
    <w:rsid w:val="00CD2A2B"/>
    <w:rsid w:val="00CD40D4"/>
    <w:rsid w:val="00CD4C5B"/>
    <w:rsid w:val="00CD56E7"/>
    <w:rsid w:val="00CD5A4C"/>
    <w:rsid w:val="00CD7592"/>
    <w:rsid w:val="00CE1F6E"/>
    <w:rsid w:val="00CE3CFA"/>
    <w:rsid w:val="00CE6C11"/>
    <w:rsid w:val="00CE775F"/>
    <w:rsid w:val="00CF0035"/>
    <w:rsid w:val="00CF08EE"/>
    <w:rsid w:val="00CF3A8E"/>
    <w:rsid w:val="00CF511A"/>
    <w:rsid w:val="00D0089F"/>
    <w:rsid w:val="00D011BD"/>
    <w:rsid w:val="00D014E3"/>
    <w:rsid w:val="00D020A3"/>
    <w:rsid w:val="00D038B6"/>
    <w:rsid w:val="00D053C2"/>
    <w:rsid w:val="00D05DCD"/>
    <w:rsid w:val="00D0609E"/>
    <w:rsid w:val="00D13C9B"/>
    <w:rsid w:val="00D163D3"/>
    <w:rsid w:val="00D201B2"/>
    <w:rsid w:val="00D20BEB"/>
    <w:rsid w:val="00D22FC5"/>
    <w:rsid w:val="00D25D17"/>
    <w:rsid w:val="00D316B4"/>
    <w:rsid w:val="00D3456D"/>
    <w:rsid w:val="00D370C3"/>
    <w:rsid w:val="00D40757"/>
    <w:rsid w:val="00D420F8"/>
    <w:rsid w:val="00D430E2"/>
    <w:rsid w:val="00D44C90"/>
    <w:rsid w:val="00D46482"/>
    <w:rsid w:val="00D47006"/>
    <w:rsid w:val="00D504E3"/>
    <w:rsid w:val="00D50540"/>
    <w:rsid w:val="00D51340"/>
    <w:rsid w:val="00D54FF2"/>
    <w:rsid w:val="00D55072"/>
    <w:rsid w:val="00D55667"/>
    <w:rsid w:val="00D60DA9"/>
    <w:rsid w:val="00D61FCE"/>
    <w:rsid w:val="00D648F3"/>
    <w:rsid w:val="00D655E5"/>
    <w:rsid w:val="00D655F5"/>
    <w:rsid w:val="00D669A6"/>
    <w:rsid w:val="00D71EB9"/>
    <w:rsid w:val="00D72453"/>
    <w:rsid w:val="00D72D9E"/>
    <w:rsid w:val="00D75CDD"/>
    <w:rsid w:val="00D8072E"/>
    <w:rsid w:val="00D80F13"/>
    <w:rsid w:val="00D82C1B"/>
    <w:rsid w:val="00D8365B"/>
    <w:rsid w:val="00D85517"/>
    <w:rsid w:val="00D8650B"/>
    <w:rsid w:val="00D87344"/>
    <w:rsid w:val="00D874D0"/>
    <w:rsid w:val="00D92A53"/>
    <w:rsid w:val="00D96F79"/>
    <w:rsid w:val="00D97721"/>
    <w:rsid w:val="00DA093D"/>
    <w:rsid w:val="00DA0A8D"/>
    <w:rsid w:val="00DA38C7"/>
    <w:rsid w:val="00DA3C84"/>
    <w:rsid w:val="00DA40B6"/>
    <w:rsid w:val="00DB3862"/>
    <w:rsid w:val="00DB5567"/>
    <w:rsid w:val="00DB57C8"/>
    <w:rsid w:val="00DC085E"/>
    <w:rsid w:val="00DC2297"/>
    <w:rsid w:val="00DC6B76"/>
    <w:rsid w:val="00DD1432"/>
    <w:rsid w:val="00DD3FB2"/>
    <w:rsid w:val="00DD5AE4"/>
    <w:rsid w:val="00DD61B1"/>
    <w:rsid w:val="00DD641E"/>
    <w:rsid w:val="00DD75C1"/>
    <w:rsid w:val="00DE27E5"/>
    <w:rsid w:val="00DE3A2E"/>
    <w:rsid w:val="00DF152E"/>
    <w:rsid w:val="00DF25A6"/>
    <w:rsid w:val="00DF413E"/>
    <w:rsid w:val="00DF6D92"/>
    <w:rsid w:val="00DF71CA"/>
    <w:rsid w:val="00DF7297"/>
    <w:rsid w:val="00DF780D"/>
    <w:rsid w:val="00E007F5"/>
    <w:rsid w:val="00E008B9"/>
    <w:rsid w:val="00E02488"/>
    <w:rsid w:val="00E02AE3"/>
    <w:rsid w:val="00E04A28"/>
    <w:rsid w:val="00E04ECD"/>
    <w:rsid w:val="00E04F18"/>
    <w:rsid w:val="00E06765"/>
    <w:rsid w:val="00E06D44"/>
    <w:rsid w:val="00E07E1D"/>
    <w:rsid w:val="00E123F0"/>
    <w:rsid w:val="00E1414B"/>
    <w:rsid w:val="00E16409"/>
    <w:rsid w:val="00E22563"/>
    <w:rsid w:val="00E25191"/>
    <w:rsid w:val="00E262E0"/>
    <w:rsid w:val="00E26EE6"/>
    <w:rsid w:val="00E279D5"/>
    <w:rsid w:val="00E27FA2"/>
    <w:rsid w:val="00E307CF"/>
    <w:rsid w:val="00E30874"/>
    <w:rsid w:val="00E317DB"/>
    <w:rsid w:val="00E3197F"/>
    <w:rsid w:val="00E33169"/>
    <w:rsid w:val="00E33EED"/>
    <w:rsid w:val="00E350A4"/>
    <w:rsid w:val="00E37622"/>
    <w:rsid w:val="00E415B1"/>
    <w:rsid w:val="00E42396"/>
    <w:rsid w:val="00E47414"/>
    <w:rsid w:val="00E50469"/>
    <w:rsid w:val="00E53173"/>
    <w:rsid w:val="00E5568B"/>
    <w:rsid w:val="00E56C33"/>
    <w:rsid w:val="00E57263"/>
    <w:rsid w:val="00E61CEF"/>
    <w:rsid w:val="00E61FDB"/>
    <w:rsid w:val="00E62830"/>
    <w:rsid w:val="00E641E1"/>
    <w:rsid w:val="00E66B3A"/>
    <w:rsid w:val="00E67383"/>
    <w:rsid w:val="00E71200"/>
    <w:rsid w:val="00E7282D"/>
    <w:rsid w:val="00E7545F"/>
    <w:rsid w:val="00E755DB"/>
    <w:rsid w:val="00E829B7"/>
    <w:rsid w:val="00E85B98"/>
    <w:rsid w:val="00E85BD4"/>
    <w:rsid w:val="00E87B3B"/>
    <w:rsid w:val="00E93365"/>
    <w:rsid w:val="00E933F8"/>
    <w:rsid w:val="00E972C8"/>
    <w:rsid w:val="00EA096F"/>
    <w:rsid w:val="00EA3BD1"/>
    <w:rsid w:val="00EA41FA"/>
    <w:rsid w:val="00EA5F62"/>
    <w:rsid w:val="00EA6705"/>
    <w:rsid w:val="00EB06EA"/>
    <w:rsid w:val="00EB1A05"/>
    <w:rsid w:val="00EB2F2B"/>
    <w:rsid w:val="00EB3D1A"/>
    <w:rsid w:val="00EB497D"/>
    <w:rsid w:val="00EB4AFF"/>
    <w:rsid w:val="00EB55AC"/>
    <w:rsid w:val="00EB74C0"/>
    <w:rsid w:val="00EC20B1"/>
    <w:rsid w:val="00EC29C6"/>
    <w:rsid w:val="00EC315A"/>
    <w:rsid w:val="00EC54C0"/>
    <w:rsid w:val="00EC54C6"/>
    <w:rsid w:val="00ED5731"/>
    <w:rsid w:val="00EE0D4E"/>
    <w:rsid w:val="00EE19DA"/>
    <w:rsid w:val="00EE1CCF"/>
    <w:rsid w:val="00EE1F03"/>
    <w:rsid w:val="00EE21DC"/>
    <w:rsid w:val="00EE5807"/>
    <w:rsid w:val="00EF07B6"/>
    <w:rsid w:val="00EF0CC9"/>
    <w:rsid w:val="00EF5035"/>
    <w:rsid w:val="00EF5447"/>
    <w:rsid w:val="00EF5AF0"/>
    <w:rsid w:val="00EF7176"/>
    <w:rsid w:val="00EF7998"/>
    <w:rsid w:val="00EF7A63"/>
    <w:rsid w:val="00F0091B"/>
    <w:rsid w:val="00F010C2"/>
    <w:rsid w:val="00F02C81"/>
    <w:rsid w:val="00F03478"/>
    <w:rsid w:val="00F03972"/>
    <w:rsid w:val="00F03B2C"/>
    <w:rsid w:val="00F04C1F"/>
    <w:rsid w:val="00F07B71"/>
    <w:rsid w:val="00F07FE0"/>
    <w:rsid w:val="00F17712"/>
    <w:rsid w:val="00F22946"/>
    <w:rsid w:val="00F22BCB"/>
    <w:rsid w:val="00F24225"/>
    <w:rsid w:val="00F25FF3"/>
    <w:rsid w:val="00F26E20"/>
    <w:rsid w:val="00F30A77"/>
    <w:rsid w:val="00F32163"/>
    <w:rsid w:val="00F3223F"/>
    <w:rsid w:val="00F322F4"/>
    <w:rsid w:val="00F3468E"/>
    <w:rsid w:val="00F35F4C"/>
    <w:rsid w:val="00F40A7B"/>
    <w:rsid w:val="00F40EEC"/>
    <w:rsid w:val="00F41860"/>
    <w:rsid w:val="00F4293D"/>
    <w:rsid w:val="00F43175"/>
    <w:rsid w:val="00F439DD"/>
    <w:rsid w:val="00F44255"/>
    <w:rsid w:val="00F44A10"/>
    <w:rsid w:val="00F527C5"/>
    <w:rsid w:val="00F5292C"/>
    <w:rsid w:val="00F53BC8"/>
    <w:rsid w:val="00F54343"/>
    <w:rsid w:val="00F55E32"/>
    <w:rsid w:val="00F564CF"/>
    <w:rsid w:val="00F57482"/>
    <w:rsid w:val="00F57CC6"/>
    <w:rsid w:val="00F57F18"/>
    <w:rsid w:val="00F57F23"/>
    <w:rsid w:val="00F60872"/>
    <w:rsid w:val="00F62286"/>
    <w:rsid w:val="00F62AC6"/>
    <w:rsid w:val="00F63FFE"/>
    <w:rsid w:val="00F64A5E"/>
    <w:rsid w:val="00F65407"/>
    <w:rsid w:val="00F66A43"/>
    <w:rsid w:val="00F701C2"/>
    <w:rsid w:val="00F70E93"/>
    <w:rsid w:val="00F71CF2"/>
    <w:rsid w:val="00F724CF"/>
    <w:rsid w:val="00F76DF7"/>
    <w:rsid w:val="00F8102F"/>
    <w:rsid w:val="00F811BC"/>
    <w:rsid w:val="00F82FFD"/>
    <w:rsid w:val="00F83E98"/>
    <w:rsid w:val="00F84E3C"/>
    <w:rsid w:val="00F8534C"/>
    <w:rsid w:val="00F85F07"/>
    <w:rsid w:val="00F9045D"/>
    <w:rsid w:val="00F9399C"/>
    <w:rsid w:val="00FA26FA"/>
    <w:rsid w:val="00FA3130"/>
    <w:rsid w:val="00FA33C4"/>
    <w:rsid w:val="00FA3C88"/>
    <w:rsid w:val="00FA507F"/>
    <w:rsid w:val="00FA52C7"/>
    <w:rsid w:val="00FA75AC"/>
    <w:rsid w:val="00FA7E9C"/>
    <w:rsid w:val="00FB18A2"/>
    <w:rsid w:val="00FB289D"/>
    <w:rsid w:val="00FB2A5F"/>
    <w:rsid w:val="00FB42E3"/>
    <w:rsid w:val="00FB50D7"/>
    <w:rsid w:val="00FB79BB"/>
    <w:rsid w:val="00FC2782"/>
    <w:rsid w:val="00FC2956"/>
    <w:rsid w:val="00FC3A26"/>
    <w:rsid w:val="00FC3FD9"/>
    <w:rsid w:val="00FC55EA"/>
    <w:rsid w:val="00FC575E"/>
    <w:rsid w:val="00FC6F6A"/>
    <w:rsid w:val="00FD0C6A"/>
    <w:rsid w:val="00FD1C6F"/>
    <w:rsid w:val="00FD1F1D"/>
    <w:rsid w:val="00FD2C2F"/>
    <w:rsid w:val="00FD2DF9"/>
    <w:rsid w:val="00FD300C"/>
    <w:rsid w:val="00FD4289"/>
    <w:rsid w:val="00FD791A"/>
    <w:rsid w:val="00FE2305"/>
    <w:rsid w:val="00FE2884"/>
    <w:rsid w:val="00FE6A4F"/>
    <w:rsid w:val="00FF08B2"/>
    <w:rsid w:val="00FF120A"/>
    <w:rsid w:val="00FF3F35"/>
    <w:rsid w:val="02A91129"/>
    <w:rsid w:val="05FF7925"/>
    <w:rsid w:val="08ED4C2F"/>
    <w:rsid w:val="0BB06CD5"/>
    <w:rsid w:val="0F432909"/>
    <w:rsid w:val="145A637B"/>
    <w:rsid w:val="175C172B"/>
    <w:rsid w:val="17A9157C"/>
    <w:rsid w:val="18980476"/>
    <w:rsid w:val="1A2D5B6E"/>
    <w:rsid w:val="1ACD0ADF"/>
    <w:rsid w:val="1B7BBCD7"/>
    <w:rsid w:val="1BFECB08"/>
    <w:rsid w:val="1CF62030"/>
    <w:rsid w:val="1ECC617C"/>
    <w:rsid w:val="1FBD19B9"/>
    <w:rsid w:val="1FFE809F"/>
    <w:rsid w:val="20310C12"/>
    <w:rsid w:val="25BCA1B5"/>
    <w:rsid w:val="261C46D6"/>
    <w:rsid w:val="28E5686E"/>
    <w:rsid w:val="2F444DFE"/>
    <w:rsid w:val="2FCF269E"/>
    <w:rsid w:val="2FDDF027"/>
    <w:rsid w:val="2FFD9D97"/>
    <w:rsid w:val="31B3DB1C"/>
    <w:rsid w:val="337603BC"/>
    <w:rsid w:val="337E4AA3"/>
    <w:rsid w:val="33CE78F6"/>
    <w:rsid w:val="33D22636"/>
    <w:rsid w:val="33FC5B4D"/>
    <w:rsid w:val="36FD01BD"/>
    <w:rsid w:val="37FDCD79"/>
    <w:rsid w:val="38FD1763"/>
    <w:rsid w:val="398EAEBD"/>
    <w:rsid w:val="3A5759C2"/>
    <w:rsid w:val="3A720326"/>
    <w:rsid w:val="3ABFE88A"/>
    <w:rsid w:val="3B3F94EC"/>
    <w:rsid w:val="3BFB6AAC"/>
    <w:rsid w:val="3BFF917D"/>
    <w:rsid w:val="3BFFBF59"/>
    <w:rsid w:val="3D073351"/>
    <w:rsid w:val="3F97309B"/>
    <w:rsid w:val="3F9D3425"/>
    <w:rsid w:val="3FDFE287"/>
    <w:rsid w:val="3FF8D172"/>
    <w:rsid w:val="40610FCA"/>
    <w:rsid w:val="44922215"/>
    <w:rsid w:val="455D7CE5"/>
    <w:rsid w:val="45F78D77"/>
    <w:rsid w:val="471C1062"/>
    <w:rsid w:val="482429BB"/>
    <w:rsid w:val="49142BFB"/>
    <w:rsid w:val="4AA967CE"/>
    <w:rsid w:val="4AC63A3A"/>
    <w:rsid w:val="4BBE40BD"/>
    <w:rsid w:val="4F9D565C"/>
    <w:rsid w:val="4FE322D1"/>
    <w:rsid w:val="50455999"/>
    <w:rsid w:val="50E52B3B"/>
    <w:rsid w:val="51E64115"/>
    <w:rsid w:val="532FBFEF"/>
    <w:rsid w:val="54B34356"/>
    <w:rsid w:val="54E9053C"/>
    <w:rsid w:val="54F5352B"/>
    <w:rsid w:val="55761B37"/>
    <w:rsid w:val="562F0215"/>
    <w:rsid w:val="566BEC82"/>
    <w:rsid w:val="56C149B7"/>
    <w:rsid w:val="577E0B7A"/>
    <w:rsid w:val="579FBBE2"/>
    <w:rsid w:val="57DF187B"/>
    <w:rsid w:val="57F6792D"/>
    <w:rsid w:val="57FEF05F"/>
    <w:rsid w:val="57FF3D44"/>
    <w:rsid w:val="57FF5CFE"/>
    <w:rsid w:val="597FA327"/>
    <w:rsid w:val="59CB766B"/>
    <w:rsid w:val="5A9304C2"/>
    <w:rsid w:val="5AE6188A"/>
    <w:rsid w:val="5BDDE6BC"/>
    <w:rsid w:val="5CAF0DC3"/>
    <w:rsid w:val="5DFD9ADF"/>
    <w:rsid w:val="5F79AEBF"/>
    <w:rsid w:val="5F9F2D03"/>
    <w:rsid w:val="5FBC724C"/>
    <w:rsid w:val="5FCFDFE3"/>
    <w:rsid w:val="5FDF8201"/>
    <w:rsid w:val="5FE5F3D5"/>
    <w:rsid w:val="5FF64216"/>
    <w:rsid w:val="5FFF1220"/>
    <w:rsid w:val="5FFFA2D0"/>
    <w:rsid w:val="6004464D"/>
    <w:rsid w:val="63FF20D1"/>
    <w:rsid w:val="642FE604"/>
    <w:rsid w:val="64F34898"/>
    <w:rsid w:val="66BE9364"/>
    <w:rsid w:val="678C1CCD"/>
    <w:rsid w:val="67C76D7B"/>
    <w:rsid w:val="67FD925C"/>
    <w:rsid w:val="697F8DE3"/>
    <w:rsid w:val="6A0EA99F"/>
    <w:rsid w:val="6B759E54"/>
    <w:rsid w:val="6BDE248A"/>
    <w:rsid w:val="6D8D40A8"/>
    <w:rsid w:val="6DCA6D26"/>
    <w:rsid w:val="6DDF1091"/>
    <w:rsid w:val="6EEF9836"/>
    <w:rsid w:val="6F9F5082"/>
    <w:rsid w:val="6FBD17AD"/>
    <w:rsid w:val="6FDFA1C0"/>
    <w:rsid w:val="6FEA3B33"/>
    <w:rsid w:val="6FEFB46E"/>
    <w:rsid w:val="6FF396F0"/>
    <w:rsid w:val="6FFBCB58"/>
    <w:rsid w:val="72E8316A"/>
    <w:rsid w:val="72FB60B8"/>
    <w:rsid w:val="735DAD9D"/>
    <w:rsid w:val="7393C612"/>
    <w:rsid w:val="73D73331"/>
    <w:rsid w:val="73D75363"/>
    <w:rsid w:val="73F78EF0"/>
    <w:rsid w:val="73FD9C0B"/>
    <w:rsid w:val="75D333AD"/>
    <w:rsid w:val="772F325A"/>
    <w:rsid w:val="773B361B"/>
    <w:rsid w:val="77D9372D"/>
    <w:rsid w:val="77DFABE3"/>
    <w:rsid w:val="77E70CB0"/>
    <w:rsid w:val="77EF89FA"/>
    <w:rsid w:val="77EFB224"/>
    <w:rsid w:val="77EFFBD7"/>
    <w:rsid w:val="79778B1D"/>
    <w:rsid w:val="79F2745B"/>
    <w:rsid w:val="7A5FC6F5"/>
    <w:rsid w:val="7A642527"/>
    <w:rsid w:val="7ABE4AF8"/>
    <w:rsid w:val="7ADD627F"/>
    <w:rsid w:val="7B17254D"/>
    <w:rsid w:val="7B3A7CD1"/>
    <w:rsid w:val="7B7322CA"/>
    <w:rsid w:val="7B73A666"/>
    <w:rsid w:val="7BAD38D5"/>
    <w:rsid w:val="7BBB0EE6"/>
    <w:rsid w:val="7BBF45A2"/>
    <w:rsid w:val="7BD9BFD2"/>
    <w:rsid w:val="7BDB458E"/>
    <w:rsid w:val="7BFE1E6F"/>
    <w:rsid w:val="7BFFAFCD"/>
    <w:rsid w:val="7C9BBACE"/>
    <w:rsid w:val="7CCF56B3"/>
    <w:rsid w:val="7CDBE298"/>
    <w:rsid w:val="7CE50FA8"/>
    <w:rsid w:val="7CE765DD"/>
    <w:rsid w:val="7CFB9ECA"/>
    <w:rsid w:val="7D377F0F"/>
    <w:rsid w:val="7DD67CD3"/>
    <w:rsid w:val="7DDD473B"/>
    <w:rsid w:val="7DDDFE90"/>
    <w:rsid w:val="7DEEAF61"/>
    <w:rsid w:val="7DFC81B8"/>
    <w:rsid w:val="7DFEFDA5"/>
    <w:rsid w:val="7DFF4039"/>
    <w:rsid w:val="7E47B03C"/>
    <w:rsid w:val="7E92C4C9"/>
    <w:rsid w:val="7EE9CD99"/>
    <w:rsid w:val="7EF75C10"/>
    <w:rsid w:val="7EFB5E91"/>
    <w:rsid w:val="7F1A093F"/>
    <w:rsid w:val="7F2771DB"/>
    <w:rsid w:val="7F5EE088"/>
    <w:rsid w:val="7F6FB47E"/>
    <w:rsid w:val="7F75C538"/>
    <w:rsid w:val="7F77B076"/>
    <w:rsid w:val="7F78DFD5"/>
    <w:rsid w:val="7F7B8C80"/>
    <w:rsid w:val="7F9FE3BF"/>
    <w:rsid w:val="7FB76AD8"/>
    <w:rsid w:val="7FDB387E"/>
    <w:rsid w:val="7FDF4320"/>
    <w:rsid w:val="7FE5511B"/>
    <w:rsid w:val="7FEDD937"/>
    <w:rsid w:val="7FF1BD66"/>
    <w:rsid w:val="7FF60EE0"/>
    <w:rsid w:val="7FF74F53"/>
    <w:rsid w:val="7FFB6D09"/>
    <w:rsid w:val="7FFBD005"/>
    <w:rsid w:val="7FFD8F56"/>
    <w:rsid w:val="7FFE0F30"/>
    <w:rsid w:val="7FFE5F6A"/>
    <w:rsid w:val="7FFFC9A6"/>
    <w:rsid w:val="87FE0FAF"/>
    <w:rsid w:val="8BFABC0A"/>
    <w:rsid w:val="8BFB7E79"/>
    <w:rsid w:val="8E3F86E8"/>
    <w:rsid w:val="8FFDD5D2"/>
    <w:rsid w:val="969A7649"/>
    <w:rsid w:val="99BB2416"/>
    <w:rsid w:val="9BB4F30C"/>
    <w:rsid w:val="9DB6A1CB"/>
    <w:rsid w:val="9F4F00B4"/>
    <w:rsid w:val="A4F60733"/>
    <w:rsid w:val="A67F3DB5"/>
    <w:rsid w:val="A6D885DA"/>
    <w:rsid w:val="A7BD37F2"/>
    <w:rsid w:val="AABB68DA"/>
    <w:rsid w:val="ABA6D6C8"/>
    <w:rsid w:val="AF6F8723"/>
    <w:rsid w:val="AF9DCC35"/>
    <w:rsid w:val="AFFF5BA3"/>
    <w:rsid w:val="AFFFC30D"/>
    <w:rsid w:val="B3FF2935"/>
    <w:rsid w:val="B5DB0BC8"/>
    <w:rsid w:val="B6C61B94"/>
    <w:rsid w:val="B7BFFA9B"/>
    <w:rsid w:val="B7FB3C3C"/>
    <w:rsid w:val="BA7D203B"/>
    <w:rsid w:val="BB47ABE2"/>
    <w:rsid w:val="BBBF2C65"/>
    <w:rsid w:val="BBE165FA"/>
    <w:rsid w:val="BBFF5ACC"/>
    <w:rsid w:val="BBFF6203"/>
    <w:rsid w:val="BC3E660F"/>
    <w:rsid w:val="BC42707A"/>
    <w:rsid w:val="BDFEA9A4"/>
    <w:rsid w:val="BE1BBF86"/>
    <w:rsid w:val="BE78100B"/>
    <w:rsid w:val="BEDF0FD5"/>
    <w:rsid w:val="BFCD4A4B"/>
    <w:rsid w:val="BFF505E6"/>
    <w:rsid w:val="BFFBBE6B"/>
    <w:rsid w:val="BFFF7C05"/>
    <w:rsid w:val="C53FBF8E"/>
    <w:rsid w:val="C7F1D9D9"/>
    <w:rsid w:val="CBAF5F93"/>
    <w:rsid w:val="CBDF165A"/>
    <w:rsid w:val="CCB70E3A"/>
    <w:rsid w:val="CF7FC9FA"/>
    <w:rsid w:val="CFB43590"/>
    <w:rsid w:val="D0EEE01D"/>
    <w:rsid w:val="D3BD281A"/>
    <w:rsid w:val="D7DE1BF2"/>
    <w:rsid w:val="D7FFD33B"/>
    <w:rsid w:val="D8EFDB4D"/>
    <w:rsid w:val="DAAB3D7A"/>
    <w:rsid w:val="DBE2D972"/>
    <w:rsid w:val="DBF47B70"/>
    <w:rsid w:val="DD377FB6"/>
    <w:rsid w:val="DD6B9317"/>
    <w:rsid w:val="DED8E72C"/>
    <w:rsid w:val="DEDE8B0B"/>
    <w:rsid w:val="DF39AD13"/>
    <w:rsid w:val="DFBBB34D"/>
    <w:rsid w:val="DFBFBC63"/>
    <w:rsid w:val="DFD7BD40"/>
    <w:rsid w:val="DFF7CF4A"/>
    <w:rsid w:val="E3B64D0C"/>
    <w:rsid w:val="E3FD6CEE"/>
    <w:rsid w:val="E4DFAE97"/>
    <w:rsid w:val="E6FBC71C"/>
    <w:rsid w:val="E7BB0221"/>
    <w:rsid w:val="E7DD90F5"/>
    <w:rsid w:val="E7FFDC83"/>
    <w:rsid w:val="E8F7E01C"/>
    <w:rsid w:val="E9E76B72"/>
    <w:rsid w:val="EB77DC60"/>
    <w:rsid w:val="EB9E0429"/>
    <w:rsid w:val="EC6FA52A"/>
    <w:rsid w:val="ECF95C7E"/>
    <w:rsid w:val="EDBF4120"/>
    <w:rsid w:val="EDFFC020"/>
    <w:rsid w:val="EF3F3257"/>
    <w:rsid w:val="EF5D4EEE"/>
    <w:rsid w:val="EF78FF30"/>
    <w:rsid w:val="EF7FDCEE"/>
    <w:rsid w:val="EFBE8499"/>
    <w:rsid w:val="EFBF2A90"/>
    <w:rsid w:val="EFBF38D0"/>
    <w:rsid w:val="EFDC321F"/>
    <w:rsid w:val="EFDFAB3A"/>
    <w:rsid w:val="EFF53C64"/>
    <w:rsid w:val="EFFDB68E"/>
    <w:rsid w:val="EFFE5BBC"/>
    <w:rsid w:val="F2CFA403"/>
    <w:rsid w:val="F319D623"/>
    <w:rsid w:val="F36A1CC5"/>
    <w:rsid w:val="F3ED646F"/>
    <w:rsid w:val="F516469A"/>
    <w:rsid w:val="F5AA993F"/>
    <w:rsid w:val="F5BBD9C5"/>
    <w:rsid w:val="F73D14F7"/>
    <w:rsid w:val="F75E9BC4"/>
    <w:rsid w:val="F77B100B"/>
    <w:rsid w:val="F7CF52A7"/>
    <w:rsid w:val="F7DBB0EA"/>
    <w:rsid w:val="F7DE4064"/>
    <w:rsid w:val="F7EF07F6"/>
    <w:rsid w:val="F8EFA48A"/>
    <w:rsid w:val="F9753D38"/>
    <w:rsid w:val="FA335AA5"/>
    <w:rsid w:val="FA3F9A71"/>
    <w:rsid w:val="FB282116"/>
    <w:rsid w:val="FB779E5A"/>
    <w:rsid w:val="FBA27466"/>
    <w:rsid w:val="FBA6FEF6"/>
    <w:rsid w:val="FBD40406"/>
    <w:rsid w:val="FBDF24BC"/>
    <w:rsid w:val="FBF7D997"/>
    <w:rsid w:val="FBFEE62E"/>
    <w:rsid w:val="FC6D0850"/>
    <w:rsid w:val="FCF3B950"/>
    <w:rsid w:val="FD2B0557"/>
    <w:rsid w:val="FD7866F5"/>
    <w:rsid w:val="FD7F367B"/>
    <w:rsid w:val="FDAC8475"/>
    <w:rsid w:val="FDBFC703"/>
    <w:rsid w:val="FDDF0FED"/>
    <w:rsid w:val="FDE6A4CA"/>
    <w:rsid w:val="FDEEFFF5"/>
    <w:rsid w:val="FE7E2C8B"/>
    <w:rsid w:val="FEACF65E"/>
    <w:rsid w:val="FEAF6410"/>
    <w:rsid w:val="FEBB8C7F"/>
    <w:rsid w:val="FEBF7E1D"/>
    <w:rsid w:val="FEFDA2E3"/>
    <w:rsid w:val="FEFF8418"/>
    <w:rsid w:val="FF3CA298"/>
    <w:rsid w:val="FF4B059F"/>
    <w:rsid w:val="FF4DAEB1"/>
    <w:rsid w:val="FF513B29"/>
    <w:rsid w:val="FF7F86BF"/>
    <w:rsid w:val="FFABB020"/>
    <w:rsid w:val="FFB37FBC"/>
    <w:rsid w:val="FFBB6E6B"/>
    <w:rsid w:val="FFC3DC3B"/>
    <w:rsid w:val="FFCB5098"/>
    <w:rsid w:val="FFCFB770"/>
    <w:rsid w:val="FFD7929E"/>
    <w:rsid w:val="FFD87FE8"/>
    <w:rsid w:val="FFD99D5A"/>
    <w:rsid w:val="FFE707B9"/>
    <w:rsid w:val="FFE7DABE"/>
    <w:rsid w:val="FFEA47FB"/>
    <w:rsid w:val="FFEC5053"/>
    <w:rsid w:val="FFEDF1B1"/>
    <w:rsid w:val="FFEF90AA"/>
    <w:rsid w:val="FFF79F96"/>
    <w:rsid w:val="FFFA8209"/>
    <w:rsid w:val="FFFB3D5B"/>
    <w:rsid w:val="FFFB8F49"/>
    <w:rsid w:val="FFFD84F0"/>
    <w:rsid w:val="FFFDDF37"/>
    <w:rsid w:val="FFFF0238"/>
    <w:rsid w:val="FFFF27F7"/>
    <w:rsid w:val="FFFF2B68"/>
    <w:rsid w:val="FFFF5C18"/>
    <w:rsid w:val="FFFFCB5E"/>
    <w:rsid w:val="FFFFF97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3">
    <w:name w:val="heading 1"/>
    <w:basedOn w:val="1"/>
    <w:next w:val="1"/>
    <w:link w:val="29"/>
    <w:qFormat/>
    <w:uiPriority w:val="9"/>
    <w:pPr>
      <w:overflowPunct w:val="0"/>
      <w:spacing w:before="240" w:beforeLines="100" w:after="240" w:afterLines="100" w:line="588" w:lineRule="exact"/>
      <w:jc w:val="center"/>
      <w:outlineLvl w:val="0"/>
    </w:pPr>
    <w:rPr>
      <w:rFonts w:ascii="方正小标宋_GBK" w:hAnsi="方正小标宋_GBK" w:eastAsia="方正小标宋_GBK" w:cs="方正小标宋_GBK"/>
      <w:sz w:val="36"/>
      <w:szCs w:val="36"/>
    </w:rPr>
  </w:style>
  <w:style w:type="paragraph" w:styleId="4">
    <w:name w:val="heading 2"/>
    <w:basedOn w:val="1"/>
    <w:next w:val="1"/>
    <w:link w:val="30"/>
    <w:unhideWhenUsed/>
    <w:qFormat/>
    <w:uiPriority w:val="9"/>
    <w:pPr>
      <w:overflowPunct w:val="0"/>
      <w:spacing w:before="50" w:beforeLines="50" w:after="50" w:afterLines="50" w:line="560" w:lineRule="exact"/>
      <w:ind w:firstLine="200" w:firstLineChars="200"/>
      <w:jc w:val="left"/>
      <w:outlineLvl w:val="1"/>
    </w:pPr>
    <w:rPr>
      <w:rFonts w:ascii="黑体" w:hAnsi="黑体" w:eastAsia="黑体" w:cs="方正黑体_GBK"/>
      <w:sz w:val="30"/>
      <w:szCs w:val="32"/>
    </w:rPr>
  </w:style>
  <w:style w:type="paragraph" w:styleId="5">
    <w:name w:val="heading 3"/>
    <w:basedOn w:val="1"/>
    <w:next w:val="1"/>
    <w:link w:val="32"/>
    <w:unhideWhenUsed/>
    <w:qFormat/>
    <w:uiPriority w:val="9"/>
    <w:pPr>
      <w:spacing w:before="101" w:line="226" w:lineRule="auto"/>
      <w:ind w:left="654"/>
      <w:outlineLvl w:val="2"/>
    </w:pPr>
    <w:rPr>
      <w:rFonts w:ascii="黑体" w:hAnsi="黑体" w:eastAsia="黑体" w:cs="黑体"/>
      <w:spacing w:val="7"/>
      <w:sz w:val="30"/>
      <w:szCs w:val="30"/>
    </w:rPr>
  </w:style>
  <w:style w:type="paragraph" w:styleId="6">
    <w:name w:val="heading 4"/>
    <w:basedOn w:val="1"/>
    <w:next w:val="1"/>
    <w:link w:val="7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2">
    <w:name w:val="Plain Text"/>
    <w:basedOn w:val="1"/>
    <w:link w:val="67"/>
    <w:qFormat/>
    <w:uiPriority w:val="99"/>
    <w:rPr>
      <w:rFonts w:ascii="宋体" w:hAnsi="宋体"/>
    </w:rPr>
  </w:style>
  <w:style w:type="paragraph" w:styleId="7">
    <w:name w:val="Normal Indent"/>
    <w:basedOn w:val="1"/>
    <w:semiHidden/>
    <w:unhideWhenUsed/>
    <w:qFormat/>
    <w:uiPriority w:val="99"/>
    <w:pPr>
      <w:ind w:firstLine="420" w:firstLineChars="200"/>
    </w:pPr>
  </w:style>
  <w:style w:type="paragraph" w:styleId="8">
    <w:name w:val="annotation text"/>
    <w:basedOn w:val="1"/>
    <w:link w:val="56"/>
    <w:semiHidden/>
    <w:unhideWhenUsed/>
    <w:qFormat/>
    <w:uiPriority w:val="99"/>
    <w:pPr>
      <w:jc w:val="left"/>
    </w:pPr>
  </w:style>
  <w:style w:type="paragraph" w:styleId="9">
    <w:name w:val="Body Text"/>
    <w:basedOn w:val="1"/>
    <w:link w:val="28"/>
    <w:semiHidden/>
    <w:qFormat/>
    <w:uiPriority w:val="0"/>
    <w:pPr>
      <w:widowControl/>
      <w:kinsoku w:val="0"/>
      <w:autoSpaceDE w:val="0"/>
      <w:autoSpaceDN w:val="0"/>
      <w:adjustRightInd w:val="0"/>
      <w:snapToGrid w:val="0"/>
      <w:jc w:val="left"/>
      <w:textAlignment w:val="baseline"/>
    </w:pPr>
    <w:rPr>
      <w:rFonts w:ascii="Arial" w:hAnsi="Arial" w:eastAsia="Arial" w:cs="Arial"/>
      <w:snapToGrid w:val="0"/>
      <w:color w:val="000000"/>
      <w:kern w:val="0"/>
      <w:szCs w:val="21"/>
      <w:lang w:eastAsia="en-US"/>
    </w:rPr>
  </w:style>
  <w:style w:type="paragraph" w:styleId="10">
    <w:name w:val="toc 3"/>
    <w:basedOn w:val="1"/>
    <w:next w:val="1"/>
    <w:unhideWhenUsed/>
    <w:qFormat/>
    <w:uiPriority w:val="39"/>
    <w:pPr>
      <w:ind w:left="840" w:leftChars="400"/>
    </w:pPr>
  </w:style>
  <w:style w:type="paragraph" w:styleId="11">
    <w:name w:val="Balloon Text"/>
    <w:basedOn w:val="1"/>
    <w:link w:val="55"/>
    <w:semiHidden/>
    <w:unhideWhenUsed/>
    <w:qFormat/>
    <w:uiPriority w:val="99"/>
    <w:rPr>
      <w:sz w:val="18"/>
      <w:szCs w:val="18"/>
    </w:rPr>
  </w:style>
  <w:style w:type="paragraph" w:styleId="12">
    <w:name w:val="footer"/>
    <w:basedOn w:val="1"/>
    <w:link w:val="27"/>
    <w:unhideWhenUsed/>
    <w:qFormat/>
    <w:uiPriority w:val="99"/>
    <w:pPr>
      <w:tabs>
        <w:tab w:val="center" w:pos="4153"/>
        <w:tab w:val="right" w:pos="8306"/>
      </w:tabs>
      <w:snapToGrid w:val="0"/>
      <w:jc w:val="left"/>
    </w:pPr>
    <w:rPr>
      <w:sz w:val="18"/>
      <w:szCs w:val="18"/>
    </w:rPr>
  </w:style>
  <w:style w:type="paragraph" w:styleId="13">
    <w:name w:val="header"/>
    <w:basedOn w:val="1"/>
    <w:link w:val="26"/>
    <w:unhideWhenUsed/>
    <w:qFormat/>
    <w:uiPriority w:val="99"/>
    <w:pPr>
      <w:tabs>
        <w:tab w:val="center" w:pos="4153"/>
        <w:tab w:val="right" w:pos="8306"/>
      </w:tabs>
      <w:snapToGrid w:val="0"/>
      <w:jc w:val="center"/>
    </w:pPr>
    <w:rPr>
      <w:sz w:val="18"/>
      <w:szCs w:val="18"/>
    </w:rPr>
  </w:style>
  <w:style w:type="paragraph" w:styleId="14">
    <w:name w:val="toc 1"/>
    <w:basedOn w:val="1"/>
    <w:next w:val="1"/>
    <w:unhideWhenUsed/>
    <w:qFormat/>
    <w:uiPriority w:val="39"/>
    <w:pPr>
      <w:tabs>
        <w:tab w:val="right" w:leader="dot" w:pos="8326"/>
      </w:tabs>
      <w:spacing w:line="360" w:lineRule="auto"/>
    </w:pPr>
    <w:rPr>
      <w:b/>
      <w:bCs/>
      <w:sz w:val="24"/>
      <w:szCs w:val="24"/>
    </w:rPr>
  </w:style>
  <w:style w:type="paragraph" w:styleId="15">
    <w:name w:val="toc 2"/>
    <w:basedOn w:val="1"/>
    <w:next w:val="1"/>
    <w:unhideWhenUsed/>
    <w:qFormat/>
    <w:uiPriority w:val="39"/>
    <w:pPr>
      <w:tabs>
        <w:tab w:val="right" w:leader="dot" w:pos="8326"/>
      </w:tabs>
      <w:spacing w:line="336" w:lineRule="auto"/>
      <w:ind w:left="420" w:leftChars="200"/>
    </w:pPr>
    <w:rPr>
      <w:sz w:val="24"/>
      <w:szCs w:val="24"/>
    </w:rPr>
  </w:style>
  <w:style w:type="paragraph" w:styleId="16">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szCs w:val="24"/>
    </w:rPr>
  </w:style>
  <w:style w:type="paragraph" w:styleId="17">
    <w:name w:val="Title"/>
    <w:link w:val="73"/>
    <w:qFormat/>
    <w:uiPriority w:val="0"/>
    <w:pPr>
      <w:spacing w:before="480" w:after="480" w:line="288" w:lineRule="auto"/>
    </w:pPr>
    <w:rPr>
      <w:rFonts w:ascii="Arial" w:hAnsi="Arial" w:eastAsia="等线" w:cs="Arial"/>
      <w:b/>
      <w:bCs/>
      <w:sz w:val="52"/>
      <w:szCs w:val="52"/>
      <w:lang w:val="en-US" w:eastAsia="zh-CN" w:bidi="ar-SA"/>
    </w:rPr>
  </w:style>
  <w:style w:type="paragraph" w:styleId="18">
    <w:name w:val="annotation subject"/>
    <w:basedOn w:val="8"/>
    <w:next w:val="8"/>
    <w:link w:val="57"/>
    <w:semiHidden/>
    <w:unhideWhenUsed/>
    <w:qFormat/>
    <w:uiPriority w:val="99"/>
    <w:rPr>
      <w:b/>
      <w:bCs/>
    </w:rPr>
  </w:style>
  <w:style w:type="table" w:styleId="20">
    <w:name w:val="Table Grid"/>
    <w:basedOn w:val="19"/>
    <w:qFormat/>
    <w:uiPriority w:val="5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22"/>
    <w:rPr>
      <w:b/>
      <w:bCs/>
    </w:rPr>
  </w:style>
  <w:style w:type="character" w:styleId="23">
    <w:name w:val="Emphasis"/>
    <w:basedOn w:val="21"/>
    <w:qFormat/>
    <w:uiPriority w:val="20"/>
    <w:rPr>
      <w:i/>
      <w:iCs/>
    </w:rPr>
  </w:style>
  <w:style w:type="character" w:styleId="24">
    <w:name w:val="Hyperlink"/>
    <w:basedOn w:val="21"/>
    <w:unhideWhenUsed/>
    <w:qFormat/>
    <w:uiPriority w:val="99"/>
    <w:rPr>
      <w:color w:val="0563C1" w:themeColor="hyperlink"/>
      <w:u w:val="single"/>
      <w14:textFill>
        <w14:solidFill>
          <w14:schemeClr w14:val="hlink"/>
        </w14:solidFill>
      </w14:textFill>
    </w:rPr>
  </w:style>
  <w:style w:type="character" w:styleId="25">
    <w:name w:val="annotation reference"/>
    <w:basedOn w:val="21"/>
    <w:semiHidden/>
    <w:unhideWhenUsed/>
    <w:qFormat/>
    <w:uiPriority w:val="99"/>
    <w:rPr>
      <w:sz w:val="21"/>
      <w:szCs w:val="21"/>
    </w:rPr>
  </w:style>
  <w:style w:type="character" w:customStyle="1" w:styleId="26">
    <w:name w:val="页眉 Char"/>
    <w:basedOn w:val="21"/>
    <w:link w:val="13"/>
    <w:qFormat/>
    <w:uiPriority w:val="99"/>
    <w:rPr>
      <w:rFonts w:ascii="Times New Roman" w:hAnsi="Times New Roman" w:eastAsia="宋体" w:cs="Times New Roman"/>
      <w:sz w:val="18"/>
      <w:szCs w:val="18"/>
      <w14:ligatures w14:val="none"/>
    </w:rPr>
  </w:style>
  <w:style w:type="character" w:customStyle="1" w:styleId="27">
    <w:name w:val="页脚 Char"/>
    <w:basedOn w:val="21"/>
    <w:link w:val="12"/>
    <w:qFormat/>
    <w:uiPriority w:val="99"/>
    <w:rPr>
      <w:rFonts w:ascii="Times New Roman" w:hAnsi="Times New Roman" w:eastAsia="宋体" w:cs="Times New Roman"/>
      <w:sz w:val="18"/>
      <w:szCs w:val="18"/>
      <w14:ligatures w14:val="none"/>
    </w:rPr>
  </w:style>
  <w:style w:type="character" w:customStyle="1" w:styleId="28">
    <w:name w:val="正文文本 Char"/>
    <w:basedOn w:val="21"/>
    <w:link w:val="9"/>
    <w:semiHidden/>
    <w:qFormat/>
    <w:uiPriority w:val="0"/>
    <w:rPr>
      <w:rFonts w:ascii="Arial" w:hAnsi="Arial" w:eastAsia="Arial" w:cs="Arial"/>
      <w:snapToGrid w:val="0"/>
      <w:color w:val="000000"/>
      <w:kern w:val="0"/>
      <w:szCs w:val="21"/>
      <w:lang w:eastAsia="en-US"/>
      <w14:ligatures w14:val="none"/>
    </w:rPr>
  </w:style>
  <w:style w:type="character" w:customStyle="1" w:styleId="29">
    <w:name w:val="标题 1 Char"/>
    <w:basedOn w:val="21"/>
    <w:link w:val="3"/>
    <w:qFormat/>
    <w:uiPriority w:val="9"/>
    <w:rPr>
      <w:rFonts w:ascii="方正小标宋_GBK" w:hAnsi="方正小标宋_GBK" w:eastAsia="方正小标宋_GBK" w:cs="方正小标宋_GBK"/>
      <w:sz w:val="36"/>
      <w:szCs w:val="36"/>
      <w14:ligatures w14:val="none"/>
    </w:rPr>
  </w:style>
  <w:style w:type="character" w:customStyle="1" w:styleId="30">
    <w:name w:val="标题 2 Char"/>
    <w:basedOn w:val="21"/>
    <w:link w:val="4"/>
    <w:qFormat/>
    <w:uiPriority w:val="9"/>
    <w:rPr>
      <w:rFonts w:ascii="黑体" w:hAnsi="黑体" w:eastAsia="黑体" w:cs="方正黑体_GBK"/>
      <w:kern w:val="2"/>
      <w:sz w:val="30"/>
      <w:szCs w:val="32"/>
    </w:rPr>
  </w:style>
  <w:style w:type="paragraph" w:styleId="31">
    <w:name w:val="List Paragraph"/>
    <w:basedOn w:val="1"/>
    <w:qFormat/>
    <w:uiPriority w:val="34"/>
    <w:pPr>
      <w:ind w:firstLine="420" w:firstLineChars="200"/>
    </w:pPr>
  </w:style>
  <w:style w:type="character" w:customStyle="1" w:styleId="32">
    <w:name w:val="标题 3 Char"/>
    <w:basedOn w:val="21"/>
    <w:link w:val="5"/>
    <w:qFormat/>
    <w:uiPriority w:val="9"/>
    <w:rPr>
      <w:rFonts w:ascii="黑体" w:hAnsi="黑体" w:eastAsia="黑体" w:cs="黑体"/>
      <w:spacing w:val="7"/>
      <w:sz w:val="30"/>
      <w:szCs w:val="30"/>
      <w14:ligatures w14:val="none"/>
    </w:rPr>
  </w:style>
  <w:style w:type="paragraph" w:customStyle="1" w:styleId="33">
    <w:name w:val="TOC 标题1"/>
    <w:basedOn w:val="3"/>
    <w:next w:val="1"/>
    <w:unhideWhenUsed/>
    <w:qFormat/>
    <w:uiPriority w:val="39"/>
    <w:pPr>
      <w:keepNext/>
      <w:keepLines/>
      <w:widowControl/>
      <w:overflowPunct/>
      <w:spacing w:beforeLines="0" w:after="0" w:afterLines="0" w:line="259" w:lineRule="auto"/>
      <w:jc w:val="left"/>
      <w:outlineLvl w:val="9"/>
    </w:pPr>
    <w:rPr>
      <w:rFonts w:asciiTheme="majorHAnsi" w:hAnsiTheme="majorHAnsi" w:eastAsiaTheme="majorEastAsia" w:cstheme="majorBidi"/>
      <w:color w:val="2F5597" w:themeColor="accent1" w:themeShade="BF"/>
      <w:kern w:val="0"/>
      <w:sz w:val="32"/>
      <w:szCs w:val="32"/>
    </w:rPr>
  </w:style>
  <w:style w:type="character" w:customStyle="1" w:styleId="34">
    <w:name w:val="text_sfl7l"/>
    <w:basedOn w:val="21"/>
    <w:qFormat/>
    <w:uiPriority w:val="0"/>
  </w:style>
  <w:style w:type="table" w:customStyle="1" w:styleId="35">
    <w:name w:val="Table Normal"/>
    <w:semiHidden/>
    <w:unhideWhenUsed/>
    <w:qFormat/>
    <w:uiPriority w:val="0"/>
    <w:rPr>
      <w:rFonts w:ascii="Arial" w:hAnsi="Arial" w:cs="Arial"/>
    </w:rPr>
    <w:tblPr>
      <w:tblCellMar>
        <w:top w:w="0" w:type="dxa"/>
        <w:left w:w="0" w:type="dxa"/>
        <w:bottom w:w="0" w:type="dxa"/>
        <w:right w:w="0" w:type="dxa"/>
      </w:tblCellMar>
    </w:tblPr>
  </w:style>
  <w:style w:type="paragraph" w:customStyle="1" w:styleId="36">
    <w:name w:val="Table Text"/>
    <w:basedOn w:val="1"/>
    <w:semiHidden/>
    <w:qFormat/>
    <w:uiPriority w:val="0"/>
    <w:pPr>
      <w:widowControl/>
      <w:kinsoku w:val="0"/>
      <w:autoSpaceDE w:val="0"/>
      <w:autoSpaceDN w:val="0"/>
      <w:adjustRightInd w:val="0"/>
      <w:snapToGrid w:val="0"/>
      <w:spacing w:before="189" w:line="189" w:lineRule="auto"/>
      <w:jc w:val="center"/>
      <w:textAlignment w:val="baseline"/>
    </w:pPr>
    <w:rPr>
      <w:rFonts w:eastAsia="Times New Roman"/>
      <w:snapToGrid w:val="0"/>
      <w:color w:val="000000"/>
      <w:kern w:val="0"/>
      <w:sz w:val="22"/>
      <w:lang w:eastAsia="en-US"/>
    </w:rPr>
  </w:style>
  <w:style w:type="character" w:customStyle="1" w:styleId="37">
    <w:name w:val="font41"/>
    <w:basedOn w:val="21"/>
    <w:qFormat/>
    <w:uiPriority w:val="0"/>
    <w:rPr>
      <w:rFonts w:hint="eastAsia" w:ascii="仿宋" w:hAnsi="仿宋" w:eastAsia="仿宋"/>
      <w:b/>
      <w:bCs/>
      <w:color w:val="000000"/>
      <w:sz w:val="22"/>
      <w:szCs w:val="22"/>
      <w:u w:val="none"/>
    </w:rPr>
  </w:style>
  <w:style w:type="character" w:customStyle="1" w:styleId="38">
    <w:name w:val="font11"/>
    <w:basedOn w:val="21"/>
    <w:qFormat/>
    <w:uiPriority w:val="0"/>
    <w:rPr>
      <w:rFonts w:hint="eastAsia" w:ascii="仿宋" w:hAnsi="仿宋" w:eastAsia="仿宋"/>
      <w:color w:val="000000"/>
      <w:sz w:val="22"/>
      <w:szCs w:val="22"/>
      <w:u w:val="none"/>
    </w:rPr>
  </w:style>
  <w:style w:type="character" w:customStyle="1" w:styleId="39">
    <w:name w:val="font71"/>
    <w:basedOn w:val="21"/>
    <w:qFormat/>
    <w:uiPriority w:val="0"/>
    <w:rPr>
      <w:rFonts w:hint="eastAsia" w:ascii="仿宋" w:hAnsi="仿宋" w:eastAsia="仿宋"/>
      <w:color w:val="000000"/>
      <w:sz w:val="22"/>
      <w:szCs w:val="22"/>
      <w:u w:val="none"/>
    </w:rPr>
  </w:style>
  <w:style w:type="character" w:customStyle="1" w:styleId="40">
    <w:name w:val="font31"/>
    <w:basedOn w:val="21"/>
    <w:qFormat/>
    <w:uiPriority w:val="0"/>
    <w:rPr>
      <w:rFonts w:hint="default" w:ascii="Times New Roman" w:hAnsi="Times New Roman" w:cs="Times New Roman"/>
      <w:color w:val="000000"/>
      <w:sz w:val="22"/>
      <w:szCs w:val="22"/>
      <w:u w:val="none"/>
    </w:rPr>
  </w:style>
  <w:style w:type="character" w:customStyle="1" w:styleId="41">
    <w:name w:val="font21"/>
    <w:basedOn w:val="21"/>
    <w:qFormat/>
    <w:uiPriority w:val="0"/>
    <w:rPr>
      <w:rFonts w:hint="eastAsia" w:ascii="仿宋" w:hAnsi="仿宋" w:eastAsia="仿宋"/>
      <w:b/>
      <w:bCs/>
      <w:color w:val="000000"/>
      <w:sz w:val="22"/>
      <w:szCs w:val="22"/>
      <w:u w:val="none"/>
    </w:rPr>
  </w:style>
  <w:style w:type="character" w:customStyle="1" w:styleId="42">
    <w:name w:val="font51"/>
    <w:basedOn w:val="21"/>
    <w:qFormat/>
    <w:uiPriority w:val="0"/>
    <w:rPr>
      <w:rFonts w:hint="eastAsia" w:ascii="仿宋" w:hAnsi="仿宋" w:eastAsia="仿宋"/>
      <w:color w:val="000000"/>
      <w:sz w:val="22"/>
      <w:szCs w:val="22"/>
      <w:u w:val="none"/>
    </w:rPr>
  </w:style>
  <w:style w:type="character" w:customStyle="1" w:styleId="43">
    <w:name w:val="font61"/>
    <w:basedOn w:val="21"/>
    <w:qFormat/>
    <w:uiPriority w:val="0"/>
    <w:rPr>
      <w:rFonts w:hint="eastAsia" w:ascii="仿宋" w:hAnsi="仿宋" w:eastAsia="仿宋"/>
      <w:color w:val="000000"/>
      <w:sz w:val="22"/>
      <w:szCs w:val="22"/>
      <w:u w:val="none"/>
    </w:rPr>
  </w:style>
  <w:style w:type="paragraph" w:customStyle="1" w:styleId="44">
    <w:name w:val="WPSOffice手动目录 1"/>
    <w:qFormat/>
    <w:uiPriority w:val="0"/>
    <w:rPr>
      <w:rFonts w:asciiTheme="minorHAnsi" w:hAnsiTheme="minorHAnsi" w:eastAsiaTheme="minorEastAsia" w:cstheme="minorBidi"/>
      <w:lang w:val="en-US" w:eastAsia="zh-CN" w:bidi="ar-SA"/>
    </w:rPr>
  </w:style>
  <w:style w:type="paragraph" w:customStyle="1" w:styleId="45">
    <w:name w:val="WPSOffice手动目录 2"/>
    <w:qFormat/>
    <w:uiPriority w:val="0"/>
    <w:pPr>
      <w:ind w:left="200" w:leftChars="200"/>
    </w:pPr>
    <w:rPr>
      <w:rFonts w:asciiTheme="minorHAnsi" w:hAnsiTheme="minorHAnsi" w:eastAsiaTheme="minorEastAsia" w:cstheme="minorBidi"/>
      <w:lang w:val="en-US" w:eastAsia="zh-CN" w:bidi="ar-SA"/>
    </w:rPr>
  </w:style>
  <w:style w:type="character" w:customStyle="1" w:styleId="46">
    <w:name w:val="font14"/>
    <w:basedOn w:val="21"/>
    <w:qFormat/>
    <w:uiPriority w:val="0"/>
    <w:rPr>
      <w:rFonts w:hint="eastAsia" w:ascii="仿宋" w:hAnsi="仿宋" w:eastAsia="仿宋"/>
      <w:b/>
      <w:bCs/>
      <w:color w:val="000000"/>
      <w:sz w:val="22"/>
      <w:szCs w:val="22"/>
      <w:u w:val="none"/>
    </w:rPr>
  </w:style>
  <w:style w:type="character" w:customStyle="1" w:styleId="47">
    <w:name w:val="font13"/>
    <w:basedOn w:val="21"/>
    <w:qFormat/>
    <w:uiPriority w:val="0"/>
    <w:rPr>
      <w:rFonts w:hint="default" w:ascii="Times New Roman" w:hAnsi="Times New Roman" w:cs="Times New Roman"/>
      <w:b/>
      <w:bCs/>
      <w:color w:val="000000"/>
      <w:sz w:val="22"/>
      <w:szCs w:val="22"/>
      <w:u w:val="none"/>
    </w:rPr>
  </w:style>
  <w:style w:type="character" w:customStyle="1" w:styleId="48">
    <w:name w:val="font91"/>
    <w:basedOn w:val="21"/>
    <w:qFormat/>
    <w:uiPriority w:val="0"/>
    <w:rPr>
      <w:rFonts w:hint="eastAsia" w:ascii="宋体" w:hAnsi="宋体" w:eastAsia="宋体"/>
      <w:b/>
      <w:bCs/>
      <w:color w:val="000000"/>
      <w:sz w:val="22"/>
      <w:szCs w:val="22"/>
      <w:u w:val="none"/>
    </w:rPr>
  </w:style>
  <w:style w:type="character" w:customStyle="1" w:styleId="49">
    <w:name w:val="font101"/>
    <w:basedOn w:val="21"/>
    <w:qFormat/>
    <w:uiPriority w:val="0"/>
    <w:rPr>
      <w:rFonts w:hint="eastAsia" w:ascii="仿宋" w:hAnsi="仿宋" w:eastAsia="仿宋"/>
      <w:b/>
      <w:bCs/>
      <w:color w:val="000000"/>
      <w:sz w:val="22"/>
      <w:szCs w:val="22"/>
      <w:u w:val="none"/>
    </w:rPr>
  </w:style>
  <w:style w:type="character" w:customStyle="1" w:styleId="50">
    <w:name w:val="font111"/>
    <w:basedOn w:val="21"/>
    <w:qFormat/>
    <w:uiPriority w:val="0"/>
    <w:rPr>
      <w:rFonts w:hint="eastAsia" w:ascii="仿宋" w:hAnsi="仿宋" w:eastAsia="仿宋"/>
      <w:b/>
      <w:bCs/>
      <w:color w:val="000000"/>
      <w:sz w:val="22"/>
      <w:szCs w:val="22"/>
      <w:u w:val="none"/>
    </w:rPr>
  </w:style>
  <w:style w:type="character" w:customStyle="1" w:styleId="51">
    <w:name w:val="font121"/>
    <w:basedOn w:val="21"/>
    <w:qFormat/>
    <w:uiPriority w:val="0"/>
    <w:rPr>
      <w:rFonts w:hint="default" w:ascii="Times New Roman" w:hAnsi="Times New Roman" w:cs="Times New Roman"/>
      <w:color w:val="000000"/>
      <w:sz w:val="22"/>
      <w:szCs w:val="22"/>
      <w:u w:val="none"/>
    </w:rPr>
  </w:style>
  <w:style w:type="character" w:customStyle="1" w:styleId="52">
    <w:name w:val="font12"/>
    <w:basedOn w:val="21"/>
    <w:qFormat/>
    <w:uiPriority w:val="0"/>
    <w:rPr>
      <w:rFonts w:hint="default" w:ascii="Times New Roman" w:hAnsi="Times New Roman" w:cs="Times New Roman"/>
      <w:b/>
      <w:bCs/>
      <w:color w:val="000000"/>
      <w:sz w:val="22"/>
      <w:szCs w:val="22"/>
      <w:u w:val="none"/>
    </w:rPr>
  </w:style>
  <w:style w:type="paragraph" w:customStyle="1" w:styleId="53">
    <w:name w:val="修订1"/>
    <w:hidden/>
    <w:unhideWhenUsed/>
    <w:qFormat/>
    <w:uiPriority w:val="99"/>
    <w:rPr>
      <w:rFonts w:ascii="Times New Roman" w:hAnsi="Times New Roman" w:eastAsia="宋体" w:cs="Times New Roman"/>
      <w:kern w:val="2"/>
      <w:sz w:val="21"/>
      <w:szCs w:val="22"/>
      <w:lang w:val="en-US" w:eastAsia="zh-CN" w:bidi="ar-SA"/>
    </w:rPr>
  </w:style>
  <w:style w:type="paragraph" w:customStyle="1" w:styleId="54">
    <w:name w:val="修订2"/>
    <w:hidden/>
    <w:unhideWhenUsed/>
    <w:qFormat/>
    <w:uiPriority w:val="99"/>
    <w:rPr>
      <w:rFonts w:ascii="Times New Roman" w:hAnsi="Times New Roman" w:eastAsia="宋体" w:cs="Times New Roman"/>
      <w:kern w:val="2"/>
      <w:sz w:val="21"/>
      <w:szCs w:val="22"/>
      <w:lang w:val="en-US" w:eastAsia="zh-CN" w:bidi="ar-SA"/>
    </w:rPr>
  </w:style>
  <w:style w:type="character" w:customStyle="1" w:styleId="55">
    <w:name w:val="批注框文本 Char"/>
    <w:basedOn w:val="21"/>
    <w:link w:val="11"/>
    <w:semiHidden/>
    <w:qFormat/>
    <w:uiPriority w:val="99"/>
    <w:rPr>
      <w:kern w:val="2"/>
      <w:sz w:val="18"/>
      <w:szCs w:val="18"/>
    </w:rPr>
  </w:style>
  <w:style w:type="character" w:customStyle="1" w:styleId="56">
    <w:name w:val="批注文字 Char"/>
    <w:basedOn w:val="21"/>
    <w:link w:val="8"/>
    <w:semiHidden/>
    <w:qFormat/>
    <w:uiPriority w:val="99"/>
    <w:rPr>
      <w:kern w:val="2"/>
      <w:sz w:val="21"/>
      <w:szCs w:val="22"/>
    </w:rPr>
  </w:style>
  <w:style w:type="character" w:customStyle="1" w:styleId="57">
    <w:name w:val="批注主题 Char"/>
    <w:basedOn w:val="56"/>
    <w:link w:val="18"/>
    <w:semiHidden/>
    <w:qFormat/>
    <w:uiPriority w:val="99"/>
    <w:rPr>
      <w:b/>
      <w:bCs/>
      <w:kern w:val="2"/>
      <w:sz w:val="21"/>
      <w:szCs w:val="22"/>
    </w:rPr>
  </w:style>
  <w:style w:type="paragraph" w:customStyle="1" w:styleId="58">
    <w:name w:val="标准文件_段"/>
    <w:link w:val="59"/>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9">
    <w:name w:val="标准文件_段 Char"/>
    <w:link w:val="58"/>
    <w:qFormat/>
    <w:uiPriority w:val="0"/>
    <w:rPr>
      <w:rFonts w:ascii="宋体"/>
      <w:sz w:val="21"/>
    </w:rPr>
  </w:style>
  <w:style w:type="paragraph" w:customStyle="1" w:styleId="60">
    <w:name w:val="标准文件_二级条标题"/>
    <w:next w:val="58"/>
    <w:qFormat/>
    <w:uiPriority w:val="0"/>
    <w:pPr>
      <w:widowControl w:val="0"/>
      <w:numPr>
        <w:ilvl w:val="3"/>
        <w:numId w:val="1"/>
      </w:numPr>
      <w:spacing w:before="50" w:beforeLines="50" w:after="50" w:afterLines="50"/>
      <w:jc w:val="both"/>
      <w:outlineLvl w:val="2"/>
    </w:pPr>
    <w:rPr>
      <w:rFonts w:ascii="黑体" w:hAnsi="Times New Roman" w:eastAsia="黑体" w:cs="Times New Roman"/>
      <w:sz w:val="21"/>
      <w:lang w:val="en-US" w:eastAsia="zh-CN" w:bidi="ar-SA"/>
    </w:rPr>
  </w:style>
  <w:style w:type="paragraph" w:customStyle="1" w:styleId="61">
    <w:name w:val="标准文件_三级条标题"/>
    <w:basedOn w:val="60"/>
    <w:next w:val="58"/>
    <w:qFormat/>
    <w:uiPriority w:val="0"/>
    <w:pPr>
      <w:widowControl/>
      <w:numPr>
        <w:ilvl w:val="4"/>
      </w:numPr>
      <w:outlineLvl w:val="3"/>
    </w:pPr>
  </w:style>
  <w:style w:type="paragraph" w:customStyle="1" w:styleId="62">
    <w:name w:val="标准文件_四级条标题"/>
    <w:next w:val="58"/>
    <w:qFormat/>
    <w:uiPriority w:val="0"/>
    <w:pPr>
      <w:widowControl w:val="0"/>
      <w:numPr>
        <w:ilvl w:val="5"/>
        <w:numId w:val="1"/>
      </w:numPr>
      <w:spacing w:before="50" w:beforeLines="50" w:after="50" w:afterLines="50"/>
      <w:jc w:val="both"/>
      <w:outlineLvl w:val="4"/>
    </w:pPr>
    <w:rPr>
      <w:rFonts w:ascii="黑体" w:hAnsi="Times New Roman" w:eastAsia="黑体" w:cs="Times New Roman"/>
      <w:sz w:val="21"/>
      <w:lang w:val="en-US" w:eastAsia="zh-CN" w:bidi="ar-SA"/>
    </w:rPr>
  </w:style>
  <w:style w:type="paragraph" w:customStyle="1" w:styleId="63">
    <w:name w:val="标准文件_五级条标题"/>
    <w:next w:val="58"/>
    <w:qFormat/>
    <w:uiPriority w:val="0"/>
    <w:pPr>
      <w:widowControl w:val="0"/>
      <w:numPr>
        <w:ilvl w:val="6"/>
        <w:numId w:val="1"/>
      </w:numPr>
      <w:spacing w:before="50" w:beforeLines="50" w:after="50" w:afterLines="50"/>
      <w:jc w:val="both"/>
      <w:outlineLvl w:val="5"/>
    </w:pPr>
    <w:rPr>
      <w:rFonts w:ascii="黑体" w:hAnsi="Times New Roman" w:eastAsia="黑体" w:cs="Times New Roman"/>
      <w:sz w:val="21"/>
      <w:lang w:val="en-US" w:eastAsia="zh-CN" w:bidi="ar-SA"/>
    </w:rPr>
  </w:style>
  <w:style w:type="paragraph" w:customStyle="1" w:styleId="64">
    <w:name w:val="标准文件_章标题"/>
    <w:next w:val="58"/>
    <w:qFormat/>
    <w:uiPriority w:val="0"/>
    <w:pPr>
      <w:numPr>
        <w:ilvl w:val="1"/>
        <w:numId w:val="1"/>
      </w:numPr>
      <w:spacing w:before="100" w:beforeLines="100" w:after="100" w:afterLines="100"/>
      <w:jc w:val="both"/>
      <w:outlineLvl w:val="0"/>
    </w:pPr>
    <w:rPr>
      <w:rFonts w:ascii="黑体" w:hAnsi="Times New Roman" w:eastAsia="黑体" w:cs="Times New Roman"/>
      <w:sz w:val="21"/>
      <w:lang w:val="en-US" w:eastAsia="zh-CN" w:bidi="ar-SA"/>
    </w:rPr>
  </w:style>
  <w:style w:type="paragraph" w:customStyle="1" w:styleId="65">
    <w:name w:val="标准文件_一级条标题"/>
    <w:basedOn w:val="64"/>
    <w:next w:val="58"/>
    <w:qFormat/>
    <w:uiPriority w:val="0"/>
    <w:pPr>
      <w:numPr>
        <w:ilvl w:val="2"/>
      </w:numPr>
      <w:spacing w:before="50" w:beforeLines="50" w:after="50" w:afterLines="50"/>
      <w:outlineLvl w:val="1"/>
    </w:pPr>
  </w:style>
  <w:style w:type="paragraph" w:customStyle="1" w:styleId="66">
    <w:name w:val="前言标题"/>
    <w:next w:val="1"/>
    <w:qFormat/>
    <w:uiPriority w:val="0"/>
    <w:pPr>
      <w:numPr>
        <w:ilvl w:val="0"/>
        <w:numId w:val="1"/>
      </w:numPr>
      <w:shd w:val="clear" w:color="FFFFFF" w:fill="FFFFFF"/>
      <w:spacing w:before="540" w:after="600"/>
      <w:jc w:val="center"/>
      <w:outlineLvl w:val="0"/>
    </w:pPr>
    <w:rPr>
      <w:rFonts w:ascii="黑体" w:hAnsi="Times New Roman" w:eastAsia="黑体" w:cs="Times New Roman"/>
      <w:sz w:val="32"/>
      <w:lang w:val="en-US" w:eastAsia="zh-CN" w:bidi="ar-SA"/>
    </w:rPr>
  </w:style>
  <w:style w:type="character" w:customStyle="1" w:styleId="67">
    <w:name w:val="纯文本 Char"/>
    <w:basedOn w:val="21"/>
    <w:link w:val="2"/>
    <w:qFormat/>
    <w:uiPriority w:val="99"/>
    <w:rPr>
      <w:rFonts w:ascii="宋体" w:hAnsi="宋体"/>
      <w:kern w:val="2"/>
      <w:sz w:val="21"/>
      <w:szCs w:val="22"/>
    </w:rPr>
  </w:style>
  <w:style w:type="paragraph" w:customStyle="1" w:styleId="68">
    <w:name w:val="标准文件_数字编号列项（二级）"/>
    <w:qFormat/>
    <w:uiPriority w:val="0"/>
    <w:pPr>
      <w:numPr>
        <w:ilvl w:val="1"/>
        <w:numId w:val="2"/>
      </w:numPr>
      <w:tabs>
        <w:tab w:val="left" w:pos="851"/>
      </w:tabs>
      <w:jc w:val="both"/>
    </w:pPr>
    <w:rPr>
      <w:rFonts w:ascii="宋体" w:hAnsi="Times New Roman" w:eastAsia="宋体" w:cs="Times New Roman"/>
      <w:sz w:val="21"/>
      <w:lang w:val="en-US" w:eastAsia="zh-CN" w:bidi="ar-SA"/>
    </w:rPr>
  </w:style>
  <w:style w:type="paragraph" w:customStyle="1" w:styleId="69">
    <w:name w:val="标准文件_编号列项（三级）"/>
    <w:qFormat/>
    <w:uiPriority w:val="0"/>
    <w:pPr>
      <w:numPr>
        <w:ilvl w:val="2"/>
        <w:numId w:val="2"/>
      </w:numPr>
      <w:tabs>
        <w:tab w:val="left" w:pos="851"/>
      </w:tabs>
    </w:pPr>
    <w:rPr>
      <w:rFonts w:ascii="宋体" w:hAnsi="Times New Roman" w:eastAsia="宋体" w:cs="Times New Roman"/>
      <w:sz w:val="21"/>
      <w:lang w:val="en-US" w:eastAsia="zh-CN" w:bidi="ar-SA"/>
    </w:rPr>
  </w:style>
  <w:style w:type="paragraph" w:customStyle="1" w:styleId="70">
    <w:name w:val="标准文件_字母编号列项（一级）"/>
    <w:qFormat/>
    <w:uiPriority w:val="0"/>
    <w:pPr>
      <w:tabs>
        <w:tab w:val="left" w:pos="851"/>
      </w:tabs>
      <w:ind w:left="425"/>
      <w:jc w:val="both"/>
    </w:pPr>
    <w:rPr>
      <w:rFonts w:ascii="宋体" w:hAnsi="Times New Roman" w:eastAsia="宋体" w:cs="Times New Roman"/>
      <w:sz w:val="21"/>
      <w:lang w:val="en-US" w:eastAsia="zh-CN" w:bidi="ar-SA"/>
    </w:rPr>
  </w:style>
  <w:style w:type="character" w:customStyle="1" w:styleId="71">
    <w:name w:val="标题 4 Char"/>
    <w:basedOn w:val="21"/>
    <w:link w:val="6"/>
    <w:qFormat/>
    <w:uiPriority w:val="9"/>
    <w:rPr>
      <w:rFonts w:asciiTheme="majorHAnsi" w:hAnsiTheme="majorHAnsi" w:eastAsiaTheme="majorEastAsia" w:cstheme="majorBidi"/>
      <w:b/>
      <w:bCs/>
      <w:kern w:val="2"/>
      <w:sz w:val="28"/>
      <w:szCs w:val="28"/>
    </w:rPr>
  </w:style>
  <w:style w:type="paragraph" w:customStyle="1" w:styleId="72">
    <w:name w:val="TOC 标题2"/>
    <w:basedOn w:val="3"/>
    <w:next w:val="1"/>
    <w:semiHidden/>
    <w:unhideWhenUsed/>
    <w:qFormat/>
    <w:uiPriority w:val="39"/>
    <w:pPr>
      <w:keepNext/>
      <w:keepLines/>
      <w:widowControl/>
      <w:overflowPunct/>
      <w:spacing w:before="480" w:beforeLines="0" w:after="0" w:afterLines="0" w:line="276" w:lineRule="auto"/>
      <w:jc w:val="left"/>
      <w:outlineLvl w:val="9"/>
    </w:pPr>
    <w:rPr>
      <w:rFonts w:asciiTheme="majorHAnsi" w:hAnsiTheme="majorHAnsi" w:eastAsiaTheme="majorEastAsia" w:cstheme="majorBidi"/>
      <w:b/>
      <w:bCs/>
      <w:color w:val="2F5597" w:themeColor="accent1" w:themeShade="BF"/>
      <w:kern w:val="0"/>
      <w:sz w:val="28"/>
      <w:szCs w:val="28"/>
    </w:rPr>
  </w:style>
  <w:style w:type="character" w:customStyle="1" w:styleId="73">
    <w:name w:val="标题 Char"/>
    <w:basedOn w:val="21"/>
    <w:link w:val="17"/>
    <w:qFormat/>
    <w:uiPriority w:val="0"/>
    <w:rPr>
      <w:rFonts w:ascii="Arial" w:hAnsi="Arial" w:eastAsia="等线" w:cs="Arial"/>
      <w:b/>
      <w:bCs/>
      <w:sz w:val="52"/>
      <w:szCs w:val="5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42</Pages>
  <Words>2944</Words>
  <Characters>16786</Characters>
  <Lines>139</Lines>
  <Paragraphs>39</Paragraphs>
  <TotalTime>14</TotalTime>
  <ScaleCrop>false</ScaleCrop>
  <LinksUpToDate>false</LinksUpToDate>
  <CharactersWithSpaces>19691</CharactersWithSpaces>
  <Application>WPS Office_12.8.2.1112_F1E327BC-269C-435d-A152-05C5408002CA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2025-06-16T17:10:00Z</dcterms:created>
  <dc:creator>A70527</dc:creator>
  <cp:lastModifiedBy>uos</cp:lastModifiedBy>
  <cp:lastPrinted>2025-02-15T02:56:00Z</cp:lastPrinted>
  <dcterms:modified xsi:type="dcterms:W3CDTF">2025-07-21T17:27:02Z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2052-12.8.2.1112</vt:lpwstr>
  </property>
  <property fmtid="{D5CDD505-2E9C-101B-9397-08002B2CF9AE}" pid="3" name="ICV">
    <vt:lpwstr>62BD2E414855FB9D99794F68D9EFC3BD_43</vt:lpwstr>
  </property>
</Properties>
</file>