
<file path=[Content_Types].xml><?xml version="1.0" encoding="utf-8"?>
<Types xmlns="http://schemas.openxmlformats.org/package/2006/content-types">
  <Default Extension="xml" ContentType="application/xml"/>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黑体" w:hAnsi="黑体" w:eastAsia="黑体"/>
          <w:sz w:val="32"/>
          <w:szCs w:val="32"/>
        </w:rPr>
      </w:pPr>
      <w:r>
        <w:rPr>
          <w:rFonts w:hint="eastAsia" w:ascii="黑体" w:hAnsi="黑体" w:eastAsia="黑体"/>
          <w:sz w:val="32"/>
          <w:szCs w:val="32"/>
        </w:rPr>
        <w:t xml:space="preserve">附件                                                                                                                                                                                                                                                                                                                                                                                                                                  </w:t>
      </w:r>
    </w:p>
    <w:p>
      <w:pPr>
        <w:spacing w:line="360" w:lineRule="auto"/>
        <w:ind w:firstLine="800" w:firstLineChars="200"/>
        <w:rPr>
          <w:rFonts w:ascii="黑体" w:hAnsi="黑体" w:eastAsia="黑体"/>
          <w:sz w:val="40"/>
        </w:rPr>
      </w:pPr>
    </w:p>
    <w:p>
      <w:pPr>
        <w:spacing w:line="360" w:lineRule="auto"/>
        <w:ind w:firstLine="800" w:firstLineChars="200"/>
        <w:rPr>
          <w:rFonts w:ascii="黑体" w:hAnsi="黑体" w:eastAsia="黑体"/>
          <w:sz w:val="40"/>
        </w:rPr>
      </w:pPr>
    </w:p>
    <w:p>
      <w:pPr>
        <w:spacing w:line="360" w:lineRule="auto"/>
        <w:ind w:firstLine="800" w:firstLineChars="200"/>
        <w:rPr>
          <w:rFonts w:ascii="黑体" w:hAnsi="黑体" w:eastAsia="黑体"/>
          <w:sz w:val="40"/>
        </w:rPr>
      </w:pPr>
    </w:p>
    <w:p>
      <w:pPr>
        <w:spacing w:line="360" w:lineRule="auto"/>
        <w:ind w:firstLine="800" w:firstLineChars="200"/>
        <w:rPr>
          <w:rFonts w:ascii="黑体" w:hAnsi="黑体" w:eastAsia="黑体"/>
          <w:sz w:val="40"/>
        </w:rPr>
      </w:pPr>
    </w:p>
    <w:p>
      <w:pPr>
        <w:spacing w:line="360" w:lineRule="auto"/>
        <w:jc w:val="center"/>
        <w:rPr>
          <w:rFonts w:ascii="黑体" w:hAnsi="黑体" w:eastAsia="黑体"/>
          <w:b/>
          <w:sz w:val="56"/>
          <w:szCs w:val="30"/>
        </w:rPr>
      </w:pPr>
      <w:r>
        <w:rPr>
          <w:rFonts w:hint="eastAsia" w:ascii="黑体" w:hAnsi="黑体" w:eastAsia="黑体"/>
          <w:b/>
          <w:sz w:val="56"/>
          <w:szCs w:val="30"/>
        </w:rPr>
        <w:t>北京森林城市发展规划</w:t>
      </w:r>
    </w:p>
    <w:p>
      <w:pPr>
        <w:spacing w:line="360" w:lineRule="auto"/>
        <w:jc w:val="center"/>
        <w:rPr>
          <w:rFonts w:ascii="黑体" w:hAnsi="黑体" w:eastAsia="黑体"/>
          <w:b/>
          <w:sz w:val="56"/>
          <w:szCs w:val="30"/>
        </w:rPr>
      </w:pPr>
      <w:r>
        <w:rPr>
          <w:rFonts w:hint="eastAsia" w:ascii="黑体" w:hAnsi="黑体" w:eastAsia="黑体"/>
          <w:b/>
          <w:sz w:val="56"/>
          <w:szCs w:val="30"/>
        </w:rPr>
        <w:t>（2018年-2035年）</w:t>
      </w:r>
    </w:p>
    <w:p>
      <w:pPr>
        <w:spacing w:line="360" w:lineRule="auto"/>
        <w:rPr>
          <w:rFonts w:ascii="黑体" w:hAnsi="黑体" w:eastAsia="黑体"/>
          <w:sz w:val="56"/>
          <w:szCs w:val="30"/>
        </w:rPr>
      </w:pPr>
    </w:p>
    <w:p>
      <w:pPr>
        <w:spacing w:line="360" w:lineRule="auto"/>
        <w:rPr>
          <w:rFonts w:ascii="黑体" w:hAnsi="黑体" w:eastAsia="黑体"/>
          <w:sz w:val="56"/>
          <w:szCs w:val="30"/>
        </w:rPr>
      </w:pPr>
    </w:p>
    <w:p>
      <w:pPr>
        <w:spacing w:line="360" w:lineRule="auto"/>
        <w:rPr>
          <w:rFonts w:ascii="黑体" w:hAnsi="黑体" w:eastAsia="黑体"/>
          <w:sz w:val="56"/>
          <w:szCs w:val="30"/>
        </w:rPr>
      </w:pPr>
    </w:p>
    <w:p>
      <w:pPr>
        <w:spacing w:line="360" w:lineRule="auto"/>
        <w:rPr>
          <w:rFonts w:ascii="黑体" w:hAnsi="黑体" w:eastAsia="黑体"/>
          <w:sz w:val="56"/>
          <w:szCs w:val="30"/>
        </w:rPr>
      </w:pPr>
    </w:p>
    <w:p>
      <w:pPr>
        <w:spacing w:line="360" w:lineRule="auto"/>
        <w:rPr>
          <w:rFonts w:ascii="黑体" w:hAnsi="黑体" w:eastAsia="黑体"/>
          <w:sz w:val="56"/>
          <w:szCs w:val="30"/>
        </w:rPr>
      </w:pPr>
    </w:p>
    <w:p>
      <w:pPr>
        <w:spacing w:line="360" w:lineRule="auto"/>
        <w:rPr>
          <w:rFonts w:ascii="黑体" w:hAnsi="黑体" w:eastAsia="黑体"/>
          <w:sz w:val="56"/>
          <w:szCs w:val="30"/>
        </w:rPr>
      </w:pPr>
    </w:p>
    <w:tbl>
      <w:tblPr>
        <w:tblStyle w:val="28"/>
        <w:tblW w:w="0" w:type="auto"/>
        <w:tblInd w:w="14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5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28" w:type="dxa"/>
          </w:tcPr>
          <w:p>
            <w:pPr>
              <w:spacing w:line="360" w:lineRule="auto"/>
              <w:jc w:val="distribute"/>
              <w:rPr>
                <w:rFonts w:ascii="黑体" w:hAnsi="黑体" w:eastAsia="黑体"/>
                <w:sz w:val="56"/>
                <w:szCs w:val="30"/>
              </w:rPr>
            </w:pPr>
            <w:r>
              <w:rPr>
                <w:rFonts w:hint="eastAsia" w:ascii="黑体" w:hAnsi="黑体" w:eastAsia="黑体"/>
                <w:sz w:val="28"/>
                <w:szCs w:val="30"/>
              </w:rPr>
              <w:t>首都绿化委员会办公室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28" w:type="dxa"/>
          </w:tcPr>
          <w:p>
            <w:pPr>
              <w:spacing w:line="360" w:lineRule="auto"/>
              <w:jc w:val="distribute"/>
              <w:rPr>
                <w:rFonts w:ascii="黑体" w:hAnsi="黑体" w:eastAsia="黑体"/>
                <w:sz w:val="28"/>
                <w:szCs w:val="30"/>
              </w:rPr>
            </w:pPr>
            <w:r>
              <w:rPr>
                <w:rFonts w:hint="eastAsia" w:ascii="黑体" w:hAnsi="黑体" w:eastAsia="黑体"/>
                <w:sz w:val="28"/>
                <w:szCs w:val="30"/>
              </w:rPr>
              <w:t>国家林业和草原局城市森林研究中心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28" w:type="dxa"/>
          </w:tcPr>
          <w:p>
            <w:pPr>
              <w:spacing w:line="360" w:lineRule="auto"/>
              <w:jc w:val="center"/>
              <w:rPr>
                <w:rFonts w:ascii="黑体" w:hAnsi="黑体" w:eastAsia="黑体"/>
                <w:sz w:val="28"/>
                <w:szCs w:val="30"/>
              </w:rPr>
            </w:pPr>
            <w:r>
              <w:rPr>
                <w:rFonts w:ascii="黑体" w:hAnsi="黑体" w:eastAsia="黑体"/>
                <w:sz w:val="28"/>
                <w:szCs w:val="30"/>
              </w:rPr>
              <w:t>201</w:t>
            </w:r>
            <w:r>
              <w:rPr>
                <w:rFonts w:hint="eastAsia" w:ascii="黑体" w:hAnsi="黑体" w:eastAsia="黑体"/>
                <w:sz w:val="28"/>
                <w:szCs w:val="30"/>
              </w:rPr>
              <w:t>9年</w:t>
            </w:r>
            <w:r>
              <w:rPr>
                <w:rFonts w:ascii="黑体" w:hAnsi="黑体" w:eastAsia="黑体"/>
                <w:sz w:val="28"/>
                <w:szCs w:val="30"/>
              </w:rPr>
              <w:t>10</w:t>
            </w:r>
            <w:r>
              <w:rPr>
                <w:rFonts w:hint="eastAsia" w:ascii="黑体" w:hAnsi="黑体" w:eastAsia="黑体"/>
                <w:sz w:val="28"/>
                <w:szCs w:val="30"/>
              </w:rPr>
              <w:t>月</w:t>
            </w:r>
          </w:p>
        </w:tc>
      </w:tr>
    </w:tbl>
    <w:p>
      <w:pPr>
        <w:spacing w:line="360" w:lineRule="auto"/>
        <w:rPr>
          <w:rFonts w:ascii="黑体" w:hAnsi="黑体" w:eastAsia="黑体"/>
          <w:sz w:val="56"/>
          <w:szCs w:val="30"/>
        </w:rPr>
        <w:sectPr>
          <w:footerReference r:id="rId3" w:type="default"/>
          <w:pgSz w:w="11906" w:h="16838"/>
          <w:pgMar w:top="1418" w:right="1701" w:bottom="1418" w:left="1701" w:header="851" w:footer="992" w:gutter="0"/>
          <w:cols w:space="425" w:num="1"/>
          <w:titlePg/>
          <w:docGrid w:type="linesAndChars" w:linePitch="312" w:charSpace="0"/>
        </w:sectPr>
      </w:pPr>
    </w:p>
    <w:p>
      <w:pPr>
        <w:pStyle w:val="2"/>
        <w:keepLines w:val="0"/>
        <w:widowControl/>
        <w:spacing w:before="0" w:after="435" w:line="276" w:lineRule="auto"/>
        <w:jc w:val="center"/>
        <w:rPr>
          <w:rFonts w:ascii="黑体" w:hAnsi="黑体" w:eastAsia="黑体" w:cs="宋体"/>
          <w:spacing w:val="4"/>
          <w:kern w:val="36"/>
          <w:sz w:val="40"/>
          <w:szCs w:val="40"/>
        </w:rPr>
      </w:pPr>
      <w:bookmarkStart w:id="0" w:name="_Toc530648913"/>
      <w:bookmarkStart w:id="1" w:name="_Toc528968685"/>
      <w:bookmarkStart w:id="2" w:name="_Toc27389864"/>
      <w:bookmarkStart w:id="3" w:name="_Toc530608649"/>
      <w:r>
        <w:rPr>
          <w:rFonts w:hint="eastAsia" w:ascii="黑体" w:hAnsi="黑体" w:eastAsia="黑体" w:cs="宋体"/>
          <w:spacing w:val="4"/>
          <w:kern w:val="36"/>
          <w:sz w:val="40"/>
          <w:szCs w:val="40"/>
        </w:rPr>
        <w:t>前 言</w:t>
      </w:r>
      <w:bookmarkEnd w:id="0"/>
      <w:bookmarkEnd w:id="1"/>
      <w:bookmarkEnd w:id="2"/>
      <w:bookmarkEnd w:id="3"/>
    </w:p>
    <w:p>
      <w:pPr>
        <w:spacing w:line="500" w:lineRule="exact"/>
        <w:ind w:firstLine="560" w:firstLineChars="200"/>
        <w:rPr>
          <w:rFonts w:ascii="仿宋" w:hAnsi="仿宋" w:eastAsia="仿宋"/>
          <w:sz w:val="28"/>
          <w:szCs w:val="30"/>
        </w:rPr>
      </w:pPr>
      <w:r>
        <w:rPr>
          <w:rFonts w:hint="eastAsia" w:ascii="仿宋" w:hAnsi="仿宋" w:eastAsia="仿宋"/>
          <w:sz w:val="28"/>
          <w:szCs w:val="30"/>
        </w:rPr>
        <w:t>森林城市建设，是适应我国国情和发展阶段，推进城乡生态建设、增进居民生态福利的实践创新。十八届五中全会把森林城市建设作为</w:t>
      </w:r>
      <w:r>
        <w:rPr>
          <w:rFonts w:hint="eastAsia" w:ascii="仿宋" w:hAnsi="仿宋" w:eastAsia="仿宋"/>
          <w:sz w:val="28"/>
          <w:szCs w:val="30"/>
          <w:lang w:eastAsia="zh-CN"/>
        </w:rPr>
        <w:t>“十三五”规划</w:t>
      </w:r>
      <w:r>
        <w:rPr>
          <w:rFonts w:hint="eastAsia" w:ascii="仿宋" w:hAnsi="仿宋" w:eastAsia="仿宋"/>
          <w:sz w:val="28"/>
          <w:szCs w:val="30"/>
        </w:rPr>
        <w:t xml:space="preserve">的内容给予了强调，习近平总书记在2016年1月26日召开的中央财经领导小组会议上就着力开展森林城市建设提出了明确要求，这标志着森林城市建设已经上升为国家战略。 </w:t>
      </w:r>
    </w:p>
    <w:p>
      <w:pPr>
        <w:spacing w:line="500" w:lineRule="exact"/>
        <w:ind w:firstLine="560" w:firstLineChars="200"/>
        <w:rPr>
          <w:rFonts w:ascii="仿宋" w:hAnsi="仿宋" w:eastAsia="仿宋"/>
          <w:sz w:val="28"/>
          <w:szCs w:val="30"/>
        </w:rPr>
      </w:pPr>
      <w:r>
        <w:rPr>
          <w:rFonts w:hint="eastAsia" w:ascii="仿宋" w:hAnsi="仿宋" w:eastAsia="仿宋"/>
          <w:sz w:val="28"/>
          <w:szCs w:val="30"/>
        </w:rPr>
        <w:t>党的十八大以来</w:t>
      </w:r>
      <w:r>
        <w:rPr>
          <w:rFonts w:hint="eastAsia" w:ascii="仿宋" w:hAnsi="仿宋" w:eastAsia="仿宋"/>
          <w:color w:val="000000" w:themeColor="text1"/>
          <w:sz w:val="28"/>
          <w:szCs w:val="30"/>
          <w14:textFill>
            <w14:solidFill>
              <w14:schemeClr w14:val="tx1"/>
            </w14:solidFill>
          </w14:textFill>
        </w:rPr>
        <w:t>，</w:t>
      </w:r>
      <w:r>
        <w:rPr>
          <w:rFonts w:hint="eastAsia" w:ascii="仿宋" w:hAnsi="仿宋" w:eastAsia="仿宋"/>
          <w:sz w:val="28"/>
          <w:szCs w:val="30"/>
        </w:rPr>
        <w:t>习近平总书记四次视察北京，</w:t>
      </w:r>
      <w:r>
        <w:rPr>
          <w:rFonts w:ascii="仿宋" w:hAnsi="仿宋" w:eastAsia="仿宋"/>
          <w:sz w:val="28"/>
          <w:szCs w:val="30"/>
        </w:rPr>
        <w:t>五次</w:t>
      </w:r>
      <w:r>
        <w:rPr>
          <w:rFonts w:hint="eastAsia" w:ascii="仿宋" w:hAnsi="仿宋" w:eastAsia="仿宋"/>
          <w:sz w:val="28"/>
          <w:szCs w:val="30"/>
        </w:rPr>
        <w:t>发表重要讲话，为新时期首都发展</w:t>
      </w:r>
      <w:r>
        <w:rPr>
          <w:rFonts w:hint="eastAsia" w:ascii="仿宋" w:hAnsi="仿宋" w:eastAsia="仿宋"/>
          <w:color w:val="000000" w:themeColor="text1"/>
          <w:sz w:val="28"/>
          <w:szCs w:val="30"/>
          <w14:textFill>
            <w14:solidFill>
              <w14:schemeClr w14:val="tx1"/>
            </w14:solidFill>
          </w14:textFill>
        </w:rPr>
        <w:t>指明了方向。北京市委市政府也明确提出建设森林城市的目标，2017年以来蔡奇书记和陈吉宁</w:t>
      </w:r>
      <w:r>
        <w:rPr>
          <w:rFonts w:ascii="仿宋" w:hAnsi="仿宋" w:eastAsia="仿宋"/>
          <w:color w:val="000000" w:themeColor="text1"/>
          <w:sz w:val="28"/>
          <w:szCs w:val="30"/>
          <w14:textFill>
            <w14:solidFill>
              <w14:schemeClr w14:val="tx1"/>
            </w14:solidFill>
          </w14:textFill>
        </w:rPr>
        <w:t>市长</w:t>
      </w:r>
      <w:r>
        <w:rPr>
          <w:rFonts w:hint="eastAsia" w:ascii="仿宋" w:hAnsi="仿宋" w:eastAsia="仿宋"/>
          <w:sz w:val="28"/>
          <w:szCs w:val="30"/>
        </w:rPr>
        <w:t>多次</w:t>
      </w:r>
      <w:r>
        <w:rPr>
          <w:rFonts w:hint="eastAsia" w:ascii="仿宋" w:hAnsi="仿宋" w:eastAsia="仿宋"/>
          <w:color w:val="000000" w:themeColor="text1"/>
          <w:sz w:val="28"/>
          <w:szCs w:val="30"/>
          <w14:textFill>
            <w14:solidFill>
              <w14:schemeClr w14:val="tx1"/>
            </w14:solidFill>
          </w14:textFill>
        </w:rPr>
        <w:t>对森林城市建设提出具体要求、作出重要批示。为深入贯彻落实习近平总书记对北京重要讲话精神，实现《北京城市总体规划（2016年-2035年）》</w:t>
      </w:r>
      <w:r>
        <w:rPr>
          <w:rFonts w:hint="eastAsia" w:ascii="仿宋" w:hAnsi="仿宋" w:eastAsia="仿宋"/>
          <w:sz w:val="28"/>
          <w:szCs w:val="30"/>
        </w:rPr>
        <w:t>确立的建设森林城市和国际一流的和谐宜居之都目标，科学谋划森林城市建设的新蓝图，北京市编制了森林城市发展规划。</w:t>
      </w:r>
    </w:p>
    <w:p>
      <w:pPr>
        <w:spacing w:line="500" w:lineRule="exact"/>
        <w:ind w:firstLine="560" w:firstLineChars="200"/>
        <w:rPr>
          <w:rFonts w:asciiTheme="minorEastAsia" w:hAnsiTheme="minorEastAsia"/>
          <w:sz w:val="28"/>
          <w:szCs w:val="30"/>
        </w:rPr>
      </w:pPr>
      <w:r>
        <w:rPr>
          <w:rFonts w:hint="eastAsia" w:ascii="仿宋" w:hAnsi="仿宋" w:eastAsia="仿宋"/>
          <w:sz w:val="28"/>
          <w:szCs w:val="30"/>
        </w:rPr>
        <w:t>北京森林城市发展规划编制工作坚持</w:t>
      </w:r>
      <w:bookmarkStart w:id="4" w:name="_Toc516309249"/>
      <w:r>
        <w:rPr>
          <w:rFonts w:hint="eastAsia" w:ascii="仿宋" w:hAnsi="仿宋" w:eastAsia="仿宋"/>
          <w:sz w:val="28"/>
          <w:szCs w:val="30"/>
        </w:rPr>
        <w:t>以人民为中心，充分发挥森林的功能和效益，不断满足人民日益增长的多种生态需要，最大限度增强城乡居民的获得感和幸福感。坚持保护优先、自然恢复为主，通过造林树种乡土化、植物配置多样化、管护措施生态化，促进城市生态系统的健康稳定；坚持山水林田湖草是一个生命共同体，整体推进、综合治理，建设林山相依、林水相依、林田相依、林路相依、林城相依、林村相依的生态空间；坚持整体部署、协调推进，促进乡村生态宜居环境建设和绿色产业发展，实现城乡居民生态福利均衡化；坚持遵循经济规律和自然规律建设森林城市，循序渐进、务求实效，着力培养长寿稳定、功能多样的森林景观，为未来的北京留下鸟语花香、林荫掩映的城市森林历史遗产。</w:t>
      </w:r>
      <w:bookmarkEnd w:id="4"/>
      <w:r>
        <w:rPr>
          <w:rFonts w:asciiTheme="minorEastAsia" w:hAnsiTheme="minorEastAsia"/>
          <w:sz w:val="28"/>
          <w:szCs w:val="30"/>
        </w:rPr>
        <w:br w:type="page"/>
      </w:r>
    </w:p>
    <w:p>
      <w:pPr>
        <w:pStyle w:val="2"/>
        <w:keepLines w:val="0"/>
        <w:widowControl/>
        <w:spacing w:before="600" w:after="435" w:line="276" w:lineRule="auto"/>
        <w:jc w:val="center"/>
        <w:rPr>
          <w:rFonts w:ascii="黑体" w:hAnsi="黑体" w:eastAsia="黑体" w:cs="宋体"/>
          <w:spacing w:val="4"/>
          <w:kern w:val="36"/>
          <w:sz w:val="40"/>
          <w:szCs w:val="40"/>
        </w:rPr>
      </w:pPr>
      <w:bookmarkStart w:id="5" w:name="_Toc27389865"/>
      <w:r>
        <w:rPr>
          <w:rFonts w:hint="eastAsia" w:ascii="黑体" w:hAnsi="黑体" w:eastAsia="黑体" w:cs="宋体"/>
          <w:spacing w:val="4"/>
          <w:kern w:val="36"/>
          <w:sz w:val="40"/>
          <w:szCs w:val="40"/>
        </w:rPr>
        <w:t>目 录</w:t>
      </w:r>
      <w:bookmarkEnd w:id="5"/>
    </w:p>
    <w:p>
      <w:pPr>
        <w:pStyle w:val="17"/>
        <w:tabs>
          <w:tab w:val="right" w:leader="hyphen" w:pos="8494"/>
        </w:tabs>
        <w:spacing w:line="288" w:lineRule="auto"/>
        <w:rPr>
          <w:b w:val="0"/>
          <w:bCs w:val="0"/>
          <w:caps w:val="0"/>
          <w:sz w:val="24"/>
          <w:szCs w:val="24"/>
        </w:rPr>
      </w:pPr>
      <w:r>
        <w:rPr>
          <w:rFonts w:ascii="仿宋" w:hAnsi="仿宋" w:eastAsia="仿宋"/>
          <w:b w:val="0"/>
          <w:bCs w:val="0"/>
          <w:caps w:val="0"/>
          <w:sz w:val="24"/>
          <w:szCs w:val="24"/>
        </w:rPr>
        <w:fldChar w:fldCharType="begin"/>
      </w:r>
      <w:r>
        <w:rPr>
          <w:rFonts w:ascii="仿宋" w:hAnsi="仿宋" w:eastAsia="仿宋"/>
          <w:b w:val="0"/>
          <w:bCs w:val="0"/>
          <w:caps w:val="0"/>
          <w:sz w:val="24"/>
          <w:szCs w:val="24"/>
        </w:rPr>
        <w:instrText xml:space="preserve"> TOC \o "1-3" \u </w:instrText>
      </w:r>
      <w:r>
        <w:rPr>
          <w:rFonts w:ascii="仿宋" w:hAnsi="仿宋" w:eastAsia="仿宋"/>
          <w:b w:val="0"/>
          <w:bCs w:val="0"/>
          <w:caps w:val="0"/>
          <w:sz w:val="24"/>
          <w:szCs w:val="24"/>
        </w:rPr>
        <w:fldChar w:fldCharType="separate"/>
      </w:r>
      <w:r>
        <w:rPr>
          <w:rFonts w:ascii="黑体" w:hAnsi="黑体" w:eastAsia="黑体" w:cs="宋体"/>
          <w:spacing w:val="4"/>
          <w:kern w:val="36"/>
          <w:sz w:val="24"/>
          <w:szCs w:val="24"/>
        </w:rPr>
        <w:t>前 言</w:t>
      </w:r>
      <w:r>
        <w:rPr>
          <w:sz w:val="24"/>
          <w:szCs w:val="24"/>
        </w:rPr>
        <w:tab/>
      </w:r>
      <w:r>
        <w:rPr>
          <w:sz w:val="24"/>
          <w:szCs w:val="24"/>
        </w:rPr>
        <w:fldChar w:fldCharType="begin"/>
      </w:r>
      <w:r>
        <w:rPr>
          <w:sz w:val="24"/>
          <w:szCs w:val="24"/>
        </w:rPr>
        <w:instrText xml:space="preserve"> PAGEREF _Toc27389864 \h </w:instrText>
      </w:r>
      <w:r>
        <w:rPr>
          <w:sz w:val="24"/>
          <w:szCs w:val="24"/>
        </w:rPr>
        <w:fldChar w:fldCharType="separate"/>
      </w:r>
      <w:r>
        <w:rPr>
          <w:sz w:val="24"/>
          <w:szCs w:val="24"/>
        </w:rPr>
        <w:t>4</w:t>
      </w:r>
      <w:r>
        <w:rPr>
          <w:sz w:val="24"/>
          <w:szCs w:val="24"/>
        </w:rPr>
        <w:fldChar w:fldCharType="end"/>
      </w:r>
    </w:p>
    <w:p>
      <w:pPr>
        <w:pStyle w:val="17"/>
        <w:tabs>
          <w:tab w:val="right" w:leader="hyphen" w:pos="8494"/>
        </w:tabs>
        <w:spacing w:line="288" w:lineRule="auto"/>
        <w:rPr>
          <w:b w:val="0"/>
          <w:bCs w:val="0"/>
          <w:caps w:val="0"/>
          <w:sz w:val="24"/>
          <w:szCs w:val="24"/>
        </w:rPr>
      </w:pPr>
      <w:r>
        <w:rPr>
          <w:rFonts w:ascii="黑体" w:hAnsi="黑体" w:eastAsia="黑体" w:cs="宋体"/>
          <w:spacing w:val="4"/>
          <w:kern w:val="36"/>
          <w:sz w:val="24"/>
          <w:szCs w:val="24"/>
        </w:rPr>
        <w:t>目 录</w:t>
      </w:r>
      <w:r>
        <w:rPr>
          <w:sz w:val="24"/>
          <w:szCs w:val="24"/>
        </w:rPr>
        <w:tab/>
      </w:r>
      <w:r>
        <w:rPr>
          <w:sz w:val="24"/>
          <w:szCs w:val="24"/>
        </w:rPr>
        <w:fldChar w:fldCharType="begin"/>
      </w:r>
      <w:r>
        <w:rPr>
          <w:sz w:val="24"/>
          <w:szCs w:val="24"/>
        </w:rPr>
        <w:instrText xml:space="preserve"> PAGEREF _Toc27389865 \h </w:instrText>
      </w:r>
      <w:r>
        <w:rPr>
          <w:sz w:val="24"/>
          <w:szCs w:val="24"/>
        </w:rPr>
        <w:fldChar w:fldCharType="separate"/>
      </w:r>
      <w:r>
        <w:rPr>
          <w:sz w:val="24"/>
          <w:szCs w:val="24"/>
        </w:rPr>
        <w:t>5</w:t>
      </w:r>
      <w:r>
        <w:rPr>
          <w:sz w:val="24"/>
          <w:szCs w:val="24"/>
        </w:rPr>
        <w:fldChar w:fldCharType="end"/>
      </w:r>
    </w:p>
    <w:p>
      <w:pPr>
        <w:pStyle w:val="17"/>
        <w:tabs>
          <w:tab w:val="right" w:leader="hyphen" w:pos="8494"/>
        </w:tabs>
        <w:spacing w:line="288" w:lineRule="auto"/>
        <w:rPr>
          <w:b w:val="0"/>
          <w:bCs w:val="0"/>
          <w:caps w:val="0"/>
          <w:sz w:val="24"/>
          <w:szCs w:val="24"/>
        </w:rPr>
      </w:pPr>
      <w:r>
        <w:rPr>
          <w:rFonts w:ascii="黑体" w:hAnsi="黑体" w:eastAsia="黑体" w:cs="宋体"/>
          <w:spacing w:val="4"/>
          <w:kern w:val="36"/>
          <w:sz w:val="24"/>
          <w:szCs w:val="24"/>
        </w:rPr>
        <w:t>第一篇  建设背景与意义</w:t>
      </w:r>
      <w:r>
        <w:rPr>
          <w:sz w:val="24"/>
          <w:szCs w:val="24"/>
        </w:rPr>
        <w:tab/>
      </w:r>
      <w:r>
        <w:rPr>
          <w:sz w:val="24"/>
          <w:szCs w:val="24"/>
        </w:rPr>
        <w:fldChar w:fldCharType="begin"/>
      </w:r>
      <w:r>
        <w:rPr>
          <w:sz w:val="24"/>
          <w:szCs w:val="24"/>
        </w:rPr>
        <w:instrText xml:space="preserve"> PAGEREF _Toc27389866 \h </w:instrText>
      </w:r>
      <w:r>
        <w:rPr>
          <w:sz w:val="24"/>
          <w:szCs w:val="24"/>
        </w:rPr>
        <w:fldChar w:fldCharType="separate"/>
      </w:r>
      <w:r>
        <w:rPr>
          <w:sz w:val="24"/>
          <w:szCs w:val="24"/>
        </w:rPr>
        <w:t>1</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一、建设背景</w:t>
      </w:r>
      <w:r>
        <w:rPr>
          <w:sz w:val="24"/>
          <w:szCs w:val="24"/>
        </w:rPr>
        <w:tab/>
      </w:r>
      <w:r>
        <w:rPr>
          <w:sz w:val="24"/>
          <w:szCs w:val="24"/>
        </w:rPr>
        <w:fldChar w:fldCharType="begin"/>
      </w:r>
      <w:r>
        <w:rPr>
          <w:sz w:val="24"/>
          <w:szCs w:val="24"/>
        </w:rPr>
        <w:instrText xml:space="preserve"> PAGEREF _Toc27389867 \h </w:instrText>
      </w:r>
      <w:r>
        <w:rPr>
          <w:sz w:val="24"/>
          <w:szCs w:val="24"/>
        </w:rPr>
        <w:fldChar w:fldCharType="separate"/>
      </w:r>
      <w:r>
        <w:rPr>
          <w:sz w:val="24"/>
          <w:szCs w:val="24"/>
        </w:rPr>
        <w:t>1</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二、建设意义</w:t>
      </w:r>
      <w:r>
        <w:rPr>
          <w:sz w:val="24"/>
          <w:szCs w:val="24"/>
        </w:rPr>
        <w:tab/>
      </w:r>
      <w:r>
        <w:rPr>
          <w:sz w:val="24"/>
          <w:szCs w:val="24"/>
        </w:rPr>
        <w:fldChar w:fldCharType="begin"/>
      </w:r>
      <w:r>
        <w:rPr>
          <w:sz w:val="24"/>
          <w:szCs w:val="24"/>
        </w:rPr>
        <w:instrText xml:space="preserve"> PAGEREF _Toc27389868 \h </w:instrText>
      </w:r>
      <w:r>
        <w:rPr>
          <w:sz w:val="24"/>
          <w:szCs w:val="24"/>
        </w:rPr>
        <w:fldChar w:fldCharType="separate"/>
      </w:r>
      <w:r>
        <w:rPr>
          <w:sz w:val="24"/>
          <w:szCs w:val="24"/>
        </w:rPr>
        <w:t>7</w:t>
      </w:r>
      <w:r>
        <w:rPr>
          <w:sz w:val="24"/>
          <w:szCs w:val="24"/>
        </w:rPr>
        <w:fldChar w:fldCharType="end"/>
      </w:r>
    </w:p>
    <w:p>
      <w:pPr>
        <w:pStyle w:val="17"/>
        <w:tabs>
          <w:tab w:val="right" w:leader="hyphen" w:pos="8494"/>
        </w:tabs>
        <w:spacing w:line="288" w:lineRule="auto"/>
        <w:rPr>
          <w:b w:val="0"/>
          <w:bCs w:val="0"/>
          <w:caps w:val="0"/>
          <w:sz w:val="24"/>
          <w:szCs w:val="24"/>
        </w:rPr>
      </w:pPr>
      <w:r>
        <w:rPr>
          <w:rFonts w:ascii="黑体" w:hAnsi="黑体" w:eastAsia="黑体" w:cs="宋体"/>
          <w:spacing w:val="4"/>
          <w:kern w:val="36"/>
          <w:sz w:val="24"/>
          <w:szCs w:val="24"/>
        </w:rPr>
        <w:t>第二篇 指导思想、规划依据与发展愿景</w:t>
      </w:r>
      <w:r>
        <w:rPr>
          <w:sz w:val="24"/>
          <w:szCs w:val="24"/>
        </w:rPr>
        <w:tab/>
      </w:r>
      <w:r>
        <w:rPr>
          <w:sz w:val="24"/>
          <w:szCs w:val="24"/>
        </w:rPr>
        <w:fldChar w:fldCharType="begin"/>
      </w:r>
      <w:r>
        <w:rPr>
          <w:sz w:val="24"/>
          <w:szCs w:val="24"/>
        </w:rPr>
        <w:instrText xml:space="preserve"> PAGEREF _Toc27389869 \h </w:instrText>
      </w:r>
      <w:r>
        <w:rPr>
          <w:sz w:val="24"/>
          <w:szCs w:val="24"/>
        </w:rPr>
        <w:fldChar w:fldCharType="separate"/>
      </w:r>
      <w:r>
        <w:rPr>
          <w:sz w:val="24"/>
          <w:szCs w:val="24"/>
        </w:rPr>
        <w:t>10</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一、指导思想</w:t>
      </w:r>
      <w:r>
        <w:rPr>
          <w:sz w:val="24"/>
          <w:szCs w:val="24"/>
        </w:rPr>
        <w:tab/>
      </w:r>
      <w:r>
        <w:rPr>
          <w:sz w:val="24"/>
          <w:szCs w:val="24"/>
        </w:rPr>
        <w:fldChar w:fldCharType="begin"/>
      </w:r>
      <w:r>
        <w:rPr>
          <w:sz w:val="24"/>
          <w:szCs w:val="24"/>
        </w:rPr>
        <w:instrText xml:space="preserve"> PAGEREF _Toc27389870 \h </w:instrText>
      </w:r>
      <w:r>
        <w:rPr>
          <w:sz w:val="24"/>
          <w:szCs w:val="24"/>
        </w:rPr>
        <w:fldChar w:fldCharType="separate"/>
      </w:r>
      <w:r>
        <w:rPr>
          <w:sz w:val="24"/>
          <w:szCs w:val="24"/>
        </w:rPr>
        <w:t>10</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二、规划思路</w:t>
      </w:r>
      <w:r>
        <w:rPr>
          <w:sz w:val="24"/>
          <w:szCs w:val="24"/>
        </w:rPr>
        <w:tab/>
      </w:r>
      <w:r>
        <w:rPr>
          <w:sz w:val="24"/>
          <w:szCs w:val="24"/>
        </w:rPr>
        <w:fldChar w:fldCharType="begin"/>
      </w:r>
      <w:r>
        <w:rPr>
          <w:sz w:val="24"/>
          <w:szCs w:val="24"/>
        </w:rPr>
        <w:instrText xml:space="preserve"> PAGEREF _Toc27389871 \h </w:instrText>
      </w:r>
      <w:r>
        <w:rPr>
          <w:sz w:val="24"/>
          <w:szCs w:val="24"/>
        </w:rPr>
        <w:fldChar w:fldCharType="separate"/>
      </w:r>
      <w:r>
        <w:rPr>
          <w:sz w:val="24"/>
          <w:szCs w:val="24"/>
        </w:rPr>
        <w:t>10</w:t>
      </w:r>
      <w:r>
        <w:rPr>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（一）体现新理念</w:t>
      </w:r>
      <w:r>
        <w:rPr>
          <w:i w:val="0"/>
          <w:iCs w:val="0"/>
          <w:sz w:val="24"/>
          <w:szCs w:val="24"/>
        </w:rPr>
        <w:tab/>
      </w:r>
      <w:r>
        <w:rPr>
          <w:i w:val="0"/>
          <w:iCs w:val="0"/>
          <w:sz w:val="24"/>
          <w:szCs w:val="24"/>
        </w:rPr>
        <w:fldChar w:fldCharType="begin"/>
      </w:r>
      <w:r>
        <w:rPr>
          <w:i w:val="0"/>
          <w:iCs w:val="0"/>
          <w:sz w:val="24"/>
          <w:szCs w:val="24"/>
        </w:rPr>
        <w:instrText xml:space="preserve"> PAGEREF _Toc27389872 \h </w:instrText>
      </w:r>
      <w:r>
        <w:rPr>
          <w:i w:val="0"/>
          <w:iCs w:val="0"/>
          <w:sz w:val="24"/>
          <w:szCs w:val="24"/>
        </w:rPr>
        <w:fldChar w:fldCharType="separate"/>
      </w:r>
      <w:r>
        <w:rPr>
          <w:i w:val="0"/>
          <w:iCs w:val="0"/>
          <w:sz w:val="24"/>
          <w:szCs w:val="24"/>
        </w:rPr>
        <w:t>10</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（二）落实新总规</w:t>
      </w:r>
      <w:r>
        <w:rPr>
          <w:i w:val="0"/>
          <w:iCs w:val="0"/>
          <w:sz w:val="24"/>
          <w:szCs w:val="24"/>
        </w:rPr>
        <w:tab/>
      </w:r>
      <w:r>
        <w:rPr>
          <w:i w:val="0"/>
          <w:iCs w:val="0"/>
          <w:sz w:val="24"/>
          <w:szCs w:val="24"/>
        </w:rPr>
        <w:fldChar w:fldCharType="begin"/>
      </w:r>
      <w:r>
        <w:rPr>
          <w:i w:val="0"/>
          <w:iCs w:val="0"/>
          <w:sz w:val="24"/>
          <w:szCs w:val="24"/>
        </w:rPr>
        <w:instrText xml:space="preserve"> PAGEREF _Toc27389873 \h </w:instrText>
      </w:r>
      <w:r>
        <w:rPr>
          <w:i w:val="0"/>
          <w:iCs w:val="0"/>
          <w:sz w:val="24"/>
          <w:szCs w:val="24"/>
        </w:rPr>
        <w:fldChar w:fldCharType="separate"/>
      </w:r>
      <w:r>
        <w:rPr>
          <w:i w:val="0"/>
          <w:iCs w:val="0"/>
          <w:sz w:val="24"/>
          <w:szCs w:val="24"/>
        </w:rPr>
        <w:t>11</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（三）引领新发展</w:t>
      </w:r>
      <w:r>
        <w:rPr>
          <w:i w:val="0"/>
          <w:iCs w:val="0"/>
          <w:sz w:val="24"/>
          <w:szCs w:val="24"/>
        </w:rPr>
        <w:tab/>
      </w:r>
      <w:r>
        <w:rPr>
          <w:i w:val="0"/>
          <w:iCs w:val="0"/>
          <w:sz w:val="24"/>
          <w:szCs w:val="24"/>
        </w:rPr>
        <w:fldChar w:fldCharType="begin"/>
      </w:r>
      <w:r>
        <w:rPr>
          <w:i w:val="0"/>
          <w:iCs w:val="0"/>
          <w:sz w:val="24"/>
          <w:szCs w:val="24"/>
        </w:rPr>
        <w:instrText xml:space="preserve"> PAGEREF _Toc27389874 \h </w:instrText>
      </w:r>
      <w:r>
        <w:rPr>
          <w:i w:val="0"/>
          <w:iCs w:val="0"/>
          <w:sz w:val="24"/>
          <w:szCs w:val="24"/>
        </w:rPr>
        <w:fldChar w:fldCharType="separate"/>
      </w:r>
      <w:r>
        <w:rPr>
          <w:i w:val="0"/>
          <w:iCs w:val="0"/>
          <w:sz w:val="24"/>
          <w:szCs w:val="24"/>
        </w:rPr>
        <w:t>11</w:t>
      </w:r>
      <w:r>
        <w:rPr>
          <w:i w:val="0"/>
          <w:iCs w:val="0"/>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三、规划依据</w:t>
      </w:r>
      <w:r>
        <w:rPr>
          <w:sz w:val="24"/>
          <w:szCs w:val="24"/>
        </w:rPr>
        <w:tab/>
      </w:r>
      <w:r>
        <w:rPr>
          <w:sz w:val="24"/>
          <w:szCs w:val="24"/>
        </w:rPr>
        <w:fldChar w:fldCharType="begin"/>
      </w:r>
      <w:r>
        <w:rPr>
          <w:sz w:val="24"/>
          <w:szCs w:val="24"/>
        </w:rPr>
        <w:instrText xml:space="preserve"> PAGEREF _Toc27389875 \h </w:instrText>
      </w:r>
      <w:r>
        <w:rPr>
          <w:sz w:val="24"/>
          <w:szCs w:val="24"/>
        </w:rPr>
        <w:fldChar w:fldCharType="separate"/>
      </w:r>
      <w:r>
        <w:rPr>
          <w:sz w:val="24"/>
          <w:szCs w:val="24"/>
        </w:rPr>
        <w:t>12</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四、规划范围</w:t>
      </w:r>
      <w:r>
        <w:rPr>
          <w:sz w:val="24"/>
          <w:szCs w:val="24"/>
        </w:rPr>
        <w:tab/>
      </w:r>
      <w:r>
        <w:rPr>
          <w:sz w:val="24"/>
          <w:szCs w:val="24"/>
        </w:rPr>
        <w:fldChar w:fldCharType="begin"/>
      </w:r>
      <w:r>
        <w:rPr>
          <w:sz w:val="24"/>
          <w:szCs w:val="24"/>
        </w:rPr>
        <w:instrText xml:space="preserve"> PAGEREF _Toc27389876 \h </w:instrText>
      </w:r>
      <w:r>
        <w:rPr>
          <w:sz w:val="24"/>
          <w:szCs w:val="24"/>
        </w:rPr>
        <w:fldChar w:fldCharType="separate"/>
      </w:r>
      <w:r>
        <w:rPr>
          <w:sz w:val="24"/>
          <w:szCs w:val="24"/>
        </w:rPr>
        <w:t>14</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五、规划期限</w:t>
      </w:r>
      <w:r>
        <w:rPr>
          <w:sz w:val="24"/>
          <w:szCs w:val="24"/>
        </w:rPr>
        <w:tab/>
      </w:r>
      <w:r>
        <w:rPr>
          <w:sz w:val="24"/>
          <w:szCs w:val="24"/>
        </w:rPr>
        <w:fldChar w:fldCharType="begin"/>
      </w:r>
      <w:r>
        <w:rPr>
          <w:sz w:val="24"/>
          <w:szCs w:val="24"/>
        </w:rPr>
        <w:instrText xml:space="preserve"> PAGEREF _Toc27389877 \h </w:instrText>
      </w:r>
      <w:r>
        <w:rPr>
          <w:sz w:val="24"/>
          <w:szCs w:val="24"/>
        </w:rPr>
        <w:fldChar w:fldCharType="separate"/>
      </w:r>
      <w:r>
        <w:rPr>
          <w:sz w:val="24"/>
          <w:szCs w:val="24"/>
        </w:rPr>
        <w:t>14</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六、发展愿景</w:t>
      </w:r>
      <w:r>
        <w:rPr>
          <w:sz w:val="24"/>
          <w:szCs w:val="24"/>
        </w:rPr>
        <w:tab/>
      </w:r>
      <w:r>
        <w:rPr>
          <w:sz w:val="24"/>
          <w:szCs w:val="24"/>
        </w:rPr>
        <w:fldChar w:fldCharType="begin"/>
      </w:r>
      <w:r>
        <w:rPr>
          <w:sz w:val="24"/>
          <w:szCs w:val="24"/>
        </w:rPr>
        <w:instrText xml:space="preserve"> PAGEREF _Toc27389878 \h </w:instrText>
      </w:r>
      <w:r>
        <w:rPr>
          <w:sz w:val="24"/>
          <w:szCs w:val="24"/>
        </w:rPr>
        <w:fldChar w:fldCharType="separate"/>
      </w:r>
      <w:r>
        <w:rPr>
          <w:sz w:val="24"/>
          <w:szCs w:val="24"/>
        </w:rPr>
        <w:t>14</w:t>
      </w:r>
      <w:r>
        <w:rPr>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（一）总体定位</w:t>
      </w:r>
      <w:r>
        <w:rPr>
          <w:i w:val="0"/>
          <w:iCs w:val="0"/>
          <w:sz w:val="24"/>
          <w:szCs w:val="24"/>
        </w:rPr>
        <w:tab/>
      </w:r>
      <w:r>
        <w:rPr>
          <w:i w:val="0"/>
          <w:iCs w:val="0"/>
          <w:sz w:val="24"/>
          <w:szCs w:val="24"/>
        </w:rPr>
        <w:fldChar w:fldCharType="begin"/>
      </w:r>
      <w:r>
        <w:rPr>
          <w:i w:val="0"/>
          <w:iCs w:val="0"/>
          <w:sz w:val="24"/>
          <w:szCs w:val="24"/>
        </w:rPr>
        <w:instrText xml:space="preserve"> PAGEREF _Toc27389879 \h </w:instrText>
      </w:r>
      <w:r>
        <w:rPr>
          <w:i w:val="0"/>
          <w:iCs w:val="0"/>
          <w:sz w:val="24"/>
          <w:szCs w:val="24"/>
        </w:rPr>
        <w:fldChar w:fldCharType="separate"/>
      </w:r>
      <w:r>
        <w:rPr>
          <w:i w:val="0"/>
          <w:iCs w:val="0"/>
          <w:sz w:val="24"/>
          <w:szCs w:val="24"/>
        </w:rPr>
        <w:t>14</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（二）发展愿景</w:t>
      </w:r>
      <w:r>
        <w:rPr>
          <w:i w:val="0"/>
          <w:iCs w:val="0"/>
          <w:sz w:val="24"/>
          <w:szCs w:val="24"/>
        </w:rPr>
        <w:tab/>
      </w:r>
      <w:r>
        <w:rPr>
          <w:i w:val="0"/>
          <w:iCs w:val="0"/>
          <w:sz w:val="24"/>
          <w:szCs w:val="24"/>
        </w:rPr>
        <w:fldChar w:fldCharType="begin"/>
      </w:r>
      <w:r>
        <w:rPr>
          <w:i w:val="0"/>
          <w:iCs w:val="0"/>
          <w:sz w:val="24"/>
          <w:szCs w:val="24"/>
        </w:rPr>
        <w:instrText xml:space="preserve"> PAGEREF _Toc27389880 \h </w:instrText>
      </w:r>
      <w:r>
        <w:rPr>
          <w:i w:val="0"/>
          <w:iCs w:val="0"/>
          <w:sz w:val="24"/>
          <w:szCs w:val="24"/>
        </w:rPr>
        <w:fldChar w:fldCharType="separate"/>
      </w:r>
      <w:r>
        <w:rPr>
          <w:i w:val="0"/>
          <w:iCs w:val="0"/>
          <w:sz w:val="24"/>
          <w:szCs w:val="24"/>
        </w:rPr>
        <w:t>14</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（三）内涵解读</w:t>
      </w:r>
      <w:r>
        <w:rPr>
          <w:i w:val="0"/>
          <w:iCs w:val="0"/>
          <w:sz w:val="24"/>
          <w:szCs w:val="24"/>
        </w:rPr>
        <w:tab/>
      </w:r>
      <w:r>
        <w:rPr>
          <w:i w:val="0"/>
          <w:iCs w:val="0"/>
          <w:sz w:val="24"/>
          <w:szCs w:val="24"/>
        </w:rPr>
        <w:fldChar w:fldCharType="begin"/>
      </w:r>
      <w:r>
        <w:rPr>
          <w:i w:val="0"/>
          <w:iCs w:val="0"/>
          <w:sz w:val="24"/>
          <w:szCs w:val="24"/>
        </w:rPr>
        <w:instrText xml:space="preserve"> PAGEREF _Toc27389881 \h </w:instrText>
      </w:r>
      <w:r>
        <w:rPr>
          <w:i w:val="0"/>
          <w:iCs w:val="0"/>
          <w:sz w:val="24"/>
          <w:szCs w:val="24"/>
        </w:rPr>
        <w:fldChar w:fldCharType="separate"/>
      </w:r>
      <w:r>
        <w:rPr>
          <w:i w:val="0"/>
          <w:iCs w:val="0"/>
          <w:sz w:val="24"/>
          <w:szCs w:val="24"/>
        </w:rPr>
        <w:t>15</w:t>
      </w:r>
      <w:r>
        <w:rPr>
          <w:i w:val="0"/>
          <w:iCs w:val="0"/>
          <w:sz w:val="24"/>
          <w:szCs w:val="24"/>
        </w:rPr>
        <w:fldChar w:fldCharType="end"/>
      </w:r>
    </w:p>
    <w:p>
      <w:pPr>
        <w:pStyle w:val="17"/>
        <w:tabs>
          <w:tab w:val="right" w:leader="hyphen" w:pos="8494"/>
        </w:tabs>
        <w:spacing w:line="288" w:lineRule="auto"/>
        <w:rPr>
          <w:b w:val="0"/>
          <w:bCs w:val="0"/>
          <w:caps w:val="0"/>
          <w:sz w:val="24"/>
          <w:szCs w:val="24"/>
        </w:rPr>
      </w:pPr>
      <w:r>
        <w:rPr>
          <w:rFonts w:ascii="黑体" w:hAnsi="黑体" w:eastAsia="黑体" w:cs="宋体"/>
          <w:spacing w:val="4"/>
          <w:kern w:val="36"/>
          <w:sz w:val="24"/>
          <w:szCs w:val="24"/>
        </w:rPr>
        <w:t>第三篇  北京森林目标景观及技术导引</w:t>
      </w:r>
      <w:r>
        <w:rPr>
          <w:sz w:val="24"/>
          <w:szCs w:val="24"/>
        </w:rPr>
        <w:tab/>
      </w:r>
      <w:r>
        <w:rPr>
          <w:sz w:val="24"/>
          <w:szCs w:val="24"/>
        </w:rPr>
        <w:fldChar w:fldCharType="begin"/>
      </w:r>
      <w:r>
        <w:rPr>
          <w:sz w:val="24"/>
          <w:szCs w:val="24"/>
        </w:rPr>
        <w:instrText xml:space="preserve"> PAGEREF _Toc27389882 \h </w:instrText>
      </w:r>
      <w:r>
        <w:rPr>
          <w:sz w:val="24"/>
          <w:szCs w:val="24"/>
        </w:rPr>
        <w:fldChar w:fldCharType="separate"/>
      </w:r>
      <w:r>
        <w:rPr>
          <w:sz w:val="24"/>
          <w:szCs w:val="24"/>
        </w:rPr>
        <w:t>16</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一、平原生态片林</w:t>
      </w:r>
      <w:r>
        <w:rPr>
          <w:sz w:val="24"/>
          <w:szCs w:val="24"/>
        </w:rPr>
        <w:tab/>
      </w:r>
      <w:r>
        <w:rPr>
          <w:sz w:val="24"/>
          <w:szCs w:val="24"/>
        </w:rPr>
        <w:fldChar w:fldCharType="begin"/>
      </w:r>
      <w:r>
        <w:rPr>
          <w:sz w:val="24"/>
          <w:szCs w:val="24"/>
        </w:rPr>
        <w:instrText xml:space="preserve"> PAGEREF _Toc27389883 \h </w:instrText>
      </w:r>
      <w:r>
        <w:rPr>
          <w:sz w:val="24"/>
          <w:szCs w:val="24"/>
        </w:rPr>
        <w:fldChar w:fldCharType="separate"/>
      </w:r>
      <w:r>
        <w:rPr>
          <w:sz w:val="24"/>
          <w:szCs w:val="24"/>
        </w:rPr>
        <w:t>16</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二、城市森林公园</w:t>
      </w:r>
      <w:r>
        <w:rPr>
          <w:sz w:val="24"/>
          <w:szCs w:val="24"/>
        </w:rPr>
        <w:tab/>
      </w:r>
      <w:r>
        <w:rPr>
          <w:sz w:val="24"/>
          <w:szCs w:val="24"/>
        </w:rPr>
        <w:fldChar w:fldCharType="begin"/>
      </w:r>
      <w:r>
        <w:rPr>
          <w:sz w:val="24"/>
          <w:szCs w:val="24"/>
        </w:rPr>
        <w:instrText xml:space="preserve"> PAGEREF _Toc27389884 \h </w:instrText>
      </w:r>
      <w:r>
        <w:rPr>
          <w:sz w:val="24"/>
          <w:szCs w:val="24"/>
        </w:rPr>
        <w:fldChar w:fldCharType="separate"/>
      </w:r>
      <w:r>
        <w:rPr>
          <w:sz w:val="24"/>
          <w:szCs w:val="24"/>
        </w:rPr>
        <w:t>17</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三、水岸森林植被</w:t>
      </w:r>
      <w:r>
        <w:rPr>
          <w:sz w:val="24"/>
          <w:szCs w:val="24"/>
        </w:rPr>
        <w:tab/>
      </w:r>
      <w:r>
        <w:rPr>
          <w:sz w:val="24"/>
          <w:szCs w:val="24"/>
        </w:rPr>
        <w:fldChar w:fldCharType="begin"/>
      </w:r>
      <w:r>
        <w:rPr>
          <w:sz w:val="24"/>
          <w:szCs w:val="24"/>
        </w:rPr>
        <w:instrText xml:space="preserve"> PAGEREF _Toc27389885 \h </w:instrText>
      </w:r>
      <w:r>
        <w:rPr>
          <w:sz w:val="24"/>
          <w:szCs w:val="24"/>
        </w:rPr>
        <w:fldChar w:fldCharType="separate"/>
      </w:r>
      <w:r>
        <w:rPr>
          <w:sz w:val="24"/>
          <w:szCs w:val="24"/>
        </w:rPr>
        <w:t>18</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四、城区林荫街道</w:t>
      </w:r>
      <w:r>
        <w:rPr>
          <w:sz w:val="24"/>
          <w:szCs w:val="24"/>
        </w:rPr>
        <w:tab/>
      </w:r>
      <w:r>
        <w:rPr>
          <w:sz w:val="24"/>
          <w:szCs w:val="24"/>
        </w:rPr>
        <w:fldChar w:fldCharType="begin"/>
      </w:r>
      <w:r>
        <w:rPr>
          <w:sz w:val="24"/>
          <w:szCs w:val="24"/>
        </w:rPr>
        <w:instrText xml:space="preserve"> PAGEREF _Toc27389886 \h </w:instrText>
      </w:r>
      <w:r>
        <w:rPr>
          <w:sz w:val="24"/>
          <w:szCs w:val="24"/>
        </w:rPr>
        <w:fldChar w:fldCharType="separate"/>
      </w:r>
      <w:r>
        <w:rPr>
          <w:sz w:val="24"/>
          <w:szCs w:val="24"/>
        </w:rPr>
        <w:t>20</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五、城间森林廊道</w:t>
      </w:r>
      <w:r>
        <w:rPr>
          <w:sz w:val="24"/>
          <w:szCs w:val="24"/>
        </w:rPr>
        <w:tab/>
      </w:r>
      <w:r>
        <w:rPr>
          <w:sz w:val="24"/>
          <w:szCs w:val="24"/>
        </w:rPr>
        <w:fldChar w:fldCharType="begin"/>
      </w:r>
      <w:r>
        <w:rPr>
          <w:sz w:val="24"/>
          <w:szCs w:val="24"/>
        </w:rPr>
        <w:instrText xml:space="preserve"> PAGEREF _Toc27389887 \h </w:instrText>
      </w:r>
      <w:r>
        <w:rPr>
          <w:sz w:val="24"/>
          <w:szCs w:val="24"/>
        </w:rPr>
        <w:fldChar w:fldCharType="separate"/>
      </w:r>
      <w:r>
        <w:rPr>
          <w:sz w:val="24"/>
          <w:szCs w:val="24"/>
        </w:rPr>
        <w:t>21</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六、乡村聚落森林</w:t>
      </w:r>
      <w:r>
        <w:rPr>
          <w:sz w:val="24"/>
          <w:szCs w:val="24"/>
        </w:rPr>
        <w:tab/>
      </w:r>
      <w:r>
        <w:rPr>
          <w:sz w:val="24"/>
          <w:szCs w:val="24"/>
        </w:rPr>
        <w:fldChar w:fldCharType="begin"/>
      </w:r>
      <w:r>
        <w:rPr>
          <w:sz w:val="24"/>
          <w:szCs w:val="24"/>
        </w:rPr>
        <w:instrText xml:space="preserve"> PAGEREF _Toc27389888 \h </w:instrText>
      </w:r>
      <w:r>
        <w:rPr>
          <w:sz w:val="24"/>
          <w:szCs w:val="24"/>
        </w:rPr>
        <w:fldChar w:fldCharType="separate"/>
      </w:r>
      <w:r>
        <w:rPr>
          <w:sz w:val="24"/>
          <w:szCs w:val="24"/>
        </w:rPr>
        <w:t>22</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七、山地健康森林</w:t>
      </w:r>
      <w:r>
        <w:rPr>
          <w:sz w:val="24"/>
          <w:szCs w:val="24"/>
        </w:rPr>
        <w:tab/>
      </w:r>
      <w:r>
        <w:rPr>
          <w:sz w:val="24"/>
          <w:szCs w:val="24"/>
        </w:rPr>
        <w:fldChar w:fldCharType="begin"/>
      </w:r>
      <w:r>
        <w:rPr>
          <w:sz w:val="24"/>
          <w:szCs w:val="24"/>
        </w:rPr>
        <w:instrText xml:space="preserve"> PAGEREF _Toc27389889 \h </w:instrText>
      </w:r>
      <w:r>
        <w:rPr>
          <w:sz w:val="24"/>
          <w:szCs w:val="24"/>
        </w:rPr>
        <w:fldChar w:fldCharType="separate"/>
      </w:r>
      <w:r>
        <w:rPr>
          <w:sz w:val="24"/>
          <w:szCs w:val="24"/>
        </w:rPr>
        <w:t>23</w:t>
      </w:r>
      <w:r>
        <w:rPr>
          <w:sz w:val="24"/>
          <w:szCs w:val="24"/>
        </w:rPr>
        <w:fldChar w:fldCharType="end"/>
      </w:r>
    </w:p>
    <w:p>
      <w:pPr>
        <w:pStyle w:val="17"/>
        <w:tabs>
          <w:tab w:val="right" w:leader="hyphen" w:pos="8494"/>
        </w:tabs>
        <w:spacing w:line="288" w:lineRule="auto"/>
        <w:rPr>
          <w:b w:val="0"/>
          <w:bCs w:val="0"/>
          <w:caps w:val="0"/>
          <w:sz w:val="24"/>
          <w:szCs w:val="24"/>
        </w:rPr>
      </w:pPr>
      <w:r>
        <w:rPr>
          <w:rFonts w:ascii="黑体" w:hAnsi="黑体" w:eastAsia="黑体" w:cs="宋体"/>
          <w:spacing w:val="4"/>
          <w:kern w:val="36"/>
          <w:sz w:val="24"/>
          <w:szCs w:val="24"/>
        </w:rPr>
        <w:t>第四篇 生态资源本底与建设需求分析</w:t>
      </w:r>
      <w:r>
        <w:rPr>
          <w:sz w:val="24"/>
          <w:szCs w:val="24"/>
        </w:rPr>
        <w:tab/>
      </w:r>
      <w:r>
        <w:rPr>
          <w:sz w:val="24"/>
          <w:szCs w:val="24"/>
        </w:rPr>
        <w:fldChar w:fldCharType="begin"/>
      </w:r>
      <w:r>
        <w:rPr>
          <w:sz w:val="24"/>
          <w:szCs w:val="24"/>
        </w:rPr>
        <w:instrText xml:space="preserve"> PAGEREF _Toc27389890 \h </w:instrText>
      </w:r>
      <w:r>
        <w:rPr>
          <w:sz w:val="24"/>
          <w:szCs w:val="24"/>
        </w:rPr>
        <w:fldChar w:fldCharType="separate"/>
      </w:r>
      <w:r>
        <w:rPr>
          <w:sz w:val="24"/>
          <w:szCs w:val="24"/>
        </w:rPr>
        <w:t>25</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一、资源本底分析</w:t>
      </w:r>
      <w:r>
        <w:rPr>
          <w:sz w:val="24"/>
          <w:szCs w:val="24"/>
        </w:rPr>
        <w:tab/>
      </w:r>
      <w:r>
        <w:rPr>
          <w:sz w:val="24"/>
          <w:szCs w:val="24"/>
        </w:rPr>
        <w:fldChar w:fldCharType="begin"/>
      </w:r>
      <w:r>
        <w:rPr>
          <w:sz w:val="24"/>
          <w:szCs w:val="24"/>
        </w:rPr>
        <w:instrText xml:space="preserve"> PAGEREF _Toc27389891 \h </w:instrText>
      </w:r>
      <w:r>
        <w:rPr>
          <w:sz w:val="24"/>
          <w:szCs w:val="24"/>
        </w:rPr>
        <w:fldChar w:fldCharType="separate"/>
      </w:r>
      <w:r>
        <w:rPr>
          <w:sz w:val="24"/>
          <w:szCs w:val="24"/>
        </w:rPr>
        <w:t>25</w:t>
      </w:r>
      <w:r>
        <w:rPr>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（一）森林资源</w:t>
      </w:r>
      <w:r>
        <w:rPr>
          <w:i w:val="0"/>
          <w:iCs w:val="0"/>
          <w:sz w:val="24"/>
          <w:szCs w:val="24"/>
        </w:rPr>
        <w:tab/>
      </w:r>
      <w:r>
        <w:rPr>
          <w:i w:val="0"/>
          <w:iCs w:val="0"/>
          <w:sz w:val="24"/>
          <w:szCs w:val="24"/>
        </w:rPr>
        <w:fldChar w:fldCharType="begin"/>
      </w:r>
      <w:r>
        <w:rPr>
          <w:i w:val="0"/>
          <w:iCs w:val="0"/>
          <w:sz w:val="24"/>
          <w:szCs w:val="24"/>
        </w:rPr>
        <w:instrText xml:space="preserve"> PAGEREF _Toc27389892 \h </w:instrText>
      </w:r>
      <w:r>
        <w:rPr>
          <w:i w:val="0"/>
          <w:iCs w:val="0"/>
          <w:sz w:val="24"/>
          <w:szCs w:val="24"/>
        </w:rPr>
        <w:fldChar w:fldCharType="separate"/>
      </w:r>
      <w:r>
        <w:rPr>
          <w:i w:val="0"/>
          <w:iCs w:val="0"/>
          <w:sz w:val="24"/>
          <w:szCs w:val="24"/>
        </w:rPr>
        <w:t>25</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（二）绿地资源</w:t>
      </w:r>
      <w:r>
        <w:rPr>
          <w:i w:val="0"/>
          <w:iCs w:val="0"/>
          <w:sz w:val="24"/>
          <w:szCs w:val="24"/>
        </w:rPr>
        <w:tab/>
      </w:r>
      <w:r>
        <w:rPr>
          <w:i w:val="0"/>
          <w:iCs w:val="0"/>
          <w:sz w:val="24"/>
          <w:szCs w:val="24"/>
        </w:rPr>
        <w:fldChar w:fldCharType="begin"/>
      </w:r>
      <w:r>
        <w:rPr>
          <w:i w:val="0"/>
          <w:iCs w:val="0"/>
          <w:sz w:val="24"/>
          <w:szCs w:val="24"/>
        </w:rPr>
        <w:instrText xml:space="preserve"> PAGEREF _Toc27389893 \h </w:instrText>
      </w:r>
      <w:r>
        <w:rPr>
          <w:i w:val="0"/>
          <w:iCs w:val="0"/>
          <w:sz w:val="24"/>
          <w:szCs w:val="24"/>
        </w:rPr>
        <w:fldChar w:fldCharType="separate"/>
      </w:r>
      <w:r>
        <w:rPr>
          <w:i w:val="0"/>
          <w:iCs w:val="0"/>
          <w:sz w:val="24"/>
          <w:szCs w:val="24"/>
        </w:rPr>
        <w:t>26</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（三）湿地资源</w:t>
      </w:r>
      <w:r>
        <w:rPr>
          <w:i w:val="0"/>
          <w:iCs w:val="0"/>
          <w:sz w:val="24"/>
          <w:szCs w:val="24"/>
        </w:rPr>
        <w:tab/>
      </w:r>
      <w:r>
        <w:rPr>
          <w:i w:val="0"/>
          <w:iCs w:val="0"/>
          <w:sz w:val="24"/>
          <w:szCs w:val="24"/>
        </w:rPr>
        <w:fldChar w:fldCharType="begin"/>
      </w:r>
      <w:r>
        <w:rPr>
          <w:i w:val="0"/>
          <w:iCs w:val="0"/>
          <w:sz w:val="24"/>
          <w:szCs w:val="24"/>
        </w:rPr>
        <w:instrText xml:space="preserve"> PAGEREF _Toc27389894 \h </w:instrText>
      </w:r>
      <w:r>
        <w:rPr>
          <w:i w:val="0"/>
          <w:iCs w:val="0"/>
          <w:sz w:val="24"/>
          <w:szCs w:val="24"/>
        </w:rPr>
        <w:fldChar w:fldCharType="separate"/>
      </w:r>
      <w:r>
        <w:rPr>
          <w:i w:val="0"/>
          <w:iCs w:val="0"/>
          <w:sz w:val="24"/>
          <w:szCs w:val="24"/>
        </w:rPr>
        <w:t>27</w:t>
      </w:r>
      <w:r>
        <w:rPr>
          <w:i w:val="0"/>
          <w:iCs w:val="0"/>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二、建设需求分析</w:t>
      </w:r>
      <w:r>
        <w:rPr>
          <w:sz w:val="24"/>
          <w:szCs w:val="24"/>
        </w:rPr>
        <w:tab/>
      </w:r>
      <w:r>
        <w:rPr>
          <w:sz w:val="24"/>
          <w:szCs w:val="24"/>
        </w:rPr>
        <w:fldChar w:fldCharType="begin"/>
      </w:r>
      <w:r>
        <w:rPr>
          <w:sz w:val="24"/>
          <w:szCs w:val="24"/>
        </w:rPr>
        <w:instrText xml:space="preserve"> PAGEREF _Toc27389895 \h </w:instrText>
      </w:r>
      <w:r>
        <w:rPr>
          <w:sz w:val="24"/>
          <w:szCs w:val="24"/>
        </w:rPr>
        <w:fldChar w:fldCharType="separate"/>
      </w:r>
      <w:r>
        <w:rPr>
          <w:sz w:val="24"/>
          <w:szCs w:val="24"/>
        </w:rPr>
        <w:t>29</w:t>
      </w:r>
      <w:r>
        <w:rPr>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（一）缓解城市热岛效应</w:t>
      </w:r>
      <w:r>
        <w:rPr>
          <w:i w:val="0"/>
          <w:iCs w:val="0"/>
          <w:sz w:val="24"/>
          <w:szCs w:val="24"/>
        </w:rPr>
        <w:tab/>
      </w:r>
      <w:r>
        <w:rPr>
          <w:i w:val="0"/>
          <w:iCs w:val="0"/>
          <w:sz w:val="24"/>
          <w:szCs w:val="24"/>
        </w:rPr>
        <w:fldChar w:fldCharType="begin"/>
      </w:r>
      <w:r>
        <w:rPr>
          <w:i w:val="0"/>
          <w:iCs w:val="0"/>
          <w:sz w:val="24"/>
          <w:szCs w:val="24"/>
        </w:rPr>
        <w:instrText xml:space="preserve"> PAGEREF _Toc27389896 \h </w:instrText>
      </w:r>
      <w:r>
        <w:rPr>
          <w:i w:val="0"/>
          <w:iCs w:val="0"/>
          <w:sz w:val="24"/>
          <w:szCs w:val="24"/>
        </w:rPr>
        <w:fldChar w:fldCharType="separate"/>
      </w:r>
      <w:r>
        <w:rPr>
          <w:i w:val="0"/>
          <w:iCs w:val="0"/>
          <w:sz w:val="24"/>
          <w:szCs w:val="24"/>
        </w:rPr>
        <w:t>29</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（二）提高林木树冠覆盖</w:t>
      </w:r>
      <w:r>
        <w:rPr>
          <w:i w:val="0"/>
          <w:iCs w:val="0"/>
          <w:sz w:val="24"/>
          <w:szCs w:val="24"/>
        </w:rPr>
        <w:tab/>
      </w:r>
      <w:r>
        <w:rPr>
          <w:i w:val="0"/>
          <w:iCs w:val="0"/>
          <w:sz w:val="24"/>
          <w:szCs w:val="24"/>
        </w:rPr>
        <w:fldChar w:fldCharType="begin"/>
      </w:r>
      <w:r>
        <w:rPr>
          <w:i w:val="0"/>
          <w:iCs w:val="0"/>
          <w:sz w:val="24"/>
          <w:szCs w:val="24"/>
        </w:rPr>
        <w:instrText xml:space="preserve"> PAGEREF _Toc27389897 \h </w:instrText>
      </w:r>
      <w:r>
        <w:rPr>
          <w:i w:val="0"/>
          <w:iCs w:val="0"/>
          <w:sz w:val="24"/>
          <w:szCs w:val="24"/>
        </w:rPr>
        <w:fldChar w:fldCharType="separate"/>
      </w:r>
      <w:r>
        <w:rPr>
          <w:i w:val="0"/>
          <w:iCs w:val="0"/>
          <w:sz w:val="24"/>
          <w:szCs w:val="24"/>
        </w:rPr>
        <w:t>30</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（三）减轻城市森林破碎</w:t>
      </w:r>
      <w:r>
        <w:rPr>
          <w:i w:val="0"/>
          <w:iCs w:val="0"/>
          <w:sz w:val="24"/>
          <w:szCs w:val="24"/>
        </w:rPr>
        <w:tab/>
      </w:r>
      <w:r>
        <w:rPr>
          <w:i w:val="0"/>
          <w:iCs w:val="0"/>
          <w:sz w:val="24"/>
          <w:szCs w:val="24"/>
        </w:rPr>
        <w:fldChar w:fldCharType="begin"/>
      </w:r>
      <w:r>
        <w:rPr>
          <w:i w:val="0"/>
          <w:iCs w:val="0"/>
          <w:sz w:val="24"/>
          <w:szCs w:val="24"/>
        </w:rPr>
        <w:instrText xml:space="preserve"> PAGEREF _Toc27389898 \h </w:instrText>
      </w:r>
      <w:r>
        <w:rPr>
          <w:i w:val="0"/>
          <w:iCs w:val="0"/>
          <w:sz w:val="24"/>
          <w:szCs w:val="24"/>
        </w:rPr>
        <w:fldChar w:fldCharType="separate"/>
      </w:r>
      <w:r>
        <w:rPr>
          <w:i w:val="0"/>
          <w:iCs w:val="0"/>
          <w:sz w:val="24"/>
          <w:szCs w:val="24"/>
        </w:rPr>
        <w:t>31</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（四）建设市域生态廊道</w:t>
      </w:r>
      <w:r>
        <w:rPr>
          <w:i w:val="0"/>
          <w:iCs w:val="0"/>
          <w:sz w:val="24"/>
          <w:szCs w:val="24"/>
        </w:rPr>
        <w:tab/>
      </w:r>
      <w:r>
        <w:rPr>
          <w:i w:val="0"/>
          <w:iCs w:val="0"/>
          <w:sz w:val="24"/>
          <w:szCs w:val="24"/>
        </w:rPr>
        <w:fldChar w:fldCharType="begin"/>
      </w:r>
      <w:r>
        <w:rPr>
          <w:i w:val="0"/>
          <w:iCs w:val="0"/>
          <w:sz w:val="24"/>
          <w:szCs w:val="24"/>
        </w:rPr>
        <w:instrText xml:space="preserve"> PAGEREF _Toc27389899 \h </w:instrText>
      </w:r>
      <w:r>
        <w:rPr>
          <w:i w:val="0"/>
          <w:iCs w:val="0"/>
          <w:sz w:val="24"/>
          <w:szCs w:val="24"/>
        </w:rPr>
        <w:fldChar w:fldCharType="separate"/>
      </w:r>
      <w:r>
        <w:rPr>
          <w:i w:val="0"/>
          <w:iCs w:val="0"/>
          <w:sz w:val="24"/>
          <w:szCs w:val="24"/>
        </w:rPr>
        <w:t>33</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（五）落实绿隔地区规划</w:t>
      </w:r>
      <w:r>
        <w:rPr>
          <w:i w:val="0"/>
          <w:iCs w:val="0"/>
          <w:sz w:val="24"/>
          <w:szCs w:val="24"/>
        </w:rPr>
        <w:tab/>
      </w:r>
      <w:r>
        <w:rPr>
          <w:i w:val="0"/>
          <w:iCs w:val="0"/>
          <w:sz w:val="24"/>
          <w:szCs w:val="24"/>
        </w:rPr>
        <w:fldChar w:fldCharType="begin"/>
      </w:r>
      <w:r>
        <w:rPr>
          <w:i w:val="0"/>
          <w:iCs w:val="0"/>
          <w:sz w:val="24"/>
          <w:szCs w:val="24"/>
        </w:rPr>
        <w:instrText xml:space="preserve"> PAGEREF _Toc27389900 \h </w:instrText>
      </w:r>
      <w:r>
        <w:rPr>
          <w:i w:val="0"/>
          <w:iCs w:val="0"/>
          <w:sz w:val="24"/>
          <w:szCs w:val="24"/>
        </w:rPr>
        <w:fldChar w:fldCharType="separate"/>
      </w:r>
      <w:r>
        <w:rPr>
          <w:i w:val="0"/>
          <w:iCs w:val="0"/>
          <w:sz w:val="24"/>
          <w:szCs w:val="24"/>
        </w:rPr>
        <w:t>34</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（六）提升乡村森林风貌</w:t>
      </w:r>
      <w:r>
        <w:rPr>
          <w:i w:val="0"/>
          <w:iCs w:val="0"/>
          <w:sz w:val="24"/>
          <w:szCs w:val="24"/>
        </w:rPr>
        <w:tab/>
      </w:r>
      <w:r>
        <w:rPr>
          <w:i w:val="0"/>
          <w:iCs w:val="0"/>
          <w:sz w:val="24"/>
          <w:szCs w:val="24"/>
        </w:rPr>
        <w:fldChar w:fldCharType="begin"/>
      </w:r>
      <w:r>
        <w:rPr>
          <w:i w:val="0"/>
          <w:iCs w:val="0"/>
          <w:sz w:val="24"/>
          <w:szCs w:val="24"/>
        </w:rPr>
        <w:instrText xml:space="preserve"> PAGEREF _Toc27389901 \h </w:instrText>
      </w:r>
      <w:r>
        <w:rPr>
          <w:i w:val="0"/>
          <w:iCs w:val="0"/>
          <w:sz w:val="24"/>
          <w:szCs w:val="24"/>
        </w:rPr>
        <w:fldChar w:fldCharType="separate"/>
      </w:r>
      <w:r>
        <w:rPr>
          <w:i w:val="0"/>
          <w:iCs w:val="0"/>
          <w:sz w:val="24"/>
          <w:szCs w:val="24"/>
        </w:rPr>
        <w:t>35</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（七）完善生态休闲服务</w:t>
      </w:r>
      <w:r>
        <w:rPr>
          <w:i w:val="0"/>
          <w:iCs w:val="0"/>
          <w:sz w:val="24"/>
          <w:szCs w:val="24"/>
        </w:rPr>
        <w:tab/>
      </w:r>
      <w:r>
        <w:rPr>
          <w:i w:val="0"/>
          <w:iCs w:val="0"/>
          <w:sz w:val="24"/>
          <w:szCs w:val="24"/>
        </w:rPr>
        <w:fldChar w:fldCharType="begin"/>
      </w:r>
      <w:r>
        <w:rPr>
          <w:i w:val="0"/>
          <w:iCs w:val="0"/>
          <w:sz w:val="24"/>
          <w:szCs w:val="24"/>
        </w:rPr>
        <w:instrText xml:space="preserve"> PAGEREF _Toc27389902 \h </w:instrText>
      </w:r>
      <w:r>
        <w:rPr>
          <w:i w:val="0"/>
          <w:iCs w:val="0"/>
          <w:sz w:val="24"/>
          <w:szCs w:val="24"/>
        </w:rPr>
        <w:fldChar w:fldCharType="separate"/>
      </w:r>
      <w:r>
        <w:rPr>
          <w:i w:val="0"/>
          <w:iCs w:val="0"/>
          <w:sz w:val="24"/>
          <w:szCs w:val="24"/>
        </w:rPr>
        <w:t>36</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（八）传承城市生态文化</w:t>
      </w:r>
      <w:r>
        <w:rPr>
          <w:i w:val="0"/>
          <w:iCs w:val="0"/>
          <w:sz w:val="24"/>
          <w:szCs w:val="24"/>
        </w:rPr>
        <w:tab/>
      </w:r>
      <w:r>
        <w:rPr>
          <w:i w:val="0"/>
          <w:iCs w:val="0"/>
          <w:sz w:val="24"/>
          <w:szCs w:val="24"/>
        </w:rPr>
        <w:fldChar w:fldCharType="begin"/>
      </w:r>
      <w:r>
        <w:rPr>
          <w:i w:val="0"/>
          <w:iCs w:val="0"/>
          <w:sz w:val="24"/>
          <w:szCs w:val="24"/>
        </w:rPr>
        <w:instrText xml:space="preserve"> PAGEREF _Toc27389903 \h </w:instrText>
      </w:r>
      <w:r>
        <w:rPr>
          <w:i w:val="0"/>
          <w:iCs w:val="0"/>
          <w:sz w:val="24"/>
          <w:szCs w:val="24"/>
        </w:rPr>
        <w:fldChar w:fldCharType="separate"/>
      </w:r>
      <w:r>
        <w:rPr>
          <w:i w:val="0"/>
          <w:iCs w:val="0"/>
          <w:sz w:val="24"/>
          <w:szCs w:val="24"/>
        </w:rPr>
        <w:t>36</w:t>
      </w:r>
      <w:r>
        <w:rPr>
          <w:i w:val="0"/>
          <w:iCs w:val="0"/>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三、存在问题与应对策略</w:t>
      </w:r>
      <w:r>
        <w:rPr>
          <w:sz w:val="24"/>
          <w:szCs w:val="24"/>
        </w:rPr>
        <w:tab/>
      </w:r>
      <w:r>
        <w:rPr>
          <w:sz w:val="24"/>
          <w:szCs w:val="24"/>
        </w:rPr>
        <w:fldChar w:fldCharType="begin"/>
      </w:r>
      <w:r>
        <w:rPr>
          <w:sz w:val="24"/>
          <w:szCs w:val="24"/>
        </w:rPr>
        <w:instrText xml:space="preserve"> PAGEREF _Toc27389904 \h </w:instrText>
      </w:r>
      <w:r>
        <w:rPr>
          <w:sz w:val="24"/>
          <w:szCs w:val="24"/>
        </w:rPr>
        <w:fldChar w:fldCharType="separate"/>
      </w:r>
      <w:r>
        <w:rPr>
          <w:sz w:val="24"/>
          <w:szCs w:val="24"/>
        </w:rPr>
        <w:t>39</w:t>
      </w:r>
      <w:r>
        <w:rPr>
          <w:sz w:val="24"/>
          <w:szCs w:val="24"/>
        </w:rPr>
        <w:fldChar w:fldCharType="end"/>
      </w:r>
    </w:p>
    <w:p>
      <w:pPr>
        <w:pStyle w:val="17"/>
        <w:tabs>
          <w:tab w:val="right" w:leader="hyphen" w:pos="8494"/>
        </w:tabs>
        <w:spacing w:line="288" w:lineRule="auto"/>
        <w:rPr>
          <w:b w:val="0"/>
          <w:bCs w:val="0"/>
          <w:caps w:val="0"/>
          <w:sz w:val="24"/>
          <w:szCs w:val="24"/>
        </w:rPr>
      </w:pPr>
      <w:r>
        <w:rPr>
          <w:rFonts w:ascii="黑体" w:hAnsi="黑体" w:eastAsia="黑体" w:cs="宋体"/>
          <w:spacing w:val="4"/>
          <w:kern w:val="36"/>
          <w:sz w:val="24"/>
          <w:szCs w:val="24"/>
        </w:rPr>
        <w:t>第五篇 森林城市建设的主要指标</w:t>
      </w:r>
      <w:r>
        <w:rPr>
          <w:sz w:val="24"/>
          <w:szCs w:val="24"/>
        </w:rPr>
        <w:tab/>
      </w:r>
      <w:r>
        <w:rPr>
          <w:sz w:val="24"/>
          <w:szCs w:val="24"/>
        </w:rPr>
        <w:fldChar w:fldCharType="begin"/>
      </w:r>
      <w:r>
        <w:rPr>
          <w:sz w:val="24"/>
          <w:szCs w:val="24"/>
        </w:rPr>
        <w:instrText xml:space="preserve"> PAGEREF _Toc27389905 \h </w:instrText>
      </w:r>
      <w:r>
        <w:rPr>
          <w:sz w:val="24"/>
          <w:szCs w:val="24"/>
        </w:rPr>
        <w:fldChar w:fldCharType="separate"/>
      </w:r>
      <w:r>
        <w:rPr>
          <w:sz w:val="24"/>
          <w:szCs w:val="24"/>
        </w:rPr>
        <w:t>41</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一、指标体系</w:t>
      </w:r>
      <w:r>
        <w:rPr>
          <w:sz w:val="24"/>
          <w:szCs w:val="24"/>
        </w:rPr>
        <w:tab/>
      </w:r>
      <w:r>
        <w:rPr>
          <w:sz w:val="24"/>
          <w:szCs w:val="24"/>
        </w:rPr>
        <w:fldChar w:fldCharType="begin"/>
      </w:r>
      <w:r>
        <w:rPr>
          <w:sz w:val="24"/>
          <w:szCs w:val="24"/>
        </w:rPr>
        <w:instrText xml:space="preserve"> PAGEREF _Toc27389906 \h </w:instrText>
      </w:r>
      <w:r>
        <w:rPr>
          <w:sz w:val="24"/>
          <w:szCs w:val="24"/>
        </w:rPr>
        <w:fldChar w:fldCharType="separate"/>
      </w:r>
      <w:r>
        <w:rPr>
          <w:sz w:val="24"/>
          <w:szCs w:val="24"/>
        </w:rPr>
        <w:t>41</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二、阶段目标</w:t>
      </w:r>
      <w:r>
        <w:rPr>
          <w:sz w:val="24"/>
          <w:szCs w:val="24"/>
        </w:rPr>
        <w:tab/>
      </w:r>
      <w:r>
        <w:rPr>
          <w:sz w:val="24"/>
          <w:szCs w:val="24"/>
        </w:rPr>
        <w:fldChar w:fldCharType="begin"/>
      </w:r>
      <w:r>
        <w:rPr>
          <w:sz w:val="24"/>
          <w:szCs w:val="24"/>
        </w:rPr>
        <w:instrText xml:space="preserve"> PAGEREF _Toc27389907 \h </w:instrText>
      </w:r>
      <w:r>
        <w:rPr>
          <w:sz w:val="24"/>
          <w:szCs w:val="24"/>
        </w:rPr>
        <w:fldChar w:fldCharType="separate"/>
      </w:r>
      <w:r>
        <w:rPr>
          <w:sz w:val="24"/>
          <w:szCs w:val="24"/>
        </w:rPr>
        <w:t>44</w:t>
      </w:r>
      <w:r>
        <w:rPr>
          <w:sz w:val="24"/>
          <w:szCs w:val="24"/>
        </w:rPr>
        <w:fldChar w:fldCharType="end"/>
      </w:r>
    </w:p>
    <w:p>
      <w:pPr>
        <w:pStyle w:val="17"/>
        <w:tabs>
          <w:tab w:val="right" w:leader="hyphen" w:pos="8494"/>
        </w:tabs>
        <w:spacing w:line="288" w:lineRule="auto"/>
        <w:rPr>
          <w:b w:val="0"/>
          <w:bCs w:val="0"/>
          <w:caps w:val="0"/>
          <w:sz w:val="24"/>
          <w:szCs w:val="24"/>
        </w:rPr>
      </w:pPr>
      <w:r>
        <w:rPr>
          <w:rFonts w:ascii="黑体" w:hAnsi="黑体" w:eastAsia="黑体" w:cs="宋体"/>
          <w:spacing w:val="4"/>
          <w:kern w:val="36"/>
          <w:sz w:val="24"/>
          <w:szCs w:val="24"/>
        </w:rPr>
        <w:t>第六篇 建设布局</w:t>
      </w:r>
      <w:r>
        <w:rPr>
          <w:sz w:val="24"/>
          <w:szCs w:val="24"/>
        </w:rPr>
        <w:tab/>
      </w:r>
      <w:r>
        <w:rPr>
          <w:sz w:val="24"/>
          <w:szCs w:val="24"/>
        </w:rPr>
        <w:fldChar w:fldCharType="begin"/>
      </w:r>
      <w:r>
        <w:rPr>
          <w:sz w:val="24"/>
          <w:szCs w:val="24"/>
        </w:rPr>
        <w:instrText xml:space="preserve"> PAGEREF _Toc27389908 \h </w:instrText>
      </w:r>
      <w:r>
        <w:rPr>
          <w:sz w:val="24"/>
          <w:szCs w:val="24"/>
        </w:rPr>
        <w:fldChar w:fldCharType="separate"/>
      </w:r>
      <w:r>
        <w:rPr>
          <w:sz w:val="24"/>
          <w:szCs w:val="24"/>
        </w:rPr>
        <w:t>47</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一、布局原则</w:t>
      </w:r>
      <w:r>
        <w:rPr>
          <w:sz w:val="24"/>
          <w:szCs w:val="24"/>
        </w:rPr>
        <w:tab/>
      </w:r>
      <w:r>
        <w:rPr>
          <w:sz w:val="24"/>
          <w:szCs w:val="24"/>
        </w:rPr>
        <w:fldChar w:fldCharType="begin"/>
      </w:r>
      <w:r>
        <w:rPr>
          <w:sz w:val="24"/>
          <w:szCs w:val="24"/>
        </w:rPr>
        <w:instrText xml:space="preserve"> PAGEREF _Toc27389909 \h </w:instrText>
      </w:r>
      <w:r>
        <w:rPr>
          <w:sz w:val="24"/>
          <w:szCs w:val="24"/>
        </w:rPr>
        <w:fldChar w:fldCharType="separate"/>
      </w:r>
      <w:r>
        <w:rPr>
          <w:sz w:val="24"/>
          <w:szCs w:val="24"/>
        </w:rPr>
        <w:t>47</w:t>
      </w:r>
      <w:r>
        <w:rPr>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（一）坚持系统建设，统筹推进</w:t>
      </w:r>
      <w:r>
        <w:rPr>
          <w:i w:val="0"/>
          <w:iCs w:val="0"/>
          <w:sz w:val="24"/>
          <w:szCs w:val="24"/>
        </w:rPr>
        <w:tab/>
      </w:r>
      <w:r>
        <w:rPr>
          <w:i w:val="0"/>
          <w:iCs w:val="0"/>
          <w:sz w:val="24"/>
          <w:szCs w:val="24"/>
        </w:rPr>
        <w:fldChar w:fldCharType="begin"/>
      </w:r>
      <w:r>
        <w:rPr>
          <w:i w:val="0"/>
          <w:iCs w:val="0"/>
          <w:sz w:val="24"/>
          <w:szCs w:val="24"/>
        </w:rPr>
        <w:instrText xml:space="preserve"> PAGEREF _Toc27389910 \h </w:instrText>
      </w:r>
      <w:r>
        <w:rPr>
          <w:i w:val="0"/>
          <w:iCs w:val="0"/>
          <w:sz w:val="24"/>
          <w:szCs w:val="24"/>
        </w:rPr>
        <w:fldChar w:fldCharType="separate"/>
      </w:r>
      <w:r>
        <w:rPr>
          <w:i w:val="0"/>
          <w:iCs w:val="0"/>
          <w:sz w:val="24"/>
          <w:szCs w:val="24"/>
        </w:rPr>
        <w:t>47</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（二）坚持合理布局，突出重点</w:t>
      </w:r>
      <w:r>
        <w:rPr>
          <w:i w:val="0"/>
          <w:iCs w:val="0"/>
          <w:sz w:val="24"/>
          <w:szCs w:val="24"/>
        </w:rPr>
        <w:tab/>
      </w:r>
      <w:r>
        <w:rPr>
          <w:i w:val="0"/>
          <w:iCs w:val="0"/>
          <w:sz w:val="24"/>
          <w:szCs w:val="24"/>
        </w:rPr>
        <w:fldChar w:fldCharType="begin"/>
      </w:r>
      <w:r>
        <w:rPr>
          <w:i w:val="0"/>
          <w:iCs w:val="0"/>
          <w:sz w:val="24"/>
          <w:szCs w:val="24"/>
        </w:rPr>
        <w:instrText xml:space="preserve"> PAGEREF _Toc27389911 \h </w:instrText>
      </w:r>
      <w:r>
        <w:rPr>
          <w:i w:val="0"/>
          <w:iCs w:val="0"/>
          <w:sz w:val="24"/>
          <w:szCs w:val="24"/>
        </w:rPr>
        <w:fldChar w:fldCharType="separate"/>
      </w:r>
      <w:r>
        <w:rPr>
          <w:i w:val="0"/>
          <w:iCs w:val="0"/>
          <w:sz w:val="24"/>
          <w:szCs w:val="24"/>
        </w:rPr>
        <w:t>47</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（三）坚持分类指导，科学推进</w:t>
      </w:r>
      <w:r>
        <w:rPr>
          <w:i w:val="0"/>
          <w:iCs w:val="0"/>
          <w:sz w:val="24"/>
          <w:szCs w:val="24"/>
        </w:rPr>
        <w:tab/>
      </w:r>
      <w:r>
        <w:rPr>
          <w:i w:val="0"/>
          <w:iCs w:val="0"/>
          <w:sz w:val="24"/>
          <w:szCs w:val="24"/>
        </w:rPr>
        <w:fldChar w:fldCharType="begin"/>
      </w:r>
      <w:r>
        <w:rPr>
          <w:i w:val="0"/>
          <w:iCs w:val="0"/>
          <w:sz w:val="24"/>
          <w:szCs w:val="24"/>
        </w:rPr>
        <w:instrText xml:space="preserve"> PAGEREF _Toc27389912 \h </w:instrText>
      </w:r>
      <w:r>
        <w:rPr>
          <w:i w:val="0"/>
          <w:iCs w:val="0"/>
          <w:sz w:val="24"/>
          <w:szCs w:val="24"/>
        </w:rPr>
        <w:fldChar w:fldCharType="separate"/>
      </w:r>
      <w:r>
        <w:rPr>
          <w:i w:val="0"/>
          <w:iCs w:val="0"/>
          <w:sz w:val="24"/>
          <w:szCs w:val="24"/>
        </w:rPr>
        <w:t>47</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（四）坚持惠民富民，强化服务</w:t>
      </w:r>
      <w:r>
        <w:rPr>
          <w:i w:val="0"/>
          <w:iCs w:val="0"/>
          <w:sz w:val="24"/>
          <w:szCs w:val="24"/>
        </w:rPr>
        <w:tab/>
      </w:r>
      <w:r>
        <w:rPr>
          <w:i w:val="0"/>
          <w:iCs w:val="0"/>
          <w:sz w:val="24"/>
          <w:szCs w:val="24"/>
        </w:rPr>
        <w:fldChar w:fldCharType="begin"/>
      </w:r>
      <w:r>
        <w:rPr>
          <w:i w:val="0"/>
          <w:iCs w:val="0"/>
          <w:sz w:val="24"/>
          <w:szCs w:val="24"/>
        </w:rPr>
        <w:instrText xml:space="preserve"> PAGEREF _Toc27389913 \h </w:instrText>
      </w:r>
      <w:r>
        <w:rPr>
          <w:i w:val="0"/>
          <w:iCs w:val="0"/>
          <w:sz w:val="24"/>
          <w:szCs w:val="24"/>
        </w:rPr>
        <w:fldChar w:fldCharType="separate"/>
      </w:r>
      <w:r>
        <w:rPr>
          <w:i w:val="0"/>
          <w:iCs w:val="0"/>
          <w:sz w:val="24"/>
          <w:szCs w:val="24"/>
        </w:rPr>
        <w:t>47</w:t>
      </w:r>
      <w:r>
        <w:rPr>
          <w:i w:val="0"/>
          <w:iCs w:val="0"/>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二、布局依据</w:t>
      </w:r>
      <w:r>
        <w:rPr>
          <w:sz w:val="24"/>
          <w:szCs w:val="24"/>
        </w:rPr>
        <w:tab/>
      </w:r>
      <w:r>
        <w:rPr>
          <w:sz w:val="24"/>
          <w:szCs w:val="24"/>
        </w:rPr>
        <w:fldChar w:fldCharType="begin"/>
      </w:r>
      <w:r>
        <w:rPr>
          <w:sz w:val="24"/>
          <w:szCs w:val="24"/>
        </w:rPr>
        <w:instrText xml:space="preserve"> PAGEREF _Toc27389914 \h </w:instrText>
      </w:r>
      <w:r>
        <w:rPr>
          <w:sz w:val="24"/>
          <w:szCs w:val="24"/>
        </w:rPr>
        <w:fldChar w:fldCharType="separate"/>
      </w:r>
      <w:r>
        <w:rPr>
          <w:sz w:val="24"/>
          <w:szCs w:val="24"/>
        </w:rPr>
        <w:t>48</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三、建设布局</w:t>
      </w:r>
      <w:r>
        <w:rPr>
          <w:sz w:val="24"/>
          <w:szCs w:val="24"/>
        </w:rPr>
        <w:tab/>
      </w:r>
      <w:r>
        <w:rPr>
          <w:sz w:val="24"/>
          <w:szCs w:val="24"/>
        </w:rPr>
        <w:fldChar w:fldCharType="begin"/>
      </w:r>
      <w:r>
        <w:rPr>
          <w:sz w:val="24"/>
          <w:szCs w:val="24"/>
        </w:rPr>
        <w:instrText xml:space="preserve"> PAGEREF _Toc27389915 \h </w:instrText>
      </w:r>
      <w:r>
        <w:rPr>
          <w:sz w:val="24"/>
          <w:szCs w:val="24"/>
        </w:rPr>
        <w:fldChar w:fldCharType="separate"/>
      </w:r>
      <w:r>
        <w:rPr>
          <w:sz w:val="24"/>
          <w:szCs w:val="24"/>
        </w:rPr>
        <w:t>48</w:t>
      </w:r>
      <w:r>
        <w:rPr>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（一）北提——森林质量，生态功能，服务能力</w:t>
      </w:r>
      <w:r>
        <w:rPr>
          <w:i w:val="0"/>
          <w:iCs w:val="0"/>
          <w:sz w:val="24"/>
          <w:szCs w:val="24"/>
        </w:rPr>
        <w:tab/>
      </w:r>
      <w:r>
        <w:rPr>
          <w:i w:val="0"/>
          <w:iCs w:val="0"/>
          <w:sz w:val="24"/>
          <w:szCs w:val="24"/>
        </w:rPr>
        <w:fldChar w:fldCharType="begin"/>
      </w:r>
      <w:r>
        <w:rPr>
          <w:i w:val="0"/>
          <w:iCs w:val="0"/>
          <w:sz w:val="24"/>
          <w:szCs w:val="24"/>
        </w:rPr>
        <w:instrText xml:space="preserve"> PAGEREF _Toc27389916 \h </w:instrText>
      </w:r>
      <w:r>
        <w:rPr>
          <w:i w:val="0"/>
          <w:iCs w:val="0"/>
          <w:sz w:val="24"/>
          <w:szCs w:val="24"/>
        </w:rPr>
        <w:fldChar w:fldCharType="separate"/>
      </w:r>
      <w:r>
        <w:rPr>
          <w:i w:val="0"/>
          <w:iCs w:val="0"/>
          <w:sz w:val="24"/>
          <w:szCs w:val="24"/>
        </w:rPr>
        <w:t>49</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（二）南增——成片森林，乡愁景观，绿染中轴</w:t>
      </w:r>
      <w:r>
        <w:rPr>
          <w:i w:val="0"/>
          <w:iCs w:val="0"/>
          <w:sz w:val="24"/>
          <w:szCs w:val="24"/>
        </w:rPr>
        <w:tab/>
      </w:r>
      <w:r>
        <w:rPr>
          <w:i w:val="0"/>
          <w:iCs w:val="0"/>
          <w:sz w:val="24"/>
          <w:szCs w:val="24"/>
        </w:rPr>
        <w:fldChar w:fldCharType="begin"/>
      </w:r>
      <w:r>
        <w:rPr>
          <w:i w:val="0"/>
          <w:iCs w:val="0"/>
          <w:sz w:val="24"/>
          <w:szCs w:val="24"/>
        </w:rPr>
        <w:instrText xml:space="preserve"> PAGEREF _Toc27389917 \h </w:instrText>
      </w:r>
      <w:r>
        <w:rPr>
          <w:i w:val="0"/>
          <w:iCs w:val="0"/>
          <w:sz w:val="24"/>
          <w:szCs w:val="24"/>
        </w:rPr>
        <w:fldChar w:fldCharType="separate"/>
      </w:r>
      <w:r>
        <w:rPr>
          <w:i w:val="0"/>
          <w:iCs w:val="0"/>
          <w:sz w:val="24"/>
          <w:szCs w:val="24"/>
        </w:rPr>
        <w:t>49</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（三）东拓——蓝绿空间，水岸森林，乡镇绿化</w:t>
      </w:r>
      <w:r>
        <w:rPr>
          <w:i w:val="0"/>
          <w:iCs w:val="0"/>
          <w:sz w:val="24"/>
          <w:szCs w:val="24"/>
        </w:rPr>
        <w:tab/>
      </w:r>
      <w:r>
        <w:rPr>
          <w:i w:val="0"/>
          <w:iCs w:val="0"/>
          <w:sz w:val="24"/>
          <w:szCs w:val="24"/>
        </w:rPr>
        <w:fldChar w:fldCharType="begin"/>
      </w:r>
      <w:r>
        <w:rPr>
          <w:i w:val="0"/>
          <w:iCs w:val="0"/>
          <w:sz w:val="24"/>
          <w:szCs w:val="24"/>
        </w:rPr>
        <w:instrText xml:space="preserve"> PAGEREF _Toc27389918 \h </w:instrText>
      </w:r>
      <w:r>
        <w:rPr>
          <w:i w:val="0"/>
          <w:iCs w:val="0"/>
          <w:sz w:val="24"/>
          <w:szCs w:val="24"/>
        </w:rPr>
        <w:fldChar w:fldCharType="separate"/>
      </w:r>
      <w:r>
        <w:rPr>
          <w:i w:val="0"/>
          <w:iCs w:val="0"/>
          <w:sz w:val="24"/>
          <w:szCs w:val="24"/>
        </w:rPr>
        <w:t>50</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（四）西护——山地森林，河流水系，废弃工矿</w:t>
      </w:r>
      <w:r>
        <w:rPr>
          <w:i w:val="0"/>
          <w:iCs w:val="0"/>
          <w:sz w:val="24"/>
          <w:szCs w:val="24"/>
        </w:rPr>
        <w:tab/>
      </w:r>
      <w:r>
        <w:rPr>
          <w:i w:val="0"/>
          <w:iCs w:val="0"/>
          <w:sz w:val="24"/>
          <w:szCs w:val="24"/>
        </w:rPr>
        <w:fldChar w:fldCharType="begin"/>
      </w:r>
      <w:r>
        <w:rPr>
          <w:i w:val="0"/>
          <w:iCs w:val="0"/>
          <w:sz w:val="24"/>
          <w:szCs w:val="24"/>
        </w:rPr>
        <w:instrText xml:space="preserve"> PAGEREF _Toc27389919 \h </w:instrText>
      </w:r>
      <w:r>
        <w:rPr>
          <w:i w:val="0"/>
          <w:iCs w:val="0"/>
          <w:sz w:val="24"/>
          <w:szCs w:val="24"/>
        </w:rPr>
        <w:fldChar w:fldCharType="separate"/>
      </w:r>
      <w:r>
        <w:rPr>
          <w:i w:val="0"/>
          <w:iCs w:val="0"/>
          <w:sz w:val="24"/>
          <w:szCs w:val="24"/>
        </w:rPr>
        <w:t>51</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（五）中优——城市森林，生态服务，绿地质量</w:t>
      </w:r>
      <w:r>
        <w:rPr>
          <w:i w:val="0"/>
          <w:iCs w:val="0"/>
          <w:sz w:val="24"/>
          <w:szCs w:val="24"/>
        </w:rPr>
        <w:tab/>
      </w:r>
      <w:r>
        <w:rPr>
          <w:i w:val="0"/>
          <w:iCs w:val="0"/>
          <w:sz w:val="24"/>
          <w:szCs w:val="24"/>
        </w:rPr>
        <w:fldChar w:fldCharType="begin"/>
      </w:r>
      <w:r>
        <w:rPr>
          <w:i w:val="0"/>
          <w:iCs w:val="0"/>
          <w:sz w:val="24"/>
          <w:szCs w:val="24"/>
        </w:rPr>
        <w:instrText xml:space="preserve"> PAGEREF _Toc27389920 \h </w:instrText>
      </w:r>
      <w:r>
        <w:rPr>
          <w:i w:val="0"/>
          <w:iCs w:val="0"/>
          <w:sz w:val="24"/>
          <w:szCs w:val="24"/>
        </w:rPr>
        <w:fldChar w:fldCharType="separate"/>
      </w:r>
      <w:r>
        <w:rPr>
          <w:i w:val="0"/>
          <w:iCs w:val="0"/>
          <w:sz w:val="24"/>
          <w:szCs w:val="24"/>
        </w:rPr>
        <w:t>51</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（六）内连——生态廊道，交通干道，休闲绿道</w:t>
      </w:r>
      <w:r>
        <w:rPr>
          <w:i w:val="0"/>
          <w:iCs w:val="0"/>
          <w:sz w:val="24"/>
          <w:szCs w:val="24"/>
        </w:rPr>
        <w:tab/>
      </w:r>
      <w:r>
        <w:rPr>
          <w:i w:val="0"/>
          <w:iCs w:val="0"/>
          <w:sz w:val="24"/>
          <w:szCs w:val="24"/>
        </w:rPr>
        <w:fldChar w:fldCharType="begin"/>
      </w:r>
      <w:r>
        <w:rPr>
          <w:i w:val="0"/>
          <w:iCs w:val="0"/>
          <w:sz w:val="24"/>
          <w:szCs w:val="24"/>
        </w:rPr>
        <w:instrText xml:space="preserve"> PAGEREF _Toc27389921 \h </w:instrText>
      </w:r>
      <w:r>
        <w:rPr>
          <w:i w:val="0"/>
          <w:iCs w:val="0"/>
          <w:sz w:val="24"/>
          <w:szCs w:val="24"/>
        </w:rPr>
        <w:fldChar w:fldCharType="separate"/>
      </w:r>
      <w:r>
        <w:rPr>
          <w:i w:val="0"/>
          <w:iCs w:val="0"/>
          <w:sz w:val="24"/>
          <w:szCs w:val="24"/>
        </w:rPr>
        <w:t>52</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cs="Times New Roman"/>
          <w:i w:val="0"/>
          <w:iCs w:val="0"/>
          <w:spacing w:val="20"/>
          <w:sz w:val="24"/>
          <w:szCs w:val="24"/>
        </w:rPr>
        <w:t>（七）外合——京张承生态涵养区，京津保生态过渡带，京津冀森林城市群</w:t>
      </w:r>
      <w:r>
        <w:rPr>
          <w:i w:val="0"/>
          <w:iCs w:val="0"/>
          <w:sz w:val="24"/>
          <w:szCs w:val="24"/>
        </w:rPr>
        <w:tab/>
      </w:r>
      <w:r>
        <w:rPr>
          <w:i w:val="0"/>
          <w:iCs w:val="0"/>
          <w:sz w:val="24"/>
          <w:szCs w:val="24"/>
        </w:rPr>
        <w:fldChar w:fldCharType="begin"/>
      </w:r>
      <w:r>
        <w:rPr>
          <w:i w:val="0"/>
          <w:iCs w:val="0"/>
          <w:sz w:val="24"/>
          <w:szCs w:val="24"/>
        </w:rPr>
        <w:instrText xml:space="preserve"> PAGEREF _Toc27389922 \h </w:instrText>
      </w:r>
      <w:r>
        <w:rPr>
          <w:i w:val="0"/>
          <w:iCs w:val="0"/>
          <w:sz w:val="24"/>
          <w:szCs w:val="24"/>
        </w:rPr>
        <w:fldChar w:fldCharType="separate"/>
      </w:r>
      <w:r>
        <w:rPr>
          <w:i w:val="0"/>
          <w:iCs w:val="0"/>
          <w:sz w:val="24"/>
          <w:szCs w:val="24"/>
        </w:rPr>
        <w:t>53</w:t>
      </w:r>
      <w:r>
        <w:rPr>
          <w:i w:val="0"/>
          <w:iCs w:val="0"/>
          <w:sz w:val="24"/>
          <w:szCs w:val="24"/>
        </w:rPr>
        <w:fldChar w:fldCharType="end"/>
      </w:r>
    </w:p>
    <w:p>
      <w:pPr>
        <w:pStyle w:val="17"/>
        <w:tabs>
          <w:tab w:val="right" w:leader="hyphen" w:pos="8494"/>
        </w:tabs>
        <w:spacing w:line="288" w:lineRule="auto"/>
        <w:rPr>
          <w:b w:val="0"/>
          <w:bCs w:val="0"/>
          <w:caps w:val="0"/>
          <w:sz w:val="24"/>
          <w:szCs w:val="24"/>
        </w:rPr>
      </w:pPr>
      <w:r>
        <w:rPr>
          <w:rFonts w:ascii="黑体" w:hAnsi="黑体" w:eastAsia="黑体" w:cs="宋体"/>
          <w:spacing w:val="4"/>
          <w:kern w:val="36"/>
          <w:sz w:val="24"/>
          <w:szCs w:val="24"/>
        </w:rPr>
        <w:t>第七篇 森林生态网络体系建设</w:t>
      </w:r>
      <w:r>
        <w:rPr>
          <w:sz w:val="24"/>
          <w:szCs w:val="24"/>
        </w:rPr>
        <w:tab/>
      </w:r>
      <w:r>
        <w:rPr>
          <w:sz w:val="24"/>
          <w:szCs w:val="24"/>
        </w:rPr>
        <w:fldChar w:fldCharType="begin"/>
      </w:r>
      <w:r>
        <w:rPr>
          <w:sz w:val="24"/>
          <w:szCs w:val="24"/>
        </w:rPr>
        <w:instrText xml:space="preserve"> PAGEREF _Toc27389923 \h </w:instrText>
      </w:r>
      <w:r>
        <w:rPr>
          <w:sz w:val="24"/>
          <w:szCs w:val="24"/>
        </w:rPr>
        <w:fldChar w:fldCharType="separate"/>
      </w:r>
      <w:r>
        <w:rPr>
          <w:sz w:val="24"/>
          <w:szCs w:val="24"/>
        </w:rPr>
        <w:t>55</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一、城区森林空间</w:t>
      </w:r>
      <w:r>
        <w:rPr>
          <w:sz w:val="24"/>
          <w:szCs w:val="24"/>
        </w:rPr>
        <w:tab/>
      </w:r>
      <w:r>
        <w:rPr>
          <w:sz w:val="24"/>
          <w:szCs w:val="24"/>
        </w:rPr>
        <w:fldChar w:fldCharType="begin"/>
      </w:r>
      <w:r>
        <w:rPr>
          <w:sz w:val="24"/>
          <w:szCs w:val="24"/>
        </w:rPr>
        <w:instrText xml:space="preserve"> PAGEREF _Toc27389924 \h </w:instrText>
      </w:r>
      <w:r>
        <w:rPr>
          <w:sz w:val="24"/>
          <w:szCs w:val="24"/>
        </w:rPr>
        <w:fldChar w:fldCharType="separate"/>
      </w:r>
      <w:r>
        <w:rPr>
          <w:sz w:val="24"/>
          <w:szCs w:val="24"/>
        </w:rPr>
        <w:t>55</w:t>
      </w:r>
      <w:r>
        <w:rPr>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1.大尺度近自然城市森林</w:t>
      </w:r>
      <w:r>
        <w:rPr>
          <w:i w:val="0"/>
          <w:iCs w:val="0"/>
          <w:sz w:val="24"/>
          <w:szCs w:val="24"/>
        </w:rPr>
        <w:tab/>
      </w:r>
      <w:r>
        <w:rPr>
          <w:i w:val="0"/>
          <w:iCs w:val="0"/>
          <w:sz w:val="24"/>
          <w:szCs w:val="24"/>
        </w:rPr>
        <w:fldChar w:fldCharType="begin"/>
      </w:r>
      <w:r>
        <w:rPr>
          <w:i w:val="0"/>
          <w:iCs w:val="0"/>
          <w:sz w:val="24"/>
          <w:szCs w:val="24"/>
        </w:rPr>
        <w:instrText xml:space="preserve"> PAGEREF _Toc27389925 \h </w:instrText>
      </w:r>
      <w:r>
        <w:rPr>
          <w:i w:val="0"/>
          <w:iCs w:val="0"/>
          <w:sz w:val="24"/>
          <w:szCs w:val="24"/>
        </w:rPr>
        <w:fldChar w:fldCharType="separate"/>
      </w:r>
      <w:r>
        <w:rPr>
          <w:i w:val="0"/>
          <w:iCs w:val="0"/>
          <w:sz w:val="24"/>
          <w:szCs w:val="24"/>
        </w:rPr>
        <w:t>55</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2.城市公园体系</w:t>
      </w:r>
      <w:r>
        <w:rPr>
          <w:i w:val="0"/>
          <w:iCs w:val="0"/>
          <w:sz w:val="24"/>
          <w:szCs w:val="24"/>
        </w:rPr>
        <w:tab/>
      </w:r>
      <w:r>
        <w:rPr>
          <w:i w:val="0"/>
          <w:iCs w:val="0"/>
          <w:sz w:val="24"/>
          <w:szCs w:val="24"/>
        </w:rPr>
        <w:fldChar w:fldCharType="begin"/>
      </w:r>
      <w:r>
        <w:rPr>
          <w:i w:val="0"/>
          <w:iCs w:val="0"/>
          <w:sz w:val="24"/>
          <w:szCs w:val="24"/>
        </w:rPr>
        <w:instrText xml:space="preserve"> PAGEREF _Toc27389926 \h </w:instrText>
      </w:r>
      <w:r>
        <w:rPr>
          <w:i w:val="0"/>
          <w:iCs w:val="0"/>
          <w:sz w:val="24"/>
          <w:szCs w:val="24"/>
        </w:rPr>
        <w:fldChar w:fldCharType="separate"/>
      </w:r>
      <w:r>
        <w:rPr>
          <w:i w:val="0"/>
          <w:iCs w:val="0"/>
          <w:sz w:val="24"/>
          <w:szCs w:val="24"/>
        </w:rPr>
        <w:t>57</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3.森林社区</w:t>
      </w:r>
      <w:r>
        <w:rPr>
          <w:i w:val="0"/>
          <w:iCs w:val="0"/>
          <w:sz w:val="24"/>
          <w:szCs w:val="24"/>
        </w:rPr>
        <w:tab/>
      </w:r>
      <w:r>
        <w:rPr>
          <w:i w:val="0"/>
          <w:iCs w:val="0"/>
          <w:sz w:val="24"/>
          <w:szCs w:val="24"/>
        </w:rPr>
        <w:fldChar w:fldCharType="begin"/>
      </w:r>
      <w:r>
        <w:rPr>
          <w:i w:val="0"/>
          <w:iCs w:val="0"/>
          <w:sz w:val="24"/>
          <w:szCs w:val="24"/>
        </w:rPr>
        <w:instrText xml:space="preserve"> PAGEREF _Toc27389927 \h </w:instrText>
      </w:r>
      <w:r>
        <w:rPr>
          <w:i w:val="0"/>
          <w:iCs w:val="0"/>
          <w:sz w:val="24"/>
          <w:szCs w:val="24"/>
        </w:rPr>
        <w:fldChar w:fldCharType="separate"/>
      </w:r>
      <w:r>
        <w:rPr>
          <w:i w:val="0"/>
          <w:iCs w:val="0"/>
          <w:sz w:val="24"/>
          <w:szCs w:val="24"/>
        </w:rPr>
        <w:t>58</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4.林荫街道</w:t>
      </w:r>
      <w:r>
        <w:rPr>
          <w:i w:val="0"/>
          <w:iCs w:val="0"/>
          <w:sz w:val="24"/>
          <w:szCs w:val="24"/>
        </w:rPr>
        <w:tab/>
      </w:r>
      <w:r>
        <w:rPr>
          <w:i w:val="0"/>
          <w:iCs w:val="0"/>
          <w:sz w:val="24"/>
          <w:szCs w:val="24"/>
        </w:rPr>
        <w:fldChar w:fldCharType="begin"/>
      </w:r>
      <w:r>
        <w:rPr>
          <w:i w:val="0"/>
          <w:iCs w:val="0"/>
          <w:sz w:val="24"/>
          <w:szCs w:val="24"/>
        </w:rPr>
        <w:instrText xml:space="preserve"> PAGEREF _Toc27389928 \h </w:instrText>
      </w:r>
      <w:r>
        <w:rPr>
          <w:i w:val="0"/>
          <w:iCs w:val="0"/>
          <w:sz w:val="24"/>
          <w:szCs w:val="24"/>
        </w:rPr>
        <w:fldChar w:fldCharType="separate"/>
      </w:r>
      <w:r>
        <w:rPr>
          <w:i w:val="0"/>
          <w:iCs w:val="0"/>
          <w:sz w:val="24"/>
          <w:szCs w:val="24"/>
        </w:rPr>
        <w:t>59</w:t>
      </w:r>
      <w:r>
        <w:rPr>
          <w:i w:val="0"/>
          <w:iCs w:val="0"/>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二、两轴森林空间</w:t>
      </w:r>
      <w:r>
        <w:rPr>
          <w:sz w:val="24"/>
          <w:szCs w:val="24"/>
        </w:rPr>
        <w:tab/>
      </w:r>
      <w:r>
        <w:rPr>
          <w:sz w:val="24"/>
          <w:szCs w:val="24"/>
        </w:rPr>
        <w:fldChar w:fldCharType="begin"/>
      </w:r>
      <w:r>
        <w:rPr>
          <w:sz w:val="24"/>
          <w:szCs w:val="24"/>
        </w:rPr>
        <w:instrText xml:space="preserve"> PAGEREF _Toc27389929 \h </w:instrText>
      </w:r>
      <w:r>
        <w:rPr>
          <w:sz w:val="24"/>
          <w:szCs w:val="24"/>
        </w:rPr>
        <w:fldChar w:fldCharType="separate"/>
      </w:r>
      <w:r>
        <w:rPr>
          <w:sz w:val="24"/>
          <w:szCs w:val="24"/>
        </w:rPr>
        <w:t>60</w:t>
      </w:r>
      <w:r>
        <w:rPr>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1.东西轴线：林荫掩映，通向自然的北京城市画廊</w:t>
      </w:r>
      <w:r>
        <w:rPr>
          <w:i w:val="0"/>
          <w:iCs w:val="0"/>
          <w:sz w:val="24"/>
          <w:szCs w:val="24"/>
        </w:rPr>
        <w:tab/>
      </w:r>
      <w:r>
        <w:rPr>
          <w:i w:val="0"/>
          <w:iCs w:val="0"/>
          <w:sz w:val="24"/>
          <w:szCs w:val="24"/>
        </w:rPr>
        <w:fldChar w:fldCharType="begin"/>
      </w:r>
      <w:r>
        <w:rPr>
          <w:i w:val="0"/>
          <w:iCs w:val="0"/>
          <w:sz w:val="24"/>
          <w:szCs w:val="24"/>
        </w:rPr>
        <w:instrText xml:space="preserve"> PAGEREF _Toc27389930 \h </w:instrText>
      </w:r>
      <w:r>
        <w:rPr>
          <w:i w:val="0"/>
          <w:iCs w:val="0"/>
          <w:sz w:val="24"/>
          <w:szCs w:val="24"/>
        </w:rPr>
        <w:fldChar w:fldCharType="separate"/>
      </w:r>
      <w:r>
        <w:rPr>
          <w:i w:val="0"/>
          <w:iCs w:val="0"/>
          <w:sz w:val="24"/>
          <w:szCs w:val="24"/>
        </w:rPr>
        <w:t>60</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2.南北轴线：绿色与古典交织、生态与文化相融的北京城市文脉</w:t>
      </w:r>
      <w:r>
        <w:rPr>
          <w:i w:val="0"/>
          <w:iCs w:val="0"/>
          <w:sz w:val="24"/>
          <w:szCs w:val="24"/>
        </w:rPr>
        <w:tab/>
      </w:r>
      <w:r>
        <w:rPr>
          <w:i w:val="0"/>
          <w:iCs w:val="0"/>
          <w:sz w:val="24"/>
          <w:szCs w:val="24"/>
        </w:rPr>
        <w:fldChar w:fldCharType="begin"/>
      </w:r>
      <w:r>
        <w:rPr>
          <w:i w:val="0"/>
          <w:iCs w:val="0"/>
          <w:sz w:val="24"/>
          <w:szCs w:val="24"/>
        </w:rPr>
        <w:instrText xml:space="preserve"> PAGEREF _Toc27389931 \h </w:instrText>
      </w:r>
      <w:r>
        <w:rPr>
          <w:i w:val="0"/>
          <w:iCs w:val="0"/>
          <w:sz w:val="24"/>
          <w:szCs w:val="24"/>
        </w:rPr>
        <w:fldChar w:fldCharType="separate"/>
      </w:r>
      <w:r>
        <w:rPr>
          <w:i w:val="0"/>
          <w:iCs w:val="0"/>
          <w:sz w:val="24"/>
          <w:szCs w:val="24"/>
        </w:rPr>
        <w:t>62</w:t>
      </w:r>
      <w:r>
        <w:rPr>
          <w:i w:val="0"/>
          <w:iCs w:val="0"/>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三、平原自然片林</w:t>
      </w:r>
      <w:r>
        <w:rPr>
          <w:sz w:val="24"/>
          <w:szCs w:val="24"/>
        </w:rPr>
        <w:tab/>
      </w:r>
      <w:r>
        <w:rPr>
          <w:sz w:val="24"/>
          <w:szCs w:val="24"/>
        </w:rPr>
        <w:fldChar w:fldCharType="begin"/>
      </w:r>
      <w:r>
        <w:rPr>
          <w:sz w:val="24"/>
          <w:szCs w:val="24"/>
        </w:rPr>
        <w:instrText xml:space="preserve"> PAGEREF _Toc27389932 \h </w:instrText>
      </w:r>
      <w:r>
        <w:rPr>
          <w:sz w:val="24"/>
          <w:szCs w:val="24"/>
        </w:rPr>
        <w:fldChar w:fldCharType="separate"/>
      </w:r>
      <w:r>
        <w:rPr>
          <w:sz w:val="24"/>
          <w:szCs w:val="24"/>
        </w:rPr>
        <w:t>64</w:t>
      </w:r>
      <w:r>
        <w:rPr>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1.房山片林组团</w:t>
      </w:r>
      <w:r>
        <w:rPr>
          <w:i w:val="0"/>
          <w:iCs w:val="0"/>
          <w:sz w:val="24"/>
          <w:szCs w:val="24"/>
        </w:rPr>
        <w:tab/>
      </w:r>
      <w:r>
        <w:rPr>
          <w:i w:val="0"/>
          <w:iCs w:val="0"/>
          <w:sz w:val="24"/>
          <w:szCs w:val="24"/>
        </w:rPr>
        <w:fldChar w:fldCharType="begin"/>
      </w:r>
      <w:r>
        <w:rPr>
          <w:i w:val="0"/>
          <w:iCs w:val="0"/>
          <w:sz w:val="24"/>
          <w:szCs w:val="24"/>
        </w:rPr>
        <w:instrText xml:space="preserve"> PAGEREF _Toc27389933 \h </w:instrText>
      </w:r>
      <w:r>
        <w:rPr>
          <w:i w:val="0"/>
          <w:iCs w:val="0"/>
          <w:sz w:val="24"/>
          <w:szCs w:val="24"/>
        </w:rPr>
        <w:fldChar w:fldCharType="separate"/>
      </w:r>
      <w:r>
        <w:rPr>
          <w:i w:val="0"/>
          <w:iCs w:val="0"/>
          <w:sz w:val="24"/>
          <w:szCs w:val="24"/>
        </w:rPr>
        <w:t>65</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2.大兴片林组团</w:t>
      </w:r>
      <w:r>
        <w:rPr>
          <w:i w:val="0"/>
          <w:iCs w:val="0"/>
          <w:sz w:val="24"/>
          <w:szCs w:val="24"/>
        </w:rPr>
        <w:tab/>
      </w:r>
      <w:r>
        <w:rPr>
          <w:i w:val="0"/>
          <w:iCs w:val="0"/>
          <w:sz w:val="24"/>
          <w:szCs w:val="24"/>
        </w:rPr>
        <w:fldChar w:fldCharType="begin"/>
      </w:r>
      <w:r>
        <w:rPr>
          <w:i w:val="0"/>
          <w:iCs w:val="0"/>
          <w:sz w:val="24"/>
          <w:szCs w:val="24"/>
        </w:rPr>
        <w:instrText xml:space="preserve"> PAGEREF _Toc27389934 \h </w:instrText>
      </w:r>
      <w:r>
        <w:rPr>
          <w:i w:val="0"/>
          <w:iCs w:val="0"/>
          <w:sz w:val="24"/>
          <w:szCs w:val="24"/>
        </w:rPr>
        <w:fldChar w:fldCharType="separate"/>
      </w:r>
      <w:r>
        <w:rPr>
          <w:i w:val="0"/>
          <w:iCs w:val="0"/>
          <w:sz w:val="24"/>
          <w:szCs w:val="24"/>
        </w:rPr>
        <w:t>65</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3.通州片林组团</w:t>
      </w:r>
      <w:r>
        <w:rPr>
          <w:i w:val="0"/>
          <w:iCs w:val="0"/>
          <w:sz w:val="24"/>
          <w:szCs w:val="24"/>
        </w:rPr>
        <w:tab/>
      </w:r>
      <w:r>
        <w:rPr>
          <w:i w:val="0"/>
          <w:iCs w:val="0"/>
          <w:sz w:val="24"/>
          <w:szCs w:val="24"/>
        </w:rPr>
        <w:fldChar w:fldCharType="begin"/>
      </w:r>
      <w:r>
        <w:rPr>
          <w:i w:val="0"/>
          <w:iCs w:val="0"/>
          <w:sz w:val="24"/>
          <w:szCs w:val="24"/>
        </w:rPr>
        <w:instrText xml:space="preserve"> PAGEREF _Toc27389935 \h </w:instrText>
      </w:r>
      <w:r>
        <w:rPr>
          <w:i w:val="0"/>
          <w:iCs w:val="0"/>
          <w:sz w:val="24"/>
          <w:szCs w:val="24"/>
        </w:rPr>
        <w:fldChar w:fldCharType="separate"/>
      </w:r>
      <w:r>
        <w:rPr>
          <w:i w:val="0"/>
          <w:iCs w:val="0"/>
          <w:sz w:val="24"/>
          <w:szCs w:val="24"/>
        </w:rPr>
        <w:t>65</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4.顺义片林组团</w:t>
      </w:r>
      <w:r>
        <w:rPr>
          <w:i w:val="0"/>
          <w:iCs w:val="0"/>
          <w:sz w:val="24"/>
          <w:szCs w:val="24"/>
        </w:rPr>
        <w:tab/>
      </w:r>
      <w:r>
        <w:rPr>
          <w:i w:val="0"/>
          <w:iCs w:val="0"/>
          <w:sz w:val="24"/>
          <w:szCs w:val="24"/>
        </w:rPr>
        <w:fldChar w:fldCharType="begin"/>
      </w:r>
      <w:r>
        <w:rPr>
          <w:i w:val="0"/>
          <w:iCs w:val="0"/>
          <w:sz w:val="24"/>
          <w:szCs w:val="24"/>
        </w:rPr>
        <w:instrText xml:space="preserve"> PAGEREF _Toc27389936 \h </w:instrText>
      </w:r>
      <w:r>
        <w:rPr>
          <w:i w:val="0"/>
          <w:iCs w:val="0"/>
          <w:sz w:val="24"/>
          <w:szCs w:val="24"/>
        </w:rPr>
        <w:fldChar w:fldCharType="separate"/>
      </w:r>
      <w:r>
        <w:rPr>
          <w:i w:val="0"/>
          <w:iCs w:val="0"/>
          <w:sz w:val="24"/>
          <w:szCs w:val="24"/>
        </w:rPr>
        <w:t>65</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5.昌平片林组团</w:t>
      </w:r>
      <w:r>
        <w:rPr>
          <w:i w:val="0"/>
          <w:iCs w:val="0"/>
          <w:sz w:val="24"/>
          <w:szCs w:val="24"/>
        </w:rPr>
        <w:tab/>
      </w:r>
      <w:r>
        <w:rPr>
          <w:i w:val="0"/>
          <w:iCs w:val="0"/>
          <w:sz w:val="24"/>
          <w:szCs w:val="24"/>
        </w:rPr>
        <w:fldChar w:fldCharType="begin"/>
      </w:r>
      <w:r>
        <w:rPr>
          <w:i w:val="0"/>
          <w:iCs w:val="0"/>
          <w:sz w:val="24"/>
          <w:szCs w:val="24"/>
        </w:rPr>
        <w:instrText xml:space="preserve"> PAGEREF _Toc27389937 \h </w:instrText>
      </w:r>
      <w:r>
        <w:rPr>
          <w:i w:val="0"/>
          <w:iCs w:val="0"/>
          <w:sz w:val="24"/>
          <w:szCs w:val="24"/>
        </w:rPr>
        <w:fldChar w:fldCharType="separate"/>
      </w:r>
      <w:r>
        <w:rPr>
          <w:i w:val="0"/>
          <w:iCs w:val="0"/>
          <w:sz w:val="24"/>
          <w:szCs w:val="24"/>
        </w:rPr>
        <w:t>65</w:t>
      </w:r>
      <w:r>
        <w:rPr>
          <w:i w:val="0"/>
          <w:iCs w:val="0"/>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四、骨干生态廊道</w:t>
      </w:r>
      <w:r>
        <w:rPr>
          <w:sz w:val="24"/>
          <w:szCs w:val="24"/>
        </w:rPr>
        <w:tab/>
      </w:r>
      <w:r>
        <w:rPr>
          <w:sz w:val="24"/>
          <w:szCs w:val="24"/>
        </w:rPr>
        <w:fldChar w:fldCharType="begin"/>
      </w:r>
      <w:r>
        <w:rPr>
          <w:sz w:val="24"/>
          <w:szCs w:val="24"/>
        </w:rPr>
        <w:instrText xml:space="preserve"> PAGEREF _Toc27389938 \h </w:instrText>
      </w:r>
      <w:r>
        <w:rPr>
          <w:sz w:val="24"/>
          <w:szCs w:val="24"/>
        </w:rPr>
        <w:fldChar w:fldCharType="separate"/>
      </w:r>
      <w:r>
        <w:rPr>
          <w:sz w:val="24"/>
          <w:szCs w:val="24"/>
        </w:rPr>
        <w:t>66</w:t>
      </w:r>
      <w:r>
        <w:rPr>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1.城间森林廊道</w:t>
      </w:r>
      <w:r>
        <w:rPr>
          <w:i w:val="0"/>
          <w:iCs w:val="0"/>
          <w:sz w:val="24"/>
          <w:szCs w:val="24"/>
        </w:rPr>
        <w:tab/>
      </w:r>
      <w:r>
        <w:rPr>
          <w:i w:val="0"/>
          <w:iCs w:val="0"/>
          <w:sz w:val="24"/>
          <w:szCs w:val="24"/>
        </w:rPr>
        <w:fldChar w:fldCharType="begin"/>
      </w:r>
      <w:r>
        <w:rPr>
          <w:i w:val="0"/>
          <w:iCs w:val="0"/>
          <w:sz w:val="24"/>
          <w:szCs w:val="24"/>
        </w:rPr>
        <w:instrText xml:space="preserve"> PAGEREF _Toc27389939 \h </w:instrText>
      </w:r>
      <w:r>
        <w:rPr>
          <w:i w:val="0"/>
          <w:iCs w:val="0"/>
          <w:sz w:val="24"/>
          <w:szCs w:val="24"/>
        </w:rPr>
        <w:fldChar w:fldCharType="separate"/>
      </w:r>
      <w:r>
        <w:rPr>
          <w:i w:val="0"/>
          <w:iCs w:val="0"/>
          <w:sz w:val="24"/>
          <w:szCs w:val="24"/>
        </w:rPr>
        <w:t>68</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2.市域生态廊道</w:t>
      </w:r>
      <w:r>
        <w:rPr>
          <w:i w:val="0"/>
          <w:iCs w:val="0"/>
          <w:sz w:val="24"/>
          <w:szCs w:val="24"/>
        </w:rPr>
        <w:tab/>
      </w:r>
      <w:r>
        <w:rPr>
          <w:i w:val="0"/>
          <w:iCs w:val="0"/>
          <w:sz w:val="24"/>
          <w:szCs w:val="24"/>
        </w:rPr>
        <w:fldChar w:fldCharType="begin"/>
      </w:r>
      <w:r>
        <w:rPr>
          <w:i w:val="0"/>
          <w:iCs w:val="0"/>
          <w:sz w:val="24"/>
          <w:szCs w:val="24"/>
        </w:rPr>
        <w:instrText xml:space="preserve"> PAGEREF _Toc27389940 \h </w:instrText>
      </w:r>
      <w:r>
        <w:rPr>
          <w:i w:val="0"/>
          <w:iCs w:val="0"/>
          <w:sz w:val="24"/>
          <w:szCs w:val="24"/>
        </w:rPr>
        <w:fldChar w:fldCharType="separate"/>
      </w:r>
      <w:r>
        <w:rPr>
          <w:i w:val="0"/>
          <w:iCs w:val="0"/>
          <w:sz w:val="24"/>
          <w:szCs w:val="24"/>
        </w:rPr>
        <w:t>68</w:t>
      </w:r>
      <w:r>
        <w:rPr>
          <w:i w:val="0"/>
          <w:iCs w:val="0"/>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五、乡村聚落森林</w:t>
      </w:r>
      <w:r>
        <w:rPr>
          <w:sz w:val="24"/>
          <w:szCs w:val="24"/>
        </w:rPr>
        <w:tab/>
      </w:r>
      <w:r>
        <w:rPr>
          <w:sz w:val="24"/>
          <w:szCs w:val="24"/>
        </w:rPr>
        <w:fldChar w:fldCharType="begin"/>
      </w:r>
      <w:r>
        <w:rPr>
          <w:sz w:val="24"/>
          <w:szCs w:val="24"/>
        </w:rPr>
        <w:instrText xml:space="preserve"> PAGEREF _Toc27389941 \h </w:instrText>
      </w:r>
      <w:r>
        <w:rPr>
          <w:sz w:val="24"/>
          <w:szCs w:val="24"/>
        </w:rPr>
        <w:fldChar w:fldCharType="separate"/>
      </w:r>
      <w:r>
        <w:rPr>
          <w:sz w:val="24"/>
          <w:szCs w:val="24"/>
        </w:rPr>
        <w:t>69</w:t>
      </w:r>
      <w:r>
        <w:rPr>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1.乡村森林景观提升</w:t>
      </w:r>
      <w:r>
        <w:rPr>
          <w:i w:val="0"/>
          <w:iCs w:val="0"/>
          <w:sz w:val="24"/>
          <w:szCs w:val="24"/>
        </w:rPr>
        <w:tab/>
      </w:r>
      <w:r>
        <w:rPr>
          <w:i w:val="0"/>
          <w:iCs w:val="0"/>
          <w:sz w:val="24"/>
          <w:szCs w:val="24"/>
        </w:rPr>
        <w:fldChar w:fldCharType="begin"/>
      </w:r>
      <w:r>
        <w:rPr>
          <w:i w:val="0"/>
          <w:iCs w:val="0"/>
          <w:sz w:val="24"/>
          <w:szCs w:val="24"/>
        </w:rPr>
        <w:instrText xml:space="preserve"> PAGEREF _Toc27389942 \h </w:instrText>
      </w:r>
      <w:r>
        <w:rPr>
          <w:i w:val="0"/>
          <w:iCs w:val="0"/>
          <w:sz w:val="24"/>
          <w:szCs w:val="24"/>
        </w:rPr>
        <w:fldChar w:fldCharType="separate"/>
      </w:r>
      <w:r>
        <w:rPr>
          <w:i w:val="0"/>
          <w:iCs w:val="0"/>
          <w:sz w:val="24"/>
          <w:szCs w:val="24"/>
        </w:rPr>
        <w:t>70</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2.森林城镇和森林村庄示范</w:t>
      </w:r>
      <w:r>
        <w:rPr>
          <w:i w:val="0"/>
          <w:iCs w:val="0"/>
          <w:sz w:val="24"/>
          <w:szCs w:val="24"/>
        </w:rPr>
        <w:tab/>
      </w:r>
      <w:r>
        <w:rPr>
          <w:i w:val="0"/>
          <w:iCs w:val="0"/>
          <w:sz w:val="24"/>
          <w:szCs w:val="24"/>
        </w:rPr>
        <w:fldChar w:fldCharType="begin"/>
      </w:r>
      <w:r>
        <w:rPr>
          <w:i w:val="0"/>
          <w:iCs w:val="0"/>
          <w:sz w:val="24"/>
          <w:szCs w:val="24"/>
        </w:rPr>
        <w:instrText xml:space="preserve"> PAGEREF _Toc27389943 \h </w:instrText>
      </w:r>
      <w:r>
        <w:rPr>
          <w:i w:val="0"/>
          <w:iCs w:val="0"/>
          <w:sz w:val="24"/>
          <w:szCs w:val="24"/>
        </w:rPr>
        <w:fldChar w:fldCharType="separate"/>
      </w:r>
      <w:r>
        <w:rPr>
          <w:i w:val="0"/>
          <w:iCs w:val="0"/>
          <w:sz w:val="24"/>
          <w:szCs w:val="24"/>
        </w:rPr>
        <w:t>71</w:t>
      </w:r>
      <w:r>
        <w:rPr>
          <w:i w:val="0"/>
          <w:iCs w:val="0"/>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六、山地森林景观</w:t>
      </w:r>
      <w:r>
        <w:rPr>
          <w:sz w:val="24"/>
          <w:szCs w:val="24"/>
        </w:rPr>
        <w:tab/>
      </w:r>
      <w:r>
        <w:rPr>
          <w:sz w:val="24"/>
          <w:szCs w:val="24"/>
        </w:rPr>
        <w:fldChar w:fldCharType="begin"/>
      </w:r>
      <w:r>
        <w:rPr>
          <w:sz w:val="24"/>
          <w:szCs w:val="24"/>
        </w:rPr>
        <w:instrText xml:space="preserve"> PAGEREF _Toc27389944 \h </w:instrText>
      </w:r>
      <w:r>
        <w:rPr>
          <w:sz w:val="24"/>
          <w:szCs w:val="24"/>
        </w:rPr>
        <w:fldChar w:fldCharType="separate"/>
      </w:r>
      <w:r>
        <w:rPr>
          <w:sz w:val="24"/>
          <w:szCs w:val="24"/>
        </w:rPr>
        <w:t>72</w:t>
      </w:r>
      <w:r>
        <w:rPr>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1.森林提质增效</w:t>
      </w:r>
      <w:r>
        <w:rPr>
          <w:i w:val="0"/>
          <w:iCs w:val="0"/>
          <w:sz w:val="24"/>
          <w:szCs w:val="24"/>
        </w:rPr>
        <w:tab/>
      </w:r>
      <w:r>
        <w:rPr>
          <w:i w:val="0"/>
          <w:iCs w:val="0"/>
          <w:sz w:val="24"/>
          <w:szCs w:val="24"/>
        </w:rPr>
        <w:fldChar w:fldCharType="begin"/>
      </w:r>
      <w:r>
        <w:rPr>
          <w:i w:val="0"/>
          <w:iCs w:val="0"/>
          <w:sz w:val="24"/>
          <w:szCs w:val="24"/>
        </w:rPr>
        <w:instrText xml:space="preserve"> PAGEREF _Toc27389945 \h </w:instrText>
      </w:r>
      <w:r>
        <w:rPr>
          <w:i w:val="0"/>
          <w:iCs w:val="0"/>
          <w:sz w:val="24"/>
          <w:szCs w:val="24"/>
        </w:rPr>
        <w:fldChar w:fldCharType="separate"/>
      </w:r>
      <w:r>
        <w:rPr>
          <w:i w:val="0"/>
          <w:iCs w:val="0"/>
          <w:sz w:val="24"/>
          <w:szCs w:val="24"/>
        </w:rPr>
        <w:t>72</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2.困难立地绿化</w:t>
      </w:r>
      <w:r>
        <w:rPr>
          <w:i w:val="0"/>
          <w:iCs w:val="0"/>
          <w:sz w:val="24"/>
          <w:szCs w:val="24"/>
        </w:rPr>
        <w:tab/>
      </w:r>
      <w:r>
        <w:rPr>
          <w:i w:val="0"/>
          <w:iCs w:val="0"/>
          <w:sz w:val="24"/>
          <w:szCs w:val="24"/>
        </w:rPr>
        <w:fldChar w:fldCharType="begin"/>
      </w:r>
      <w:r>
        <w:rPr>
          <w:i w:val="0"/>
          <w:iCs w:val="0"/>
          <w:sz w:val="24"/>
          <w:szCs w:val="24"/>
        </w:rPr>
        <w:instrText xml:space="preserve"> PAGEREF _Toc27389946 \h </w:instrText>
      </w:r>
      <w:r>
        <w:rPr>
          <w:i w:val="0"/>
          <w:iCs w:val="0"/>
          <w:sz w:val="24"/>
          <w:szCs w:val="24"/>
        </w:rPr>
        <w:fldChar w:fldCharType="separate"/>
      </w:r>
      <w:r>
        <w:rPr>
          <w:i w:val="0"/>
          <w:iCs w:val="0"/>
          <w:sz w:val="24"/>
          <w:szCs w:val="24"/>
        </w:rPr>
        <w:t>73</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3.都市水源林</w:t>
      </w:r>
      <w:r>
        <w:rPr>
          <w:i w:val="0"/>
          <w:iCs w:val="0"/>
          <w:sz w:val="24"/>
          <w:szCs w:val="24"/>
        </w:rPr>
        <w:tab/>
      </w:r>
      <w:r>
        <w:rPr>
          <w:i w:val="0"/>
          <w:iCs w:val="0"/>
          <w:sz w:val="24"/>
          <w:szCs w:val="24"/>
        </w:rPr>
        <w:fldChar w:fldCharType="begin"/>
      </w:r>
      <w:r>
        <w:rPr>
          <w:i w:val="0"/>
          <w:iCs w:val="0"/>
          <w:sz w:val="24"/>
          <w:szCs w:val="24"/>
        </w:rPr>
        <w:instrText xml:space="preserve"> PAGEREF _Toc27389947 \h </w:instrText>
      </w:r>
      <w:r>
        <w:rPr>
          <w:i w:val="0"/>
          <w:iCs w:val="0"/>
          <w:sz w:val="24"/>
          <w:szCs w:val="24"/>
        </w:rPr>
        <w:fldChar w:fldCharType="separate"/>
      </w:r>
      <w:r>
        <w:rPr>
          <w:i w:val="0"/>
          <w:iCs w:val="0"/>
          <w:sz w:val="24"/>
          <w:szCs w:val="24"/>
        </w:rPr>
        <w:t>73</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4.生态风景林</w:t>
      </w:r>
      <w:r>
        <w:rPr>
          <w:i w:val="0"/>
          <w:iCs w:val="0"/>
          <w:sz w:val="24"/>
          <w:szCs w:val="24"/>
        </w:rPr>
        <w:tab/>
      </w:r>
      <w:r>
        <w:rPr>
          <w:i w:val="0"/>
          <w:iCs w:val="0"/>
          <w:sz w:val="24"/>
          <w:szCs w:val="24"/>
        </w:rPr>
        <w:fldChar w:fldCharType="begin"/>
      </w:r>
      <w:r>
        <w:rPr>
          <w:i w:val="0"/>
          <w:iCs w:val="0"/>
          <w:sz w:val="24"/>
          <w:szCs w:val="24"/>
        </w:rPr>
        <w:instrText xml:space="preserve"> PAGEREF _Toc27389948 \h </w:instrText>
      </w:r>
      <w:r>
        <w:rPr>
          <w:i w:val="0"/>
          <w:iCs w:val="0"/>
          <w:sz w:val="24"/>
          <w:szCs w:val="24"/>
        </w:rPr>
        <w:fldChar w:fldCharType="separate"/>
      </w:r>
      <w:r>
        <w:rPr>
          <w:i w:val="0"/>
          <w:iCs w:val="0"/>
          <w:sz w:val="24"/>
          <w:szCs w:val="24"/>
        </w:rPr>
        <w:t>74</w:t>
      </w:r>
      <w:r>
        <w:rPr>
          <w:i w:val="0"/>
          <w:iCs w:val="0"/>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七、湿地生态系统</w:t>
      </w:r>
      <w:r>
        <w:rPr>
          <w:sz w:val="24"/>
          <w:szCs w:val="24"/>
        </w:rPr>
        <w:tab/>
      </w:r>
      <w:r>
        <w:rPr>
          <w:sz w:val="24"/>
          <w:szCs w:val="24"/>
        </w:rPr>
        <w:fldChar w:fldCharType="begin"/>
      </w:r>
      <w:r>
        <w:rPr>
          <w:sz w:val="24"/>
          <w:szCs w:val="24"/>
        </w:rPr>
        <w:instrText xml:space="preserve"> PAGEREF _Toc27389949 \h </w:instrText>
      </w:r>
      <w:r>
        <w:rPr>
          <w:sz w:val="24"/>
          <w:szCs w:val="24"/>
        </w:rPr>
        <w:fldChar w:fldCharType="separate"/>
      </w:r>
      <w:r>
        <w:rPr>
          <w:sz w:val="24"/>
          <w:szCs w:val="24"/>
        </w:rPr>
        <w:t>74</w:t>
      </w:r>
      <w:r>
        <w:rPr>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1</w:t>
      </w:r>
      <w:r>
        <w:rPr>
          <w:rFonts w:hint="eastAsia" w:ascii="仿宋" w:hAnsi="仿宋" w:eastAsia="仿宋"/>
          <w:i w:val="0"/>
          <w:iCs w:val="0"/>
          <w:sz w:val="24"/>
          <w:szCs w:val="24"/>
        </w:rPr>
        <w:t>.</w:t>
      </w:r>
      <w:r>
        <w:rPr>
          <w:rFonts w:ascii="仿宋" w:hAnsi="仿宋" w:eastAsia="仿宋"/>
          <w:i w:val="0"/>
          <w:iCs w:val="0"/>
          <w:sz w:val="24"/>
          <w:szCs w:val="24"/>
        </w:rPr>
        <w:t>河流湿地保护与修复</w:t>
      </w:r>
      <w:r>
        <w:rPr>
          <w:i w:val="0"/>
          <w:iCs w:val="0"/>
          <w:sz w:val="24"/>
          <w:szCs w:val="24"/>
        </w:rPr>
        <w:tab/>
      </w:r>
      <w:r>
        <w:rPr>
          <w:i w:val="0"/>
          <w:iCs w:val="0"/>
          <w:sz w:val="24"/>
          <w:szCs w:val="24"/>
        </w:rPr>
        <w:fldChar w:fldCharType="begin"/>
      </w:r>
      <w:r>
        <w:rPr>
          <w:i w:val="0"/>
          <w:iCs w:val="0"/>
          <w:sz w:val="24"/>
          <w:szCs w:val="24"/>
        </w:rPr>
        <w:instrText xml:space="preserve"> PAGEREF _Toc27389950 \h </w:instrText>
      </w:r>
      <w:r>
        <w:rPr>
          <w:i w:val="0"/>
          <w:iCs w:val="0"/>
          <w:sz w:val="24"/>
          <w:szCs w:val="24"/>
        </w:rPr>
        <w:fldChar w:fldCharType="separate"/>
      </w:r>
      <w:r>
        <w:rPr>
          <w:i w:val="0"/>
          <w:iCs w:val="0"/>
          <w:sz w:val="24"/>
          <w:szCs w:val="24"/>
        </w:rPr>
        <w:t>75</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2.人工湿地保护与恢复</w:t>
      </w:r>
      <w:r>
        <w:rPr>
          <w:i w:val="0"/>
          <w:iCs w:val="0"/>
          <w:sz w:val="24"/>
          <w:szCs w:val="24"/>
        </w:rPr>
        <w:tab/>
      </w:r>
      <w:r>
        <w:rPr>
          <w:i w:val="0"/>
          <w:iCs w:val="0"/>
          <w:sz w:val="24"/>
          <w:szCs w:val="24"/>
        </w:rPr>
        <w:fldChar w:fldCharType="begin"/>
      </w:r>
      <w:r>
        <w:rPr>
          <w:i w:val="0"/>
          <w:iCs w:val="0"/>
          <w:sz w:val="24"/>
          <w:szCs w:val="24"/>
        </w:rPr>
        <w:instrText xml:space="preserve"> PAGEREF _Toc27389951 \h </w:instrText>
      </w:r>
      <w:r>
        <w:rPr>
          <w:i w:val="0"/>
          <w:iCs w:val="0"/>
          <w:sz w:val="24"/>
          <w:szCs w:val="24"/>
        </w:rPr>
        <w:fldChar w:fldCharType="separate"/>
      </w:r>
      <w:r>
        <w:rPr>
          <w:i w:val="0"/>
          <w:iCs w:val="0"/>
          <w:sz w:val="24"/>
          <w:szCs w:val="24"/>
        </w:rPr>
        <w:t>75</w:t>
      </w:r>
      <w:r>
        <w:rPr>
          <w:i w:val="0"/>
          <w:iCs w:val="0"/>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八、京津冀生态协同</w:t>
      </w:r>
      <w:r>
        <w:rPr>
          <w:sz w:val="24"/>
          <w:szCs w:val="24"/>
        </w:rPr>
        <w:tab/>
      </w:r>
      <w:r>
        <w:rPr>
          <w:sz w:val="24"/>
          <w:szCs w:val="24"/>
        </w:rPr>
        <w:fldChar w:fldCharType="begin"/>
      </w:r>
      <w:r>
        <w:rPr>
          <w:sz w:val="24"/>
          <w:szCs w:val="24"/>
        </w:rPr>
        <w:instrText xml:space="preserve"> PAGEREF _Toc27389952 \h </w:instrText>
      </w:r>
      <w:r>
        <w:rPr>
          <w:sz w:val="24"/>
          <w:szCs w:val="24"/>
        </w:rPr>
        <w:fldChar w:fldCharType="separate"/>
      </w:r>
      <w:r>
        <w:rPr>
          <w:sz w:val="24"/>
          <w:szCs w:val="24"/>
        </w:rPr>
        <w:t>75</w:t>
      </w:r>
      <w:r>
        <w:rPr>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1.京津保过渡区生态建设</w:t>
      </w:r>
      <w:r>
        <w:rPr>
          <w:i w:val="0"/>
          <w:iCs w:val="0"/>
          <w:sz w:val="24"/>
          <w:szCs w:val="24"/>
        </w:rPr>
        <w:tab/>
      </w:r>
      <w:r>
        <w:rPr>
          <w:i w:val="0"/>
          <w:iCs w:val="0"/>
          <w:sz w:val="24"/>
          <w:szCs w:val="24"/>
        </w:rPr>
        <w:fldChar w:fldCharType="begin"/>
      </w:r>
      <w:r>
        <w:rPr>
          <w:i w:val="0"/>
          <w:iCs w:val="0"/>
          <w:sz w:val="24"/>
          <w:szCs w:val="24"/>
        </w:rPr>
        <w:instrText xml:space="preserve"> PAGEREF _Toc27389953 \h </w:instrText>
      </w:r>
      <w:r>
        <w:rPr>
          <w:i w:val="0"/>
          <w:iCs w:val="0"/>
          <w:sz w:val="24"/>
          <w:szCs w:val="24"/>
        </w:rPr>
        <w:fldChar w:fldCharType="separate"/>
      </w:r>
      <w:r>
        <w:rPr>
          <w:i w:val="0"/>
          <w:iCs w:val="0"/>
          <w:sz w:val="24"/>
          <w:szCs w:val="24"/>
        </w:rPr>
        <w:t>76</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2.京张承涵养区生态建设</w:t>
      </w:r>
      <w:r>
        <w:rPr>
          <w:i w:val="0"/>
          <w:iCs w:val="0"/>
          <w:sz w:val="24"/>
          <w:szCs w:val="24"/>
        </w:rPr>
        <w:tab/>
      </w:r>
      <w:r>
        <w:rPr>
          <w:i w:val="0"/>
          <w:iCs w:val="0"/>
          <w:sz w:val="24"/>
          <w:szCs w:val="24"/>
        </w:rPr>
        <w:fldChar w:fldCharType="begin"/>
      </w:r>
      <w:r>
        <w:rPr>
          <w:i w:val="0"/>
          <w:iCs w:val="0"/>
          <w:sz w:val="24"/>
          <w:szCs w:val="24"/>
        </w:rPr>
        <w:instrText xml:space="preserve"> PAGEREF _Toc27389954 \h </w:instrText>
      </w:r>
      <w:r>
        <w:rPr>
          <w:i w:val="0"/>
          <w:iCs w:val="0"/>
          <w:sz w:val="24"/>
          <w:szCs w:val="24"/>
        </w:rPr>
        <w:fldChar w:fldCharType="separate"/>
      </w:r>
      <w:r>
        <w:rPr>
          <w:i w:val="0"/>
          <w:iCs w:val="0"/>
          <w:sz w:val="24"/>
          <w:szCs w:val="24"/>
        </w:rPr>
        <w:t>77</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3.冬奥会相关区域生态建设</w:t>
      </w:r>
      <w:r>
        <w:rPr>
          <w:i w:val="0"/>
          <w:iCs w:val="0"/>
          <w:sz w:val="24"/>
          <w:szCs w:val="24"/>
        </w:rPr>
        <w:tab/>
      </w:r>
      <w:r>
        <w:rPr>
          <w:i w:val="0"/>
          <w:iCs w:val="0"/>
          <w:sz w:val="24"/>
          <w:szCs w:val="24"/>
        </w:rPr>
        <w:fldChar w:fldCharType="begin"/>
      </w:r>
      <w:r>
        <w:rPr>
          <w:i w:val="0"/>
          <w:iCs w:val="0"/>
          <w:sz w:val="24"/>
          <w:szCs w:val="24"/>
        </w:rPr>
        <w:instrText xml:space="preserve"> PAGEREF _Toc27389955 \h </w:instrText>
      </w:r>
      <w:r>
        <w:rPr>
          <w:i w:val="0"/>
          <w:iCs w:val="0"/>
          <w:sz w:val="24"/>
          <w:szCs w:val="24"/>
        </w:rPr>
        <w:fldChar w:fldCharType="separate"/>
      </w:r>
      <w:r>
        <w:rPr>
          <w:i w:val="0"/>
          <w:iCs w:val="0"/>
          <w:sz w:val="24"/>
          <w:szCs w:val="24"/>
        </w:rPr>
        <w:t>77</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4.京津冀森林城市群建设</w:t>
      </w:r>
      <w:r>
        <w:rPr>
          <w:i w:val="0"/>
          <w:iCs w:val="0"/>
          <w:sz w:val="24"/>
          <w:szCs w:val="24"/>
        </w:rPr>
        <w:tab/>
      </w:r>
      <w:r>
        <w:rPr>
          <w:i w:val="0"/>
          <w:iCs w:val="0"/>
          <w:sz w:val="24"/>
          <w:szCs w:val="24"/>
        </w:rPr>
        <w:fldChar w:fldCharType="begin"/>
      </w:r>
      <w:r>
        <w:rPr>
          <w:i w:val="0"/>
          <w:iCs w:val="0"/>
          <w:sz w:val="24"/>
          <w:szCs w:val="24"/>
        </w:rPr>
        <w:instrText xml:space="preserve"> PAGEREF _Toc27389956 \h </w:instrText>
      </w:r>
      <w:r>
        <w:rPr>
          <w:i w:val="0"/>
          <w:iCs w:val="0"/>
          <w:sz w:val="24"/>
          <w:szCs w:val="24"/>
        </w:rPr>
        <w:fldChar w:fldCharType="separate"/>
      </w:r>
      <w:r>
        <w:rPr>
          <w:i w:val="0"/>
          <w:iCs w:val="0"/>
          <w:sz w:val="24"/>
          <w:szCs w:val="24"/>
        </w:rPr>
        <w:t>77</w:t>
      </w:r>
      <w:r>
        <w:rPr>
          <w:i w:val="0"/>
          <w:iCs w:val="0"/>
          <w:sz w:val="24"/>
          <w:szCs w:val="24"/>
        </w:rPr>
        <w:fldChar w:fldCharType="end"/>
      </w:r>
    </w:p>
    <w:p>
      <w:pPr>
        <w:pStyle w:val="17"/>
        <w:tabs>
          <w:tab w:val="right" w:leader="hyphen" w:pos="8494"/>
        </w:tabs>
        <w:spacing w:line="288" w:lineRule="auto"/>
        <w:rPr>
          <w:b w:val="0"/>
          <w:bCs w:val="0"/>
          <w:caps w:val="0"/>
          <w:sz w:val="24"/>
          <w:szCs w:val="24"/>
        </w:rPr>
      </w:pPr>
      <w:r>
        <w:rPr>
          <w:rFonts w:ascii="黑体" w:hAnsi="黑体" w:eastAsia="黑体" w:cs="宋体"/>
          <w:spacing w:val="4"/>
          <w:kern w:val="36"/>
          <w:sz w:val="24"/>
          <w:szCs w:val="24"/>
        </w:rPr>
        <w:t>第八篇 森林生态文化体系建设</w:t>
      </w:r>
      <w:r>
        <w:rPr>
          <w:sz w:val="24"/>
          <w:szCs w:val="24"/>
        </w:rPr>
        <w:tab/>
      </w:r>
      <w:r>
        <w:rPr>
          <w:sz w:val="24"/>
          <w:szCs w:val="24"/>
        </w:rPr>
        <w:fldChar w:fldCharType="begin"/>
      </w:r>
      <w:r>
        <w:rPr>
          <w:sz w:val="24"/>
          <w:szCs w:val="24"/>
        </w:rPr>
        <w:instrText xml:space="preserve"> PAGEREF _Toc27389957 \h </w:instrText>
      </w:r>
      <w:r>
        <w:rPr>
          <w:sz w:val="24"/>
          <w:szCs w:val="24"/>
        </w:rPr>
        <w:fldChar w:fldCharType="separate"/>
      </w:r>
      <w:r>
        <w:rPr>
          <w:sz w:val="24"/>
          <w:szCs w:val="24"/>
        </w:rPr>
        <w:t>79</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一、森林湿地体验文化</w:t>
      </w:r>
      <w:r>
        <w:rPr>
          <w:sz w:val="24"/>
          <w:szCs w:val="24"/>
        </w:rPr>
        <w:tab/>
      </w:r>
      <w:r>
        <w:rPr>
          <w:sz w:val="24"/>
          <w:szCs w:val="24"/>
        </w:rPr>
        <w:fldChar w:fldCharType="begin"/>
      </w:r>
      <w:r>
        <w:rPr>
          <w:sz w:val="24"/>
          <w:szCs w:val="24"/>
        </w:rPr>
        <w:instrText xml:space="preserve"> PAGEREF _Toc27389958 \h </w:instrText>
      </w:r>
      <w:r>
        <w:rPr>
          <w:sz w:val="24"/>
          <w:szCs w:val="24"/>
        </w:rPr>
        <w:fldChar w:fldCharType="separate"/>
      </w:r>
      <w:r>
        <w:rPr>
          <w:sz w:val="24"/>
          <w:szCs w:val="24"/>
        </w:rPr>
        <w:t>79</w:t>
      </w:r>
      <w:r>
        <w:rPr>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1.森林文化体验</w:t>
      </w:r>
      <w:r>
        <w:rPr>
          <w:i w:val="0"/>
          <w:iCs w:val="0"/>
          <w:sz w:val="24"/>
          <w:szCs w:val="24"/>
        </w:rPr>
        <w:tab/>
      </w:r>
      <w:r>
        <w:rPr>
          <w:i w:val="0"/>
          <w:iCs w:val="0"/>
          <w:sz w:val="24"/>
          <w:szCs w:val="24"/>
        </w:rPr>
        <w:fldChar w:fldCharType="begin"/>
      </w:r>
      <w:r>
        <w:rPr>
          <w:i w:val="0"/>
          <w:iCs w:val="0"/>
          <w:sz w:val="24"/>
          <w:szCs w:val="24"/>
        </w:rPr>
        <w:instrText xml:space="preserve"> PAGEREF _Toc27389959 \h </w:instrText>
      </w:r>
      <w:r>
        <w:rPr>
          <w:i w:val="0"/>
          <w:iCs w:val="0"/>
          <w:sz w:val="24"/>
          <w:szCs w:val="24"/>
        </w:rPr>
        <w:fldChar w:fldCharType="separate"/>
      </w:r>
      <w:r>
        <w:rPr>
          <w:i w:val="0"/>
          <w:iCs w:val="0"/>
          <w:sz w:val="24"/>
          <w:szCs w:val="24"/>
        </w:rPr>
        <w:t>79</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2.湿地文化体验</w:t>
      </w:r>
      <w:r>
        <w:rPr>
          <w:i w:val="0"/>
          <w:iCs w:val="0"/>
          <w:sz w:val="24"/>
          <w:szCs w:val="24"/>
        </w:rPr>
        <w:tab/>
      </w:r>
      <w:r>
        <w:rPr>
          <w:i w:val="0"/>
          <w:iCs w:val="0"/>
          <w:sz w:val="24"/>
          <w:szCs w:val="24"/>
        </w:rPr>
        <w:fldChar w:fldCharType="begin"/>
      </w:r>
      <w:r>
        <w:rPr>
          <w:i w:val="0"/>
          <w:iCs w:val="0"/>
          <w:sz w:val="24"/>
          <w:szCs w:val="24"/>
        </w:rPr>
        <w:instrText xml:space="preserve"> PAGEREF _Toc27389960 \h </w:instrText>
      </w:r>
      <w:r>
        <w:rPr>
          <w:i w:val="0"/>
          <w:iCs w:val="0"/>
          <w:sz w:val="24"/>
          <w:szCs w:val="24"/>
        </w:rPr>
        <w:fldChar w:fldCharType="separate"/>
      </w:r>
      <w:r>
        <w:rPr>
          <w:i w:val="0"/>
          <w:iCs w:val="0"/>
          <w:sz w:val="24"/>
          <w:szCs w:val="24"/>
        </w:rPr>
        <w:t>81</w:t>
      </w:r>
      <w:r>
        <w:rPr>
          <w:i w:val="0"/>
          <w:iCs w:val="0"/>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二、古都乡愁生态文化</w:t>
      </w:r>
      <w:r>
        <w:rPr>
          <w:sz w:val="24"/>
          <w:szCs w:val="24"/>
        </w:rPr>
        <w:tab/>
      </w:r>
      <w:r>
        <w:rPr>
          <w:sz w:val="24"/>
          <w:szCs w:val="24"/>
        </w:rPr>
        <w:fldChar w:fldCharType="begin"/>
      </w:r>
      <w:r>
        <w:rPr>
          <w:sz w:val="24"/>
          <w:szCs w:val="24"/>
        </w:rPr>
        <w:instrText xml:space="preserve"> PAGEREF _Toc27389961 \h </w:instrText>
      </w:r>
      <w:r>
        <w:rPr>
          <w:sz w:val="24"/>
          <w:szCs w:val="24"/>
        </w:rPr>
        <w:fldChar w:fldCharType="separate"/>
      </w:r>
      <w:r>
        <w:rPr>
          <w:sz w:val="24"/>
          <w:szCs w:val="24"/>
        </w:rPr>
        <w:t>81</w:t>
      </w:r>
      <w:r>
        <w:rPr>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1.京韵胡同乡愁文化</w:t>
      </w:r>
      <w:r>
        <w:rPr>
          <w:i w:val="0"/>
          <w:iCs w:val="0"/>
          <w:sz w:val="24"/>
          <w:szCs w:val="24"/>
        </w:rPr>
        <w:tab/>
      </w:r>
      <w:r>
        <w:rPr>
          <w:i w:val="0"/>
          <w:iCs w:val="0"/>
          <w:sz w:val="24"/>
          <w:szCs w:val="24"/>
        </w:rPr>
        <w:fldChar w:fldCharType="begin"/>
      </w:r>
      <w:r>
        <w:rPr>
          <w:i w:val="0"/>
          <w:iCs w:val="0"/>
          <w:sz w:val="24"/>
          <w:szCs w:val="24"/>
        </w:rPr>
        <w:instrText xml:space="preserve"> PAGEREF _Toc27389962 \h </w:instrText>
      </w:r>
      <w:r>
        <w:rPr>
          <w:i w:val="0"/>
          <w:iCs w:val="0"/>
          <w:sz w:val="24"/>
          <w:szCs w:val="24"/>
        </w:rPr>
        <w:fldChar w:fldCharType="separate"/>
      </w:r>
      <w:r>
        <w:rPr>
          <w:i w:val="0"/>
          <w:iCs w:val="0"/>
          <w:sz w:val="24"/>
          <w:szCs w:val="24"/>
        </w:rPr>
        <w:t>82</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2.千年古都古树文化</w:t>
      </w:r>
      <w:r>
        <w:rPr>
          <w:i w:val="0"/>
          <w:iCs w:val="0"/>
          <w:sz w:val="24"/>
          <w:szCs w:val="24"/>
        </w:rPr>
        <w:tab/>
      </w:r>
      <w:r>
        <w:rPr>
          <w:i w:val="0"/>
          <w:iCs w:val="0"/>
          <w:sz w:val="24"/>
          <w:szCs w:val="24"/>
        </w:rPr>
        <w:fldChar w:fldCharType="begin"/>
      </w:r>
      <w:r>
        <w:rPr>
          <w:i w:val="0"/>
          <w:iCs w:val="0"/>
          <w:sz w:val="24"/>
          <w:szCs w:val="24"/>
        </w:rPr>
        <w:instrText xml:space="preserve"> PAGEREF _Toc27389963 \h </w:instrText>
      </w:r>
      <w:r>
        <w:rPr>
          <w:i w:val="0"/>
          <w:iCs w:val="0"/>
          <w:sz w:val="24"/>
          <w:szCs w:val="24"/>
        </w:rPr>
        <w:fldChar w:fldCharType="separate"/>
      </w:r>
      <w:r>
        <w:rPr>
          <w:i w:val="0"/>
          <w:iCs w:val="0"/>
          <w:sz w:val="24"/>
          <w:szCs w:val="24"/>
        </w:rPr>
        <w:t>82</w:t>
      </w:r>
      <w:r>
        <w:rPr>
          <w:i w:val="0"/>
          <w:iCs w:val="0"/>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三、北京乡村生态文化</w:t>
      </w:r>
      <w:r>
        <w:rPr>
          <w:sz w:val="24"/>
          <w:szCs w:val="24"/>
        </w:rPr>
        <w:tab/>
      </w:r>
      <w:r>
        <w:rPr>
          <w:sz w:val="24"/>
          <w:szCs w:val="24"/>
        </w:rPr>
        <w:fldChar w:fldCharType="begin"/>
      </w:r>
      <w:r>
        <w:rPr>
          <w:sz w:val="24"/>
          <w:szCs w:val="24"/>
        </w:rPr>
        <w:instrText xml:space="preserve"> PAGEREF _Toc27389964 \h </w:instrText>
      </w:r>
      <w:r>
        <w:rPr>
          <w:sz w:val="24"/>
          <w:szCs w:val="24"/>
        </w:rPr>
        <w:fldChar w:fldCharType="separate"/>
      </w:r>
      <w:r>
        <w:rPr>
          <w:sz w:val="24"/>
          <w:szCs w:val="24"/>
        </w:rPr>
        <w:t>83</w:t>
      </w:r>
      <w:r>
        <w:rPr>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1.历史文化古村</w:t>
      </w:r>
      <w:r>
        <w:rPr>
          <w:i w:val="0"/>
          <w:iCs w:val="0"/>
          <w:sz w:val="24"/>
          <w:szCs w:val="24"/>
        </w:rPr>
        <w:tab/>
      </w:r>
      <w:r>
        <w:rPr>
          <w:i w:val="0"/>
          <w:iCs w:val="0"/>
          <w:sz w:val="24"/>
          <w:szCs w:val="24"/>
        </w:rPr>
        <w:fldChar w:fldCharType="begin"/>
      </w:r>
      <w:r>
        <w:rPr>
          <w:i w:val="0"/>
          <w:iCs w:val="0"/>
          <w:sz w:val="24"/>
          <w:szCs w:val="24"/>
        </w:rPr>
        <w:instrText xml:space="preserve"> PAGEREF _Toc27389965 \h </w:instrText>
      </w:r>
      <w:r>
        <w:rPr>
          <w:i w:val="0"/>
          <w:iCs w:val="0"/>
          <w:sz w:val="24"/>
          <w:szCs w:val="24"/>
        </w:rPr>
        <w:fldChar w:fldCharType="separate"/>
      </w:r>
      <w:r>
        <w:rPr>
          <w:i w:val="0"/>
          <w:iCs w:val="0"/>
          <w:sz w:val="24"/>
          <w:szCs w:val="24"/>
        </w:rPr>
        <w:t>84</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2.特色生态乡村</w:t>
      </w:r>
      <w:r>
        <w:rPr>
          <w:i w:val="0"/>
          <w:iCs w:val="0"/>
          <w:sz w:val="24"/>
          <w:szCs w:val="24"/>
        </w:rPr>
        <w:tab/>
      </w:r>
      <w:r>
        <w:rPr>
          <w:i w:val="0"/>
          <w:iCs w:val="0"/>
          <w:sz w:val="24"/>
          <w:szCs w:val="24"/>
        </w:rPr>
        <w:fldChar w:fldCharType="begin"/>
      </w:r>
      <w:r>
        <w:rPr>
          <w:i w:val="0"/>
          <w:iCs w:val="0"/>
          <w:sz w:val="24"/>
          <w:szCs w:val="24"/>
        </w:rPr>
        <w:instrText xml:space="preserve"> PAGEREF _Toc27389966 \h </w:instrText>
      </w:r>
      <w:r>
        <w:rPr>
          <w:i w:val="0"/>
          <w:iCs w:val="0"/>
          <w:sz w:val="24"/>
          <w:szCs w:val="24"/>
        </w:rPr>
        <w:fldChar w:fldCharType="separate"/>
      </w:r>
      <w:r>
        <w:rPr>
          <w:i w:val="0"/>
          <w:iCs w:val="0"/>
          <w:sz w:val="24"/>
          <w:szCs w:val="24"/>
        </w:rPr>
        <w:t>84</w:t>
      </w:r>
      <w:r>
        <w:rPr>
          <w:i w:val="0"/>
          <w:iCs w:val="0"/>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四、北京特色园林文化</w:t>
      </w:r>
      <w:r>
        <w:rPr>
          <w:sz w:val="24"/>
          <w:szCs w:val="24"/>
        </w:rPr>
        <w:tab/>
      </w:r>
      <w:r>
        <w:rPr>
          <w:sz w:val="24"/>
          <w:szCs w:val="24"/>
        </w:rPr>
        <w:fldChar w:fldCharType="begin"/>
      </w:r>
      <w:r>
        <w:rPr>
          <w:sz w:val="24"/>
          <w:szCs w:val="24"/>
        </w:rPr>
        <w:instrText xml:space="preserve"> PAGEREF _Toc27389967 \h </w:instrText>
      </w:r>
      <w:r>
        <w:rPr>
          <w:sz w:val="24"/>
          <w:szCs w:val="24"/>
        </w:rPr>
        <w:fldChar w:fldCharType="separate"/>
      </w:r>
      <w:r>
        <w:rPr>
          <w:sz w:val="24"/>
          <w:szCs w:val="24"/>
        </w:rPr>
        <w:t>84</w:t>
      </w:r>
      <w:r>
        <w:rPr>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1.皇家园林文化</w:t>
      </w:r>
      <w:r>
        <w:rPr>
          <w:i w:val="0"/>
          <w:iCs w:val="0"/>
          <w:sz w:val="24"/>
          <w:szCs w:val="24"/>
        </w:rPr>
        <w:tab/>
      </w:r>
      <w:r>
        <w:rPr>
          <w:i w:val="0"/>
          <w:iCs w:val="0"/>
          <w:sz w:val="24"/>
          <w:szCs w:val="24"/>
        </w:rPr>
        <w:fldChar w:fldCharType="begin"/>
      </w:r>
      <w:r>
        <w:rPr>
          <w:i w:val="0"/>
          <w:iCs w:val="0"/>
          <w:sz w:val="24"/>
          <w:szCs w:val="24"/>
        </w:rPr>
        <w:instrText xml:space="preserve"> PAGEREF _Toc27389968 \h </w:instrText>
      </w:r>
      <w:r>
        <w:rPr>
          <w:i w:val="0"/>
          <w:iCs w:val="0"/>
          <w:sz w:val="24"/>
          <w:szCs w:val="24"/>
        </w:rPr>
        <w:fldChar w:fldCharType="separate"/>
      </w:r>
      <w:r>
        <w:rPr>
          <w:i w:val="0"/>
          <w:iCs w:val="0"/>
          <w:sz w:val="24"/>
          <w:szCs w:val="24"/>
        </w:rPr>
        <w:t>85</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2.园林文化展园</w:t>
      </w:r>
      <w:r>
        <w:rPr>
          <w:i w:val="0"/>
          <w:iCs w:val="0"/>
          <w:sz w:val="24"/>
          <w:szCs w:val="24"/>
        </w:rPr>
        <w:tab/>
      </w:r>
      <w:r>
        <w:rPr>
          <w:i w:val="0"/>
          <w:iCs w:val="0"/>
          <w:sz w:val="24"/>
          <w:szCs w:val="24"/>
        </w:rPr>
        <w:fldChar w:fldCharType="begin"/>
      </w:r>
      <w:r>
        <w:rPr>
          <w:i w:val="0"/>
          <w:iCs w:val="0"/>
          <w:sz w:val="24"/>
          <w:szCs w:val="24"/>
        </w:rPr>
        <w:instrText xml:space="preserve"> PAGEREF _Toc27389969 \h </w:instrText>
      </w:r>
      <w:r>
        <w:rPr>
          <w:i w:val="0"/>
          <w:iCs w:val="0"/>
          <w:sz w:val="24"/>
          <w:szCs w:val="24"/>
        </w:rPr>
        <w:fldChar w:fldCharType="separate"/>
      </w:r>
      <w:r>
        <w:rPr>
          <w:i w:val="0"/>
          <w:iCs w:val="0"/>
          <w:sz w:val="24"/>
          <w:szCs w:val="24"/>
        </w:rPr>
        <w:t>85</w:t>
      </w:r>
      <w:r>
        <w:rPr>
          <w:i w:val="0"/>
          <w:iCs w:val="0"/>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五、纪念林与名木文化</w:t>
      </w:r>
      <w:r>
        <w:rPr>
          <w:sz w:val="24"/>
          <w:szCs w:val="24"/>
        </w:rPr>
        <w:tab/>
      </w:r>
      <w:r>
        <w:rPr>
          <w:sz w:val="24"/>
          <w:szCs w:val="24"/>
        </w:rPr>
        <w:fldChar w:fldCharType="begin"/>
      </w:r>
      <w:r>
        <w:rPr>
          <w:sz w:val="24"/>
          <w:szCs w:val="24"/>
        </w:rPr>
        <w:instrText xml:space="preserve"> PAGEREF _Toc27389970 \h </w:instrText>
      </w:r>
      <w:r>
        <w:rPr>
          <w:sz w:val="24"/>
          <w:szCs w:val="24"/>
        </w:rPr>
        <w:fldChar w:fldCharType="separate"/>
      </w:r>
      <w:r>
        <w:rPr>
          <w:sz w:val="24"/>
          <w:szCs w:val="24"/>
        </w:rPr>
        <w:t>85</w:t>
      </w:r>
      <w:r>
        <w:rPr>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1.纪念林文化</w:t>
      </w:r>
      <w:r>
        <w:rPr>
          <w:i w:val="0"/>
          <w:iCs w:val="0"/>
          <w:sz w:val="24"/>
          <w:szCs w:val="24"/>
        </w:rPr>
        <w:tab/>
      </w:r>
      <w:r>
        <w:rPr>
          <w:i w:val="0"/>
          <w:iCs w:val="0"/>
          <w:sz w:val="24"/>
          <w:szCs w:val="24"/>
        </w:rPr>
        <w:fldChar w:fldCharType="begin"/>
      </w:r>
      <w:r>
        <w:rPr>
          <w:i w:val="0"/>
          <w:iCs w:val="0"/>
          <w:sz w:val="24"/>
          <w:szCs w:val="24"/>
        </w:rPr>
        <w:instrText xml:space="preserve"> PAGEREF _Toc27389971 \h </w:instrText>
      </w:r>
      <w:r>
        <w:rPr>
          <w:i w:val="0"/>
          <w:iCs w:val="0"/>
          <w:sz w:val="24"/>
          <w:szCs w:val="24"/>
        </w:rPr>
        <w:fldChar w:fldCharType="separate"/>
      </w:r>
      <w:r>
        <w:rPr>
          <w:i w:val="0"/>
          <w:iCs w:val="0"/>
          <w:sz w:val="24"/>
          <w:szCs w:val="24"/>
        </w:rPr>
        <w:t>86</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2.名木文化</w:t>
      </w:r>
      <w:r>
        <w:rPr>
          <w:i w:val="0"/>
          <w:iCs w:val="0"/>
          <w:sz w:val="24"/>
          <w:szCs w:val="24"/>
        </w:rPr>
        <w:tab/>
      </w:r>
      <w:r>
        <w:rPr>
          <w:i w:val="0"/>
          <w:iCs w:val="0"/>
          <w:sz w:val="24"/>
          <w:szCs w:val="24"/>
        </w:rPr>
        <w:fldChar w:fldCharType="begin"/>
      </w:r>
      <w:r>
        <w:rPr>
          <w:i w:val="0"/>
          <w:iCs w:val="0"/>
          <w:sz w:val="24"/>
          <w:szCs w:val="24"/>
        </w:rPr>
        <w:instrText xml:space="preserve"> PAGEREF _Toc27389972 \h </w:instrText>
      </w:r>
      <w:r>
        <w:rPr>
          <w:i w:val="0"/>
          <w:iCs w:val="0"/>
          <w:sz w:val="24"/>
          <w:szCs w:val="24"/>
        </w:rPr>
        <w:fldChar w:fldCharType="separate"/>
      </w:r>
      <w:r>
        <w:rPr>
          <w:i w:val="0"/>
          <w:iCs w:val="0"/>
          <w:sz w:val="24"/>
          <w:szCs w:val="24"/>
        </w:rPr>
        <w:t>86</w:t>
      </w:r>
      <w:r>
        <w:rPr>
          <w:i w:val="0"/>
          <w:iCs w:val="0"/>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六、生态文化创意园区</w:t>
      </w:r>
      <w:r>
        <w:rPr>
          <w:sz w:val="24"/>
          <w:szCs w:val="24"/>
        </w:rPr>
        <w:tab/>
      </w:r>
      <w:r>
        <w:rPr>
          <w:sz w:val="24"/>
          <w:szCs w:val="24"/>
        </w:rPr>
        <w:fldChar w:fldCharType="begin"/>
      </w:r>
      <w:r>
        <w:rPr>
          <w:sz w:val="24"/>
          <w:szCs w:val="24"/>
        </w:rPr>
        <w:instrText xml:space="preserve"> PAGEREF _Toc27389973 \h </w:instrText>
      </w:r>
      <w:r>
        <w:rPr>
          <w:sz w:val="24"/>
          <w:szCs w:val="24"/>
        </w:rPr>
        <w:fldChar w:fldCharType="separate"/>
      </w:r>
      <w:r>
        <w:rPr>
          <w:sz w:val="24"/>
          <w:szCs w:val="24"/>
        </w:rPr>
        <w:t>87</w:t>
      </w:r>
      <w:r>
        <w:rPr>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1.首钢综合生态文化创意产业园区</w:t>
      </w:r>
      <w:r>
        <w:rPr>
          <w:i w:val="0"/>
          <w:iCs w:val="0"/>
          <w:sz w:val="24"/>
          <w:szCs w:val="24"/>
        </w:rPr>
        <w:tab/>
      </w:r>
      <w:r>
        <w:rPr>
          <w:i w:val="0"/>
          <w:iCs w:val="0"/>
          <w:sz w:val="24"/>
          <w:szCs w:val="24"/>
        </w:rPr>
        <w:fldChar w:fldCharType="begin"/>
      </w:r>
      <w:r>
        <w:rPr>
          <w:i w:val="0"/>
          <w:iCs w:val="0"/>
          <w:sz w:val="24"/>
          <w:szCs w:val="24"/>
        </w:rPr>
        <w:instrText xml:space="preserve"> PAGEREF _Toc27389974 \h </w:instrText>
      </w:r>
      <w:r>
        <w:rPr>
          <w:i w:val="0"/>
          <w:iCs w:val="0"/>
          <w:sz w:val="24"/>
          <w:szCs w:val="24"/>
        </w:rPr>
        <w:fldChar w:fldCharType="separate"/>
      </w:r>
      <w:r>
        <w:rPr>
          <w:i w:val="0"/>
          <w:iCs w:val="0"/>
          <w:sz w:val="24"/>
          <w:szCs w:val="24"/>
        </w:rPr>
        <w:t>87</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2.林果综合生态文化创意产业园区</w:t>
      </w:r>
      <w:r>
        <w:rPr>
          <w:i w:val="0"/>
          <w:iCs w:val="0"/>
          <w:sz w:val="24"/>
          <w:szCs w:val="24"/>
        </w:rPr>
        <w:tab/>
      </w:r>
      <w:r>
        <w:rPr>
          <w:i w:val="0"/>
          <w:iCs w:val="0"/>
          <w:sz w:val="24"/>
          <w:szCs w:val="24"/>
        </w:rPr>
        <w:fldChar w:fldCharType="begin"/>
      </w:r>
      <w:r>
        <w:rPr>
          <w:i w:val="0"/>
          <w:iCs w:val="0"/>
          <w:sz w:val="24"/>
          <w:szCs w:val="24"/>
        </w:rPr>
        <w:instrText xml:space="preserve"> PAGEREF _Toc27389975 \h </w:instrText>
      </w:r>
      <w:r>
        <w:rPr>
          <w:i w:val="0"/>
          <w:iCs w:val="0"/>
          <w:sz w:val="24"/>
          <w:szCs w:val="24"/>
        </w:rPr>
        <w:fldChar w:fldCharType="separate"/>
      </w:r>
      <w:r>
        <w:rPr>
          <w:i w:val="0"/>
          <w:iCs w:val="0"/>
          <w:sz w:val="24"/>
          <w:szCs w:val="24"/>
        </w:rPr>
        <w:t>87</w:t>
      </w:r>
      <w:r>
        <w:rPr>
          <w:i w:val="0"/>
          <w:iCs w:val="0"/>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七、自然教育</w:t>
      </w:r>
      <w:r>
        <w:rPr>
          <w:sz w:val="24"/>
          <w:szCs w:val="24"/>
        </w:rPr>
        <w:tab/>
      </w:r>
      <w:r>
        <w:rPr>
          <w:sz w:val="24"/>
          <w:szCs w:val="24"/>
        </w:rPr>
        <w:fldChar w:fldCharType="begin"/>
      </w:r>
      <w:r>
        <w:rPr>
          <w:sz w:val="24"/>
          <w:szCs w:val="24"/>
        </w:rPr>
        <w:instrText xml:space="preserve"> PAGEREF _Toc27389976 \h </w:instrText>
      </w:r>
      <w:r>
        <w:rPr>
          <w:sz w:val="24"/>
          <w:szCs w:val="24"/>
        </w:rPr>
        <w:fldChar w:fldCharType="separate"/>
      </w:r>
      <w:r>
        <w:rPr>
          <w:sz w:val="24"/>
          <w:szCs w:val="24"/>
        </w:rPr>
        <w:t>88</w:t>
      </w:r>
      <w:r>
        <w:rPr>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1.自然教育中心</w:t>
      </w:r>
      <w:r>
        <w:rPr>
          <w:i w:val="0"/>
          <w:iCs w:val="0"/>
          <w:sz w:val="24"/>
          <w:szCs w:val="24"/>
        </w:rPr>
        <w:tab/>
      </w:r>
      <w:r>
        <w:rPr>
          <w:i w:val="0"/>
          <w:iCs w:val="0"/>
          <w:sz w:val="24"/>
          <w:szCs w:val="24"/>
        </w:rPr>
        <w:fldChar w:fldCharType="begin"/>
      </w:r>
      <w:r>
        <w:rPr>
          <w:i w:val="0"/>
          <w:iCs w:val="0"/>
          <w:sz w:val="24"/>
          <w:szCs w:val="24"/>
        </w:rPr>
        <w:instrText xml:space="preserve"> PAGEREF _Toc27389977 \h </w:instrText>
      </w:r>
      <w:r>
        <w:rPr>
          <w:i w:val="0"/>
          <w:iCs w:val="0"/>
          <w:sz w:val="24"/>
          <w:szCs w:val="24"/>
        </w:rPr>
        <w:fldChar w:fldCharType="separate"/>
      </w:r>
      <w:r>
        <w:rPr>
          <w:i w:val="0"/>
          <w:iCs w:val="0"/>
          <w:sz w:val="24"/>
          <w:szCs w:val="24"/>
        </w:rPr>
        <w:t>88</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2.自然教育学校</w:t>
      </w:r>
      <w:r>
        <w:rPr>
          <w:i w:val="0"/>
          <w:iCs w:val="0"/>
          <w:sz w:val="24"/>
          <w:szCs w:val="24"/>
        </w:rPr>
        <w:tab/>
      </w:r>
      <w:r>
        <w:rPr>
          <w:i w:val="0"/>
          <w:iCs w:val="0"/>
          <w:sz w:val="24"/>
          <w:szCs w:val="24"/>
        </w:rPr>
        <w:fldChar w:fldCharType="begin"/>
      </w:r>
      <w:r>
        <w:rPr>
          <w:i w:val="0"/>
          <w:iCs w:val="0"/>
          <w:sz w:val="24"/>
          <w:szCs w:val="24"/>
        </w:rPr>
        <w:instrText xml:space="preserve"> PAGEREF _Toc27389978 \h </w:instrText>
      </w:r>
      <w:r>
        <w:rPr>
          <w:i w:val="0"/>
          <w:iCs w:val="0"/>
          <w:sz w:val="24"/>
          <w:szCs w:val="24"/>
        </w:rPr>
        <w:fldChar w:fldCharType="separate"/>
      </w:r>
      <w:r>
        <w:rPr>
          <w:i w:val="0"/>
          <w:iCs w:val="0"/>
          <w:sz w:val="24"/>
          <w:szCs w:val="24"/>
        </w:rPr>
        <w:t>89</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3.自然教育驿站</w:t>
      </w:r>
      <w:r>
        <w:rPr>
          <w:i w:val="0"/>
          <w:iCs w:val="0"/>
          <w:sz w:val="24"/>
          <w:szCs w:val="24"/>
        </w:rPr>
        <w:tab/>
      </w:r>
      <w:r>
        <w:rPr>
          <w:i w:val="0"/>
          <w:iCs w:val="0"/>
          <w:sz w:val="24"/>
          <w:szCs w:val="24"/>
        </w:rPr>
        <w:fldChar w:fldCharType="begin"/>
      </w:r>
      <w:r>
        <w:rPr>
          <w:i w:val="0"/>
          <w:iCs w:val="0"/>
          <w:sz w:val="24"/>
          <w:szCs w:val="24"/>
        </w:rPr>
        <w:instrText xml:space="preserve"> PAGEREF _Toc27389979 \h </w:instrText>
      </w:r>
      <w:r>
        <w:rPr>
          <w:i w:val="0"/>
          <w:iCs w:val="0"/>
          <w:sz w:val="24"/>
          <w:szCs w:val="24"/>
        </w:rPr>
        <w:fldChar w:fldCharType="separate"/>
      </w:r>
      <w:r>
        <w:rPr>
          <w:i w:val="0"/>
          <w:iCs w:val="0"/>
          <w:sz w:val="24"/>
          <w:szCs w:val="24"/>
        </w:rPr>
        <w:t>90</w:t>
      </w:r>
      <w:r>
        <w:rPr>
          <w:i w:val="0"/>
          <w:iCs w:val="0"/>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八、绿道网络</w:t>
      </w:r>
      <w:r>
        <w:rPr>
          <w:sz w:val="24"/>
          <w:szCs w:val="24"/>
        </w:rPr>
        <w:tab/>
      </w:r>
      <w:r>
        <w:rPr>
          <w:sz w:val="24"/>
          <w:szCs w:val="24"/>
        </w:rPr>
        <w:fldChar w:fldCharType="begin"/>
      </w:r>
      <w:r>
        <w:rPr>
          <w:sz w:val="24"/>
          <w:szCs w:val="24"/>
        </w:rPr>
        <w:instrText xml:space="preserve"> PAGEREF _Toc27389980 \h </w:instrText>
      </w:r>
      <w:r>
        <w:rPr>
          <w:sz w:val="24"/>
          <w:szCs w:val="24"/>
        </w:rPr>
        <w:fldChar w:fldCharType="separate"/>
      </w:r>
      <w:r>
        <w:rPr>
          <w:sz w:val="24"/>
          <w:szCs w:val="24"/>
        </w:rPr>
        <w:t>90</w:t>
      </w:r>
      <w:r>
        <w:rPr>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1.核心区绿道</w:t>
      </w:r>
      <w:r>
        <w:rPr>
          <w:i w:val="0"/>
          <w:iCs w:val="0"/>
          <w:sz w:val="24"/>
          <w:szCs w:val="24"/>
        </w:rPr>
        <w:tab/>
      </w:r>
      <w:r>
        <w:rPr>
          <w:i w:val="0"/>
          <w:iCs w:val="0"/>
          <w:sz w:val="24"/>
          <w:szCs w:val="24"/>
        </w:rPr>
        <w:fldChar w:fldCharType="begin"/>
      </w:r>
      <w:r>
        <w:rPr>
          <w:i w:val="0"/>
          <w:iCs w:val="0"/>
          <w:sz w:val="24"/>
          <w:szCs w:val="24"/>
        </w:rPr>
        <w:instrText xml:space="preserve"> PAGEREF _Toc27389981 \h </w:instrText>
      </w:r>
      <w:r>
        <w:rPr>
          <w:i w:val="0"/>
          <w:iCs w:val="0"/>
          <w:sz w:val="24"/>
          <w:szCs w:val="24"/>
        </w:rPr>
        <w:fldChar w:fldCharType="separate"/>
      </w:r>
      <w:r>
        <w:rPr>
          <w:i w:val="0"/>
          <w:iCs w:val="0"/>
          <w:sz w:val="24"/>
          <w:szCs w:val="24"/>
        </w:rPr>
        <w:t>91</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2.中轴线绿道</w:t>
      </w:r>
      <w:r>
        <w:rPr>
          <w:i w:val="0"/>
          <w:iCs w:val="0"/>
          <w:sz w:val="24"/>
          <w:szCs w:val="24"/>
        </w:rPr>
        <w:tab/>
      </w:r>
      <w:r>
        <w:rPr>
          <w:i w:val="0"/>
          <w:iCs w:val="0"/>
          <w:sz w:val="24"/>
          <w:szCs w:val="24"/>
        </w:rPr>
        <w:fldChar w:fldCharType="begin"/>
      </w:r>
      <w:r>
        <w:rPr>
          <w:i w:val="0"/>
          <w:iCs w:val="0"/>
          <w:sz w:val="24"/>
          <w:szCs w:val="24"/>
        </w:rPr>
        <w:instrText xml:space="preserve"> PAGEREF _Toc27389982 \h </w:instrText>
      </w:r>
      <w:r>
        <w:rPr>
          <w:i w:val="0"/>
          <w:iCs w:val="0"/>
          <w:sz w:val="24"/>
          <w:szCs w:val="24"/>
        </w:rPr>
        <w:fldChar w:fldCharType="separate"/>
      </w:r>
      <w:r>
        <w:rPr>
          <w:i w:val="0"/>
          <w:iCs w:val="0"/>
          <w:sz w:val="24"/>
          <w:szCs w:val="24"/>
        </w:rPr>
        <w:t>91</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3.一道绿隔绿道</w:t>
      </w:r>
      <w:r>
        <w:rPr>
          <w:i w:val="0"/>
          <w:iCs w:val="0"/>
          <w:sz w:val="24"/>
          <w:szCs w:val="24"/>
        </w:rPr>
        <w:tab/>
      </w:r>
      <w:r>
        <w:rPr>
          <w:i w:val="0"/>
          <w:iCs w:val="0"/>
          <w:sz w:val="24"/>
          <w:szCs w:val="24"/>
        </w:rPr>
        <w:fldChar w:fldCharType="begin"/>
      </w:r>
      <w:r>
        <w:rPr>
          <w:i w:val="0"/>
          <w:iCs w:val="0"/>
          <w:sz w:val="24"/>
          <w:szCs w:val="24"/>
        </w:rPr>
        <w:instrText xml:space="preserve"> PAGEREF _Toc27389983 \h </w:instrText>
      </w:r>
      <w:r>
        <w:rPr>
          <w:i w:val="0"/>
          <w:iCs w:val="0"/>
          <w:sz w:val="24"/>
          <w:szCs w:val="24"/>
        </w:rPr>
        <w:fldChar w:fldCharType="separate"/>
      </w:r>
      <w:r>
        <w:rPr>
          <w:i w:val="0"/>
          <w:iCs w:val="0"/>
          <w:sz w:val="24"/>
          <w:szCs w:val="24"/>
        </w:rPr>
        <w:t>92</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4.二道隔离绿道</w:t>
      </w:r>
      <w:r>
        <w:rPr>
          <w:i w:val="0"/>
          <w:iCs w:val="0"/>
          <w:sz w:val="24"/>
          <w:szCs w:val="24"/>
        </w:rPr>
        <w:tab/>
      </w:r>
      <w:r>
        <w:rPr>
          <w:i w:val="0"/>
          <w:iCs w:val="0"/>
          <w:sz w:val="24"/>
          <w:szCs w:val="24"/>
        </w:rPr>
        <w:fldChar w:fldCharType="begin"/>
      </w:r>
      <w:r>
        <w:rPr>
          <w:i w:val="0"/>
          <w:iCs w:val="0"/>
          <w:sz w:val="24"/>
          <w:szCs w:val="24"/>
        </w:rPr>
        <w:instrText xml:space="preserve"> PAGEREF _Toc27389984 \h </w:instrText>
      </w:r>
      <w:r>
        <w:rPr>
          <w:i w:val="0"/>
          <w:iCs w:val="0"/>
          <w:sz w:val="24"/>
          <w:szCs w:val="24"/>
        </w:rPr>
        <w:fldChar w:fldCharType="separate"/>
      </w:r>
      <w:r>
        <w:rPr>
          <w:i w:val="0"/>
          <w:iCs w:val="0"/>
          <w:sz w:val="24"/>
          <w:szCs w:val="24"/>
        </w:rPr>
        <w:t>92</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5.东部山水绿道</w:t>
      </w:r>
      <w:r>
        <w:rPr>
          <w:i w:val="0"/>
          <w:iCs w:val="0"/>
          <w:sz w:val="24"/>
          <w:szCs w:val="24"/>
        </w:rPr>
        <w:tab/>
      </w:r>
      <w:r>
        <w:rPr>
          <w:i w:val="0"/>
          <w:iCs w:val="0"/>
          <w:sz w:val="24"/>
          <w:szCs w:val="24"/>
        </w:rPr>
        <w:fldChar w:fldCharType="begin"/>
      </w:r>
      <w:r>
        <w:rPr>
          <w:i w:val="0"/>
          <w:iCs w:val="0"/>
          <w:sz w:val="24"/>
          <w:szCs w:val="24"/>
        </w:rPr>
        <w:instrText xml:space="preserve"> PAGEREF _Toc27389985 \h </w:instrText>
      </w:r>
      <w:r>
        <w:rPr>
          <w:i w:val="0"/>
          <w:iCs w:val="0"/>
          <w:sz w:val="24"/>
          <w:szCs w:val="24"/>
        </w:rPr>
        <w:fldChar w:fldCharType="separate"/>
      </w:r>
      <w:r>
        <w:rPr>
          <w:i w:val="0"/>
          <w:iCs w:val="0"/>
          <w:sz w:val="24"/>
          <w:szCs w:val="24"/>
        </w:rPr>
        <w:t>92</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6.北部山水绿道</w:t>
      </w:r>
      <w:r>
        <w:rPr>
          <w:i w:val="0"/>
          <w:iCs w:val="0"/>
          <w:sz w:val="24"/>
          <w:szCs w:val="24"/>
        </w:rPr>
        <w:tab/>
      </w:r>
      <w:r>
        <w:rPr>
          <w:i w:val="0"/>
          <w:iCs w:val="0"/>
          <w:sz w:val="24"/>
          <w:szCs w:val="24"/>
        </w:rPr>
        <w:fldChar w:fldCharType="begin"/>
      </w:r>
      <w:r>
        <w:rPr>
          <w:i w:val="0"/>
          <w:iCs w:val="0"/>
          <w:sz w:val="24"/>
          <w:szCs w:val="24"/>
        </w:rPr>
        <w:instrText xml:space="preserve"> PAGEREF _Toc27389986 \h </w:instrText>
      </w:r>
      <w:r>
        <w:rPr>
          <w:i w:val="0"/>
          <w:iCs w:val="0"/>
          <w:sz w:val="24"/>
          <w:szCs w:val="24"/>
        </w:rPr>
        <w:fldChar w:fldCharType="separate"/>
      </w:r>
      <w:r>
        <w:rPr>
          <w:i w:val="0"/>
          <w:iCs w:val="0"/>
          <w:sz w:val="24"/>
          <w:szCs w:val="24"/>
        </w:rPr>
        <w:t>92</w:t>
      </w:r>
      <w:r>
        <w:rPr>
          <w:i w:val="0"/>
          <w:iCs w:val="0"/>
          <w:sz w:val="24"/>
          <w:szCs w:val="24"/>
        </w:rPr>
        <w:fldChar w:fldCharType="end"/>
      </w:r>
    </w:p>
    <w:p>
      <w:pPr>
        <w:pStyle w:val="11"/>
        <w:tabs>
          <w:tab w:val="right" w:leader="hyphen" w:pos="8494"/>
        </w:tabs>
        <w:spacing w:line="288" w:lineRule="auto"/>
        <w:rPr>
          <w:i w:val="0"/>
          <w:iCs w:val="0"/>
          <w:sz w:val="24"/>
          <w:szCs w:val="24"/>
        </w:rPr>
      </w:pPr>
      <w:r>
        <w:rPr>
          <w:rFonts w:ascii="仿宋" w:hAnsi="仿宋" w:eastAsia="仿宋"/>
          <w:i w:val="0"/>
          <w:iCs w:val="0"/>
          <w:sz w:val="24"/>
          <w:szCs w:val="24"/>
        </w:rPr>
        <w:t>7.西部山水绿道</w:t>
      </w:r>
      <w:r>
        <w:rPr>
          <w:i w:val="0"/>
          <w:iCs w:val="0"/>
          <w:sz w:val="24"/>
          <w:szCs w:val="24"/>
        </w:rPr>
        <w:tab/>
      </w:r>
      <w:r>
        <w:rPr>
          <w:i w:val="0"/>
          <w:iCs w:val="0"/>
          <w:sz w:val="24"/>
          <w:szCs w:val="24"/>
        </w:rPr>
        <w:fldChar w:fldCharType="begin"/>
      </w:r>
      <w:r>
        <w:rPr>
          <w:i w:val="0"/>
          <w:iCs w:val="0"/>
          <w:sz w:val="24"/>
          <w:szCs w:val="24"/>
        </w:rPr>
        <w:instrText xml:space="preserve"> PAGEREF _Toc27389987 \h </w:instrText>
      </w:r>
      <w:r>
        <w:rPr>
          <w:i w:val="0"/>
          <w:iCs w:val="0"/>
          <w:sz w:val="24"/>
          <w:szCs w:val="24"/>
        </w:rPr>
        <w:fldChar w:fldCharType="separate"/>
      </w:r>
      <w:r>
        <w:rPr>
          <w:i w:val="0"/>
          <w:iCs w:val="0"/>
          <w:sz w:val="24"/>
          <w:szCs w:val="24"/>
        </w:rPr>
        <w:t>93</w:t>
      </w:r>
      <w:r>
        <w:rPr>
          <w:i w:val="0"/>
          <w:iCs w:val="0"/>
          <w:sz w:val="24"/>
          <w:szCs w:val="24"/>
        </w:rPr>
        <w:fldChar w:fldCharType="end"/>
      </w:r>
    </w:p>
    <w:p>
      <w:pPr>
        <w:pStyle w:val="17"/>
        <w:tabs>
          <w:tab w:val="right" w:leader="hyphen" w:pos="8494"/>
        </w:tabs>
        <w:spacing w:line="288" w:lineRule="auto"/>
        <w:rPr>
          <w:b w:val="0"/>
          <w:bCs w:val="0"/>
          <w:caps w:val="0"/>
          <w:sz w:val="24"/>
          <w:szCs w:val="24"/>
        </w:rPr>
      </w:pPr>
      <w:r>
        <w:rPr>
          <w:rFonts w:ascii="黑体" w:hAnsi="黑体" w:eastAsia="黑体" w:cs="宋体"/>
          <w:spacing w:val="4"/>
          <w:kern w:val="36"/>
          <w:sz w:val="24"/>
          <w:szCs w:val="24"/>
        </w:rPr>
        <w:t>第九篇 保障措施与落地建议</w:t>
      </w:r>
      <w:r>
        <w:rPr>
          <w:sz w:val="24"/>
          <w:szCs w:val="24"/>
        </w:rPr>
        <w:tab/>
      </w:r>
      <w:r>
        <w:rPr>
          <w:sz w:val="24"/>
          <w:szCs w:val="24"/>
        </w:rPr>
        <w:fldChar w:fldCharType="begin"/>
      </w:r>
      <w:r>
        <w:rPr>
          <w:sz w:val="24"/>
          <w:szCs w:val="24"/>
        </w:rPr>
        <w:instrText xml:space="preserve"> PAGEREF _Toc27389988 \h </w:instrText>
      </w:r>
      <w:r>
        <w:rPr>
          <w:sz w:val="24"/>
          <w:szCs w:val="24"/>
        </w:rPr>
        <w:fldChar w:fldCharType="separate"/>
      </w:r>
      <w:r>
        <w:rPr>
          <w:sz w:val="24"/>
          <w:szCs w:val="24"/>
        </w:rPr>
        <w:t>94</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一、加强组织协调，统筹推进森林城市建设</w:t>
      </w:r>
      <w:r>
        <w:rPr>
          <w:sz w:val="24"/>
          <w:szCs w:val="24"/>
        </w:rPr>
        <w:tab/>
      </w:r>
      <w:r>
        <w:rPr>
          <w:sz w:val="24"/>
          <w:szCs w:val="24"/>
        </w:rPr>
        <w:fldChar w:fldCharType="begin"/>
      </w:r>
      <w:r>
        <w:rPr>
          <w:sz w:val="24"/>
          <w:szCs w:val="24"/>
        </w:rPr>
        <w:instrText xml:space="preserve"> PAGEREF _Toc27389989 \h </w:instrText>
      </w:r>
      <w:r>
        <w:rPr>
          <w:sz w:val="24"/>
          <w:szCs w:val="24"/>
        </w:rPr>
        <w:fldChar w:fldCharType="separate"/>
      </w:r>
      <w:r>
        <w:rPr>
          <w:sz w:val="24"/>
          <w:szCs w:val="24"/>
        </w:rPr>
        <w:t>94</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二、挖掘土地潜力，优先保障生态建设用地</w:t>
      </w:r>
      <w:r>
        <w:rPr>
          <w:sz w:val="24"/>
          <w:szCs w:val="24"/>
        </w:rPr>
        <w:tab/>
      </w:r>
      <w:r>
        <w:rPr>
          <w:sz w:val="24"/>
          <w:szCs w:val="24"/>
        </w:rPr>
        <w:fldChar w:fldCharType="begin"/>
      </w:r>
      <w:r>
        <w:rPr>
          <w:sz w:val="24"/>
          <w:szCs w:val="24"/>
        </w:rPr>
        <w:instrText xml:space="preserve"> PAGEREF _Toc27389990 \h </w:instrText>
      </w:r>
      <w:r>
        <w:rPr>
          <w:sz w:val="24"/>
          <w:szCs w:val="24"/>
        </w:rPr>
        <w:fldChar w:fldCharType="separate"/>
      </w:r>
      <w:r>
        <w:rPr>
          <w:sz w:val="24"/>
          <w:szCs w:val="24"/>
        </w:rPr>
        <w:t>94</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三、强化科技支撑，提高森林城市建设质量</w:t>
      </w:r>
      <w:r>
        <w:rPr>
          <w:sz w:val="24"/>
          <w:szCs w:val="24"/>
        </w:rPr>
        <w:tab/>
      </w:r>
      <w:r>
        <w:rPr>
          <w:sz w:val="24"/>
          <w:szCs w:val="24"/>
        </w:rPr>
        <w:fldChar w:fldCharType="begin"/>
      </w:r>
      <w:r>
        <w:rPr>
          <w:sz w:val="24"/>
          <w:szCs w:val="24"/>
        </w:rPr>
        <w:instrText xml:space="preserve"> PAGEREF _Toc27389991 \h </w:instrText>
      </w:r>
      <w:r>
        <w:rPr>
          <w:sz w:val="24"/>
          <w:szCs w:val="24"/>
        </w:rPr>
        <w:fldChar w:fldCharType="separate"/>
      </w:r>
      <w:r>
        <w:rPr>
          <w:sz w:val="24"/>
          <w:szCs w:val="24"/>
        </w:rPr>
        <w:t>95</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四、创新管理生态资源，提高惠民服务能力</w:t>
      </w:r>
      <w:r>
        <w:rPr>
          <w:sz w:val="24"/>
          <w:szCs w:val="24"/>
        </w:rPr>
        <w:tab/>
      </w:r>
      <w:r>
        <w:rPr>
          <w:sz w:val="24"/>
          <w:szCs w:val="24"/>
        </w:rPr>
        <w:fldChar w:fldCharType="begin"/>
      </w:r>
      <w:r>
        <w:rPr>
          <w:sz w:val="24"/>
          <w:szCs w:val="24"/>
        </w:rPr>
        <w:instrText xml:space="preserve"> PAGEREF _Toc27389992 \h </w:instrText>
      </w:r>
      <w:r>
        <w:rPr>
          <w:sz w:val="24"/>
          <w:szCs w:val="24"/>
        </w:rPr>
        <w:fldChar w:fldCharType="separate"/>
      </w:r>
      <w:r>
        <w:rPr>
          <w:sz w:val="24"/>
          <w:szCs w:val="24"/>
        </w:rPr>
        <w:t>96</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五、开展宣传活动，营造良好社会氛围</w:t>
      </w:r>
      <w:r>
        <w:rPr>
          <w:sz w:val="24"/>
          <w:szCs w:val="24"/>
        </w:rPr>
        <w:tab/>
      </w:r>
      <w:r>
        <w:rPr>
          <w:sz w:val="24"/>
          <w:szCs w:val="24"/>
        </w:rPr>
        <w:fldChar w:fldCharType="begin"/>
      </w:r>
      <w:r>
        <w:rPr>
          <w:sz w:val="24"/>
          <w:szCs w:val="24"/>
        </w:rPr>
        <w:instrText xml:space="preserve"> PAGEREF _Toc27389993 \h </w:instrText>
      </w:r>
      <w:r>
        <w:rPr>
          <w:sz w:val="24"/>
          <w:szCs w:val="24"/>
        </w:rPr>
        <w:fldChar w:fldCharType="separate"/>
      </w:r>
      <w:r>
        <w:rPr>
          <w:sz w:val="24"/>
          <w:szCs w:val="24"/>
        </w:rPr>
        <w:t>97</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六、健全规章制度，依法保障北京森林城市建设成果</w:t>
      </w:r>
      <w:r>
        <w:rPr>
          <w:sz w:val="24"/>
          <w:szCs w:val="24"/>
        </w:rPr>
        <w:tab/>
      </w:r>
      <w:r>
        <w:rPr>
          <w:sz w:val="24"/>
          <w:szCs w:val="24"/>
        </w:rPr>
        <w:fldChar w:fldCharType="begin"/>
      </w:r>
      <w:r>
        <w:rPr>
          <w:sz w:val="24"/>
          <w:szCs w:val="24"/>
        </w:rPr>
        <w:instrText xml:space="preserve"> PAGEREF _Toc27389994 \h </w:instrText>
      </w:r>
      <w:r>
        <w:rPr>
          <w:sz w:val="24"/>
          <w:szCs w:val="24"/>
        </w:rPr>
        <w:fldChar w:fldCharType="separate"/>
      </w:r>
      <w:r>
        <w:rPr>
          <w:sz w:val="24"/>
          <w:szCs w:val="24"/>
        </w:rPr>
        <w:t>98</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七、实行区域联动，促进京津冀生态建设协同发展</w:t>
      </w:r>
      <w:r>
        <w:rPr>
          <w:sz w:val="24"/>
          <w:szCs w:val="24"/>
        </w:rPr>
        <w:tab/>
      </w:r>
      <w:r>
        <w:rPr>
          <w:sz w:val="24"/>
          <w:szCs w:val="24"/>
        </w:rPr>
        <w:fldChar w:fldCharType="begin"/>
      </w:r>
      <w:r>
        <w:rPr>
          <w:sz w:val="24"/>
          <w:szCs w:val="24"/>
        </w:rPr>
        <w:instrText xml:space="preserve"> PAGEREF _Toc27389995 \h </w:instrText>
      </w:r>
      <w:r>
        <w:rPr>
          <w:sz w:val="24"/>
          <w:szCs w:val="24"/>
        </w:rPr>
        <w:fldChar w:fldCharType="separate"/>
      </w:r>
      <w:r>
        <w:rPr>
          <w:sz w:val="24"/>
          <w:szCs w:val="24"/>
        </w:rPr>
        <w:t>98</w:t>
      </w:r>
      <w:r>
        <w:rPr>
          <w:sz w:val="24"/>
          <w:szCs w:val="24"/>
        </w:rPr>
        <w:fldChar w:fldCharType="end"/>
      </w:r>
    </w:p>
    <w:p>
      <w:pPr>
        <w:pStyle w:val="23"/>
        <w:tabs>
          <w:tab w:val="right" w:leader="hyphen" w:pos="8494"/>
        </w:tabs>
        <w:spacing w:line="288" w:lineRule="auto"/>
        <w:rPr>
          <w:smallCaps w:val="0"/>
          <w:sz w:val="24"/>
          <w:szCs w:val="24"/>
        </w:rPr>
      </w:pPr>
      <w:r>
        <w:rPr>
          <w:rFonts w:ascii="黑体" w:hAnsi="黑体" w:eastAsia="黑体" w:cs="Times New Roman"/>
          <w:sz w:val="24"/>
          <w:szCs w:val="24"/>
        </w:rPr>
        <w:t>八、建立乡土实生苗圃，保障长寿森林景观苗木储备</w:t>
      </w:r>
      <w:r>
        <w:rPr>
          <w:sz w:val="24"/>
          <w:szCs w:val="24"/>
        </w:rPr>
        <w:tab/>
      </w:r>
      <w:r>
        <w:rPr>
          <w:sz w:val="24"/>
          <w:szCs w:val="24"/>
        </w:rPr>
        <w:fldChar w:fldCharType="begin"/>
      </w:r>
      <w:r>
        <w:rPr>
          <w:sz w:val="24"/>
          <w:szCs w:val="24"/>
        </w:rPr>
        <w:instrText xml:space="preserve"> PAGEREF _Toc27389996 \h </w:instrText>
      </w:r>
      <w:r>
        <w:rPr>
          <w:sz w:val="24"/>
          <w:szCs w:val="24"/>
        </w:rPr>
        <w:fldChar w:fldCharType="separate"/>
      </w:r>
      <w:r>
        <w:rPr>
          <w:sz w:val="24"/>
          <w:szCs w:val="24"/>
        </w:rPr>
        <w:t>99</w:t>
      </w:r>
      <w:r>
        <w:rPr>
          <w:sz w:val="24"/>
          <w:szCs w:val="24"/>
        </w:rPr>
        <w:fldChar w:fldCharType="end"/>
      </w:r>
    </w:p>
    <w:p>
      <w:pPr>
        <w:spacing w:line="288" w:lineRule="auto"/>
        <w:ind w:firstLine="480" w:firstLineChars="200"/>
        <w:rPr>
          <w:rFonts w:ascii="黑体" w:hAnsi="黑体" w:eastAsia="黑体"/>
          <w:b/>
          <w:bCs/>
          <w:caps/>
          <w:sz w:val="24"/>
          <w:szCs w:val="24"/>
        </w:rPr>
      </w:pPr>
      <w:r>
        <w:rPr>
          <w:rFonts w:ascii="仿宋" w:hAnsi="仿宋" w:eastAsia="仿宋"/>
          <w:b/>
          <w:bCs/>
          <w:caps/>
          <w:sz w:val="24"/>
          <w:szCs w:val="24"/>
        </w:rPr>
        <w:fldChar w:fldCharType="end"/>
      </w:r>
    </w:p>
    <w:p>
      <w:pPr>
        <w:spacing w:line="312" w:lineRule="auto"/>
        <w:ind w:firstLine="480" w:firstLineChars="200"/>
        <w:rPr>
          <w:rFonts w:ascii="黑体" w:hAnsi="黑体" w:eastAsia="黑体"/>
          <w:sz w:val="24"/>
          <w:szCs w:val="24"/>
        </w:rPr>
      </w:pPr>
    </w:p>
    <w:p>
      <w:pPr>
        <w:spacing w:line="312" w:lineRule="auto"/>
        <w:ind w:firstLine="480" w:firstLineChars="200"/>
        <w:rPr>
          <w:b/>
          <w:sz w:val="24"/>
          <w:szCs w:val="24"/>
        </w:rPr>
      </w:pPr>
    </w:p>
    <w:p>
      <w:pPr>
        <w:spacing w:line="360" w:lineRule="auto"/>
        <w:ind w:firstLine="420" w:firstLineChars="200"/>
        <w:rPr>
          <w:rFonts w:ascii="黑体" w:hAnsi="黑体" w:eastAsia="黑体"/>
        </w:rPr>
        <w:sectPr>
          <w:footerReference r:id="rId5" w:type="first"/>
          <w:footerReference r:id="rId4" w:type="default"/>
          <w:pgSz w:w="11906" w:h="16838"/>
          <w:pgMar w:top="1418" w:right="1701" w:bottom="1418" w:left="1701" w:header="851" w:footer="992" w:gutter="0"/>
          <w:pgNumType w:start="4"/>
          <w:cols w:space="425" w:num="1"/>
          <w:titlePg/>
          <w:docGrid w:type="linesAndChars" w:linePitch="312" w:charSpace="0"/>
        </w:sectPr>
      </w:pPr>
    </w:p>
    <w:p>
      <w:pPr>
        <w:pStyle w:val="2"/>
        <w:keepLines w:val="0"/>
        <w:widowControl/>
        <w:spacing w:before="0" w:after="435" w:line="276" w:lineRule="auto"/>
        <w:jc w:val="center"/>
        <w:rPr>
          <w:rFonts w:ascii="黑体" w:hAnsi="黑体" w:eastAsia="黑体" w:cs="宋体"/>
          <w:spacing w:val="4"/>
          <w:kern w:val="36"/>
          <w:sz w:val="40"/>
          <w:szCs w:val="40"/>
        </w:rPr>
      </w:pPr>
      <w:bookmarkStart w:id="6" w:name="_Toc530648914"/>
      <w:bookmarkStart w:id="7" w:name="_Toc528968686"/>
      <w:bookmarkStart w:id="8" w:name="_Toc27389866"/>
      <w:r>
        <w:rPr>
          <w:rFonts w:hint="eastAsia" w:ascii="黑体" w:hAnsi="黑体" w:eastAsia="黑体" w:cs="宋体"/>
          <w:spacing w:val="4"/>
          <w:kern w:val="36"/>
          <w:sz w:val="40"/>
          <w:szCs w:val="40"/>
        </w:rPr>
        <w:t xml:space="preserve">第一篇 </w:t>
      </w:r>
      <w:r>
        <w:rPr>
          <w:rFonts w:ascii="黑体" w:hAnsi="黑体" w:eastAsia="黑体" w:cs="宋体"/>
          <w:spacing w:val="4"/>
          <w:kern w:val="36"/>
          <w:sz w:val="40"/>
          <w:szCs w:val="40"/>
        </w:rPr>
        <w:t xml:space="preserve"> </w:t>
      </w:r>
      <w:r>
        <w:rPr>
          <w:rFonts w:hint="eastAsia" w:ascii="黑体" w:hAnsi="黑体" w:eastAsia="黑体" w:cs="宋体"/>
          <w:spacing w:val="4"/>
          <w:kern w:val="36"/>
          <w:sz w:val="40"/>
          <w:szCs w:val="40"/>
        </w:rPr>
        <w:t>建设背景与意义</w:t>
      </w:r>
      <w:bookmarkEnd w:id="6"/>
      <w:bookmarkEnd w:id="7"/>
      <w:bookmarkEnd w:id="8"/>
    </w:p>
    <w:p>
      <w:pPr>
        <w:pStyle w:val="3"/>
        <w:spacing w:before="217" w:after="217"/>
        <w:jc w:val="left"/>
        <w:rPr>
          <w:rFonts w:ascii="黑体" w:hAnsi="黑体" w:eastAsia="黑体" w:cs="Times New Roman"/>
          <w:b w:val="0"/>
          <w:bCs w:val="0"/>
        </w:rPr>
      </w:pPr>
      <w:bookmarkStart w:id="9" w:name="_Toc528968687"/>
      <w:bookmarkStart w:id="10" w:name="_Toc530648915"/>
      <w:bookmarkStart w:id="11" w:name="_Toc27389867"/>
      <w:r>
        <w:rPr>
          <w:rFonts w:hint="eastAsia" w:ascii="黑体" w:hAnsi="黑体" w:eastAsia="黑体" w:cs="Times New Roman"/>
          <w:b w:val="0"/>
          <w:bCs w:val="0"/>
        </w:rPr>
        <w:t>一、建设背景</w:t>
      </w:r>
      <w:bookmarkEnd w:id="9"/>
      <w:bookmarkEnd w:id="10"/>
      <w:bookmarkEnd w:id="11"/>
    </w:p>
    <w:p>
      <w:pPr>
        <w:spacing w:before="217" w:after="217" w:line="264" w:lineRule="auto"/>
        <w:rPr>
          <w:rFonts w:ascii="仿宋" w:hAnsi="仿宋" w:eastAsia="仿宋" w:cs="Times New Roman"/>
          <w:spacing w:val="20"/>
          <w:sz w:val="32"/>
          <w:szCs w:val="32"/>
        </w:rPr>
      </w:pPr>
      <w:r>
        <w:rPr>
          <w:rFonts w:hint="eastAsia" w:ascii="仿宋" w:hAnsi="仿宋" w:eastAsia="仿宋" w:cs="Times New Roman"/>
          <w:b/>
          <w:spacing w:val="20"/>
          <w:sz w:val="32"/>
          <w:szCs w:val="32"/>
        </w:rPr>
        <w:t>（一）森林城市的由来与发展趋势</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b/>
          <w:sz w:val="28"/>
          <w:szCs w:val="28"/>
        </w:rPr>
        <w:t>森林城市</w:t>
      </w:r>
      <w:r>
        <w:rPr>
          <w:rFonts w:hint="eastAsia" w:ascii="仿宋" w:hAnsi="仿宋" w:eastAsia="仿宋" w:cs="Times New Roman"/>
          <w:sz w:val="28"/>
          <w:szCs w:val="28"/>
        </w:rPr>
        <w:t>是指通过保护建设管理以森林、树木和湿地为主体的城市自然基础设施，充分发挥其缓解热岛效应、净化环境污染、调控雨洪灾害、保护生物多样性、应对气候变化等独特功能，为城乡居民提供优美健康的人居环境、充足便捷的休闲场所，拓展城市绿色生态空间，实现人与自然和谐共生的城市发展方式。</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b/>
          <w:color w:val="000000" w:themeColor="text1"/>
          <w:kern w:val="0"/>
          <w:sz w:val="28"/>
          <w:szCs w:val="28"/>
          <w14:textFill>
            <w14:solidFill>
              <w14:schemeClr w14:val="tx1"/>
            </w14:solidFill>
          </w14:textFill>
        </w:rPr>
        <w:t>森林城市建设，是我国借鉴发达国家经验，适应我国国情和发展阶段，推进城乡生态建设、增进居民生态福利的一种成功的实践创新，已经上升为国家战略，成为未来我国城市生态建设的重要方向。</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从国际看，森林城市建设起源于欧美发达国家，大约有50多年的历史。上世纪六十年代以来，经过城镇化快速发展，欧美</w:t>
      </w:r>
      <w:r>
        <w:rPr>
          <w:rFonts w:hint="eastAsia" w:ascii="仿宋" w:hAnsi="仿宋" w:eastAsia="仿宋"/>
          <w:color w:val="000000" w:themeColor="text1"/>
          <w:sz w:val="28"/>
          <w:szCs w:val="28"/>
          <w14:textFill>
            <w14:solidFill>
              <w14:schemeClr w14:val="tx1"/>
            </w14:solidFill>
          </w14:textFill>
        </w:rPr>
        <w:t>发达国家</w:t>
      </w:r>
      <w:r>
        <w:rPr>
          <w:rFonts w:hint="eastAsia" w:ascii="仿宋" w:hAnsi="仿宋" w:eastAsia="仿宋" w:cs="Times New Roman"/>
          <w:sz w:val="28"/>
          <w:szCs w:val="28"/>
        </w:rPr>
        <w:t>日益重视森林在改善城市人居环境、缓解环境污染、满足休闲游憩需求等方面的重要作用，并以各种方式推进城镇化地区森林的保护和恢复。</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——美国1972年颁布了</w:t>
      </w:r>
      <w:r>
        <w:rPr>
          <w:rFonts w:hint="eastAsia" w:ascii="仿宋" w:hAnsi="仿宋" w:eastAsia="仿宋"/>
          <w:color w:val="000000" w:themeColor="text1"/>
          <w:sz w:val="28"/>
          <w:szCs w:val="28"/>
          <w14:textFill>
            <w14:solidFill>
              <w14:schemeClr w14:val="tx1"/>
            </w14:solidFill>
          </w14:textFill>
        </w:rPr>
        <w:t>《城市森林法》</w:t>
      </w:r>
      <w:r>
        <w:rPr>
          <w:rFonts w:hint="eastAsia" w:ascii="仿宋" w:hAnsi="仿宋" w:eastAsia="仿宋" w:cs="Times New Roman"/>
          <w:sz w:val="28"/>
          <w:szCs w:val="28"/>
        </w:rPr>
        <w:t>，1976年在全国推进“树木城市”建设，1993年制订了</w:t>
      </w:r>
      <w:r>
        <w:rPr>
          <w:rFonts w:ascii="仿宋" w:hAnsi="仿宋" w:eastAsia="仿宋" w:cs="Times New Roman"/>
          <w:sz w:val="28"/>
          <w:szCs w:val="28"/>
        </w:rPr>
        <w:t>全国城市和社区林业战略规划</w:t>
      </w:r>
      <w:r>
        <w:rPr>
          <w:rFonts w:hint="eastAsia" w:ascii="仿宋" w:hAnsi="仿宋" w:eastAsia="仿宋" w:cs="Times New Roman"/>
          <w:sz w:val="28"/>
          <w:szCs w:val="28"/>
        </w:rPr>
        <w:t>。英国1987年实施了“森林伦敦计划”。德国将城市周边180公里(2小时)范围内的城市森林按儿童、青年、老人不同人群的游憩习惯，</w:t>
      </w:r>
      <w:r>
        <w:rPr>
          <w:rFonts w:hint="eastAsia" w:ascii="仿宋" w:hAnsi="仿宋" w:eastAsia="仿宋"/>
          <w:color w:val="000000" w:themeColor="text1"/>
          <w:sz w:val="28"/>
          <w:szCs w:val="28"/>
          <w14:textFill>
            <w14:solidFill>
              <w14:schemeClr w14:val="tx1"/>
            </w14:solidFill>
          </w14:textFill>
        </w:rPr>
        <w:t>规划</w:t>
      </w:r>
      <w:r>
        <w:rPr>
          <w:rFonts w:hint="eastAsia" w:ascii="仿宋" w:hAnsi="仿宋" w:eastAsia="仿宋" w:cs="Times New Roman"/>
          <w:sz w:val="28"/>
          <w:szCs w:val="28"/>
        </w:rPr>
        <w:t>建设“环状活动”的森林。</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——欧盟2013年决定全面实施绿色基础设施战略，力图通过加强森林、湿地、绿化带等绿色基础设施建设，在欧洲打造完备的城市森林生态网络，进一步改善人居环境，提升城市可持续发展能力。</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——联合国粮农组织（FAO）和</w:t>
      </w:r>
      <w:r>
        <w:rPr>
          <w:rFonts w:ascii="仿宋" w:hAnsi="仿宋" w:eastAsia="仿宋" w:cs="Times New Roman"/>
          <w:sz w:val="28"/>
          <w:szCs w:val="28"/>
        </w:rPr>
        <w:t>国际林业研究组织联盟</w:t>
      </w:r>
      <w:r>
        <w:rPr>
          <w:rFonts w:hint="eastAsia" w:ascii="仿宋" w:hAnsi="仿宋" w:eastAsia="仿宋" w:cs="Times New Roman"/>
          <w:sz w:val="28"/>
          <w:szCs w:val="28"/>
        </w:rPr>
        <w:t>（</w:t>
      </w:r>
      <w:r>
        <w:rPr>
          <w:rFonts w:ascii="仿宋" w:hAnsi="仿宋" w:eastAsia="仿宋" w:cs="Times New Roman"/>
          <w:sz w:val="28"/>
          <w:szCs w:val="28"/>
        </w:rPr>
        <w:t>IUFRO</w:t>
      </w:r>
      <w:r>
        <w:rPr>
          <w:rFonts w:hint="eastAsia" w:ascii="仿宋" w:hAnsi="仿宋" w:eastAsia="仿宋" w:cs="Times New Roman"/>
          <w:sz w:val="28"/>
          <w:szCs w:val="28"/>
        </w:rPr>
        <w:t>）都设有专门的城市林业机构，在定期</w:t>
      </w:r>
      <w:r>
        <w:rPr>
          <w:rFonts w:hint="eastAsia" w:ascii="仿宋" w:hAnsi="仿宋" w:eastAsia="仿宋"/>
          <w:color w:val="000000" w:themeColor="text1"/>
          <w:sz w:val="28"/>
          <w:szCs w:val="28"/>
          <w14:textFill>
            <w14:solidFill>
              <w14:schemeClr w14:val="tx1"/>
            </w14:solidFill>
          </w14:textFill>
        </w:rPr>
        <w:t>举办</w:t>
      </w:r>
      <w:r>
        <w:rPr>
          <w:rFonts w:hint="eastAsia" w:ascii="仿宋" w:hAnsi="仿宋" w:eastAsia="仿宋" w:cs="Times New Roman"/>
          <w:sz w:val="28"/>
          <w:szCs w:val="28"/>
        </w:rPr>
        <w:t>的世界林业大会（WFC）和国际林联大会上设立专门议题，来推动国际间的城市</w:t>
      </w:r>
      <w:r>
        <w:rPr>
          <w:rFonts w:hint="eastAsia" w:ascii="仿宋" w:hAnsi="仿宋" w:eastAsia="仿宋"/>
          <w:color w:val="000000" w:themeColor="text1"/>
          <w:sz w:val="28"/>
          <w:szCs w:val="28"/>
          <w14:textFill>
            <w14:solidFill>
              <w14:schemeClr w14:val="tx1"/>
            </w14:solidFill>
          </w14:textFill>
        </w:rPr>
        <w:t>森林</w:t>
      </w:r>
      <w:r>
        <w:rPr>
          <w:rFonts w:hint="eastAsia" w:ascii="仿宋" w:hAnsi="仿宋" w:eastAsia="仿宋" w:cs="Times New Roman"/>
          <w:sz w:val="28"/>
          <w:szCs w:val="28"/>
        </w:rPr>
        <w:t>科学研究与实践探索。2018年联合国粮农组织又把第37个世界森林日的主题定为“森林与可持续城市”，向全世界介绍了15个城市开展森林城市建设典型案例，其中包括中国的北京和福州。</w:t>
      </w:r>
    </w:p>
    <w:p>
      <w:pPr>
        <w:spacing w:line="276" w:lineRule="auto"/>
        <w:ind w:firstLine="560" w:firstLineChars="200"/>
        <w:rPr>
          <w:rFonts w:ascii="仿宋" w:hAnsi="仿宋" w:eastAsia="仿宋" w:cs="Times New Roman"/>
          <w:kern w:val="0"/>
          <w:sz w:val="28"/>
          <w:szCs w:val="28"/>
        </w:rPr>
      </w:pPr>
      <w:r>
        <w:rPr>
          <w:rFonts w:hint="eastAsia" w:ascii="仿宋" w:hAnsi="仿宋" w:eastAsia="仿宋" w:cs="Times New Roman"/>
          <w:sz w:val="28"/>
          <w:szCs w:val="28"/>
        </w:rPr>
        <w:t>从国内看，我国森林城市建设起步较晚，上世纪九十年代才引进相关概念，并开展了理论研究。2004年，全国绿化委员会、原国家林业局启动了国家森林城市创建活动，并命名贵阳市为第一个国家森林城市，标志着我国森林城市建设正式进入实践阶段。经过</w:t>
      </w:r>
      <w:r>
        <w:rPr>
          <w:rFonts w:hint="eastAsia" w:ascii="仿宋" w:hAnsi="仿宋" w:eastAsia="仿宋"/>
          <w:sz w:val="28"/>
          <w:szCs w:val="28"/>
        </w:rPr>
        <w:t>十几年的发展</w:t>
      </w:r>
      <w:r>
        <w:rPr>
          <w:rFonts w:hint="eastAsia" w:ascii="仿宋" w:hAnsi="仿宋" w:eastAsia="仿宋" w:cs="Times New Roman"/>
          <w:sz w:val="28"/>
          <w:szCs w:val="28"/>
        </w:rPr>
        <w:t>，我国森林城市建设</w:t>
      </w:r>
      <w:r>
        <w:rPr>
          <w:rFonts w:hint="eastAsia" w:ascii="仿宋" w:hAnsi="仿宋" w:eastAsia="仿宋"/>
          <w:sz w:val="28"/>
          <w:szCs w:val="28"/>
        </w:rPr>
        <w:t>融入国家发展战略之中，</w:t>
      </w:r>
      <w:r>
        <w:rPr>
          <w:rFonts w:hint="eastAsia" w:ascii="仿宋" w:hAnsi="仿宋" w:eastAsia="仿宋" w:cs="Times New Roman"/>
          <w:sz w:val="28"/>
          <w:szCs w:val="28"/>
        </w:rPr>
        <w:t>截至2019年10月</w:t>
      </w:r>
      <w:r>
        <w:rPr>
          <w:rFonts w:ascii="仿宋" w:hAnsi="仿宋" w:eastAsia="仿宋" w:cs="Times New Roman"/>
          <w:sz w:val="28"/>
          <w:szCs w:val="28"/>
        </w:rPr>
        <w:t>，</w:t>
      </w:r>
      <w:r>
        <w:rPr>
          <w:rFonts w:hint="eastAsia" w:ascii="仿宋" w:hAnsi="仿宋" w:eastAsia="仿宋" w:cs="Times New Roman"/>
          <w:sz w:val="28"/>
          <w:szCs w:val="28"/>
        </w:rPr>
        <w:t>全国已授予194个城市“国家森林城市”称号，还有</w:t>
      </w:r>
      <w:r>
        <w:rPr>
          <w:rFonts w:hint="eastAsia" w:ascii="仿宋" w:hAnsi="仿宋" w:eastAsia="仿宋"/>
          <w:sz w:val="28"/>
          <w:szCs w:val="28"/>
        </w:rPr>
        <w:t>300</w:t>
      </w:r>
      <w:r>
        <w:rPr>
          <w:rFonts w:hint="eastAsia" w:ascii="仿宋" w:hAnsi="仿宋" w:eastAsia="仿宋" w:cs="Times New Roman"/>
          <w:sz w:val="28"/>
          <w:szCs w:val="28"/>
        </w:rPr>
        <w:t>多个城市正在开展创森工作，森林城市建设呈现出蓬勃发展的势头。</w:t>
      </w:r>
    </w:p>
    <w:p>
      <w:pPr>
        <w:spacing w:before="217" w:after="217" w:line="264"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（二）北京绿化建设历程与发展态势</w:t>
      </w:r>
    </w:p>
    <w:p>
      <w:pPr>
        <w:spacing w:line="276" w:lineRule="auto"/>
        <w:ind w:firstLine="560" w:firstLineChars="200"/>
        <w:rPr>
          <w:rFonts w:ascii="仿宋" w:hAnsi="仿宋" w:eastAsia="仿宋"/>
          <w:sz w:val="28"/>
          <w:szCs w:val="28"/>
        </w:rPr>
      </w:pPr>
      <w:r>
        <w:rPr>
          <w:rFonts w:hint="eastAsia" w:ascii="仿宋" w:hAnsi="仿宋" w:eastAsia="仿宋"/>
          <w:sz w:val="28"/>
          <w:szCs w:val="28"/>
        </w:rPr>
        <w:t>从发展过程来看，新中国成立至目前为止，首都绿化生态系统的发展经历了六个阶段。</w:t>
      </w:r>
    </w:p>
    <w:p>
      <w:pPr>
        <w:spacing w:line="276" w:lineRule="auto"/>
        <w:ind w:firstLine="560" w:firstLineChars="200"/>
        <w:rPr>
          <w:rFonts w:ascii="仿宋" w:hAnsi="仿宋" w:eastAsia="仿宋"/>
          <w:sz w:val="28"/>
          <w:szCs w:val="28"/>
        </w:rPr>
      </w:pPr>
      <w:r>
        <w:rPr>
          <w:rFonts w:hint="eastAsia" w:ascii="仿宋" w:hAnsi="仿宋" w:eastAsia="仿宋"/>
          <w:b/>
          <w:sz w:val="28"/>
          <w:szCs w:val="28"/>
        </w:rPr>
        <w:t>第一阶段 初步恢复阶段</w:t>
      </w:r>
      <w:r>
        <w:rPr>
          <w:rFonts w:hint="eastAsia" w:ascii="仿宋" w:hAnsi="仿宋" w:eastAsia="仿宋"/>
          <w:sz w:val="28"/>
          <w:szCs w:val="28"/>
        </w:rPr>
        <w:t>（</w:t>
      </w:r>
      <w:r>
        <w:rPr>
          <w:rFonts w:ascii="仿宋" w:hAnsi="仿宋" w:eastAsia="仿宋"/>
          <w:sz w:val="28"/>
          <w:szCs w:val="28"/>
        </w:rPr>
        <w:t>1949</w:t>
      </w:r>
      <w:r>
        <w:rPr>
          <w:rFonts w:hint="eastAsia" w:ascii="仿宋" w:hAnsi="仿宋" w:eastAsia="仿宋"/>
          <w:sz w:val="28"/>
          <w:szCs w:val="28"/>
        </w:rPr>
        <w:t>—</w:t>
      </w:r>
      <w:r>
        <w:rPr>
          <w:rFonts w:ascii="仿宋" w:hAnsi="仿宋" w:eastAsia="仿宋"/>
          <w:sz w:val="28"/>
          <w:szCs w:val="28"/>
        </w:rPr>
        <w:t>1957</w:t>
      </w:r>
      <w:r>
        <w:rPr>
          <w:rFonts w:hint="eastAsia" w:ascii="仿宋" w:hAnsi="仿宋" w:eastAsia="仿宋"/>
          <w:sz w:val="28"/>
          <w:szCs w:val="28"/>
        </w:rPr>
        <w:t>），主要包括建国后到“大跃进”之前的近十年时间，阶段特征为山区森林资源开始受到保护，停止开荒烧山毁林，有组织的开展造林绿化运动；城区整修和新建开放一批公园风景区，机关、工厂、学校和道路绿化兴旺发展。</w:t>
      </w:r>
    </w:p>
    <w:p>
      <w:pPr>
        <w:spacing w:line="276" w:lineRule="auto"/>
        <w:ind w:firstLine="560" w:firstLineChars="200"/>
        <w:rPr>
          <w:rFonts w:ascii="仿宋" w:hAnsi="仿宋" w:eastAsia="仿宋"/>
          <w:sz w:val="28"/>
          <w:szCs w:val="28"/>
        </w:rPr>
      </w:pPr>
      <w:r>
        <w:rPr>
          <w:rFonts w:hint="eastAsia" w:ascii="仿宋" w:hAnsi="仿宋" w:eastAsia="仿宋"/>
          <w:b/>
          <w:sz w:val="28"/>
          <w:szCs w:val="28"/>
        </w:rPr>
        <w:t>第二阶段 大跃进与调整阶段</w:t>
      </w:r>
      <w:r>
        <w:rPr>
          <w:rFonts w:hint="eastAsia" w:ascii="仿宋" w:hAnsi="仿宋" w:eastAsia="仿宋"/>
          <w:sz w:val="28"/>
          <w:szCs w:val="28"/>
        </w:rPr>
        <w:t>（</w:t>
      </w:r>
      <w:r>
        <w:rPr>
          <w:rFonts w:ascii="仿宋" w:hAnsi="仿宋" w:eastAsia="仿宋"/>
          <w:sz w:val="28"/>
          <w:szCs w:val="28"/>
        </w:rPr>
        <w:t>1958</w:t>
      </w:r>
      <w:r>
        <w:rPr>
          <w:rFonts w:hint="eastAsia" w:ascii="仿宋" w:hAnsi="仿宋" w:eastAsia="仿宋"/>
          <w:sz w:val="28"/>
          <w:szCs w:val="28"/>
        </w:rPr>
        <w:t>—</w:t>
      </w:r>
      <w:r>
        <w:rPr>
          <w:rFonts w:ascii="仿宋" w:hAnsi="仿宋" w:eastAsia="仿宋"/>
          <w:sz w:val="28"/>
          <w:szCs w:val="28"/>
        </w:rPr>
        <w:t>1965</w:t>
      </w:r>
      <w:r>
        <w:rPr>
          <w:rFonts w:hint="eastAsia" w:ascii="仿宋" w:hAnsi="仿宋" w:eastAsia="仿宋"/>
          <w:sz w:val="28"/>
          <w:szCs w:val="28"/>
        </w:rPr>
        <w:t>），主要包括“大跃进”、三年经济困难和调整时期，阶段特征为大规模群众性造林运动广泛开展，“千亩林”、“万亩林”、“花果山”、“核桃川”等大面积片林建设喜报纷纷，荒山荒滩造林攻坚克难，一些大型水库、干渠等人工湿地动工建设。与此同时，大跃进中忽视造林规律，数据大而不实，加之自然灾害影响，造林保存率低，</w:t>
      </w:r>
      <w:r>
        <w:rPr>
          <w:rFonts w:ascii="仿宋" w:hAnsi="仿宋" w:eastAsia="仿宋"/>
          <w:sz w:val="28"/>
          <w:szCs w:val="28"/>
        </w:rPr>
        <w:t>1962-1965</w:t>
      </w:r>
      <w:r>
        <w:rPr>
          <w:rFonts w:hint="eastAsia" w:ascii="仿宋" w:hAnsi="仿宋" w:eastAsia="仿宋"/>
          <w:sz w:val="28"/>
          <w:szCs w:val="28"/>
        </w:rPr>
        <w:t>年的调整阶段逐步纠正了造林绿化中的一些错误做法，造林质量明显提升。总体来看，本阶段城市郊区造林面积稳步提升。</w:t>
      </w:r>
    </w:p>
    <w:p>
      <w:pPr>
        <w:spacing w:line="276" w:lineRule="auto"/>
        <w:ind w:firstLine="560" w:firstLineChars="200"/>
        <w:rPr>
          <w:rFonts w:ascii="仿宋" w:hAnsi="仿宋" w:eastAsia="仿宋"/>
          <w:sz w:val="28"/>
          <w:szCs w:val="28"/>
        </w:rPr>
      </w:pPr>
      <w:r>
        <w:rPr>
          <w:rFonts w:hint="eastAsia" w:ascii="仿宋" w:hAnsi="仿宋" w:eastAsia="仿宋"/>
          <w:b/>
          <w:sz w:val="28"/>
          <w:szCs w:val="28"/>
        </w:rPr>
        <w:t>第三阶段 生态资源严重破坏阶段</w:t>
      </w:r>
      <w:r>
        <w:rPr>
          <w:rFonts w:hint="eastAsia" w:ascii="仿宋" w:hAnsi="仿宋" w:eastAsia="仿宋"/>
          <w:sz w:val="28"/>
          <w:szCs w:val="28"/>
        </w:rPr>
        <w:t>（</w:t>
      </w:r>
      <w:r>
        <w:rPr>
          <w:rFonts w:ascii="仿宋" w:hAnsi="仿宋" w:eastAsia="仿宋"/>
          <w:sz w:val="28"/>
          <w:szCs w:val="28"/>
        </w:rPr>
        <w:t>1958</w:t>
      </w:r>
      <w:r>
        <w:rPr>
          <w:rFonts w:hint="eastAsia" w:ascii="仿宋" w:hAnsi="仿宋" w:eastAsia="仿宋"/>
          <w:sz w:val="28"/>
          <w:szCs w:val="28"/>
        </w:rPr>
        <w:t>—</w:t>
      </w:r>
      <w:r>
        <w:rPr>
          <w:rFonts w:ascii="仿宋" w:hAnsi="仿宋" w:eastAsia="仿宋"/>
          <w:sz w:val="28"/>
          <w:szCs w:val="28"/>
        </w:rPr>
        <w:t>1977</w:t>
      </w:r>
      <w:r>
        <w:rPr>
          <w:rFonts w:hint="eastAsia" w:ascii="仿宋" w:hAnsi="仿宋" w:eastAsia="仿宋"/>
          <w:sz w:val="28"/>
          <w:szCs w:val="28"/>
        </w:rPr>
        <w:t>），主要包括文化大革命时期，阶段特征为城市森林资源受到严重破坏，“以粮为纲”政策致使山区退林还田，“去杂去劣”致使果林、林场、苗圃生产严重受损，许多大树、古树遭到砍伐，城市生态环境受到极大破坏，但此期间，平原农田防护林网得到较快发展。</w:t>
      </w:r>
    </w:p>
    <w:p>
      <w:pPr>
        <w:spacing w:line="276" w:lineRule="auto"/>
        <w:ind w:firstLine="560" w:firstLineChars="200"/>
        <w:rPr>
          <w:rFonts w:ascii="仿宋" w:hAnsi="仿宋" w:eastAsia="仿宋"/>
          <w:sz w:val="28"/>
          <w:szCs w:val="28"/>
        </w:rPr>
      </w:pPr>
      <w:r>
        <w:rPr>
          <w:rFonts w:hint="eastAsia" w:ascii="仿宋" w:hAnsi="仿宋" w:eastAsia="仿宋"/>
          <w:b/>
          <w:sz w:val="28"/>
          <w:szCs w:val="28"/>
        </w:rPr>
        <w:t>第四阶段 绿化资源数量快速增长阶段</w:t>
      </w:r>
      <w:r>
        <w:rPr>
          <w:rFonts w:hint="eastAsia" w:ascii="仿宋" w:hAnsi="仿宋" w:eastAsia="仿宋"/>
          <w:sz w:val="28"/>
          <w:szCs w:val="28"/>
        </w:rPr>
        <w:t>（</w:t>
      </w:r>
      <w:r>
        <w:rPr>
          <w:rFonts w:ascii="仿宋" w:hAnsi="仿宋" w:eastAsia="仿宋"/>
          <w:sz w:val="28"/>
          <w:szCs w:val="28"/>
        </w:rPr>
        <w:t>1978</w:t>
      </w:r>
      <w:r>
        <w:rPr>
          <w:rFonts w:hint="eastAsia" w:ascii="仿宋" w:hAnsi="仿宋" w:eastAsia="仿宋"/>
          <w:sz w:val="28"/>
          <w:szCs w:val="28"/>
        </w:rPr>
        <w:t>—</w:t>
      </w:r>
      <w:r>
        <w:rPr>
          <w:rFonts w:ascii="仿宋" w:hAnsi="仿宋" w:eastAsia="仿宋"/>
          <w:sz w:val="28"/>
          <w:szCs w:val="28"/>
        </w:rPr>
        <w:t>2000</w:t>
      </w:r>
      <w:r>
        <w:rPr>
          <w:rFonts w:hint="eastAsia" w:ascii="仿宋" w:hAnsi="仿宋" w:eastAsia="仿宋"/>
          <w:sz w:val="28"/>
          <w:szCs w:val="28"/>
        </w:rPr>
        <w:t>），主要包括改革开放后到</w:t>
      </w:r>
      <w:r>
        <w:rPr>
          <w:rFonts w:ascii="仿宋" w:hAnsi="仿宋" w:eastAsia="仿宋"/>
          <w:sz w:val="28"/>
          <w:szCs w:val="28"/>
        </w:rPr>
        <w:t>“</w:t>
      </w:r>
      <w:r>
        <w:rPr>
          <w:rFonts w:hint="eastAsia" w:ascii="仿宋" w:hAnsi="仿宋" w:eastAsia="仿宋"/>
          <w:sz w:val="28"/>
          <w:szCs w:val="28"/>
        </w:rPr>
        <w:t>九五</w:t>
      </w:r>
      <w:r>
        <w:rPr>
          <w:rFonts w:ascii="仿宋" w:hAnsi="仿宋" w:eastAsia="仿宋"/>
          <w:sz w:val="28"/>
          <w:szCs w:val="28"/>
        </w:rPr>
        <w:t>”</w:t>
      </w:r>
      <w:r>
        <w:rPr>
          <w:rFonts w:hint="eastAsia" w:ascii="仿宋" w:hAnsi="仿宋" w:eastAsia="仿宋"/>
          <w:sz w:val="28"/>
          <w:szCs w:val="28"/>
        </w:rPr>
        <w:t>末期，历时</w:t>
      </w:r>
      <w:r>
        <w:rPr>
          <w:rFonts w:ascii="仿宋" w:hAnsi="仿宋" w:eastAsia="仿宋"/>
          <w:sz w:val="28"/>
          <w:szCs w:val="28"/>
        </w:rPr>
        <w:t>50</w:t>
      </w:r>
      <w:r>
        <w:rPr>
          <w:rFonts w:hint="eastAsia" w:ascii="仿宋" w:hAnsi="仿宋" w:eastAsia="仿宋"/>
          <w:sz w:val="28"/>
          <w:szCs w:val="28"/>
        </w:rPr>
        <w:t>年左右，阶段特征为大力植树造林，封山育林，基本实现了由秃岭荒山向郁郁青山的转变，城区绿化美化程度大幅提升，林木绿化率、森林蓄积量、城市绿化覆盖率、人均公园绿地面积等各项绿化指标大幅增长。</w:t>
      </w:r>
    </w:p>
    <w:p>
      <w:pPr>
        <w:spacing w:line="276" w:lineRule="auto"/>
        <w:ind w:firstLine="560" w:firstLineChars="200"/>
        <w:rPr>
          <w:rFonts w:ascii="仿宋" w:hAnsi="仿宋" w:eastAsia="仿宋"/>
          <w:sz w:val="28"/>
          <w:szCs w:val="28"/>
        </w:rPr>
      </w:pPr>
      <w:r>
        <w:rPr>
          <w:rFonts w:hint="eastAsia" w:ascii="仿宋" w:hAnsi="仿宋" w:eastAsia="仿宋"/>
          <w:b/>
          <w:sz w:val="28"/>
          <w:szCs w:val="28"/>
        </w:rPr>
        <w:t>第五阶段 数量增长与提质增效并重阶段</w:t>
      </w:r>
      <w:r>
        <w:rPr>
          <w:rFonts w:hint="eastAsia" w:ascii="仿宋" w:hAnsi="仿宋" w:eastAsia="仿宋"/>
          <w:sz w:val="28"/>
          <w:szCs w:val="28"/>
        </w:rPr>
        <w:t>（</w:t>
      </w:r>
      <w:r>
        <w:rPr>
          <w:rFonts w:ascii="仿宋" w:hAnsi="仿宋" w:eastAsia="仿宋"/>
          <w:sz w:val="28"/>
          <w:szCs w:val="28"/>
        </w:rPr>
        <w:t>2001</w:t>
      </w:r>
      <w:r>
        <w:rPr>
          <w:rFonts w:hint="eastAsia" w:ascii="仿宋" w:hAnsi="仿宋" w:eastAsia="仿宋"/>
          <w:sz w:val="28"/>
          <w:szCs w:val="28"/>
        </w:rPr>
        <w:t>—2012），全市积极培育山区森林，大力施行太行山绿化工程，林地面积不断增加的同时森林多种功能逐步发挥；大力开展平原造林、城市绿化，兑现了奥运绿化承诺指标，加大了历史名园保护力度。总体而言，全市山区、平原、绿化隔离地区三道生态屏障基本形成，呈现出城市青山环抱、市区森林环绕、郊区绿海田园的生态景观风貌。</w:t>
      </w:r>
    </w:p>
    <w:p>
      <w:pPr>
        <w:spacing w:line="276" w:lineRule="auto"/>
        <w:ind w:firstLine="560" w:firstLineChars="200"/>
        <w:rPr>
          <w:rFonts w:ascii="仿宋" w:hAnsi="仿宋" w:eastAsia="仿宋"/>
          <w:sz w:val="28"/>
          <w:szCs w:val="28"/>
        </w:rPr>
      </w:pPr>
      <w:r>
        <w:rPr>
          <w:rFonts w:hint="eastAsia" w:ascii="仿宋" w:hAnsi="仿宋" w:eastAsia="仿宋"/>
          <w:b/>
          <w:sz w:val="28"/>
          <w:szCs w:val="28"/>
        </w:rPr>
        <w:t>第六阶段 高质量发展阶段</w:t>
      </w:r>
      <w:r>
        <w:rPr>
          <w:rFonts w:hint="eastAsia" w:ascii="仿宋" w:hAnsi="仿宋" w:eastAsia="仿宋"/>
          <w:sz w:val="28"/>
          <w:szCs w:val="28"/>
        </w:rPr>
        <w:t>（2013-至今），十八大以来习近平总书记对首都生态提出了新的要求，北京市围绕首都森林生态系统建设和治理大城市病，开启了首都生态建设高质量发展的新阶段，实施了以平原百万亩造林为主的大规模国土绿化和生态保护修复工程，全面提高了平原地区森林资源数量和质量，优化了北京森林生态系统格局，进一步丰富了城市公园、郊野公园、森林公园、湿地公园等居民休闲游憩空间。2017年，北京市委市政府提出了建设国家森林城市的目标，又启动实施了新一轮百万亩造林绿化、留白增绿等重大工程，开展大尺度城市森林与生态廊道建设优化城市森林结构，注重大地植绿与心中播绿相结合传播生态文化，加快北京各区的森林城市建设，加强京津保、京张承地区的生态协同建设，助力京津冀地区打造国家级森林城市群。</w:t>
      </w:r>
    </w:p>
    <w:p>
      <w:pPr>
        <w:spacing w:before="217" w:after="217" w:line="264"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（三）党中央、国务院高度重视森林城市建设工作</w:t>
      </w:r>
    </w:p>
    <w:p>
      <w:pPr>
        <w:spacing w:line="276" w:lineRule="auto"/>
        <w:ind w:firstLine="560" w:firstLineChars="200"/>
        <w:rPr>
          <w:rFonts w:ascii="仿宋" w:hAnsi="仿宋" w:eastAsia="仿宋" w:cs="Times New Roman"/>
          <w:color w:val="000000"/>
          <w:sz w:val="28"/>
          <w:szCs w:val="28"/>
        </w:rPr>
      </w:pPr>
      <w:r>
        <w:rPr>
          <w:rFonts w:ascii="仿宋" w:hAnsi="仿宋" w:eastAsia="仿宋" w:cs="Times New Roman"/>
          <w:sz w:val="28"/>
          <w:szCs w:val="28"/>
        </w:rPr>
        <w:t>2015年，在</w:t>
      </w:r>
      <w:r>
        <w:rPr>
          <w:rFonts w:hint="eastAsia" w:ascii="仿宋" w:hAnsi="仿宋" w:eastAsia="仿宋" w:cs="Times New Roman"/>
          <w:color w:val="000000" w:themeColor="text1"/>
          <w:kern w:val="0"/>
          <w:sz w:val="28"/>
          <w:szCs w:val="28"/>
          <w14:textFill>
            <w14:solidFill>
              <w14:schemeClr w14:val="tx1"/>
            </w14:solidFill>
          </w14:textFill>
        </w:rPr>
        <w:t>《中共中央关于制定国民经济和社会发展第十三个五年规划的建议》、《中共中央、国务院关于进一步加强城市规划建设管理工作的若干意见》、《中华人民共和国国民经济和社会发展第十三个五年规划纲要》</w:t>
      </w:r>
      <w:r>
        <w:rPr>
          <w:rFonts w:hint="eastAsia" w:ascii="仿宋" w:hAnsi="仿宋" w:eastAsia="仿宋" w:cs="Times New Roman"/>
          <w:color w:val="000000"/>
          <w:sz w:val="28"/>
          <w:szCs w:val="28"/>
        </w:rPr>
        <w:t>等重大决策部署中，赋予了森林城市建设拓展区域发展空间、营造城市宜居环境、扩大生态产品供给等重要任务。</w:t>
      </w:r>
    </w:p>
    <w:p>
      <w:pPr>
        <w:spacing w:line="276" w:lineRule="auto"/>
        <w:ind w:firstLine="560" w:firstLineChars="200"/>
        <w:rPr>
          <w:rFonts w:ascii="仿宋" w:hAnsi="仿宋" w:eastAsia="仿宋"/>
          <w:color w:val="393939"/>
          <w:sz w:val="28"/>
          <w:szCs w:val="28"/>
          <w:shd w:val="clear" w:color="auto" w:fill="FFFFFF"/>
        </w:rPr>
      </w:pPr>
      <w:r>
        <w:rPr>
          <w:rFonts w:ascii="仿宋" w:hAnsi="仿宋" w:eastAsia="仿宋" w:cs="Times New Roman"/>
          <w:color w:val="000000"/>
          <w:sz w:val="28"/>
          <w:szCs w:val="28"/>
        </w:rPr>
        <w:t>2015年５月10日，</w:t>
      </w:r>
      <w:r>
        <w:rPr>
          <w:rFonts w:hint="eastAsia" w:ascii="仿宋" w:hAnsi="仿宋" w:eastAsia="仿宋" w:cs="Times New Roman"/>
          <w:color w:val="000000" w:themeColor="text1"/>
          <w:kern w:val="0"/>
          <w:sz w:val="28"/>
          <w:szCs w:val="28"/>
          <w14:textFill>
            <w14:solidFill>
              <w14:schemeClr w14:val="tx1"/>
            </w14:solidFill>
          </w14:textFill>
        </w:rPr>
        <w:t>《国务院关于取消非行政许可审批事项的决定》，将国家森林城市称号批准列为政府内部审批事项，并将森林城市工程列入“十三五”</w:t>
      </w:r>
      <w:r>
        <w:rPr>
          <w:rFonts w:ascii="仿宋" w:hAnsi="仿宋" w:eastAsia="仿宋" w:cs="Times New Roman"/>
          <w:color w:val="000000" w:themeColor="text1"/>
          <w:kern w:val="0"/>
          <w:sz w:val="28"/>
          <w:szCs w:val="28"/>
          <w14:textFill>
            <w14:solidFill>
              <w14:schemeClr w14:val="tx1"/>
            </w14:solidFill>
          </w14:textFill>
        </w:rPr>
        <w:t>165项重大工程项目之中。</w:t>
      </w:r>
    </w:p>
    <w:p>
      <w:pPr>
        <w:spacing w:line="276" w:lineRule="auto"/>
        <w:ind w:firstLine="560" w:firstLineChars="200"/>
        <w:rPr>
          <w:rFonts w:ascii="仿宋" w:hAnsi="仿宋" w:eastAsia="仿宋"/>
          <w:snapToGrid w:val="0"/>
          <w:spacing w:val="-2"/>
          <w:kern w:val="0"/>
          <w:sz w:val="28"/>
          <w:szCs w:val="28"/>
        </w:rPr>
      </w:pPr>
      <w:r>
        <w:rPr>
          <w:rFonts w:ascii="仿宋" w:hAnsi="仿宋" w:eastAsia="仿宋"/>
          <w:sz w:val="28"/>
          <w:szCs w:val="28"/>
        </w:rPr>
        <w:t>2016年1月26日，</w:t>
      </w:r>
      <w:r>
        <w:rPr>
          <w:rFonts w:hint="eastAsia" w:ascii="仿宋" w:hAnsi="仿宋" w:eastAsia="仿宋" w:cs="Times New Roman"/>
          <w:kern w:val="0"/>
          <w:sz w:val="28"/>
          <w:szCs w:val="28"/>
        </w:rPr>
        <w:t>习近平总书记主持</w:t>
      </w:r>
      <w:r>
        <w:rPr>
          <w:rFonts w:ascii="仿宋" w:hAnsi="仿宋" w:eastAsia="仿宋" w:cs="Times New Roman"/>
          <w:kern w:val="0"/>
          <w:sz w:val="28"/>
          <w:szCs w:val="28"/>
        </w:rPr>
        <w:t>召开中央财经领导小组第十二次会议，研究森林生态安全工作</w:t>
      </w:r>
      <w:r>
        <w:rPr>
          <w:rFonts w:hint="eastAsia" w:ascii="仿宋" w:hAnsi="仿宋" w:eastAsia="仿宋" w:cs="Times New Roman"/>
          <w:kern w:val="0"/>
          <w:sz w:val="28"/>
          <w:szCs w:val="28"/>
        </w:rPr>
        <w:t>时</w:t>
      </w:r>
      <w:r>
        <w:rPr>
          <w:rFonts w:ascii="仿宋" w:hAnsi="仿宋" w:eastAsia="仿宋" w:cs="Times New Roman"/>
          <w:kern w:val="0"/>
          <w:sz w:val="28"/>
          <w:szCs w:val="28"/>
        </w:rPr>
        <w:t>强调，</w:t>
      </w:r>
      <w:r>
        <w:rPr>
          <w:rFonts w:hint="eastAsia" w:ascii="仿宋" w:hAnsi="仿宋" w:eastAsia="仿宋" w:cs="Times New Roman"/>
          <w:kern w:val="0"/>
          <w:sz w:val="28"/>
          <w:szCs w:val="28"/>
        </w:rPr>
        <w:t>要着力开展森林城市建设，搞好城市内绿化，使城市适宜绿化的地方都绿起来；搞好城市周边绿化，充分利用不适宜耕作的土地开展绿化造林；搞好城市群绿化，扩大城市之间的生态空间</w:t>
      </w:r>
      <w:r>
        <w:rPr>
          <w:rFonts w:hint="eastAsia" w:ascii="仿宋" w:hAnsi="仿宋" w:eastAsia="仿宋"/>
          <w:snapToGrid w:val="0"/>
          <w:spacing w:val="-2"/>
          <w:kern w:val="0"/>
          <w:sz w:val="28"/>
          <w:szCs w:val="28"/>
        </w:rPr>
        <w:t>。</w:t>
      </w:r>
    </w:p>
    <w:p>
      <w:pPr>
        <w:spacing w:line="276" w:lineRule="auto"/>
        <w:ind w:firstLine="552" w:firstLineChars="200"/>
        <w:rPr>
          <w:rFonts w:ascii="仿宋" w:hAnsi="仿宋" w:eastAsia="仿宋"/>
          <w:sz w:val="28"/>
          <w:szCs w:val="28"/>
        </w:rPr>
      </w:pPr>
      <w:r>
        <w:rPr>
          <w:rFonts w:ascii="仿宋" w:hAnsi="仿宋" w:eastAsia="仿宋"/>
          <w:snapToGrid w:val="0"/>
          <w:spacing w:val="-2"/>
          <w:kern w:val="0"/>
          <w:sz w:val="28"/>
          <w:szCs w:val="28"/>
        </w:rPr>
        <w:t>2016年</w:t>
      </w:r>
      <w:r>
        <w:rPr>
          <w:rFonts w:hint="eastAsia" w:ascii="仿宋" w:hAnsi="仿宋" w:eastAsia="仿宋"/>
          <w:snapToGrid w:val="0"/>
          <w:spacing w:val="-2"/>
          <w:kern w:val="0"/>
          <w:sz w:val="28"/>
          <w:szCs w:val="28"/>
        </w:rPr>
        <w:t>2月6日</w:t>
      </w:r>
      <w:r>
        <w:rPr>
          <w:rFonts w:ascii="仿宋" w:hAnsi="仿宋" w:eastAsia="仿宋"/>
          <w:snapToGrid w:val="0"/>
          <w:spacing w:val="-2"/>
          <w:kern w:val="0"/>
          <w:sz w:val="28"/>
          <w:szCs w:val="28"/>
        </w:rPr>
        <w:t>，</w:t>
      </w:r>
      <w:r>
        <w:rPr>
          <w:rFonts w:hint="eastAsia" w:ascii="仿宋" w:hAnsi="仿宋" w:eastAsia="仿宋"/>
          <w:sz w:val="28"/>
          <w:szCs w:val="28"/>
        </w:rPr>
        <w:t>《中共中央、国务院关于进一步加强城市规划建设管理工作的若干意见》提出，建设森林城市，进一步提高城市人均公园绿地面积和建成区绿地率，让城市更自然、更生态、更有特色。</w:t>
      </w:r>
    </w:p>
    <w:p>
      <w:pPr>
        <w:spacing w:line="276" w:lineRule="auto"/>
        <w:ind w:firstLine="560" w:firstLineChars="200"/>
        <w:rPr>
          <w:rFonts w:ascii="仿宋" w:hAnsi="仿宋" w:eastAsia="仿宋"/>
          <w:sz w:val="28"/>
          <w:szCs w:val="28"/>
        </w:rPr>
      </w:pPr>
      <w:r>
        <w:rPr>
          <w:rFonts w:ascii="仿宋" w:hAnsi="仿宋" w:eastAsia="仿宋"/>
          <w:sz w:val="28"/>
          <w:szCs w:val="28"/>
        </w:rPr>
        <w:t>2016年5月27日，习近平总书记</w:t>
      </w:r>
      <w:r>
        <w:rPr>
          <w:rFonts w:hint="eastAsia" w:ascii="仿宋" w:hAnsi="仿宋" w:eastAsia="仿宋"/>
          <w:sz w:val="28"/>
          <w:szCs w:val="28"/>
        </w:rPr>
        <w:t>主持召开</w:t>
      </w:r>
      <w:r>
        <w:rPr>
          <w:rFonts w:ascii="仿宋" w:hAnsi="仿宋" w:eastAsia="仿宋"/>
          <w:sz w:val="28"/>
          <w:szCs w:val="28"/>
        </w:rPr>
        <w:t>中共中央政治局会议，研究部署规划建设北京城市副中心和进一步推动</w:t>
      </w:r>
      <w:r>
        <w:rPr>
          <w:rFonts w:hint="eastAsia" w:ascii="仿宋" w:hAnsi="仿宋" w:eastAsia="仿宋"/>
          <w:sz w:val="28"/>
          <w:szCs w:val="28"/>
        </w:rPr>
        <w:t>京津冀协同发展有关工作时强调，</w:t>
      </w:r>
      <w:r>
        <w:rPr>
          <w:rFonts w:hint="eastAsia" w:ascii="仿宋" w:hAnsi="仿宋" w:eastAsia="仿宋" w:cs="Times New Roman"/>
          <w:kern w:val="0"/>
          <w:sz w:val="28"/>
          <w:szCs w:val="28"/>
        </w:rPr>
        <w:t>要坚持以人民为中心的发展思想，坚持人民城市为人民，从广大市民需要出发；要广泛应用世界先进节能环保技术、标准、材料、工艺，建成绿色城市、森林城市、海绵城市、智慧城市。</w:t>
      </w:r>
    </w:p>
    <w:p>
      <w:pPr>
        <w:spacing w:line="276" w:lineRule="auto"/>
        <w:ind w:firstLine="560" w:firstLineChars="200"/>
        <w:rPr>
          <w:rFonts w:ascii="仿宋" w:hAnsi="仿宋" w:eastAsia="仿宋" w:cs="Times New Roman"/>
          <w:color w:val="000000" w:themeColor="text1"/>
          <w:kern w:val="0"/>
          <w:sz w:val="28"/>
          <w:szCs w:val="28"/>
          <w14:textFill>
            <w14:solidFill>
              <w14:schemeClr w14:val="tx1"/>
            </w14:solidFill>
          </w14:textFill>
        </w:rPr>
      </w:pPr>
      <w:r>
        <w:rPr>
          <w:rFonts w:ascii="仿宋" w:hAnsi="仿宋" w:eastAsia="仿宋" w:cs="Times New Roman"/>
          <w:color w:val="000000" w:themeColor="text1"/>
          <w:kern w:val="0"/>
          <w:sz w:val="28"/>
          <w:szCs w:val="28"/>
          <w14:textFill>
            <w14:solidFill>
              <w14:schemeClr w14:val="tx1"/>
            </w14:solidFill>
          </w14:textFill>
        </w:rPr>
        <w:t>2017年9月</w:t>
      </w:r>
      <w:r>
        <w:rPr>
          <w:rFonts w:hint="eastAsia" w:ascii="仿宋" w:hAnsi="仿宋" w:eastAsia="仿宋" w:cs="Times New Roman"/>
          <w:color w:val="000000" w:themeColor="text1"/>
          <w:kern w:val="0"/>
          <w:sz w:val="28"/>
          <w:szCs w:val="28"/>
          <w14:textFill>
            <w14:solidFill>
              <w14:schemeClr w14:val="tx1"/>
            </w14:solidFill>
          </w14:textFill>
        </w:rPr>
        <w:t>13日</w:t>
      </w:r>
      <w:r>
        <w:rPr>
          <w:rFonts w:ascii="仿宋" w:hAnsi="仿宋" w:eastAsia="仿宋" w:cs="Times New Roman"/>
          <w:color w:val="000000" w:themeColor="text1"/>
          <w:kern w:val="0"/>
          <w:sz w:val="28"/>
          <w:szCs w:val="28"/>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中共中央、国务院批复的</w:t>
      </w:r>
      <w:r>
        <w:rPr>
          <w:rFonts w:hint="eastAsia" w:ascii="仿宋" w:hAnsi="仿宋" w:eastAsia="仿宋" w:cs="Times New Roman"/>
          <w:color w:val="000000" w:themeColor="text1"/>
          <w:kern w:val="0"/>
          <w:sz w:val="28"/>
          <w:szCs w:val="28"/>
          <w14:textFill>
            <w14:solidFill>
              <w14:schemeClr w14:val="tx1"/>
            </w14:solidFill>
          </w14:textFill>
        </w:rPr>
        <w:t>《北京城市总体规划（</w:t>
      </w:r>
      <w:r>
        <w:rPr>
          <w:rFonts w:ascii="仿宋" w:hAnsi="仿宋" w:eastAsia="仿宋" w:cs="Times New Roman"/>
          <w:color w:val="000000" w:themeColor="text1"/>
          <w:kern w:val="0"/>
          <w:sz w:val="28"/>
          <w:szCs w:val="28"/>
          <w14:textFill>
            <w14:solidFill>
              <w14:schemeClr w14:val="tx1"/>
            </w14:solidFill>
          </w14:textFill>
        </w:rPr>
        <w:t>2016年-2035年）》，明确提出了</w:t>
      </w:r>
      <w:r>
        <w:rPr>
          <w:rFonts w:hint="eastAsia" w:ascii="仿宋" w:hAnsi="仿宋" w:eastAsia="仿宋" w:cs="Times New Roman"/>
          <w:color w:val="000000" w:themeColor="text1"/>
          <w:kern w:val="0"/>
          <w:sz w:val="28"/>
          <w:szCs w:val="28"/>
          <w14:textFill>
            <w14:solidFill>
              <w14:schemeClr w14:val="tx1"/>
            </w14:solidFill>
          </w14:textFill>
        </w:rPr>
        <w:t>北京城市副中心要建成蓝绿交织的森林城市，北京全市域也要建设森林城市的目标。</w:t>
      </w:r>
    </w:p>
    <w:p>
      <w:pPr>
        <w:spacing w:line="276" w:lineRule="auto"/>
        <w:ind w:firstLine="560" w:firstLineChars="200"/>
        <w:rPr>
          <w:rFonts w:ascii="仿宋" w:hAnsi="仿宋" w:eastAsia="仿宋"/>
          <w:sz w:val="28"/>
          <w:szCs w:val="28"/>
          <w:shd w:val="clear" w:color="auto" w:fill="FFFFFF"/>
        </w:rPr>
      </w:pPr>
      <w:r>
        <w:rPr>
          <w:rFonts w:ascii="仿宋" w:hAnsi="仿宋" w:eastAsia="仿宋"/>
          <w:sz w:val="28"/>
          <w:szCs w:val="28"/>
        </w:rPr>
        <w:t>2018年4月2日，习近平总书记</w:t>
      </w:r>
      <w:r>
        <w:rPr>
          <w:rFonts w:hint="eastAsia" w:ascii="仿宋" w:hAnsi="仿宋" w:eastAsia="仿宋"/>
          <w:sz w:val="28"/>
          <w:szCs w:val="28"/>
          <w:shd w:val="clear" w:color="auto" w:fill="FFFFFF"/>
        </w:rPr>
        <w:t>在参加首都义务植树活动时强调，植树造林历来是中华民族的优良传统。今天，我们来这里植树既是履行法定义务，也是建设美丽中国、推进生态</w:t>
      </w:r>
      <w:r>
        <w:rPr>
          <w:rFonts w:hint="eastAsia" w:ascii="仿宋" w:hAnsi="仿宋" w:eastAsia="仿宋"/>
          <w:sz w:val="28"/>
          <w:szCs w:val="28"/>
        </w:rPr>
        <w:t>文明</w:t>
      </w:r>
      <w:r>
        <w:rPr>
          <w:rFonts w:hint="eastAsia" w:ascii="仿宋" w:hAnsi="仿宋" w:eastAsia="仿宋"/>
          <w:sz w:val="28"/>
          <w:szCs w:val="28"/>
          <w:shd w:val="clear" w:color="auto" w:fill="FFFFFF"/>
        </w:rPr>
        <w:t>建设、改善民生福祉的具体行动。开展国土绿化行动，既要注重数量更要注重质量，坚持科学绿化、规划引领、因地制宜，走科学、生态、节俭的绿化发展之路，久久为功、</w:t>
      </w:r>
      <w:bookmarkStart w:id="378" w:name="_GoBack"/>
      <w:bookmarkEnd w:id="378"/>
      <w:r>
        <w:rPr>
          <w:rFonts w:hint="eastAsia" w:ascii="仿宋" w:hAnsi="仿宋" w:eastAsia="仿宋"/>
          <w:sz w:val="28"/>
          <w:szCs w:val="28"/>
          <w:shd w:val="clear" w:color="auto" w:fill="FFFFFF"/>
          <w:lang w:eastAsia="zh-CN"/>
        </w:rPr>
        <w:t>善作善成</w:t>
      </w:r>
      <w:r>
        <w:rPr>
          <w:rFonts w:hint="eastAsia" w:ascii="仿宋" w:hAnsi="仿宋" w:eastAsia="仿宋"/>
          <w:sz w:val="28"/>
          <w:szCs w:val="28"/>
          <w:shd w:val="clear" w:color="auto" w:fill="FFFFFF"/>
        </w:rPr>
        <w:t>，不断扩大森林面积，不断提高森林质量，不断提升生态系统质量和稳定性。我们既要着力美化环境，又要让人民群众舒适地生活在其中，同美好环境融为一体。</w:t>
      </w:r>
    </w:p>
    <w:p>
      <w:pPr>
        <w:spacing w:line="276" w:lineRule="auto"/>
        <w:ind w:firstLine="560" w:firstLineChars="200"/>
        <w:rPr>
          <w:rFonts w:ascii="仿宋" w:hAnsi="仿宋" w:eastAsia="仿宋"/>
          <w:sz w:val="28"/>
          <w:szCs w:val="28"/>
        </w:rPr>
      </w:pPr>
      <w:r>
        <w:rPr>
          <w:rFonts w:hint="eastAsia" w:ascii="仿宋" w:hAnsi="仿宋" w:eastAsia="仿宋"/>
          <w:sz w:val="28"/>
          <w:szCs w:val="28"/>
          <w:shd w:val="clear" w:color="auto" w:fill="FFFFFF"/>
        </w:rPr>
        <w:t>2019年4月8日，习近平总书记在参加首都义务植树活动时强调，要践行绿水青山就是金山银山的理念，推动国土绿化高质量发展，统筹山水林田湖草系统治理，因地制宜深入推进大规模国土绿化行动，持续推进森林城市、森林乡村建设，着力改善人居环境。</w:t>
      </w:r>
    </w:p>
    <w:p>
      <w:pPr>
        <w:spacing w:before="217" w:after="217" w:line="264"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（四）北京市委市政府高度重视森林城市建设工作</w:t>
      </w:r>
    </w:p>
    <w:p>
      <w:pPr>
        <w:spacing w:line="276" w:lineRule="auto"/>
        <w:ind w:firstLine="560" w:firstLineChars="200"/>
        <w:rPr>
          <w:rFonts w:ascii="仿宋" w:hAnsi="仿宋" w:eastAsia="仿宋" w:cs="Times New Roman"/>
          <w:color w:val="000000" w:themeColor="text1"/>
          <w:kern w:val="0"/>
          <w:sz w:val="28"/>
          <w:szCs w:val="28"/>
          <w14:textFill>
            <w14:solidFill>
              <w14:schemeClr w14:val="tx1"/>
            </w14:solidFill>
          </w14:textFill>
        </w:rPr>
      </w:pPr>
      <w:r>
        <w:rPr>
          <w:rFonts w:hint="eastAsia" w:ascii="仿宋" w:hAnsi="仿宋" w:eastAsia="仿宋"/>
          <w:sz w:val="28"/>
          <w:szCs w:val="28"/>
        </w:rPr>
        <w:t>2</w:t>
      </w:r>
      <w:r>
        <w:rPr>
          <w:rFonts w:ascii="仿宋" w:hAnsi="仿宋" w:eastAsia="仿宋"/>
          <w:sz w:val="28"/>
          <w:szCs w:val="28"/>
        </w:rPr>
        <w:t>017</w:t>
      </w:r>
      <w:r>
        <w:rPr>
          <w:rFonts w:hint="eastAsia" w:ascii="仿宋" w:hAnsi="仿宋" w:eastAsia="仿宋"/>
          <w:sz w:val="28"/>
          <w:szCs w:val="28"/>
        </w:rPr>
        <w:t>年6月19日</w:t>
      </w:r>
      <w:r>
        <w:rPr>
          <w:rFonts w:ascii="仿宋" w:hAnsi="仿宋" w:eastAsia="仿宋"/>
          <w:sz w:val="28"/>
          <w:szCs w:val="28"/>
        </w:rPr>
        <w:t>，</w:t>
      </w:r>
      <w:r>
        <w:rPr>
          <w:rFonts w:hint="eastAsia" w:ascii="仿宋" w:hAnsi="仿宋" w:eastAsia="仿宋"/>
          <w:sz w:val="28"/>
          <w:szCs w:val="28"/>
        </w:rPr>
        <w:t>北京市召开第十二次</w:t>
      </w:r>
      <w:r>
        <w:rPr>
          <w:rFonts w:hint="eastAsia" w:ascii="仿宋" w:hAnsi="仿宋" w:eastAsia="仿宋"/>
          <w:color w:val="000000" w:themeColor="text1"/>
          <w:sz w:val="28"/>
          <w:szCs w:val="28"/>
          <w14:textFill>
            <w14:solidFill>
              <w14:schemeClr w14:val="tx1"/>
            </w14:solidFill>
          </w14:textFill>
        </w:rPr>
        <w:t>党代会</w:t>
      </w:r>
      <w:r>
        <w:rPr>
          <w:rFonts w:hint="eastAsia" w:ascii="仿宋" w:hAnsi="仿宋" w:eastAsia="仿宋"/>
          <w:sz w:val="28"/>
          <w:szCs w:val="28"/>
        </w:rPr>
        <w:t>，</w:t>
      </w:r>
      <w:r>
        <w:rPr>
          <w:rFonts w:hint="eastAsia" w:ascii="仿宋" w:hAnsi="仿宋" w:eastAsia="仿宋"/>
          <w:color w:val="000000"/>
          <w:sz w:val="28"/>
          <w:szCs w:val="28"/>
        </w:rPr>
        <w:t>明确提出</w:t>
      </w:r>
      <w:r>
        <w:rPr>
          <w:rFonts w:hint="eastAsia" w:ascii="仿宋" w:hAnsi="仿宋" w:eastAsia="仿宋" w:cs="Times New Roman"/>
          <w:color w:val="000000" w:themeColor="text1"/>
          <w:kern w:val="0"/>
          <w:sz w:val="28"/>
          <w:szCs w:val="28"/>
          <w14:textFill>
            <w14:solidFill>
              <w14:schemeClr w14:val="tx1"/>
            </w14:solidFill>
          </w14:textFill>
        </w:rPr>
        <w:t>要持续扩大绿色生态空间，建设天蓝水清、森林环绕的生态城市和森林城市、海绵城市。</w:t>
      </w:r>
    </w:p>
    <w:p>
      <w:pPr>
        <w:spacing w:line="276"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s="Times New Roman"/>
          <w:sz w:val="28"/>
          <w:szCs w:val="28"/>
        </w:rPr>
        <w:t>2018年7月13日，北京</w:t>
      </w:r>
      <w:r>
        <w:rPr>
          <w:rFonts w:hint="eastAsia" w:ascii="仿宋" w:hAnsi="仿宋" w:eastAsia="仿宋"/>
          <w:color w:val="000000" w:themeColor="text1"/>
          <w:sz w:val="28"/>
          <w:szCs w:val="28"/>
          <w14:textFill>
            <w14:solidFill>
              <w14:schemeClr w14:val="tx1"/>
            </w14:solidFill>
          </w14:textFill>
        </w:rPr>
        <w:t>市召开</w:t>
      </w:r>
      <w:r>
        <w:rPr>
          <w:rFonts w:hint="eastAsia" w:ascii="仿宋" w:hAnsi="仿宋" w:eastAsia="仿宋" w:cs="Times New Roman"/>
          <w:sz w:val="28"/>
          <w:szCs w:val="28"/>
        </w:rPr>
        <w:t>生态环境保护大会。蔡奇书记强调</w:t>
      </w:r>
      <w:r>
        <w:rPr>
          <w:rFonts w:hint="eastAsia" w:ascii="仿宋" w:hAnsi="仿宋" w:eastAsia="仿宋" w:cs="Times New Roman"/>
          <w:color w:val="000000" w:themeColor="text1"/>
          <w:kern w:val="0"/>
          <w:sz w:val="28"/>
          <w:szCs w:val="28"/>
          <w14:textFill>
            <w14:solidFill>
              <w14:schemeClr w14:val="tx1"/>
            </w14:solidFill>
          </w14:textFill>
        </w:rPr>
        <w:t>，鼓励有条件的区创建国家森林城市。</w:t>
      </w:r>
    </w:p>
    <w:p>
      <w:pPr>
        <w:spacing w:line="276" w:lineRule="auto"/>
        <w:ind w:firstLine="560" w:firstLineChars="200"/>
        <w:rPr>
          <w:rFonts w:ascii="仿宋" w:hAnsi="仿宋" w:eastAsia="仿宋" w:cs="Times New Roman"/>
          <w:color w:val="000000" w:themeColor="text1"/>
          <w:kern w:val="0"/>
          <w:sz w:val="28"/>
          <w:szCs w:val="28"/>
          <w14:textFill>
            <w14:solidFill>
              <w14:schemeClr w14:val="tx1"/>
            </w14:solidFill>
          </w14:textFill>
        </w:rPr>
      </w:pPr>
      <w:r>
        <w:rPr>
          <w:rFonts w:hint="eastAsia" w:ascii="仿宋" w:hAnsi="仿宋" w:eastAsia="仿宋" w:cs="Times New Roman"/>
          <w:sz w:val="28"/>
          <w:szCs w:val="28"/>
        </w:rPr>
        <w:t>2018年10月20日，北京市委市政府印发《关于推动生态涵养区生态保护和绿色发展的实施意见》，</w:t>
      </w:r>
      <w:r>
        <w:rPr>
          <w:rFonts w:ascii="仿宋" w:hAnsi="仿宋" w:eastAsia="仿宋" w:cs="Times New Roman"/>
          <w:sz w:val="28"/>
          <w:szCs w:val="28"/>
        </w:rPr>
        <w:t>明确提出</w:t>
      </w:r>
      <w:r>
        <w:rPr>
          <w:rFonts w:hint="eastAsia" w:ascii="仿宋" w:hAnsi="仿宋" w:eastAsia="仿宋" w:cs="Times New Roman"/>
          <w:sz w:val="28"/>
          <w:szCs w:val="28"/>
        </w:rPr>
        <w:t>要</w:t>
      </w:r>
      <w:r>
        <w:rPr>
          <w:rFonts w:hint="eastAsia" w:ascii="仿宋" w:hAnsi="仿宋" w:eastAsia="仿宋" w:cs="Times New Roman"/>
          <w:color w:val="000000" w:themeColor="text1"/>
          <w:kern w:val="0"/>
          <w:sz w:val="28"/>
          <w:szCs w:val="28"/>
          <w14:textFill>
            <w14:solidFill>
              <w14:schemeClr w14:val="tx1"/>
            </w14:solidFill>
          </w14:textFill>
        </w:rPr>
        <w:t>全面推进生态涵养区各区创建国家森林城市。</w:t>
      </w:r>
    </w:p>
    <w:p>
      <w:pPr>
        <w:spacing w:line="276" w:lineRule="auto"/>
        <w:ind w:firstLine="560" w:firstLineChars="200"/>
        <w:rPr>
          <w:rFonts w:ascii="仿宋" w:hAnsi="仿宋" w:eastAsia="仿宋"/>
          <w:sz w:val="28"/>
          <w:szCs w:val="28"/>
        </w:rPr>
      </w:pPr>
      <w:r>
        <w:rPr>
          <w:rFonts w:hint="eastAsia" w:ascii="仿宋" w:hAnsi="仿宋" w:eastAsia="仿宋"/>
          <w:sz w:val="28"/>
          <w:szCs w:val="28"/>
        </w:rPr>
        <w:t>2019年2月20日，</w:t>
      </w:r>
      <w:r>
        <w:rPr>
          <w:rFonts w:hint="eastAsia" w:ascii="仿宋" w:hAnsi="仿宋" w:eastAsia="仿宋" w:cs="Times New Roman"/>
          <w:color w:val="000000" w:themeColor="text1"/>
          <w:kern w:val="0"/>
          <w:sz w:val="28"/>
          <w:szCs w:val="28"/>
          <w14:textFill>
            <w14:solidFill>
              <w14:schemeClr w14:val="tx1"/>
            </w14:solidFill>
          </w14:textFill>
        </w:rPr>
        <w:t>北京市委市政府</w:t>
      </w:r>
      <w:r>
        <w:rPr>
          <w:rFonts w:hint="eastAsia" w:ascii="仿宋" w:hAnsi="仿宋" w:eastAsia="仿宋"/>
          <w:sz w:val="28"/>
          <w:szCs w:val="28"/>
        </w:rPr>
        <w:t>召开深入推进疏解整治促提升促进首都生态文明与城乡环境建设动员大会。会议强调，要实施好新一轮百万亩造林绿化工程，大幅度扩大绿色生态空间。城区要着力城市生态空间织补和生态修复，强化“留白增绿”，做到每个城区都有1处以上一定规模的城市森林，每个区都要新建一批口袋公园、小微绿地。平原地区要聚焦一道绿隔城市公园环和二道绿隔郊野公园环建设，提升生态环境容量。浅山区要加大造林绿化和生态修复力度，建设首都城市的第一道生态屏障。山区要抓好宜林荒山绿化、生态林升级改造和废弃矿山生态修复。具备条件的区要争创国家森林城市</w:t>
      </w:r>
      <w:bookmarkStart w:id="12" w:name="_Toc530648919"/>
      <w:bookmarkStart w:id="13" w:name="_Toc528968691"/>
      <w:r>
        <w:rPr>
          <w:rFonts w:hint="eastAsia" w:ascii="仿宋" w:hAnsi="仿宋" w:eastAsia="仿宋"/>
          <w:sz w:val="28"/>
          <w:szCs w:val="28"/>
        </w:rPr>
        <w:t>。</w:t>
      </w:r>
    </w:p>
    <w:p>
      <w:pPr>
        <w:pStyle w:val="3"/>
        <w:spacing w:before="217" w:after="217"/>
        <w:jc w:val="left"/>
        <w:rPr>
          <w:rFonts w:ascii="黑体" w:hAnsi="黑体" w:eastAsia="黑体" w:cs="Times New Roman"/>
          <w:b w:val="0"/>
          <w:bCs w:val="0"/>
        </w:rPr>
      </w:pPr>
      <w:bookmarkStart w:id="14" w:name="_Toc27389868"/>
      <w:r>
        <w:rPr>
          <w:rFonts w:hint="eastAsia" w:ascii="黑体" w:hAnsi="黑体" w:eastAsia="黑体" w:cs="Times New Roman"/>
          <w:b w:val="0"/>
          <w:bCs w:val="0"/>
        </w:rPr>
        <w:t>二、建设意义</w:t>
      </w:r>
      <w:bookmarkEnd w:id="12"/>
      <w:bookmarkEnd w:id="13"/>
      <w:bookmarkEnd w:id="14"/>
    </w:p>
    <w:p>
      <w:pPr>
        <w:spacing w:line="276"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北京一直在不断强化森林生态建设，特别是在进入生态文明建设新时代的背景下，进一步明确提出创建国家森林城市的目标，无论对落实北京新总规，夯实城市可持续发展的绿色本底，还是对促进首都生态文明建设，实现北京建设国际一流宜居之都的长远目标都具有重要意义。</w:t>
      </w:r>
    </w:p>
    <w:p>
      <w:pPr>
        <w:spacing w:before="217" w:after="217" w:line="264" w:lineRule="auto"/>
        <w:rPr>
          <w:rFonts w:ascii="仿宋" w:hAnsi="仿宋" w:eastAsia="仿宋" w:cs="Times New Roman"/>
          <w:b/>
          <w:spacing w:val="20"/>
          <w:sz w:val="32"/>
          <w:szCs w:val="32"/>
        </w:rPr>
      </w:pPr>
      <w:bookmarkStart w:id="15" w:name="_Toc463702182"/>
      <w:bookmarkStart w:id="16" w:name="_Toc462595686"/>
      <w:bookmarkStart w:id="17" w:name="_Toc463686818"/>
      <w:bookmarkStart w:id="18" w:name="_Toc528968692"/>
      <w:r>
        <w:rPr>
          <w:rFonts w:hint="eastAsia" w:ascii="仿宋" w:hAnsi="仿宋" w:eastAsia="仿宋" w:cs="Times New Roman"/>
          <w:b/>
          <w:spacing w:val="20"/>
          <w:sz w:val="32"/>
          <w:szCs w:val="32"/>
        </w:rPr>
        <w:t>（一）是市委市政府推进新时代首都生态建设高质量发展，践行习近平生态文明思想的重大举措</w:t>
      </w:r>
    </w:p>
    <w:p>
      <w:pPr>
        <w:spacing w:line="276" w:lineRule="auto"/>
        <w:ind w:firstLine="560" w:firstLineChars="200"/>
        <w:rPr>
          <w:rFonts w:ascii="仿宋" w:hAnsi="仿宋" w:eastAsia="仿宋"/>
          <w:sz w:val="36"/>
          <w:szCs w:val="36"/>
        </w:rPr>
      </w:pPr>
      <w:r>
        <w:rPr>
          <w:rFonts w:ascii="仿宋" w:hAnsi="仿宋" w:eastAsia="仿宋"/>
          <w:sz w:val="28"/>
          <w:szCs w:val="28"/>
        </w:rPr>
        <w:t>党的十八大以来，党和国家高度重视生态文明建设，把“绿色”纳入五大发展理念，将“生态文明建设”纳入“五位一体”总体布局。党的十九大报告</w:t>
      </w:r>
      <w:r>
        <w:rPr>
          <w:rFonts w:hint="eastAsia" w:ascii="仿宋" w:hAnsi="仿宋" w:eastAsia="仿宋"/>
          <w:sz w:val="28"/>
          <w:szCs w:val="28"/>
        </w:rPr>
        <w:t>把“美丽”纳入社会主义现代化强国的奋斗目标，建设美丽中国、坚持人与自然和谐共生，已成为习近平新时代中国特色社会主义思想的重要内容。北京作为国际型大都市，生态环境仍然是制约首都高质量发展的瓶颈问题，亟需用森林城市新理念来系统解决生态问题，用生态的手段来破解大城市病问题。大力推进森林城市建设，让习近平生态文明思想在京华大地落地生根、枝繁叶茂，把生态蓝图变为现实，</w:t>
      </w:r>
      <w:r>
        <w:rPr>
          <w:rFonts w:ascii="仿宋" w:hAnsi="仿宋" w:eastAsia="仿宋"/>
          <w:sz w:val="28"/>
          <w:szCs w:val="28"/>
        </w:rPr>
        <w:t>不断</w:t>
      </w:r>
      <w:r>
        <w:rPr>
          <w:rFonts w:hint="eastAsia" w:ascii="仿宋" w:hAnsi="仿宋" w:eastAsia="仿宋"/>
          <w:sz w:val="28"/>
          <w:szCs w:val="28"/>
        </w:rPr>
        <w:t>提高居民生态福祉，</w:t>
      </w:r>
      <w:r>
        <w:rPr>
          <w:rFonts w:ascii="仿宋" w:hAnsi="仿宋" w:eastAsia="仿宋"/>
          <w:sz w:val="28"/>
          <w:szCs w:val="28"/>
        </w:rPr>
        <w:t>不断夯实</w:t>
      </w:r>
      <w:r>
        <w:rPr>
          <w:rFonts w:hint="eastAsia" w:ascii="仿宋" w:hAnsi="仿宋" w:eastAsia="仿宋"/>
          <w:sz w:val="28"/>
          <w:szCs w:val="28"/>
        </w:rPr>
        <w:t>首都高质量</w:t>
      </w:r>
      <w:r>
        <w:rPr>
          <w:rFonts w:ascii="仿宋" w:hAnsi="仿宋" w:eastAsia="仿宋"/>
          <w:sz w:val="28"/>
          <w:szCs w:val="28"/>
        </w:rPr>
        <w:t>发展的生态基础，</w:t>
      </w:r>
      <w:r>
        <w:rPr>
          <w:rFonts w:hint="eastAsia" w:ascii="仿宋" w:hAnsi="仿宋" w:eastAsia="仿宋"/>
          <w:sz w:val="28"/>
          <w:szCs w:val="28"/>
        </w:rPr>
        <w:t>努力</w:t>
      </w:r>
      <w:r>
        <w:rPr>
          <w:rFonts w:ascii="仿宋" w:hAnsi="仿宋" w:eastAsia="仿宋"/>
          <w:sz w:val="28"/>
          <w:szCs w:val="28"/>
        </w:rPr>
        <w:t>实现真正意义上的全面小康</w:t>
      </w:r>
      <w:r>
        <w:rPr>
          <w:rFonts w:hint="eastAsia" w:ascii="仿宋" w:hAnsi="仿宋" w:eastAsia="仿宋"/>
          <w:sz w:val="28"/>
          <w:szCs w:val="28"/>
        </w:rPr>
        <w:t>。</w:t>
      </w:r>
    </w:p>
    <w:p>
      <w:pPr>
        <w:spacing w:before="217" w:after="217" w:line="264"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（二）是优化北京城市发展空间，建设美丽北京的必然要求</w:t>
      </w:r>
    </w:p>
    <w:p>
      <w:pPr>
        <w:spacing w:line="276" w:lineRule="auto"/>
        <w:ind w:firstLine="560" w:firstLineChars="200"/>
        <w:rPr>
          <w:rFonts w:ascii="仿宋" w:hAnsi="仿宋" w:eastAsia="仿宋"/>
          <w:sz w:val="36"/>
          <w:szCs w:val="36"/>
        </w:rPr>
      </w:pPr>
      <w:r>
        <w:rPr>
          <w:rFonts w:hint="eastAsia" w:ascii="仿宋" w:hAnsi="仿宋" w:eastAsia="仿宋"/>
          <w:sz w:val="28"/>
          <w:szCs w:val="28"/>
        </w:rPr>
        <w:t>习近平总书记多次强调，北京城市规划要深入思考回答“建设一个什么样的首都，怎样建设首都”这一重大命题。中共中央、国务院批复的北京新总规，明确了首都北京“四个中心”城市战略定位，将生态环境建设和绿色发展贯穿始终，特别明确了森林城市建设目标，勾画了建设天蓝水清、森林环绕的生态城市的美好蓝图。北京市委市政府提出实施留白增绿优化城市发展空间，强化中心城区、首都功能核心区、通州城市副中心等关键地区的森林空间建设，将全面</w:t>
      </w:r>
      <w:r>
        <w:rPr>
          <w:rFonts w:ascii="仿宋" w:hAnsi="仿宋" w:eastAsia="仿宋"/>
          <w:sz w:val="28"/>
          <w:szCs w:val="28"/>
        </w:rPr>
        <w:t>提高城市绿化内涵，</w:t>
      </w:r>
      <w:r>
        <w:rPr>
          <w:rFonts w:hint="eastAsia" w:ascii="仿宋" w:hAnsi="仿宋" w:eastAsia="仿宋"/>
          <w:sz w:val="28"/>
          <w:szCs w:val="28"/>
        </w:rPr>
        <w:t>提升北京</w:t>
      </w:r>
      <w:r>
        <w:rPr>
          <w:rFonts w:ascii="仿宋" w:hAnsi="仿宋" w:eastAsia="仿宋"/>
          <w:sz w:val="28"/>
          <w:szCs w:val="28"/>
        </w:rPr>
        <w:t>城市环境品位与城市新型竞争力</w:t>
      </w:r>
      <w:r>
        <w:rPr>
          <w:rFonts w:hint="eastAsia" w:ascii="仿宋" w:hAnsi="仿宋" w:eastAsia="仿宋"/>
          <w:sz w:val="28"/>
          <w:szCs w:val="28"/>
        </w:rPr>
        <w:t>，促进北京创新发展。</w:t>
      </w:r>
    </w:p>
    <w:p>
      <w:pPr>
        <w:spacing w:before="217" w:after="217" w:line="264"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（三）是夯实北京生态基础实现绿色发展，建设国际一流和谐宜居之都的重要使命</w:t>
      </w:r>
    </w:p>
    <w:p>
      <w:pPr>
        <w:spacing w:line="276" w:lineRule="auto"/>
        <w:ind w:firstLine="560" w:firstLineChars="200"/>
        <w:rPr>
          <w:rFonts w:ascii="仿宋" w:hAnsi="仿宋" w:eastAsia="仿宋"/>
          <w:sz w:val="36"/>
          <w:szCs w:val="36"/>
        </w:rPr>
      </w:pPr>
      <w:r>
        <w:rPr>
          <w:rFonts w:hint="eastAsia" w:ascii="仿宋" w:hAnsi="仿宋" w:eastAsia="仿宋"/>
          <w:sz w:val="28"/>
          <w:szCs w:val="28"/>
        </w:rPr>
        <w:t>园林绿化作为城市唯一有生命的基础设施，在提供生态环境、生态经济和生态文化三大生态产品，追求改善生态和惠及民生两大发展目标方面承担着不可替代的作用。编制好森林城市规划、大力推进森林城市建设，进一步强化以森林湿地为主体的城市生态基础设施，有利于补齐生态环境短板，提升生态环境质量，完善城乡一体化的城市森林生态系统，为建设国际一流和谐宜居之都提供强有力的生态支撑。</w:t>
      </w:r>
    </w:p>
    <w:p>
      <w:pPr>
        <w:spacing w:before="217" w:after="217" w:line="264"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（四）是落实京津冀协同发展战略，打造国家级森林城市群的重要抓手</w:t>
      </w:r>
    </w:p>
    <w:p>
      <w:pPr>
        <w:spacing w:line="276" w:lineRule="auto"/>
        <w:ind w:firstLine="560" w:firstLineChars="200"/>
        <w:rPr>
          <w:rFonts w:ascii="仿宋" w:hAnsi="仿宋" w:eastAsia="仿宋"/>
          <w:sz w:val="36"/>
          <w:szCs w:val="36"/>
        </w:rPr>
      </w:pPr>
      <w:r>
        <w:rPr>
          <w:rFonts w:hint="eastAsia" w:ascii="仿宋" w:hAnsi="仿宋" w:eastAsia="仿宋"/>
          <w:sz w:val="28"/>
          <w:szCs w:val="28"/>
        </w:rPr>
        <w:t>《京津冀协同发展规划纲要》指出，推动京津冀协同发展是一个重大国家战略，核心是有序</w:t>
      </w:r>
      <w:r>
        <w:rPr>
          <w:rFonts w:hint="eastAsia" w:ascii="仿宋" w:hAnsi="仿宋" w:eastAsia="仿宋"/>
          <w:color w:val="000000" w:themeColor="text1"/>
          <w:sz w:val="28"/>
          <w:szCs w:val="28"/>
          <w14:textFill>
            <w14:solidFill>
              <w14:schemeClr w14:val="tx1"/>
            </w14:solidFill>
          </w14:textFill>
        </w:rPr>
        <w:t>疏解</w:t>
      </w:r>
      <w:r>
        <w:rPr>
          <w:rFonts w:hint="eastAsia" w:ascii="仿宋" w:hAnsi="仿宋" w:eastAsia="仿宋"/>
          <w:sz w:val="28"/>
          <w:szCs w:val="28"/>
        </w:rPr>
        <w:t>北京非首都功能，要在京津冀交通一体化、生态环境保护、产业升级转移等重点领域率先取得突破。原国家林业局提出要围绕城市和城市群发展的生态环境需求，重点打造京津冀、长三角、珠三角等6个国家级森林城市群。北京作为京畿重地，要放眼京津冀广阔空间，跳出北京看北京，用全球视野和21世纪眼光看北京，特别是要把握好北京“大城市小农业、大京郊小城区”的自身特点，大力推进森林城市建设，推动城市修补和生态修复，服务好建设以首都为核心的世界级城市群。</w:t>
      </w:r>
    </w:p>
    <w:p>
      <w:pPr>
        <w:spacing w:before="217" w:after="217" w:line="264"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（五）是全民参与国土绿化、共建共享绿色家园的重要载体</w:t>
      </w:r>
    </w:p>
    <w:p>
      <w:pPr>
        <w:spacing w:line="276" w:lineRule="auto"/>
        <w:ind w:firstLine="560" w:firstLineChars="200"/>
        <w:rPr>
          <w:b/>
          <w:color w:val="FF0000"/>
          <w:sz w:val="24"/>
          <w:szCs w:val="24"/>
        </w:rPr>
        <w:sectPr>
          <w:footerReference r:id="rId6" w:type="default"/>
          <w:pgSz w:w="11906" w:h="16838"/>
          <w:pgMar w:top="1418" w:right="1701" w:bottom="1418" w:left="1701" w:header="851" w:footer="992" w:gutter="0"/>
          <w:pgNumType w:start="1"/>
          <w:cols w:space="425" w:num="1"/>
          <w:docGrid w:type="linesAndChars" w:linePitch="312" w:charSpace="0"/>
        </w:sectPr>
      </w:pPr>
      <w:r>
        <w:rPr>
          <w:rFonts w:hint="eastAsia" w:ascii="仿宋" w:hAnsi="仿宋" w:eastAsia="仿宋"/>
          <w:sz w:val="28"/>
          <w:szCs w:val="28"/>
        </w:rPr>
        <w:t>建设森林城市的过程，既是破解生态发展不平衡不充分、迈向高质量发展的过程，也是同步推进大地植绿、心中播绿，弘扬生态文明的过程，坚持全国动员、全民动手、全社会办林业的方针，有利于把建设美丽中国转化为人民的自觉行动，有利于引领社会力量积极投身首都绿化事业，有利于形成全民参与、共建共享的社会新风尚</w:t>
      </w:r>
      <w:bookmarkEnd w:id="15"/>
      <w:bookmarkEnd w:id="16"/>
      <w:bookmarkEnd w:id="17"/>
      <w:bookmarkEnd w:id="18"/>
      <w:r>
        <w:rPr>
          <w:rFonts w:hint="eastAsia" w:ascii="仿宋" w:hAnsi="仿宋" w:eastAsia="仿宋"/>
          <w:sz w:val="28"/>
          <w:szCs w:val="28"/>
        </w:rPr>
        <w:t>。</w:t>
      </w:r>
      <w:r>
        <w:rPr>
          <w:b/>
          <w:color w:val="FF0000"/>
          <w:sz w:val="24"/>
          <w:szCs w:val="24"/>
        </w:rPr>
        <w:t xml:space="preserve"> </w:t>
      </w:r>
    </w:p>
    <w:p>
      <w:pPr>
        <w:pStyle w:val="2"/>
        <w:keepLines w:val="0"/>
        <w:widowControl/>
        <w:spacing w:before="0" w:after="435" w:line="276" w:lineRule="auto"/>
        <w:jc w:val="center"/>
        <w:rPr>
          <w:rFonts w:ascii="黑体" w:hAnsi="黑体" w:eastAsia="黑体" w:cs="宋体"/>
          <w:spacing w:val="4"/>
          <w:kern w:val="36"/>
          <w:sz w:val="40"/>
          <w:szCs w:val="40"/>
        </w:rPr>
      </w:pPr>
      <w:bookmarkStart w:id="19" w:name="_Toc528968707"/>
      <w:bookmarkStart w:id="20" w:name="_Toc530648920"/>
      <w:bookmarkStart w:id="21" w:name="_Toc27389869"/>
      <w:r>
        <w:rPr>
          <w:rFonts w:hint="eastAsia" w:ascii="黑体" w:hAnsi="黑体" w:eastAsia="黑体" w:cs="宋体"/>
          <w:spacing w:val="4"/>
          <w:kern w:val="36"/>
          <w:sz w:val="40"/>
          <w:szCs w:val="40"/>
        </w:rPr>
        <w:t>第二篇 指导思想、规划依据与发展愿景</w:t>
      </w:r>
      <w:bookmarkEnd w:id="19"/>
      <w:bookmarkEnd w:id="20"/>
      <w:bookmarkEnd w:id="21"/>
    </w:p>
    <w:p>
      <w:pPr>
        <w:pStyle w:val="3"/>
        <w:spacing w:before="217" w:after="217"/>
        <w:jc w:val="left"/>
        <w:rPr>
          <w:rFonts w:ascii="黑体" w:hAnsi="黑体" w:eastAsia="黑体" w:cs="Times New Roman"/>
          <w:b w:val="0"/>
          <w:bCs w:val="0"/>
        </w:rPr>
      </w:pPr>
      <w:bookmarkStart w:id="22" w:name="_Toc528968708"/>
      <w:bookmarkStart w:id="23" w:name="_Toc530648921"/>
      <w:bookmarkStart w:id="24" w:name="_Toc27389870"/>
      <w:r>
        <w:rPr>
          <w:rFonts w:hint="eastAsia" w:ascii="黑体" w:hAnsi="黑体" w:eastAsia="黑体" w:cs="Times New Roman"/>
          <w:b w:val="0"/>
          <w:bCs w:val="0"/>
        </w:rPr>
        <w:t>一、指导思想</w:t>
      </w:r>
      <w:bookmarkEnd w:id="22"/>
      <w:bookmarkEnd w:id="23"/>
      <w:bookmarkEnd w:id="24"/>
    </w:p>
    <w:p>
      <w:pPr>
        <w:spacing w:line="276" w:lineRule="auto"/>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深入贯彻习近平生态文明思想，全面落实市委市政府关于北京发展的战略部署，践行以人民为中心的发展理念，深刻把握首都城市战略定位，紧紧抓住疏解非首都功能、京津冀协同发展和实施乡村振兴战略的发展机遇，以构建总量充足、分布均衡、功能显著、健康稳定的城市森林生态系统为总任务，营建大尺度城市森林与推进身边增绿相结合，注重树种丰富度与提高生物多样性相结合，恢复城市自然生态，增加生态产品供给，提高公众生态意识，最大限度增强城乡居民的获得感和幸福感，为全面建成小康社会、建设国际一流的和谐宜居之都、实现北京高质量可持续发展作出贡献，谱写美丽中国的北京森林画卷。</w:t>
      </w:r>
    </w:p>
    <w:p>
      <w:pPr>
        <w:pStyle w:val="3"/>
        <w:spacing w:before="217" w:after="217"/>
        <w:jc w:val="left"/>
        <w:rPr>
          <w:rFonts w:ascii="黑体" w:hAnsi="黑体" w:eastAsia="黑体" w:cs="Times New Roman"/>
          <w:b w:val="0"/>
          <w:bCs w:val="0"/>
        </w:rPr>
      </w:pPr>
      <w:bookmarkStart w:id="25" w:name="_Toc27389871"/>
      <w:r>
        <w:rPr>
          <w:rFonts w:hint="eastAsia" w:ascii="黑体" w:hAnsi="黑体" w:eastAsia="黑体" w:cs="Times New Roman"/>
          <w:b w:val="0"/>
          <w:bCs w:val="0"/>
        </w:rPr>
        <w:t>二、规划思路</w:t>
      </w:r>
      <w:bookmarkEnd w:id="25"/>
    </w:p>
    <w:p>
      <w:pPr>
        <w:pStyle w:val="4"/>
        <w:spacing w:before="217" w:after="217" w:line="276" w:lineRule="auto"/>
        <w:rPr>
          <w:rFonts w:ascii="仿宋" w:hAnsi="仿宋" w:eastAsia="仿宋" w:cs="Times New Roman"/>
          <w:spacing w:val="20"/>
        </w:rPr>
      </w:pPr>
      <w:bookmarkStart w:id="26" w:name="_Toc477076014"/>
      <w:bookmarkEnd w:id="26"/>
      <w:bookmarkStart w:id="27" w:name="_Toc27389872"/>
      <w:bookmarkStart w:id="28" w:name="_Toc528968709"/>
      <w:bookmarkStart w:id="29" w:name="_Toc530648922"/>
      <w:bookmarkStart w:id="30" w:name="_Toc477094756"/>
      <w:r>
        <w:rPr>
          <w:rFonts w:hint="eastAsia" w:ascii="仿宋" w:hAnsi="仿宋" w:eastAsia="仿宋" w:cs="Times New Roman"/>
          <w:spacing w:val="20"/>
        </w:rPr>
        <w:t>（一）体现新理念</w:t>
      </w:r>
      <w:bookmarkEnd w:id="27"/>
    </w:p>
    <w:p>
      <w:pPr>
        <w:spacing w:line="276" w:lineRule="auto"/>
        <w:ind w:firstLine="560" w:firstLineChars="200"/>
        <w:rPr>
          <w:rFonts w:ascii="仿宋" w:hAnsi="仿宋" w:eastAsia="仿宋" w:cs="Times New Roman"/>
          <w:sz w:val="28"/>
          <w:szCs w:val="24"/>
        </w:rPr>
      </w:pPr>
      <w:r>
        <w:rPr>
          <w:rFonts w:hint="eastAsia" w:ascii="仿宋" w:hAnsi="仿宋" w:eastAsia="仿宋" w:cs="Times New Roman"/>
          <w:sz w:val="28"/>
          <w:szCs w:val="24"/>
        </w:rPr>
        <w:t>一是充分体现习近平总书记关于着力开展森林城市建设的理念。通过实施留白增绿、新一轮百万亩造林、生态涵养区建设等系列工程，走科学、生态、节俭的发展道路，从城区、郊区、城市群三个尺度完善首都城市森林生态系统，进一步扩大城市绿色空间总量，不断满足北京做好“四个服务”的生态需求。</w:t>
      </w:r>
    </w:p>
    <w:p>
      <w:pPr>
        <w:spacing w:line="276" w:lineRule="auto"/>
        <w:ind w:firstLine="560" w:firstLineChars="200"/>
        <w:rPr>
          <w:rFonts w:ascii="仿宋" w:hAnsi="仿宋" w:eastAsia="仿宋" w:cs="Times New Roman"/>
          <w:sz w:val="28"/>
          <w:szCs w:val="24"/>
        </w:rPr>
      </w:pPr>
      <w:r>
        <w:rPr>
          <w:rFonts w:hint="eastAsia" w:ascii="仿宋" w:hAnsi="仿宋" w:eastAsia="仿宋" w:cs="Times New Roman"/>
          <w:sz w:val="28"/>
          <w:szCs w:val="24"/>
        </w:rPr>
        <w:t>二是充分体现以人民为中心的森林城市建设理念。通过建设城市森林公园、郊野公园、小微绿地、村镇休闲游憩地等实现市民身边增绿，增强城乡居民对森林城市建设的幸福感和获得感。</w:t>
      </w:r>
    </w:p>
    <w:p>
      <w:pPr>
        <w:spacing w:line="276" w:lineRule="auto"/>
        <w:ind w:firstLine="560" w:firstLineChars="200"/>
        <w:rPr>
          <w:rFonts w:ascii="仿宋" w:hAnsi="仿宋" w:eastAsia="仿宋" w:cs="Times New Roman"/>
          <w:sz w:val="28"/>
          <w:szCs w:val="24"/>
        </w:rPr>
      </w:pPr>
      <w:r>
        <w:rPr>
          <w:rFonts w:hint="eastAsia" w:ascii="仿宋" w:hAnsi="仿宋" w:eastAsia="仿宋" w:cs="Times New Roman"/>
          <w:sz w:val="28"/>
          <w:szCs w:val="24"/>
        </w:rPr>
        <w:t>三是充分体现山水林田湖草综合治理的理念。通过规划建设京津保生态过渡带、京张承生态涵养区、区域生态廊道、湿地生态系统等工程，强化京津冀地区生态空间的优化，引领京津冀森林城市群的各项建设。</w:t>
      </w:r>
    </w:p>
    <w:p>
      <w:pPr>
        <w:pStyle w:val="4"/>
        <w:spacing w:before="217" w:after="217" w:line="276" w:lineRule="auto"/>
        <w:rPr>
          <w:rFonts w:ascii="仿宋" w:hAnsi="仿宋" w:eastAsia="仿宋" w:cs="Times New Roman"/>
          <w:spacing w:val="20"/>
        </w:rPr>
      </w:pPr>
      <w:bookmarkStart w:id="31" w:name="_Toc27389873"/>
      <w:r>
        <w:rPr>
          <w:rFonts w:hint="eastAsia" w:ascii="仿宋" w:hAnsi="仿宋" w:eastAsia="仿宋" w:cs="Times New Roman"/>
          <w:spacing w:val="20"/>
        </w:rPr>
        <w:t>（二）落实新总规</w:t>
      </w:r>
      <w:bookmarkEnd w:id="31"/>
    </w:p>
    <w:p>
      <w:pPr>
        <w:spacing w:line="276" w:lineRule="auto"/>
        <w:ind w:firstLine="560" w:firstLineChars="200"/>
        <w:rPr>
          <w:rFonts w:ascii="仿宋" w:hAnsi="仿宋" w:eastAsia="仿宋" w:cs="Times New Roman"/>
          <w:sz w:val="28"/>
          <w:szCs w:val="24"/>
        </w:rPr>
      </w:pPr>
      <w:r>
        <w:rPr>
          <w:rFonts w:hint="eastAsia" w:ascii="仿宋" w:hAnsi="仿宋" w:eastAsia="仿宋" w:cs="Times New Roman"/>
          <w:sz w:val="28"/>
          <w:szCs w:val="24"/>
        </w:rPr>
        <w:t>一是全面对接北京新总规确定的市域绿色空间。围绕北京市域“一屏、三环、五河、九楔”的绿色空间结构，谋划山地森林景观、城区森林空间、骨干生态廊道等工程。</w:t>
      </w:r>
    </w:p>
    <w:p>
      <w:pPr>
        <w:spacing w:line="276" w:lineRule="auto"/>
        <w:ind w:firstLine="560" w:firstLineChars="200"/>
        <w:rPr>
          <w:rFonts w:ascii="仿宋" w:hAnsi="仿宋" w:eastAsia="仿宋" w:cs="Times New Roman"/>
          <w:sz w:val="28"/>
          <w:szCs w:val="24"/>
        </w:rPr>
      </w:pPr>
      <w:r>
        <w:rPr>
          <w:rFonts w:hint="eastAsia" w:ascii="仿宋" w:hAnsi="仿宋" w:eastAsia="仿宋" w:cs="Times New Roman"/>
          <w:sz w:val="28"/>
          <w:szCs w:val="24"/>
        </w:rPr>
        <w:t>二是全面支撑城市新总规确定的城市发展空间。围绕“一核、一主、一副、两轴、多点、一区”的城市空间结构与城市发展格局，谋划首都功能核心区、中心城区、城市副中心等城区森林建设项目，提出两轴森林、生态涵养区等建设工程。</w:t>
      </w:r>
    </w:p>
    <w:p>
      <w:pPr>
        <w:pStyle w:val="4"/>
        <w:spacing w:before="217" w:after="217" w:line="264" w:lineRule="auto"/>
        <w:rPr>
          <w:rFonts w:ascii="仿宋" w:hAnsi="仿宋" w:eastAsia="仿宋" w:cs="Times New Roman"/>
          <w:spacing w:val="20"/>
        </w:rPr>
      </w:pPr>
      <w:bookmarkStart w:id="32" w:name="_Toc27389874"/>
      <w:r>
        <w:rPr>
          <w:rFonts w:hint="eastAsia" w:ascii="仿宋" w:hAnsi="仿宋" w:eastAsia="仿宋" w:cs="Times New Roman"/>
          <w:spacing w:val="20"/>
        </w:rPr>
        <w:t>（三）引领新发展</w:t>
      </w:r>
      <w:bookmarkEnd w:id="32"/>
    </w:p>
    <w:p>
      <w:pPr>
        <w:spacing w:line="276" w:lineRule="auto"/>
        <w:ind w:firstLine="560" w:firstLineChars="200"/>
        <w:rPr>
          <w:rFonts w:ascii="仿宋" w:hAnsi="仿宋" w:eastAsia="仿宋" w:cs="Times New Roman"/>
          <w:sz w:val="28"/>
          <w:szCs w:val="24"/>
        </w:rPr>
      </w:pPr>
      <w:r>
        <w:rPr>
          <w:rFonts w:hint="eastAsia" w:ascii="仿宋" w:hAnsi="仿宋" w:eastAsia="仿宋" w:cs="Times New Roman"/>
          <w:sz w:val="28"/>
          <w:szCs w:val="24"/>
        </w:rPr>
        <w:t>一是建设大尺度城市森林，解决森林碎片化问题，在城区、平原区形成以20公顷以上成片森林为主的城市森林结构，强化综合服务功能。</w:t>
      </w:r>
    </w:p>
    <w:p>
      <w:pPr>
        <w:spacing w:line="276" w:lineRule="auto"/>
        <w:ind w:firstLine="560" w:firstLineChars="200"/>
        <w:rPr>
          <w:rFonts w:ascii="仿宋" w:hAnsi="仿宋" w:eastAsia="仿宋" w:cs="Times New Roman"/>
          <w:sz w:val="28"/>
          <w:szCs w:val="24"/>
        </w:rPr>
      </w:pPr>
      <w:r>
        <w:rPr>
          <w:rFonts w:hint="eastAsia" w:ascii="仿宋" w:hAnsi="仿宋" w:eastAsia="仿宋" w:cs="Times New Roman"/>
          <w:sz w:val="28"/>
          <w:szCs w:val="24"/>
        </w:rPr>
        <w:t>二是建设贯通性生态廊道，解决森林孤岛化问题，形成以永定河、潮白河、温榆河及各类通道森林为主的廊道网络，实现蓝绿生态空间的互联互通。</w:t>
      </w:r>
    </w:p>
    <w:p>
      <w:pPr>
        <w:spacing w:line="276" w:lineRule="auto"/>
        <w:ind w:firstLine="560" w:firstLineChars="200"/>
        <w:rPr>
          <w:rFonts w:ascii="仿宋" w:hAnsi="仿宋" w:eastAsia="仿宋" w:cs="Times New Roman"/>
          <w:sz w:val="28"/>
          <w:szCs w:val="24"/>
        </w:rPr>
      </w:pPr>
      <w:r>
        <w:rPr>
          <w:rFonts w:hint="eastAsia" w:ascii="仿宋" w:hAnsi="仿宋" w:eastAsia="仿宋" w:cs="Times New Roman"/>
          <w:sz w:val="28"/>
          <w:szCs w:val="24"/>
        </w:rPr>
        <w:t>三是建设鸟语花香的生态森林，解决森林生物多样性问题，建设以乡土树种为主、食源蜜源植物丰富的近自然森林，培育自然优美森林景观。</w:t>
      </w:r>
    </w:p>
    <w:p>
      <w:pPr>
        <w:spacing w:line="276" w:lineRule="auto"/>
        <w:ind w:firstLine="560" w:firstLineChars="200"/>
        <w:rPr>
          <w:rFonts w:ascii="仿宋" w:hAnsi="仿宋" w:eastAsia="仿宋" w:cs="Times New Roman"/>
          <w:sz w:val="28"/>
          <w:szCs w:val="24"/>
        </w:rPr>
      </w:pPr>
      <w:r>
        <w:rPr>
          <w:rFonts w:hint="eastAsia" w:ascii="仿宋" w:hAnsi="仿宋" w:eastAsia="仿宋" w:cs="Times New Roman"/>
          <w:sz w:val="28"/>
          <w:szCs w:val="24"/>
        </w:rPr>
        <w:t>四是建设大树成荫森林绿地，解决生态用地质量的问题，对接国际标准，通过栽植树体高、树冠大的乔木树种，建设森林社区、林荫道路等，提高老城区的树冠覆盖，确保新城森林空间的质量。</w:t>
      </w:r>
    </w:p>
    <w:p>
      <w:pPr>
        <w:spacing w:line="276" w:lineRule="auto"/>
        <w:ind w:firstLine="560" w:firstLineChars="200"/>
        <w:rPr>
          <w:rFonts w:ascii="仿宋" w:hAnsi="仿宋" w:eastAsia="仿宋" w:cs="Times New Roman"/>
          <w:sz w:val="28"/>
          <w:szCs w:val="24"/>
        </w:rPr>
      </w:pPr>
      <w:r>
        <w:rPr>
          <w:rFonts w:hint="eastAsia" w:ascii="仿宋" w:hAnsi="仿宋" w:eastAsia="仿宋" w:cs="Times New Roman"/>
          <w:sz w:val="28"/>
          <w:szCs w:val="24"/>
        </w:rPr>
        <w:t>五是实施森林绿地的生态化养护管理，解决森林绿地裸土问题，开展森林、园林废弃物的循环利用和林地绿地土壤的生态化养护，提高城市森林绿地的水土保持、滞尘、减缓飞絮和花粉污染等功能；</w:t>
      </w:r>
    </w:p>
    <w:p>
      <w:pPr>
        <w:spacing w:line="276" w:lineRule="auto"/>
        <w:ind w:firstLine="560" w:firstLineChars="200"/>
        <w:rPr>
          <w:rFonts w:ascii="仿宋" w:hAnsi="仿宋" w:eastAsia="仿宋" w:cs="Times New Roman"/>
          <w:sz w:val="28"/>
          <w:szCs w:val="24"/>
        </w:rPr>
      </w:pPr>
      <w:r>
        <w:rPr>
          <w:rFonts w:hint="eastAsia" w:ascii="仿宋" w:hAnsi="仿宋" w:eastAsia="仿宋" w:cs="Times New Roman"/>
          <w:sz w:val="28"/>
          <w:szCs w:val="24"/>
        </w:rPr>
        <w:t>六是建设城区森林公园和小微绿地，解决公园服务盲区的问题，精准谋划建设公园和小微绿地，增加可达性，使市民便捷享受游憩空间。</w:t>
      </w:r>
    </w:p>
    <w:p>
      <w:pPr>
        <w:spacing w:line="276" w:lineRule="auto"/>
        <w:ind w:firstLine="560" w:firstLineChars="200"/>
        <w:rPr>
          <w:rFonts w:ascii="仿宋" w:hAnsi="仿宋" w:eastAsia="仿宋" w:cs="Times New Roman"/>
          <w:sz w:val="28"/>
          <w:szCs w:val="24"/>
        </w:rPr>
      </w:pPr>
      <w:r>
        <w:rPr>
          <w:rFonts w:hint="eastAsia" w:ascii="仿宋" w:hAnsi="仿宋" w:eastAsia="仿宋" w:cs="Times New Roman"/>
          <w:sz w:val="28"/>
          <w:szCs w:val="24"/>
        </w:rPr>
        <w:t>七是推进森林生态文化建设，解决生态文化发展不平衡不充分问题，在展示园林文化特色的基础上，充分发挥森林、湿地等自然教育功能，进一步挖掘古树、纪念林等特色生态文化资源，促进首都生态文明建设。</w:t>
      </w:r>
    </w:p>
    <w:p>
      <w:pPr>
        <w:spacing w:line="276" w:lineRule="auto"/>
        <w:ind w:firstLine="560" w:firstLineChars="200"/>
        <w:rPr>
          <w:rFonts w:ascii="仿宋" w:hAnsi="仿宋" w:eastAsia="仿宋" w:cs="Times New Roman"/>
          <w:sz w:val="28"/>
          <w:szCs w:val="24"/>
        </w:rPr>
      </w:pPr>
      <w:r>
        <w:rPr>
          <w:rFonts w:hint="eastAsia" w:ascii="仿宋" w:hAnsi="仿宋" w:eastAsia="仿宋" w:cs="Times New Roman"/>
          <w:sz w:val="28"/>
          <w:szCs w:val="24"/>
        </w:rPr>
        <w:t>八是注重乡村生态景观的改善，解决乡愁生态景观流失问题，通过实施平原森林、乡村森林景观建设，建设具有北京特色的乡愁森林景观。</w:t>
      </w:r>
    </w:p>
    <w:p>
      <w:pPr>
        <w:pStyle w:val="3"/>
        <w:spacing w:before="217" w:after="217"/>
        <w:jc w:val="left"/>
        <w:rPr>
          <w:rFonts w:ascii="黑体" w:hAnsi="黑体" w:eastAsia="黑体" w:cs="Times New Roman"/>
          <w:b w:val="0"/>
          <w:bCs w:val="0"/>
        </w:rPr>
      </w:pPr>
      <w:bookmarkStart w:id="33" w:name="_Toc27389875"/>
      <w:r>
        <w:rPr>
          <w:rFonts w:hint="eastAsia" w:ascii="黑体" w:hAnsi="黑体" w:eastAsia="黑体" w:cs="Times New Roman"/>
          <w:b w:val="0"/>
          <w:bCs w:val="0"/>
        </w:rPr>
        <w:t>三、规划依据</w:t>
      </w:r>
      <w:bookmarkEnd w:id="28"/>
      <w:bookmarkEnd w:id="29"/>
      <w:bookmarkEnd w:id="30"/>
      <w:bookmarkEnd w:id="33"/>
    </w:p>
    <w:p>
      <w:pPr>
        <w:pStyle w:val="46"/>
        <w:numPr>
          <w:ilvl w:val="0"/>
          <w:numId w:val="2"/>
        </w:numPr>
        <w:spacing w:line="276" w:lineRule="auto"/>
        <w:ind w:firstLineChars="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《中华人民共和国土地管理法》（2004年修订）</w:t>
      </w:r>
    </w:p>
    <w:p>
      <w:pPr>
        <w:pStyle w:val="46"/>
        <w:numPr>
          <w:ilvl w:val="0"/>
          <w:numId w:val="2"/>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《北京市城乡规划条例》（2009年）</w:t>
      </w:r>
    </w:p>
    <w:p>
      <w:pPr>
        <w:pStyle w:val="46"/>
        <w:numPr>
          <w:ilvl w:val="0"/>
          <w:numId w:val="2"/>
        </w:numPr>
        <w:spacing w:line="276" w:lineRule="auto"/>
        <w:ind w:firstLineChars="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《中华人民共和国环境保护法》（2014年修订）</w:t>
      </w:r>
    </w:p>
    <w:p>
      <w:pPr>
        <w:pStyle w:val="46"/>
        <w:numPr>
          <w:ilvl w:val="0"/>
          <w:numId w:val="2"/>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《国家新型城镇化规划（2014—2020年）》（2014年）</w:t>
      </w:r>
    </w:p>
    <w:p>
      <w:pPr>
        <w:pStyle w:val="46"/>
        <w:numPr>
          <w:ilvl w:val="0"/>
          <w:numId w:val="2"/>
        </w:numPr>
        <w:spacing w:line="276" w:lineRule="auto"/>
        <w:ind w:firstLineChars="0"/>
        <w:rPr>
          <w:rFonts w:ascii="仿宋" w:hAnsi="仿宋" w:eastAsia="仿宋" w:cs="Times New Roman"/>
          <w:color w:val="000000" w:themeColor="text1"/>
          <w:sz w:val="28"/>
          <w:szCs w:val="28"/>
          <w14:textFill>
            <w14:solidFill>
              <w14:schemeClr w14:val="tx1"/>
            </w14:solidFill>
          </w14:textFill>
        </w:rPr>
      </w:pPr>
      <w:r>
        <w:rPr>
          <w:rFonts w:ascii="仿宋" w:hAnsi="仿宋" w:eastAsia="仿宋" w:cs="Times New Roman"/>
          <w:color w:val="000000" w:themeColor="text1"/>
          <w:sz w:val="28"/>
          <w:szCs w:val="28"/>
          <w14:textFill>
            <w14:solidFill>
              <w14:schemeClr w14:val="tx1"/>
            </w14:solidFill>
          </w14:textFill>
        </w:rPr>
        <w:t>《全国主体功能区规划》（</w:t>
      </w:r>
      <w:r>
        <w:rPr>
          <w:rFonts w:hint="eastAsia" w:ascii="仿宋" w:hAnsi="仿宋" w:eastAsia="仿宋" w:cs="Times New Roman"/>
          <w:color w:val="000000" w:themeColor="text1"/>
          <w:sz w:val="28"/>
          <w:szCs w:val="28"/>
          <w14:textFill>
            <w14:solidFill>
              <w14:schemeClr w14:val="tx1"/>
            </w14:solidFill>
          </w14:textFill>
        </w:rPr>
        <w:t>2011年</w:t>
      </w:r>
      <w:r>
        <w:rPr>
          <w:rFonts w:ascii="仿宋" w:hAnsi="仿宋" w:eastAsia="仿宋" w:cs="Times New Roman"/>
          <w:color w:val="000000" w:themeColor="text1"/>
          <w:sz w:val="28"/>
          <w:szCs w:val="28"/>
          <w14:textFill>
            <w14:solidFill>
              <w14:schemeClr w14:val="tx1"/>
            </w14:solidFill>
          </w14:textFill>
        </w:rPr>
        <w:t>）</w:t>
      </w:r>
    </w:p>
    <w:p>
      <w:pPr>
        <w:pStyle w:val="46"/>
        <w:numPr>
          <w:ilvl w:val="0"/>
          <w:numId w:val="2"/>
        </w:numPr>
        <w:spacing w:line="276" w:lineRule="auto"/>
        <w:ind w:firstLineChars="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《中华人民共和国城乡规划法》</w:t>
      </w:r>
      <w:r>
        <w:rPr>
          <w:rFonts w:ascii="仿宋" w:hAnsi="仿宋" w:eastAsia="仿宋" w:cs="Times New Roman"/>
          <w:color w:val="000000" w:themeColor="text1"/>
          <w:sz w:val="28"/>
          <w:szCs w:val="28"/>
          <w14:textFill>
            <w14:solidFill>
              <w14:schemeClr w14:val="tx1"/>
            </w14:solidFill>
          </w14:textFill>
        </w:rPr>
        <w:t>（2015</w:t>
      </w:r>
      <w:r>
        <w:rPr>
          <w:rFonts w:hint="eastAsia" w:ascii="仿宋" w:hAnsi="仿宋" w:eastAsia="仿宋" w:cs="Times New Roman"/>
          <w:color w:val="000000" w:themeColor="text1"/>
          <w:sz w:val="28"/>
          <w:szCs w:val="28"/>
          <w14:textFill>
            <w14:solidFill>
              <w14:schemeClr w14:val="tx1"/>
            </w14:solidFill>
          </w14:textFill>
        </w:rPr>
        <w:t>年修订</w:t>
      </w:r>
      <w:r>
        <w:rPr>
          <w:rFonts w:ascii="仿宋" w:hAnsi="仿宋" w:eastAsia="仿宋" w:cs="Times New Roman"/>
          <w:color w:val="000000" w:themeColor="text1"/>
          <w:sz w:val="28"/>
          <w:szCs w:val="28"/>
          <w14:textFill>
            <w14:solidFill>
              <w14:schemeClr w14:val="tx1"/>
            </w14:solidFill>
          </w14:textFill>
        </w:rPr>
        <w:t>）</w:t>
      </w:r>
    </w:p>
    <w:p>
      <w:pPr>
        <w:pStyle w:val="46"/>
        <w:numPr>
          <w:ilvl w:val="0"/>
          <w:numId w:val="2"/>
        </w:numPr>
        <w:spacing w:line="276" w:lineRule="auto"/>
        <w:ind w:firstLineChars="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《京津冀协同发展规划纲要》（2015年）</w:t>
      </w:r>
    </w:p>
    <w:p>
      <w:pPr>
        <w:pStyle w:val="46"/>
        <w:numPr>
          <w:ilvl w:val="0"/>
          <w:numId w:val="2"/>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w:t>
      </w:r>
      <w:r>
        <w:rPr>
          <w:rFonts w:ascii="仿宋" w:hAnsi="仿宋" w:eastAsia="仿宋" w:cs="Times New Roman"/>
          <w:sz w:val="28"/>
          <w:szCs w:val="28"/>
        </w:rPr>
        <w:t>北京市“十三五”时期园林绿化发展规划</w:t>
      </w:r>
      <w:r>
        <w:rPr>
          <w:rFonts w:hint="eastAsia" w:ascii="仿宋" w:hAnsi="仿宋" w:eastAsia="仿宋" w:cs="Times New Roman"/>
          <w:sz w:val="28"/>
          <w:szCs w:val="28"/>
        </w:rPr>
        <w:t>》（2015年）</w:t>
      </w:r>
    </w:p>
    <w:p>
      <w:pPr>
        <w:pStyle w:val="46"/>
        <w:numPr>
          <w:ilvl w:val="0"/>
          <w:numId w:val="2"/>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《北京市国民经济和社会发展第十三个五年规划纲要》（2016年）</w:t>
      </w:r>
    </w:p>
    <w:p>
      <w:pPr>
        <w:pStyle w:val="46"/>
        <w:numPr>
          <w:ilvl w:val="0"/>
          <w:numId w:val="2"/>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w:t>
      </w:r>
      <w:r>
        <w:rPr>
          <w:rFonts w:ascii="仿宋" w:hAnsi="仿宋" w:eastAsia="仿宋" w:cs="Times New Roman"/>
          <w:sz w:val="28"/>
          <w:szCs w:val="28"/>
        </w:rPr>
        <w:t>北京市“十三五”时期水资源保护与利用规划</w:t>
      </w:r>
      <w:r>
        <w:rPr>
          <w:rFonts w:hint="eastAsia" w:ascii="仿宋" w:hAnsi="仿宋" w:eastAsia="仿宋" w:cs="Times New Roman"/>
          <w:sz w:val="28"/>
          <w:szCs w:val="28"/>
        </w:rPr>
        <w:t>》（2016年）</w:t>
      </w:r>
    </w:p>
    <w:p>
      <w:pPr>
        <w:pStyle w:val="46"/>
        <w:numPr>
          <w:ilvl w:val="0"/>
          <w:numId w:val="2"/>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《国家林业局关于着力开展森林城市建设的指导意见》（2016年）</w:t>
      </w:r>
    </w:p>
    <w:p>
      <w:pPr>
        <w:pStyle w:val="46"/>
        <w:numPr>
          <w:ilvl w:val="0"/>
          <w:numId w:val="2"/>
        </w:numPr>
        <w:spacing w:line="276" w:lineRule="auto"/>
        <w:ind w:firstLineChars="0"/>
        <w:rPr>
          <w:rFonts w:ascii="仿宋" w:hAnsi="仿宋" w:eastAsia="仿宋" w:cs="Times New Roman"/>
          <w:color w:val="000000" w:themeColor="text1"/>
          <w:sz w:val="28"/>
          <w:szCs w:val="28"/>
          <w14:textFill>
            <w14:solidFill>
              <w14:schemeClr w14:val="tx1"/>
            </w14:solidFill>
          </w14:textFill>
        </w:rPr>
      </w:pPr>
      <w:r>
        <w:rPr>
          <w:rFonts w:ascii="仿宋" w:hAnsi="仿宋" w:eastAsia="仿宋" w:cs="Times New Roman"/>
          <w:color w:val="000000" w:themeColor="text1"/>
          <w:sz w:val="28"/>
          <w:szCs w:val="28"/>
          <w14:textFill>
            <w14:solidFill>
              <w14:schemeClr w14:val="tx1"/>
            </w14:solidFill>
          </w14:textFill>
        </w:rPr>
        <w:t>《</w:t>
      </w:r>
      <w:r>
        <w:rPr>
          <w:rFonts w:hint="eastAsia" w:ascii="仿宋" w:hAnsi="仿宋" w:eastAsia="仿宋" w:cs="Times New Roman"/>
          <w:color w:val="000000" w:themeColor="text1"/>
          <w:sz w:val="28"/>
          <w:szCs w:val="28"/>
          <w14:textFill>
            <w14:solidFill>
              <w14:schemeClr w14:val="tx1"/>
            </w14:solidFill>
          </w14:textFill>
        </w:rPr>
        <w:t>中华人民共和国</w:t>
      </w:r>
      <w:r>
        <w:rPr>
          <w:rFonts w:ascii="仿宋" w:hAnsi="仿宋" w:eastAsia="仿宋" w:cs="Times New Roman"/>
          <w:color w:val="000000" w:themeColor="text1"/>
          <w:sz w:val="28"/>
          <w:szCs w:val="28"/>
          <w14:textFill>
            <w14:solidFill>
              <w14:schemeClr w14:val="tx1"/>
            </w14:solidFill>
          </w14:textFill>
        </w:rPr>
        <w:t>自然保护区条例》</w:t>
      </w:r>
      <w:r>
        <w:rPr>
          <w:rFonts w:hint="eastAsia" w:ascii="仿宋" w:hAnsi="仿宋" w:eastAsia="仿宋" w:cs="Times New Roman"/>
          <w:color w:val="000000" w:themeColor="text1"/>
          <w:sz w:val="28"/>
          <w:szCs w:val="28"/>
          <w14:textFill>
            <w14:solidFill>
              <w14:schemeClr w14:val="tx1"/>
            </w14:solidFill>
          </w14:textFill>
        </w:rPr>
        <w:t>（2017年修订）</w:t>
      </w:r>
    </w:p>
    <w:p>
      <w:pPr>
        <w:pStyle w:val="46"/>
        <w:numPr>
          <w:ilvl w:val="0"/>
          <w:numId w:val="2"/>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《北京城市总体规划（2016年—2035年）》（2017年）</w:t>
      </w:r>
    </w:p>
    <w:p>
      <w:pPr>
        <w:pStyle w:val="46"/>
        <w:numPr>
          <w:ilvl w:val="0"/>
          <w:numId w:val="2"/>
        </w:numPr>
        <w:spacing w:line="276" w:lineRule="auto"/>
        <w:ind w:firstLineChars="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《中共中央办公厅、国务院关于划定并严守生态保护红线的若干意见》（2017年）》</w:t>
      </w:r>
    </w:p>
    <w:p>
      <w:pPr>
        <w:pStyle w:val="46"/>
        <w:numPr>
          <w:ilvl w:val="0"/>
          <w:numId w:val="2"/>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《全国森林城市建设总体规划（2018~2025）》（2018年）</w:t>
      </w:r>
    </w:p>
    <w:p>
      <w:pPr>
        <w:pStyle w:val="46"/>
        <w:numPr>
          <w:ilvl w:val="0"/>
          <w:numId w:val="2"/>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《国家森林城市评价指标》（</w:t>
      </w:r>
      <w:r>
        <w:rPr>
          <w:rFonts w:ascii="仿宋" w:hAnsi="仿宋" w:eastAsia="仿宋" w:cs="Times New Roman"/>
          <w:sz w:val="28"/>
          <w:szCs w:val="28"/>
        </w:rPr>
        <w:t>GB/T 37342-2019</w:t>
      </w:r>
      <w:r>
        <w:rPr>
          <w:rFonts w:hint="eastAsia" w:ascii="仿宋" w:hAnsi="仿宋" w:eastAsia="仿宋" w:cs="Times New Roman"/>
          <w:sz w:val="28"/>
          <w:szCs w:val="28"/>
        </w:rPr>
        <w:t>）</w:t>
      </w:r>
    </w:p>
    <w:p>
      <w:pPr>
        <w:pStyle w:val="46"/>
        <w:numPr>
          <w:ilvl w:val="0"/>
          <w:numId w:val="2"/>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《北京市生态保护红线》（2018年）</w:t>
      </w:r>
    </w:p>
    <w:p>
      <w:pPr>
        <w:pStyle w:val="46"/>
        <w:numPr>
          <w:ilvl w:val="0"/>
          <w:numId w:val="2"/>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《北京城市副中心控制性详细规划》（2018年）</w:t>
      </w:r>
    </w:p>
    <w:p>
      <w:pPr>
        <w:pStyle w:val="46"/>
        <w:numPr>
          <w:ilvl w:val="0"/>
          <w:numId w:val="2"/>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《北京市绿地系统规划（2017年-2035年）》（2019年）</w:t>
      </w:r>
    </w:p>
    <w:p>
      <w:pPr>
        <w:pStyle w:val="46"/>
        <w:numPr>
          <w:ilvl w:val="0"/>
          <w:numId w:val="2"/>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w:t>
      </w:r>
      <w:r>
        <w:rPr>
          <w:rFonts w:ascii="仿宋" w:hAnsi="仿宋" w:eastAsia="仿宋" w:cs="Times New Roman"/>
          <w:sz w:val="28"/>
          <w:szCs w:val="28"/>
        </w:rPr>
        <w:t>中共北京市委北京市人民政府关于全面加强生态环境保护坚决打好北京市污染防治攻坚战的意见</w:t>
      </w:r>
      <w:r>
        <w:rPr>
          <w:rFonts w:hint="eastAsia" w:ascii="仿宋" w:hAnsi="仿宋" w:eastAsia="仿宋" w:cs="Times New Roman"/>
          <w:sz w:val="28"/>
          <w:szCs w:val="28"/>
        </w:rPr>
        <w:t>》（2018年）</w:t>
      </w:r>
    </w:p>
    <w:p>
      <w:pPr>
        <w:pStyle w:val="46"/>
        <w:numPr>
          <w:ilvl w:val="0"/>
          <w:numId w:val="2"/>
        </w:numPr>
        <w:spacing w:line="276" w:lineRule="auto"/>
        <w:ind w:firstLineChars="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w:t>
      </w:r>
      <w:r>
        <w:rPr>
          <w:rFonts w:ascii="仿宋" w:hAnsi="仿宋" w:eastAsia="仿宋" w:cs="Times New Roman"/>
          <w:color w:val="000000" w:themeColor="text1"/>
          <w:sz w:val="28"/>
          <w:szCs w:val="28"/>
          <w14:textFill>
            <w14:solidFill>
              <w14:schemeClr w14:val="tx1"/>
            </w14:solidFill>
          </w14:textFill>
        </w:rPr>
        <w:t>中共北京市委北京市人民政府</w:t>
      </w:r>
      <w:r>
        <w:rPr>
          <w:rFonts w:hint="eastAsia" w:ascii="仿宋" w:hAnsi="仿宋" w:eastAsia="仿宋" w:cs="Times New Roman"/>
          <w:color w:val="000000" w:themeColor="text1"/>
          <w:sz w:val="28"/>
          <w:szCs w:val="28"/>
          <w14:textFill>
            <w14:solidFill>
              <w14:schemeClr w14:val="tx1"/>
            </w14:solidFill>
          </w14:textFill>
        </w:rPr>
        <w:t>关于推动生态涵养区生态保护和绿色发展的实施意见》</w:t>
      </w:r>
      <w:r>
        <w:rPr>
          <w:rFonts w:hint="eastAsia" w:ascii="仿宋" w:hAnsi="仿宋" w:eastAsia="仿宋" w:cs="Times New Roman"/>
          <w:sz w:val="28"/>
          <w:szCs w:val="28"/>
        </w:rPr>
        <w:t>（2018年）</w:t>
      </w:r>
    </w:p>
    <w:p>
      <w:pPr>
        <w:pStyle w:val="3"/>
        <w:spacing w:before="217" w:after="217"/>
        <w:jc w:val="left"/>
        <w:rPr>
          <w:rFonts w:ascii="黑体" w:hAnsi="黑体" w:eastAsia="黑体" w:cs="Times New Roman"/>
          <w:b w:val="0"/>
          <w:bCs w:val="0"/>
        </w:rPr>
      </w:pPr>
      <w:bookmarkStart w:id="34" w:name="_Toc477076015"/>
      <w:bookmarkEnd w:id="34"/>
      <w:bookmarkStart w:id="35" w:name="_Toc477094757"/>
      <w:bookmarkStart w:id="36" w:name="_Toc530648923"/>
      <w:bookmarkStart w:id="37" w:name="_Toc27389876"/>
      <w:bookmarkStart w:id="38" w:name="_Toc528968710"/>
      <w:r>
        <w:rPr>
          <w:rFonts w:hint="eastAsia" w:ascii="黑体" w:hAnsi="黑体" w:eastAsia="黑体" w:cs="Times New Roman"/>
          <w:b w:val="0"/>
          <w:bCs w:val="0"/>
        </w:rPr>
        <w:t>四、规划范围</w:t>
      </w:r>
      <w:bookmarkEnd w:id="35"/>
      <w:bookmarkEnd w:id="36"/>
      <w:bookmarkEnd w:id="37"/>
      <w:bookmarkEnd w:id="38"/>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本次规划确定的规划区范围为北京市行政辖区，总面积为16410平方公里。其中，</w:t>
      </w:r>
      <w:r>
        <w:rPr>
          <w:rFonts w:hint="eastAsia" w:ascii="仿宋" w:hAnsi="仿宋" w:eastAsia="仿宋"/>
          <w:sz w:val="28"/>
          <w:szCs w:val="28"/>
        </w:rPr>
        <w:t>北京山区面积10</w:t>
      </w:r>
      <w:r>
        <w:rPr>
          <w:rFonts w:ascii="仿宋" w:hAnsi="仿宋" w:eastAsia="仿宋"/>
          <w:sz w:val="28"/>
          <w:szCs w:val="28"/>
        </w:rPr>
        <w:t>072</w:t>
      </w:r>
      <w:r>
        <w:rPr>
          <w:rFonts w:hint="eastAsia" w:ascii="仿宋" w:hAnsi="仿宋" w:eastAsia="仿宋"/>
          <w:sz w:val="28"/>
          <w:szCs w:val="28"/>
        </w:rPr>
        <w:t>平方公里，占全市总面积的6</w:t>
      </w:r>
      <w:r>
        <w:rPr>
          <w:rFonts w:ascii="仿宋" w:hAnsi="仿宋" w:eastAsia="仿宋"/>
          <w:sz w:val="28"/>
          <w:szCs w:val="28"/>
        </w:rPr>
        <w:t>1.4</w:t>
      </w:r>
      <w:r>
        <w:rPr>
          <w:rFonts w:hint="eastAsia" w:ascii="仿宋" w:hAnsi="仿宋" w:eastAsia="仿宋"/>
          <w:sz w:val="28"/>
          <w:szCs w:val="28"/>
        </w:rPr>
        <w:t>%，平原区面积6338平方公里，占全市面积的38.6％。</w:t>
      </w:r>
    </w:p>
    <w:p>
      <w:pPr>
        <w:pStyle w:val="3"/>
        <w:spacing w:before="217" w:after="217"/>
        <w:jc w:val="left"/>
        <w:rPr>
          <w:rFonts w:ascii="黑体" w:hAnsi="黑体" w:eastAsia="黑体" w:cs="Times New Roman"/>
          <w:b w:val="0"/>
          <w:bCs w:val="0"/>
        </w:rPr>
      </w:pPr>
      <w:bookmarkStart w:id="39" w:name="_Toc477076016"/>
      <w:bookmarkEnd w:id="39"/>
      <w:bookmarkStart w:id="40" w:name="_Toc27389877"/>
      <w:bookmarkStart w:id="41" w:name="_Toc530648924"/>
      <w:bookmarkStart w:id="42" w:name="_Toc477094758"/>
      <w:bookmarkStart w:id="43" w:name="_Toc528968711"/>
      <w:r>
        <w:rPr>
          <w:rFonts w:hint="eastAsia" w:ascii="黑体" w:hAnsi="黑体" w:eastAsia="黑体" w:cs="Times New Roman"/>
          <w:b w:val="0"/>
          <w:bCs w:val="0"/>
        </w:rPr>
        <w:t>五、规划期限</w:t>
      </w:r>
      <w:bookmarkEnd w:id="40"/>
      <w:bookmarkEnd w:id="41"/>
      <w:bookmarkEnd w:id="42"/>
      <w:bookmarkEnd w:id="43"/>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本次规划期限为2018年至2035年，明确到2035年的森林城市建设基本框架。</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近期到2020年；</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中期到2025年；</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远景展望到2035年。</w:t>
      </w:r>
    </w:p>
    <w:p>
      <w:pPr>
        <w:pStyle w:val="3"/>
        <w:spacing w:before="217" w:after="217"/>
        <w:jc w:val="left"/>
        <w:rPr>
          <w:rFonts w:ascii="黑体" w:hAnsi="黑体" w:eastAsia="黑体" w:cs="Times New Roman"/>
          <w:b w:val="0"/>
          <w:bCs w:val="0"/>
        </w:rPr>
      </w:pPr>
      <w:bookmarkStart w:id="44" w:name="_Toc530648925"/>
      <w:bookmarkStart w:id="45" w:name="_Toc27389878"/>
      <w:bookmarkStart w:id="46" w:name="_Toc528968712"/>
      <w:r>
        <w:rPr>
          <w:rFonts w:hint="eastAsia" w:ascii="黑体" w:hAnsi="黑体" w:eastAsia="黑体" w:cs="Times New Roman"/>
          <w:b w:val="0"/>
          <w:bCs w:val="0"/>
        </w:rPr>
        <w:t>六、发展愿景</w:t>
      </w:r>
      <w:bookmarkEnd w:id="44"/>
      <w:bookmarkEnd w:id="45"/>
      <w:bookmarkEnd w:id="46"/>
    </w:p>
    <w:p>
      <w:pPr>
        <w:pStyle w:val="4"/>
        <w:spacing w:before="217" w:after="217" w:line="264" w:lineRule="auto"/>
        <w:rPr>
          <w:rFonts w:ascii="仿宋" w:hAnsi="仿宋" w:eastAsia="仿宋" w:cs="Times New Roman"/>
          <w:spacing w:val="20"/>
        </w:rPr>
      </w:pPr>
      <w:bookmarkStart w:id="47" w:name="_Toc530648926"/>
      <w:bookmarkStart w:id="48" w:name="_Toc528968713"/>
      <w:bookmarkStart w:id="49" w:name="_Toc27389879"/>
      <w:r>
        <w:rPr>
          <w:rFonts w:hint="eastAsia" w:ascii="仿宋" w:hAnsi="仿宋" w:eastAsia="仿宋" w:cs="Times New Roman"/>
          <w:spacing w:val="20"/>
        </w:rPr>
        <w:t>（一）总体定位</w:t>
      </w:r>
      <w:bookmarkEnd w:id="47"/>
      <w:bookmarkEnd w:id="48"/>
      <w:bookmarkEnd w:id="49"/>
    </w:p>
    <w:p>
      <w:pPr>
        <w:spacing w:line="360" w:lineRule="auto"/>
        <w:jc w:val="center"/>
        <w:rPr>
          <w:rFonts w:ascii="仿宋" w:hAnsi="仿宋" w:eastAsia="仿宋"/>
          <w:b/>
          <w:sz w:val="32"/>
          <w:szCs w:val="24"/>
        </w:rPr>
      </w:pPr>
      <w:r>
        <w:rPr>
          <w:rFonts w:hint="eastAsia" w:ascii="仿宋" w:hAnsi="仿宋" w:eastAsia="仿宋"/>
          <w:b/>
          <w:sz w:val="36"/>
          <w:szCs w:val="24"/>
        </w:rPr>
        <w:t>绿美京华，北京森林</w:t>
      </w:r>
    </w:p>
    <w:p>
      <w:pPr>
        <w:pStyle w:val="4"/>
        <w:spacing w:before="217" w:after="217" w:line="264" w:lineRule="auto"/>
        <w:rPr>
          <w:rFonts w:ascii="仿宋" w:hAnsi="仿宋" w:eastAsia="仿宋" w:cs="Times New Roman"/>
          <w:spacing w:val="20"/>
        </w:rPr>
      </w:pPr>
      <w:bookmarkStart w:id="50" w:name="_Toc27389880"/>
      <w:bookmarkStart w:id="51" w:name="_Toc528968714"/>
      <w:bookmarkStart w:id="52" w:name="_Toc530648927"/>
      <w:r>
        <w:rPr>
          <w:rFonts w:hint="eastAsia" w:ascii="仿宋" w:hAnsi="仿宋" w:eastAsia="仿宋" w:cs="Times New Roman"/>
          <w:spacing w:val="20"/>
        </w:rPr>
        <w:t>（二）发展愿景</w:t>
      </w:r>
      <w:bookmarkEnd w:id="50"/>
      <w:bookmarkEnd w:id="51"/>
      <w:bookmarkEnd w:id="52"/>
    </w:p>
    <w:p>
      <w:pPr>
        <w:spacing w:line="276" w:lineRule="auto"/>
        <w:ind w:firstLine="560" w:firstLineChars="200"/>
        <w:rPr>
          <w:rFonts w:ascii="仿宋" w:hAnsi="仿宋" w:eastAsia="仿宋"/>
          <w:sz w:val="28"/>
          <w:szCs w:val="24"/>
        </w:rPr>
      </w:pPr>
      <w:r>
        <w:rPr>
          <w:rFonts w:hint="eastAsia" w:ascii="仿宋" w:hAnsi="仿宋" w:eastAsia="仿宋"/>
          <w:sz w:val="28"/>
          <w:szCs w:val="24"/>
        </w:rPr>
        <w:t>围绕建设国际一流的和谐宜居之都目标，以创建国家森林城市为抓手，弘扬生态建设的实干奉献和工匠精神，大力实施留白增绿、造林绿化、森林质量提升、生态文化创新发展等建设工程，谱写美丽北京森林画卷，让现在的北京森林成为未来北京的生态遗产。</w:t>
      </w:r>
    </w:p>
    <w:p>
      <w:pPr>
        <w:spacing w:line="276" w:lineRule="auto"/>
        <w:ind w:firstLine="562" w:firstLineChars="200"/>
        <w:rPr>
          <w:rFonts w:ascii="仿宋" w:hAnsi="仿宋" w:eastAsia="仿宋"/>
          <w:sz w:val="28"/>
          <w:szCs w:val="24"/>
        </w:rPr>
      </w:pPr>
      <w:r>
        <w:rPr>
          <w:rFonts w:hint="eastAsia" w:ascii="仿宋" w:hAnsi="仿宋" w:eastAsia="仿宋"/>
          <w:b/>
          <w:sz w:val="28"/>
          <w:szCs w:val="24"/>
        </w:rPr>
        <w:t>从空间格局看，</w:t>
      </w:r>
      <w:r>
        <w:rPr>
          <w:rFonts w:hint="eastAsia" w:ascii="仿宋" w:hAnsi="仿宋" w:eastAsia="仿宋"/>
          <w:sz w:val="28"/>
          <w:szCs w:val="24"/>
        </w:rPr>
        <w:t>北京森林有形有质——森林与城市、田园、乡村、河流镶嵌相连，呈现林城掩映、蓝绿交织的大地风貌；</w:t>
      </w:r>
    </w:p>
    <w:p>
      <w:pPr>
        <w:spacing w:line="276" w:lineRule="auto"/>
        <w:ind w:firstLine="562" w:firstLineChars="200"/>
        <w:rPr>
          <w:rFonts w:ascii="仿宋" w:hAnsi="仿宋" w:eastAsia="仿宋"/>
          <w:sz w:val="28"/>
          <w:szCs w:val="24"/>
        </w:rPr>
      </w:pPr>
      <w:r>
        <w:rPr>
          <w:rFonts w:hint="eastAsia" w:ascii="仿宋" w:hAnsi="仿宋" w:eastAsia="仿宋"/>
          <w:b/>
          <w:sz w:val="28"/>
          <w:szCs w:val="24"/>
        </w:rPr>
        <w:t>从服务功能看，</w:t>
      </w:r>
      <w:r>
        <w:rPr>
          <w:rFonts w:hint="eastAsia" w:ascii="仿宋" w:hAnsi="仿宋" w:eastAsia="仿宋"/>
          <w:sz w:val="28"/>
          <w:szCs w:val="24"/>
        </w:rPr>
        <w:t>北京森林有声有色——生态森林与园林景观交相辉映，尽享鸟语花香、景观优美的绿色美景。</w:t>
      </w:r>
    </w:p>
    <w:p>
      <w:pPr>
        <w:spacing w:line="276" w:lineRule="auto"/>
        <w:ind w:firstLine="562" w:firstLineChars="200"/>
        <w:rPr>
          <w:rFonts w:ascii="仿宋" w:hAnsi="仿宋" w:eastAsia="仿宋"/>
          <w:sz w:val="28"/>
          <w:szCs w:val="24"/>
        </w:rPr>
      </w:pPr>
      <w:r>
        <w:rPr>
          <w:rFonts w:hint="eastAsia" w:ascii="仿宋" w:hAnsi="仿宋" w:eastAsia="仿宋"/>
          <w:b/>
          <w:sz w:val="28"/>
          <w:szCs w:val="24"/>
        </w:rPr>
        <w:t>从文化品味看，</w:t>
      </w:r>
      <w:r>
        <w:rPr>
          <w:rFonts w:hint="eastAsia" w:ascii="仿宋" w:hAnsi="仿宋" w:eastAsia="仿宋"/>
          <w:sz w:val="28"/>
          <w:szCs w:val="24"/>
        </w:rPr>
        <w:t>北京森林有承有新——有故事的树，可走入的林，带京韵的美，传承人与自然和谐共生的生态文化。</w:t>
      </w:r>
    </w:p>
    <w:p>
      <w:pPr>
        <w:pStyle w:val="4"/>
        <w:spacing w:before="217" w:after="217" w:line="264" w:lineRule="auto"/>
        <w:rPr>
          <w:rFonts w:ascii="仿宋" w:hAnsi="仿宋" w:eastAsia="仿宋" w:cs="Times New Roman"/>
          <w:spacing w:val="20"/>
        </w:rPr>
      </w:pPr>
      <w:bookmarkStart w:id="53" w:name="_Toc528968715"/>
      <w:bookmarkStart w:id="54" w:name="_Toc27389881"/>
      <w:bookmarkStart w:id="55" w:name="_Toc530648928"/>
      <w:r>
        <w:rPr>
          <w:rFonts w:hint="eastAsia" w:ascii="仿宋" w:hAnsi="仿宋" w:eastAsia="仿宋" w:cs="Times New Roman"/>
          <w:spacing w:val="20"/>
        </w:rPr>
        <w:t>（三）内涵解读</w:t>
      </w:r>
      <w:bookmarkEnd w:id="53"/>
      <w:bookmarkEnd w:id="54"/>
      <w:bookmarkEnd w:id="55"/>
    </w:p>
    <w:p>
      <w:pPr>
        <w:spacing w:line="276" w:lineRule="auto"/>
        <w:jc w:val="center"/>
        <w:rPr>
          <w:rFonts w:ascii="仿宋" w:hAnsi="仿宋" w:eastAsia="仿宋"/>
          <w:sz w:val="28"/>
          <w:szCs w:val="24"/>
        </w:rPr>
      </w:pPr>
      <w:r>
        <w:rPr>
          <w:rFonts w:ascii="仿宋" w:hAnsi="仿宋" w:eastAsia="仿宋"/>
          <w:sz w:val="28"/>
          <w:szCs w:val="24"/>
        </w:rPr>
        <w:t xml:space="preserve">1. </w:t>
      </w:r>
      <w:r>
        <w:rPr>
          <w:rFonts w:hint="eastAsia" w:ascii="仿宋" w:hAnsi="仿宋" w:eastAsia="仿宋"/>
          <w:sz w:val="28"/>
          <w:szCs w:val="24"/>
        </w:rPr>
        <w:t>走进京华大地，是森林环抱的国际都市；</w:t>
      </w:r>
    </w:p>
    <w:p>
      <w:pPr>
        <w:spacing w:line="276" w:lineRule="auto"/>
        <w:jc w:val="center"/>
        <w:rPr>
          <w:rFonts w:ascii="仿宋" w:hAnsi="仿宋" w:eastAsia="仿宋"/>
          <w:sz w:val="28"/>
          <w:szCs w:val="24"/>
        </w:rPr>
      </w:pPr>
      <w:r>
        <w:rPr>
          <w:rFonts w:ascii="仿宋" w:hAnsi="仿宋" w:eastAsia="仿宋"/>
          <w:sz w:val="28"/>
          <w:szCs w:val="24"/>
        </w:rPr>
        <w:t>2.</w:t>
      </w:r>
      <w:r>
        <w:rPr>
          <w:rFonts w:hint="eastAsia" w:ascii="仿宋" w:hAnsi="仿宋" w:eastAsia="仿宋"/>
          <w:sz w:val="28"/>
          <w:szCs w:val="24"/>
        </w:rPr>
        <w:t xml:space="preserve"> 漫步新老城区，是林荫掩映的街道社区；</w:t>
      </w:r>
    </w:p>
    <w:p>
      <w:pPr>
        <w:spacing w:line="276" w:lineRule="auto"/>
        <w:jc w:val="center"/>
        <w:rPr>
          <w:rFonts w:ascii="仿宋" w:hAnsi="仿宋" w:eastAsia="仿宋"/>
          <w:sz w:val="28"/>
          <w:szCs w:val="24"/>
        </w:rPr>
      </w:pPr>
      <w:r>
        <w:rPr>
          <w:rFonts w:ascii="仿宋" w:hAnsi="仿宋" w:eastAsia="仿宋"/>
          <w:sz w:val="28"/>
          <w:szCs w:val="24"/>
        </w:rPr>
        <w:t xml:space="preserve">3. </w:t>
      </w:r>
      <w:r>
        <w:rPr>
          <w:rFonts w:hint="eastAsia" w:ascii="仿宋" w:hAnsi="仿宋" w:eastAsia="仿宋"/>
          <w:sz w:val="28"/>
          <w:szCs w:val="24"/>
        </w:rPr>
        <w:t>俯瞰城市轴线，是连通自然的城市画廊；</w:t>
      </w:r>
    </w:p>
    <w:p>
      <w:pPr>
        <w:spacing w:line="276" w:lineRule="auto"/>
        <w:jc w:val="center"/>
        <w:rPr>
          <w:rFonts w:ascii="仿宋" w:hAnsi="仿宋" w:eastAsia="仿宋"/>
          <w:sz w:val="28"/>
          <w:szCs w:val="24"/>
        </w:rPr>
      </w:pPr>
      <w:r>
        <w:rPr>
          <w:rFonts w:ascii="仿宋" w:hAnsi="仿宋" w:eastAsia="仿宋"/>
          <w:sz w:val="28"/>
          <w:szCs w:val="24"/>
        </w:rPr>
        <w:t xml:space="preserve">4. </w:t>
      </w:r>
      <w:r>
        <w:rPr>
          <w:rFonts w:hint="eastAsia" w:ascii="仿宋" w:hAnsi="仿宋" w:eastAsia="仿宋"/>
          <w:sz w:val="28"/>
          <w:szCs w:val="24"/>
        </w:rPr>
        <w:t>环视北京五河，是富于变化的水岸森林；</w:t>
      </w:r>
    </w:p>
    <w:p>
      <w:pPr>
        <w:spacing w:line="276" w:lineRule="auto"/>
        <w:jc w:val="center"/>
        <w:rPr>
          <w:rFonts w:ascii="仿宋" w:hAnsi="仿宋" w:eastAsia="仿宋"/>
          <w:sz w:val="28"/>
          <w:szCs w:val="24"/>
        </w:rPr>
      </w:pPr>
      <w:r>
        <w:rPr>
          <w:rFonts w:ascii="仿宋" w:hAnsi="仿宋" w:eastAsia="仿宋"/>
          <w:sz w:val="28"/>
          <w:szCs w:val="24"/>
        </w:rPr>
        <w:t xml:space="preserve">5. </w:t>
      </w:r>
      <w:r>
        <w:rPr>
          <w:rFonts w:hint="eastAsia" w:ascii="仿宋" w:hAnsi="仿宋" w:eastAsia="仿宋"/>
          <w:sz w:val="28"/>
          <w:szCs w:val="24"/>
        </w:rPr>
        <w:t>北望太行燕山，是多彩斑斓的自然森林；</w:t>
      </w:r>
    </w:p>
    <w:p>
      <w:pPr>
        <w:spacing w:line="276" w:lineRule="auto"/>
        <w:jc w:val="center"/>
        <w:rPr>
          <w:rFonts w:ascii="仿宋" w:hAnsi="仿宋" w:eastAsia="仿宋"/>
          <w:sz w:val="28"/>
          <w:szCs w:val="24"/>
        </w:rPr>
      </w:pPr>
      <w:r>
        <w:rPr>
          <w:rFonts w:ascii="仿宋" w:hAnsi="仿宋" w:eastAsia="仿宋"/>
          <w:sz w:val="28"/>
          <w:szCs w:val="24"/>
        </w:rPr>
        <w:t xml:space="preserve">6. </w:t>
      </w:r>
      <w:r>
        <w:rPr>
          <w:rFonts w:hint="eastAsia" w:ascii="仿宋" w:hAnsi="仿宋" w:eastAsia="仿宋"/>
          <w:sz w:val="28"/>
          <w:szCs w:val="24"/>
        </w:rPr>
        <w:t>东观大兴通州，是蓝绿交织的田园风光；</w:t>
      </w:r>
    </w:p>
    <w:p>
      <w:pPr>
        <w:spacing w:line="276" w:lineRule="auto"/>
        <w:jc w:val="center"/>
        <w:rPr>
          <w:rFonts w:ascii="仿宋" w:hAnsi="仿宋" w:eastAsia="仿宋"/>
          <w:sz w:val="28"/>
          <w:szCs w:val="24"/>
        </w:rPr>
      </w:pPr>
      <w:r>
        <w:rPr>
          <w:rFonts w:ascii="仿宋" w:hAnsi="仿宋" w:eastAsia="仿宋"/>
          <w:sz w:val="28"/>
          <w:szCs w:val="24"/>
        </w:rPr>
        <w:t>7.</w:t>
      </w:r>
      <w:r>
        <w:rPr>
          <w:rFonts w:hint="eastAsia" w:ascii="仿宋" w:hAnsi="仿宋" w:eastAsia="仿宋"/>
          <w:sz w:val="28"/>
          <w:szCs w:val="24"/>
        </w:rPr>
        <w:t xml:space="preserve"> 骑行城乡绿道，是蜿蜒宜人的森林廊道；</w:t>
      </w:r>
    </w:p>
    <w:p>
      <w:pPr>
        <w:spacing w:line="276" w:lineRule="auto"/>
        <w:jc w:val="center"/>
        <w:rPr>
          <w:rFonts w:ascii="仿宋" w:hAnsi="仿宋" w:eastAsia="仿宋"/>
          <w:sz w:val="28"/>
          <w:szCs w:val="24"/>
        </w:rPr>
      </w:pPr>
      <w:r>
        <w:rPr>
          <w:rFonts w:ascii="仿宋" w:hAnsi="仿宋" w:eastAsia="仿宋"/>
          <w:sz w:val="28"/>
          <w:szCs w:val="24"/>
        </w:rPr>
        <w:t xml:space="preserve">8. </w:t>
      </w:r>
      <w:r>
        <w:rPr>
          <w:rFonts w:hint="eastAsia" w:ascii="仿宋" w:hAnsi="仿宋" w:eastAsia="仿宋"/>
          <w:sz w:val="28"/>
          <w:szCs w:val="24"/>
        </w:rPr>
        <w:t>乐游森林乡镇，是花果飘香的乡愁景观；</w:t>
      </w:r>
    </w:p>
    <w:p>
      <w:pPr>
        <w:spacing w:line="276" w:lineRule="auto"/>
        <w:jc w:val="center"/>
        <w:rPr>
          <w:rFonts w:ascii="仿宋" w:hAnsi="仿宋" w:eastAsia="仿宋"/>
          <w:sz w:val="28"/>
          <w:szCs w:val="24"/>
        </w:rPr>
      </w:pPr>
      <w:r>
        <w:rPr>
          <w:rFonts w:ascii="仿宋" w:hAnsi="仿宋" w:eastAsia="仿宋"/>
          <w:sz w:val="28"/>
          <w:szCs w:val="24"/>
        </w:rPr>
        <w:t>9.</w:t>
      </w:r>
      <w:r>
        <w:rPr>
          <w:rFonts w:hint="eastAsia" w:ascii="仿宋" w:hAnsi="仿宋" w:eastAsia="仿宋"/>
          <w:sz w:val="28"/>
          <w:szCs w:val="24"/>
        </w:rPr>
        <w:t xml:space="preserve"> 徜徉平原片林，是功能多样的城市绿肺；</w:t>
      </w:r>
    </w:p>
    <w:p>
      <w:pPr>
        <w:spacing w:line="276" w:lineRule="auto"/>
        <w:jc w:val="center"/>
        <w:rPr>
          <w:rFonts w:ascii="仿宋" w:hAnsi="仿宋" w:eastAsia="仿宋"/>
          <w:sz w:val="28"/>
          <w:szCs w:val="24"/>
        </w:rPr>
      </w:pPr>
      <w:r>
        <w:rPr>
          <w:rFonts w:ascii="仿宋" w:hAnsi="仿宋" w:eastAsia="仿宋"/>
          <w:sz w:val="28"/>
          <w:szCs w:val="24"/>
        </w:rPr>
        <w:t>10.</w:t>
      </w:r>
      <w:r>
        <w:rPr>
          <w:rFonts w:hint="eastAsia" w:ascii="仿宋" w:hAnsi="仿宋" w:eastAsia="仿宋"/>
          <w:sz w:val="28"/>
          <w:szCs w:val="24"/>
        </w:rPr>
        <w:t>小憩森林绿隔，是康体养心的自然体验。</w:t>
      </w:r>
    </w:p>
    <w:p>
      <w:pPr>
        <w:spacing w:line="360" w:lineRule="auto"/>
        <w:ind w:firstLine="480" w:firstLineChars="200"/>
        <w:rPr>
          <w:sz w:val="24"/>
        </w:rPr>
        <w:sectPr>
          <w:pgSz w:w="11906" w:h="16838"/>
          <w:pgMar w:top="1440" w:right="1800" w:bottom="1440" w:left="1800" w:header="851" w:footer="992" w:gutter="0"/>
          <w:cols w:space="425" w:num="1"/>
          <w:titlePg/>
          <w:docGrid w:type="lines" w:linePitch="312" w:charSpace="0"/>
        </w:sectPr>
      </w:pPr>
    </w:p>
    <w:p>
      <w:pPr>
        <w:pStyle w:val="2"/>
        <w:keepLines w:val="0"/>
        <w:widowControl/>
        <w:spacing w:before="0" w:after="435" w:line="276" w:lineRule="auto"/>
        <w:jc w:val="center"/>
        <w:rPr>
          <w:rFonts w:ascii="黑体" w:hAnsi="黑体" w:eastAsia="黑体" w:cs="宋体"/>
          <w:spacing w:val="4"/>
          <w:kern w:val="36"/>
          <w:sz w:val="40"/>
          <w:szCs w:val="40"/>
        </w:rPr>
      </w:pPr>
      <w:bookmarkStart w:id="56" w:name="_Toc530649098"/>
      <w:bookmarkStart w:id="57" w:name="_Toc27389882"/>
      <w:r>
        <w:rPr>
          <w:rFonts w:hint="eastAsia" w:ascii="黑体" w:hAnsi="黑体" w:eastAsia="黑体" w:cs="宋体"/>
          <w:spacing w:val="4"/>
          <w:kern w:val="36"/>
          <w:sz w:val="40"/>
          <w:szCs w:val="40"/>
        </w:rPr>
        <w:t xml:space="preserve">第三篇 </w:t>
      </w:r>
      <w:r>
        <w:rPr>
          <w:rFonts w:ascii="黑体" w:hAnsi="黑体" w:eastAsia="黑体" w:cs="宋体"/>
          <w:spacing w:val="4"/>
          <w:kern w:val="36"/>
          <w:sz w:val="40"/>
          <w:szCs w:val="40"/>
        </w:rPr>
        <w:t xml:space="preserve"> </w:t>
      </w:r>
      <w:r>
        <w:rPr>
          <w:rFonts w:hint="eastAsia" w:ascii="黑体" w:hAnsi="黑体" w:eastAsia="黑体" w:cs="宋体"/>
          <w:spacing w:val="4"/>
          <w:kern w:val="36"/>
          <w:sz w:val="40"/>
          <w:szCs w:val="40"/>
        </w:rPr>
        <w:t>北京森林目标景观</w:t>
      </w:r>
      <w:bookmarkEnd w:id="56"/>
      <w:r>
        <w:rPr>
          <w:rFonts w:hint="eastAsia" w:ascii="黑体" w:hAnsi="黑体" w:eastAsia="黑体" w:cs="宋体"/>
          <w:spacing w:val="4"/>
          <w:kern w:val="36"/>
          <w:sz w:val="40"/>
          <w:szCs w:val="40"/>
        </w:rPr>
        <w:t>及技术导引</w:t>
      </w:r>
      <w:bookmarkEnd w:id="57"/>
    </w:p>
    <w:p>
      <w:pPr>
        <w:pStyle w:val="3"/>
        <w:spacing w:before="217" w:after="217"/>
        <w:jc w:val="left"/>
        <w:rPr>
          <w:rFonts w:ascii="黑体" w:hAnsi="黑体" w:eastAsia="黑体" w:cs="Times New Roman"/>
          <w:b w:val="0"/>
          <w:bCs w:val="0"/>
        </w:rPr>
      </w:pPr>
      <w:bookmarkStart w:id="58" w:name="_Toc530649099"/>
      <w:bookmarkStart w:id="59" w:name="_Toc27389883"/>
      <w:r>
        <w:rPr>
          <w:rFonts w:hint="eastAsia" w:ascii="黑体" w:hAnsi="黑体" w:eastAsia="黑体" w:cs="Times New Roman"/>
          <w:b w:val="0"/>
          <w:bCs w:val="0"/>
        </w:rPr>
        <w:t>一</w:t>
      </w:r>
      <w:bookmarkEnd w:id="58"/>
      <w:bookmarkStart w:id="60" w:name="_Toc530649100"/>
      <w:r>
        <w:rPr>
          <w:rFonts w:hint="eastAsia" w:ascii="黑体" w:hAnsi="黑体" w:eastAsia="黑体" w:cs="Times New Roman"/>
          <w:b w:val="0"/>
          <w:bCs w:val="0"/>
        </w:rPr>
        <w:t>、</w:t>
      </w:r>
      <w:bookmarkEnd w:id="60"/>
      <w:r>
        <w:rPr>
          <w:rFonts w:hint="eastAsia" w:ascii="黑体" w:hAnsi="黑体" w:eastAsia="黑体" w:cs="Times New Roman"/>
          <w:b w:val="0"/>
          <w:bCs w:val="0"/>
        </w:rPr>
        <w:t>平原生态片林</w:t>
      </w:r>
      <w:bookmarkEnd w:id="59"/>
    </w:p>
    <w:p>
      <w:pPr>
        <w:pStyle w:val="5"/>
        <w:spacing w:before="0" w:after="0" w:line="276" w:lineRule="auto"/>
        <w:rPr>
          <w:rFonts w:ascii="仿宋" w:hAnsi="仿宋" w:eastAsia="仿宋"/>
        </w:rPr>
      </w:pPr>
      <w:r>
        <w:rPr>
          <w:rFonts w:hint="eastAsia" w:ascii="仿宋" w:hAnsi="仿宋" w:eastAsia="仿宋"/>
        </w:rPr>
        <w:t>1.远景目标</w:t>
      </w:r>
    </w:p>
    <w:p>
      <w:pPr>
        <w:spacing w:line="276" w:lineRule="auto"/>
        <w:ind w:firstLine="562" w:firstLineChars="200"/>
        <w:rPr>
          <w:rFonts w:ascii="仿宋" w:hAnsi="仿宋" w:eastAsia="仿宋" w:cs="Times New Roman"/>
          <w:b/>
          <w:sz w:val="28"/>
          <w:szCs w:val="28"/>
        </w:rPr>
      </w:pPr>
      <w:r>
        <w:rPr>
          <w:rFonts w:hint="eastAsia" w:ascii="仿宋" w:hAnsi="仿宋" w:eastAsia="仿宋" w:cs="Times New Roman"/>
          <w:b/>
          <w:sz w:val="28"/>
          <w:szCs w:val="28"/>
        </w:rPr>
        <w:t>愿景：鸟语花香的平原片林，生物多样的自然景观</w:t>
      </w:r>
    </w:p>
    <w:p>
      <w:pPr>
        <w:spacing w:line="276" w:lineRule="auto"/>
        <w:ind w:firstLine="560" w:firstLineChars="200"/>
        <w:rPr>
          <w:rFonts w:ascii="仿宋" w:hAnsi="仿宋" w:eastAsia="仿宋"/>
          <w:kern w:val="0"/>
          <w:sz w:val="28"/>
          <w:szCs w:val="28"/>
        </w:rPr>
      </w:pPr>
      <w:r>
        <w:rPr>
          <w:rFonts w:hint="eastAsia" w:ascii="仿宋" w:hAnsi="仿宋" w:eastAsia="仿宋"/>
          <w:kern w:val="0"/>
          <w:sz w:val="28"/>
          <w:szCs w:val="28"/>
        </w:rPr>
        <w:t>在北京市平原地区，沿生态廊道和重要生态节点，建设集中连片的大型近自然片林斑块，形成平原区近自然森林，提供长期稳定的多样化生物生境，促进平原地区森林生态系统的健康稳定。</w:t>
      </w:r>
    </w:p>
    <w:p>
      <w:pPr>
        <w:spacing w:line="276" w:lineRule="auto"/>
        <w:ind w:firstLine="560" w:firstLineChars="200"/>
        <w:rPr>
          <w:rFonts w:ascii="仿宋" w:hAnsi="仿宋" w:eastAsia="仿宋"/>
          <w:kern w:val="0"/>
          <w:sz w:val="28"/>
          <w:szCs w:val="28"/>
        </w:rPr>
      </w:pPr>
      <w:r>
        <w:rPr>
          <w:rFonts w:hint="eastAsia" w:ascii="仿宋" w:hAnsi="仿宋" w:eastAsia="仿宋"/>
          <w:kern w:val="0"/>
          <w:sz w:val="28"/>
          <w:szCs w:val="28"/>
        </w:rPr>
        <w:t>近自然林是应用“模拟自然”的手法所营造的在种类组成和群落结构上与区域自然森林接近的人工森林。平原区近自然森林培育包括设计近自然、营造近自然和培育近自然等。</w:t>
      </w:r>
    </w:p>
    <w:p>
      <w:pPr>
        <w:pStyle w:val="5"/>
        <w:spacing w:before="0" w:after="0" w:line="276" w:lineRule="auto"/>
        <w:rPr>
          <w:rFonts w:ascii="仿宋" w:hAnsi="仿宋" w:eastAsia="仿宋"/>
        </w:rPr>
      </w:pPr>
      <w:r>
        <w:rPr>
          <w:rFonts w:hint="eastAsia" w:ascii="仿宋" w:hAnsi="仿宋" w:eastAsia="仿宋"/>
        </w:rPr>
        <w:t>2.空间配置</w:t>
      </w:r>
    </w:p>
    <w:p>
      <w:pPr>
        <w:pStyle w:val="46"/>
        <w:numPr>
          <w:ilvl w:val="0"/>
          <w:numId w:val="3"/>
        </w:numPr>
        <w:tabs>
          <w:tab w:val="left" w:pos="709"/>
          <w:tab w:val="left" w:pos="1134"/>
        </w:tabs>
        <w:spacing w:line="276" w:lineRule="auto"/>
        <w:ind w:left="0" w:firstLine="420" w:firstLineChars="0"/>
        <w:rPr>
          <w:rFonts w:ascii="仿宋" w:hAnsi="仿宋" w:eastAsia="仿宋" w:cs="Times New Roman"/>
          <w:sz w:val="28"/>
          <w:szCs w:val="28"/>
        </w:rPr>
      </w:pPr>
      <w:r>
        <w:rPr>
          <w:rFonts w:hint="eastAsia" w:ascii="仿宋" w:hAnsi="仿宋" w:eastAsia="仿宋" w:cs="Times New Roman"/>
          <w:sz w:val="28"/>
          <w:szCs w:val="28"/>
        </w:rPr>
        <w:t>树穴布置宜采用自然式的随机定位；</w:t>
      </w:r>
    </w:p>
    <w:p>
      <w:pPr>
        <w:pStyle w:val="46"/>
        <w:numPr>
          <w:ilvl w:val="0"/>
          <w:numId w:val="3"/>
        </w:numPr>
        <w:tabs>
          <w:tab w:val="left" w:pos="709"/>
          <w:tab w:val="left" w:pos="1134"/>
        </w:tabs>
        <w:spacing w:line="276" w:lineRule="auto"/>
        <w:ind w:left="0" w:firstLine="420" w:firstLineChars="0"/>
        <w:rPr>
          <w:rFonts w:ascii="仿宋" w:hAnsi="仿宋" w:eastAsia="仿宋" w:cs="Times New Roman"/>
          <w:sz w:val="28"/>
          <w:szCs w:val="28"/>
        </w:rPr>
      </w:pPr>
      <w:r>
        <w:rPr>
          <w:rFonts w:hint="eastAsia" w:ascii="仿宋" w:hAnsi="仿宋" w:eastAsia="仿宋" w:cs="Times New Roman"/>
          <w:sz w:val="28"/>
          <w:szCs w:val="28"/>
        </w:rPr>
        <w:t>倡导使用实生苗、容器苗、全冠苗；</w:t>
      </w:r>
    </w:p>
    <w:p>
      <w:pPr>
        <w:pStyle w:val="46"/>
        <w:numPr>
          <w:ilvl w:val="0"/>
          <w:numId w:val="3"/>
        </w:numPr>
        <w:tabs>
          <w:tab w:val="left" w:pos="709"/>
          <w:tab w:val="left" w:pos="1134"/>
        </w:tabs>
        <w:spacing w:line="276" w:lineRule="auto"/>
        <w:ind w:left="0" w:firstLine="420" w:firstLineChars="0"/>
        <w:rPr>
          <w:rFonts w:ascii="仿宋" w:hAnsi="仿宋" w:eastAsia="仿宋" w:cs="Times New Roman"/>
          <w:sz w:val="28"/>
          <w:szCs w:val="28"/>
        </w:rPr>
      </w:pPr>
      <w:r>
        <w:rPr>
          <w:rFonts w:hint="eastAsia" w:ascii="仿宋" w:hAnsi="仿宋" w:eastAsia="仿宋" w:cs="Times New Roman"/>
          <w:sz w:val="28"/>
          <w:szCs w:val="28"/>
        </w:rPr>
        <w:t>注重乔木高度和年龄搭配，以混交异龄群落为主；</w:t>
      </w:r>
    </w:p>
    <w:p>
      <w:pPr>
        <w:pStyle w:val="46"/>
        <w:numPr>
          <w:ilvl w:val="0"/>
          <w:numId w:val="3"/>
        </w:numPr>
        <w:tabs>
          <w:tab w:val="left" w:pos="709"/>
          <w:tab w:val="left" w:pos="1134"/>
        </w:tabs>
        <w:spacing w:line="276" w:lineRule="auto"/>
        <w:ind w:left="0" w:firstLine="420" w:firstLineChars="0"/>
        <w:rPr>
          <w:rFonts w:ascii="仿宋" w:hAnsi="仿宋" w:eastAsia="仿宋" w:cs="Times New Roman"/>
          <w:sz w:val="28"/>
          <w:szCs w:val="28"/>
        </w:rPr>
      </w:pPr>
      <w:r>
        <w:rPr>
          <w:rFonts w:hint="eastAsia" w:ascii="仿宋" w:hAnsi="仿宋" w:eastAsia="仿宋" w:cs="Times New Roman"/>
          <w:sz w:val="28"/>
          <w:szCs w:val="28"/>
        </w:rPr>
        <w:t>选择使用鸟类、昆虫、小动物等食源、蜜源植物；</w:t>
      </w:r>
      <w:r>
        <w:rPr>
          <w:rFonts w:ascii="仿宋" w:hAnsi="仿宋" w:eastAsia="仿宋" w:cs="Times New Roman"/>
          <w:sz w:val="28"/>
          <w:szCs w:val="28"/>
        </w:rPr>
        <w:t xml:space="preserve"> </w:t>
      </w:r>
    </w:p>
    <w:p>
      <w:pPr>
        <w:pStyle w:val="46"/>
        <w:numPr>
          <w:ilvl w:val="0"/>
          <w:numId w:val="3"/>
        </w:numPr>
        <w:tabs>
          <w:tab w:val="left" w:pos="709"/>
          <w:tab w:val="left" w:pos="1134"/>
        </w:tabs>
        <w:spacing w:line="276" w:lineRule="auto"/>
        <w:ind w:left="0" w:firstLine="420" w:firstLineChars="0"/>
        <w:rPr>
          <w:rFonts w:ascii="仿宋" w:hAnsi="仿宋" w:eastAsia="仿宋" w:cs="Times New Roman"/>
          <w:sz w:val="28"/>
          <w:szCs w:val="28"/>
        </w:rPr>
      </w:pPr>
      <w:r>
        <w:rPr>
          <w:rFonts w:hint="eastAsia" w:ascii="仿宋" w:hAnsi="仿宋" w:eastAsia="仿宋" w:cs="Times New Roman"/>
          <w:sz w:val="28"/>
          <w:szCs w:val="28"/>
        </w:rPr>
        <w:t>合理搭配速生与慢生树种，常绿与落叶树种；</w:t>
      </w:r>
    </w:p>
    <w:p>
      <w:pPr>
        <w:pStyle w:val="46"/>
        <w:numPr>
          <w:ilvl w:val="0"/>
          <w:numId w:val="3"/>
        </w:numPr>
        <w:tabs>
          <w:tab w:val="left" w:pos="709"/>
          <w:tab w:val="left" w:pos="1134"/>
        </w:tabs>
        <w:spacing w:line="276" w:lineRule="auto"/>
        <w:ind w:left="0" w:firstLine="420" w:firstLineChars="0"/>
        <w:rPr>
          <w:rFonts w:ascii="仿宋" w:hAnsi="仿宋" w:eastAsia="仿宋" w:cs="Times New Roman"/>
          <w:sz w:val="28"/>
          <w:szCs w:val="28"/>
        </w:rPr>
      </w:pPr>
      <w:r>
        <w:rPr>
          <w:rFonts w:hint="eastAsia" w:ascii="仿宋" w:hAnsi="仿宋" w:eastAsia="仿宋" w:cs="Times New Roman"/>
          <w:sz w:val="28"/>
          <w:szCs w:val="28"/>
        </w:rPr>
        <w:t>长寿树种使用比例在7</w:t>
      </w:r>
      <w:r>
        <w:rPr>
          <w:rFonts w:ascii="仿宋" w:hAnsi="仿宋" w:eastAsia="仿宋" w:cs="Times New Roman"/>
          <w:sz w:val="28"/>
          <w:szCs w:val="28"/>
        </w:rPr>
        <w:t>0</w:t>
      </w:r>
      <w:r>
        <w:rPr>
          <w:rFonts w:hint="eastAsia" w:ascii="仿宋" w:hAnsi="仿宋" w:eastAsia="仿宋" w:cs="Times New Roman"/>
          <w:sz w:val="28"/>
          <w:szCs w:val="28"/>
        </w:rPr>
        <w:t>%以上，单一树种使用数量比例小于2</w:t>
      </w:r>
      <w:r>
        <w:rPr>
          <w:rFonts w:ascii="仿宋" w:hAnsi="仿宋" w:eastAsia="仿宋" w:cs="Times New Roman"/>
          <w:sz w:val="28"/>
          <w:szCs w:val="28"/>
        </w:rPr>
        <w:t>0</w:t>
      </w:r>
      <w:r>
        <w:rPr>
          <w:rFonts w:hint="eastAsia" w:ascii="仿宋" w:hAnsi="仿宋" w:eastAsia="仿宋" w:cs="Times New Roman"/>
          <w:sz w:val="28"/>
          <w:szCs w:val="28"/>
        </w:rPr>
        <w:t>%。</w:t>
      </w:r>
    </w:p>
    <w:p>
      <w:pPr>
        <w:pStyle w:val="5"/>
        <w:spacing w:before="0" w:after="0" w:line="276" w:lineRule="auto"/>
        <w:rPr>
          <w:rFonts w:ascii="仿宋" w:hAnsi="仿宋" w:eastAsia="仿宋"/>
        </w:rPr>
      </w:pPr>
      <w:r>
        <w:rPr>
          <w:rFonts w:hint="eastAsia" w:ascii="仿宋" w:hAnsi="仿宋" w:eastAsia="仿宋"/>
        </w:rPr>
        <w:t>3.管护措施</w:t>
      </w:r>
    </w:p>
    <w:p>
      <w:pPr>
        <w:pStyle w:val="46"/>
        <w:numPr>
          <w:ilvl w:val="0"/>
          <w:numId w:val="4"/>
        </w:numPr>
        <w:spacing w:line="276" w:lineRule="auto"/>
        <w:ind w:left="0" w:firstLine="480" w:firstLineChars="0"/>
        <w:rPr>
          <w:rFonts w:ascii="仿宋" w:hAnsi="仿宋" w:eastAsia="仿宋" w:cs="Times New Roman"/>
          <w:sz w:val="28"/>
          <w:szCs w:val="28"/>
        </w:rPr>
      </w:pPr>
      <w:r>
        <w:rPr>
          <w:rFonts w:hint="eastAsia" w:ascii="仿宋" w:hAnsi="仿宋" w:eastAsia="仿宋" w:cs="Times New Roman"/>
          <w:sz w:val="28"/>
          <w:szCs w:val="28"/>
        </w:rPr>
        <w:t>种植后需进行生态化养护，即在种植后2至3年内，需要进行除草施肥灌溉等一般性养护。在此之后，逐渐降低养护和管理程度，让群落自然生长，形成近自然景观；</w:t>
      </w:r>
    </w:p>
    <w:p>
      <w:pPr>
        <w:pStyle w:val="46"/>
        <w:numPr>
          <w:ilvl w:val="0"/>
          <w:numId w:val="4"/>
        </w:numPr>
        <w:spacing w:line="276" w:lineRule="auto"/>
        <w:ind w:left="0" w:firstLine="480" w:firstLineChars="0"/>
        <w:rPr>
          <w:rFonts w:ascii="仿宋" w:hAnsi="仿宋" w:eastAsia="仿宋" w:cs="Times New Roman"/>
          <w:sz w:val="28"/>
          <w:szCs w:val="28"/>
        </w:rPr>
      </w:pPr>
      <w:r>
        <w:rPr>
          <w:rFonts w:hint="eastAsia" w:ascii="仿宋" w:hAnsi="仿宋" w:eastAsia="仿宋" w:cs="Times New Roman"/>
          <w:sz w:val="28"/>
          <w:szCs w:val="28"/>
        </w:rPr>
        <w:t>注重保留林下凋落物，促进土壤恢复；</w:t>
      </w:r>
    </w:p>
    <w:p>
      <w:pPr>
        <w:pStyle w:val="46"/>
        <w:numPr>
          <w:ilvl w:val="0"/>
          <w:numId w:val="4"/>
        </w:numPr>
        <w:spacing w:line="276" w:lineRule="auto"/>
        <w:ind w:left="0" w:firstLine="480" w:firstLineChars="0"/>
        <w:rPr>
          <w:rFonts w:ascii="仿宋" w:hAnsi="仿宋" w:eastAsia="仿宋" w:cs="Times New Roman"/>
          <w:sz w:val="28"/>
          <w:szCs w:val="28"/>
        </w:rPr>
      </w:pPr>
      <w:r>
        <w:rPr>
          <w:rFonts w:hint="eastAsia" w:ascii="仿宋" w:hAnsi="仿宋" w:eastAsia="仿宋" w:cs="Times New Roman"/>
          <w:sz w:val="28"/>
          <w:szCs w:val="28"/>
        </w:rPr>
        <w:t>适当保留灌木和草本，为鸟类、小动物等提供生境；</w:t>
      </w:r>
    </w:p>
    <w:p>
      <w:pPr>
        <w:pStyle w:val="46"/>
        <w:numPr>
          <w:ilvl w:val="0"/>
          <w:numId w:val="4"/>
        </w:numPr>
        <w:spacing w:line="276" w:lineRule="auto"/>
        <w:ind w:left="0" w:firstLine="480" w:firstLineChars="0"/>
        <w:rPr>
          <w:rFonts w:ascii="仿宋" w:hAnsi="仿宋" w:eastAsia="仿宋" w:cs="Times New Roman"/>
          <w:sz w:val="28"/>
          <w:szCs w:val="28"/>
        </w:rPr>
      </w:pPr>
      <w:r>
        <w:rPr>
          <w:rFonts w:hint="eastAsia" w:ascii="仿宋" w:hAnsi="仿宋" w:eastAsia="仿宋" w:cs="Times New Roman"/>
          <w:sz w:val="28"/>
          <w:szCs w:val="28"/>
        </w:rPr>
        <w:t>科学调控林分密度，培育结构合理、生物多样的健康森林景观；</w:t>
      </w:r>
    </w:p>
    <w:p>
      <w:pPr>
        <w:pStyle w:val="46"/>
        <w:numPr>
          <w:ilvl w:val="0"/>
          <w:numId w:val="4"/>
        </w:numPr>
        <w:spacing w:line="276" w:lineRule="auto"/>
        <w:ind w:left="0" w:firstLine="480" w:firstLineChars="0"/>
        <w:rPr>
          <w:rFonts w:ascii="仿宋" w:hAnsi="仿宋" w:eastAsia="仿宋" w:cs="Times New Roman"/>
          <w:sz w:val="28"/>
          <w:szCs w:val="28"/>
        </w:rPr>
      </w:pPr>
      <w:r>
        <w:rPr>
          <w:rFonts w:hint="eastAsia" w:ascii="仿宋" w:hAnsi="仿宋" w:eastAsia="仿宋" w:cs="Times New Roman"/>
          <w:sz w:val="28"/>
          <w:szCs w:val="28"/>
        </w:rPr>
        <w:t>合理规划防火林带和防火通道。</w:t>
      </w:r>
    </w:p>
    <w:p>
      <w:pPr>
        <w:pStyle w:val="3"/>
        <w:spacing w:before="217" w:after="217"/>
        <w:jc w:val="left"/>
        <w:rPr>
          <w:rFonts w:ascii="黑体" w:hAnsi="黑体" w:eastAsia="黑体" w:cs="Times New Roman"/>
          <w:b w:val="0"/>
          <w:bCs w:val="0"/>
        </w:rPr>
      </w:pPr>
      <w:bookmarkStart w:id="61" w:name="_Toc530649101"/>
      <w:bookmarkStart w:id="62" w:name="_Toc27389884"/>
      <w:r>
        <w:rPr>
          <w:rFonts w:hint="eastAsia" w:ascii="黑体" w:hAnsi="黑体" w:eastAsia="黑体" w:cs="Times New Roman"/>
          <w:b w:val="0"/>
          <w:bCs w:val="0"/>
        </w:rPr>
        <w:t>二、城市森林公园</w:t>
      </w:r>
      <w:bookmarkEnd w:id="61"/>
      <w:bookmarkEnd w:id="62"/>
    </w:p>
    <w:p>
      <w:pPr>
        <w:pStyle w:val="5"/>
        <w:spacing w:before="0" w:after="0" w:line="276" w:lineRule="auto"/>
        <w:rPr>
          <w:rFonts w:ascii="仿宋" w:hAnsi="仿宋" w:eastAsia="仿宋"/>
        </w:rPr>
      </w:pPr>
      <w:r>
        <w:rPr>
          <w:rFonts w:hint="eastAsia" w:ascii="仿宋" w:hAnsi="仿宋" w:eastAsia="仿宋"/>
        </w:rPr>
        <w:t>1.远景目标</w:t>
      </w:r>
    </w:p>
    <w:p>
      <w:pPr>
        <w:spacing w:line="276" w:lineRule="auto"/>
        <w:ind w:firstLine="562" w:firstLineChars="200"/>
        <w:rPr>
          <w:rFonts w:ascii="仿宋" w:hAnsi="仿宋" w:eastAsia="仿宋" w:cs="Times New Roman"/>
          <w:b/>
          <w:sz w:val="28"/>
          <w:szCs w:val="28"/>
        </w:rPr>
      </w:pPr>
      <w:r>
        <w:rPr>
          <w:rFonts w:hint="eastAsia" w:ascii="仿宋" w:hAnsi="仿宋" w:eastAsia="仿宋" w:cs="Times New Roman"/>
          <w:b/>
          <w:sz w:val="28"/>
          <w:szCs w:val="28"/>
        </w:rPr>
        <w:t>愿景：四季变换的森林景观，绿树掩映的休闲空间</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每个城市森林公园都要拥有60%以上的林木覆盖率，高大长寿乔木为主，为市民提供大树</w:t>
      </w:r>
      <w:r>
        <w:rPr>
          <w:rFonts w:hint="eastAsia" w:ascii="仿宋" w:hAnsi="仿宋" w:eastAsia="仿宋"/>
          <w:kern w:val="0"/>
          <w:sz w:val="28"/>
          <w:szCs w:val="28"/>
        </w:rPr>
        <w:t>成荫</w:t>
      </w:r>
      <w:r>
        <w:rPr>
          <w:rFonts w:hint="eastAsia" w:ascii="仿宋" w:hAnsi="仿宋" w:eastAsia="仿宋" w:cs="Times New Roman"/>
          <w:sz w:val="28"/>
          <w:szCs w:val="28"/>
        </w:rPr>
        <w:t>的休憩空间，为城市提供丰富多彩、充满野趣的森林景观，建设集生态防护、景观提升、康养运动、休闲游憩等多功能于一体的城市森林公园网。</w:t>
      </w:r>
    </w:p>
    <w:p>
      <w:pPr>
        <w:pStyle w:val="5"/>
        <w:spacing w:before="0" w:after="0" w:line="276" w:lineRule="auto"/>
        <w:rPr>
          <w:rFonts w:ascii="仿宋" w:hAnsi="仿宋" w:eastAsia="仿宋"/>
        </w:rPr>
      </w:pPr>
      <w:r>
        <w:rPr>
          <w:rFonts w:hint="eastAsia" w:ascii="仿宋" w:hAnsi="仿宋" w:eastAsia="仿宋"/>
        </w:rPr>
        <w:t>2.空间配置</w:t>
      </w:r>
    </w:p>
    <w:p>
      <w:pPr>
        <w:tabs>
          <w:tab w:val="left" w:pos="709"/>
          <w:tab w:val="left" w:pos="1134"/>
        </w:tabs>
        <w:spacing w:line="276" w:lineRule="auto"/>
        <w:ind w:firstLine="420" w:firstLineChars="150"/>
        <w:rPr>
          <w:rFonts w:ascii="仿宋" w:hAnsi="仿宋" w:eastAsia="仿宋" w:cs="Times New Roman"/>
          <w:sz w:val="28"/>
          <w:szCs w:val="28"/>
        </w:rPr>
      </w:pPr>
      <w:r>
        <w:rPr>
          <w:rFonts w:hint="eastAsia" w:ascii="仿宋" w:hAnsi="仿宋" w:eastAsia="仿宋" w:cs="Times New Roman"/>
          <w:sz w:val="28"/>
          <w:szCs w:val="28"/>
        </w:rPr>
        <w:t>（1）应尽量保留原有地形地貌与自然植被；</w:t>
      </w:r>
    </w:p>
    <w:p>
      <w:pPr>
        <w:tabs>
          <w:tab w:val="left" w:pos="709"/>
          <w:tab w:val="left" w:pos="1134"/>
        </w:tabs>
        <w:spacing w:line="276" w:lineRule="auto"/>
        <w:ind w:firstLine="420" w:firstLineChars="150"/>
        <w:rPr>
          <w:rFonts w:ascii="仿宋" w:hAnsi="仿宋" w:eastAsia="仿宋" w:cs="Times New Roman"/>
          <w:sz w:val="28"/>
          <w:szCs w:val="28"/>
        </w:rPr>
      </w:pPr>
      <w:r>
        <w:rPr>
          <w:rFonts w:hint="eastAsia" w:ascii="仿宋" w:hAnsi="仿宋" w:eastAsia="仿宋" w:cs="Times New Roman"/>
          <w:sz w:val="28"/>
          <w:szCs w:val="28"/>
        </w:rPr>
        <w:t>（2）合理搭配乔灌木和地被、常绿树和落叶树，展现森林景观四季分明的季相变化特色；</w:t>
      </w:r>
    </w:p>
    <w:p>
      <w:pPr>
        <w:pStyle w:val="46"/>
        <w:tabs>
          <w:tab w:val="left" w:pos="709"/>
          <w:tab w:val="left" w:pos="1134"/>
        </w:tabs>
        <w:spacing w:line="276" w:lineRule="auto"/>
        <w:ind w:left="420" w:firstLine="0" w:firstLineChars="0"/>
        <w:rPr>
          <w:rFonts w:ascii="仿宋" w:hAnsi="仿宋" w:eastAsia="仿宋" w:cs="Times New Roman"/>
          <w:sz w:val="28"/>
          <w:szCs w:val="28"/>
        </w:rPr>
      </w:pPr>
      <w:r>
        <w:rPr>
          <w:rFonts w:hint="eastAsia" w:ascii="仿宋" w:hAnsi="仿宋" w:eastAsia="仿宋" w:cs="Times New Roman"/>
          <w:sz w:val="28"/>
          <w:szCs w:val="28"/>
        </w:rPr>
        <w:t>（3）落叶与常绿树种比例7：3；</w:t>
      </w:r>
    </w:p>
    <w:p>
      <w:pPr>
        <w:tabs>
          <w:tab w:val="left" w:pos="709"/>
          <w:tab w:val="left" w:pos="1134"/>
        </w:tabs>
        <w:spacing w:line="276" w:lineRule="auto"/>
        <w:ind w:firstLine="420" w:firstLineChars="150"/>
        <w:rPr>
          <w:rFonts w:ascii="仿宋" w:hAnsi="仿宋" w:eastAsia="仿宋" w:cs="Times New Roman"/>
          <w:sz w:val="28"/>
          <w:szCs w:val="28"/>
        </w:rPr>
      </w:pPr>
      <w:r>
        <w:rPr>
          <w:rFonts w:hint="eastAsia" w:ascii="仿宋" w:hAnsi="仿宋" w:eastAsia="仿宋" w:cs="Times New Roman"/>
          <w:sz w:val="28"/>
          <w:szCs w:val="28"/>
        </w:rPr>
        <w:t>（4）自然林的比重应不低于总面积的30%，为鸟类、昆虫、小动物等提供栖息地；</w:t>
      </w:r>
    </w:p>
    <w:p>
      <w:pPr>
        <w:tabs>
          <w:tab w:val="left" w:pos="709"/>
          <w:tab w:val="left" w:pos="1134"/>
        </w:tabs>
        <w:spacing w:line="276" w:lineRule="auto"/>
        <w:ind w:firstLine="420" w:firstLineChars="150"/>
        <w:rPr>
          <w:rFonts w:ascii="仿宋" w:hAnsi="仿宋" w:eastAsia="仿宋" w:cs="Times New Roman"/>
          <w:sz w:val="28"/>
          <w:szCs w:val="28"/>
        </w:rPr>
      </w:pPr>
      <w:r>
        <w:rPr>
          <w:rFonts w:hint="eastAsia" w:ascii="仿宋" w:hAnsi="仿宋" w:eastAsia="仿宋" w:cs="Times New Roman"/>
          <w:sz w:val="28"/>
          <w:szCs w:val="28"/>
        </w:rPr>
        <w:t>（5）城市森林公园中大面积游憩林的群落配置应以乔草结构为主，形成通透开阔、便于人们活动的林下游憩空间；</w:t>
      </w:r>
    </w:p>
    <w:p>
      <w:pPr>
        <w:pStyle w:val="46"/>
        <w:tabs>
          <w:tab w:val="left" w:pos="709"/>
          <w:tab w:val="left" w:pos="1134"/>
        </w:tabs>
        <w:spacing w:line="276" w:lineRule="auto"/>
        <w:ind w:left="420" w:firstLine="0" w:firstLineChars="0"/>
        <w:rPr>
          <w:rFonts w:ascii="仿宋" w:hAnsi="仿宋" w:eastAsia="仿宋" w:cs="Times New Roman"/>
          <w:sz w:val="28"/>
          <w:szCs w:val="28"/>
        </w:rPr>
      </w:pPr>
      <w:r>
        <w:rPr>
          <w:rFonts w:hint="eastAsia" w:ascii="仿宋" w:hAnsi="仿宋" w:eastAsia="仿宋" w:cs="Times New Roman"/>
          <w:sz w:val="28"/>
          <w:szCs w:val="28"/>
        </w:rPr>
        <w:t>（6）大树树穴使用mulch覆盖；</w:t>
      </w:r>
    </w:p>
    <w:p>
      <w:pPr>
        <w:tabs>
          <w:tab w:val="left" w:pos="709"/>
          <w:tab w:val="left" w:pos="1134"/>
        </w:tabs>
        <w:spacing w:line="276" w:lineRule="auto"/>
        <w:ind w:firstLine="420" w:firstLineChars="150"/>
        <w:rPr>
          <w:rFonts w:ascii="仿宋" w:hAnsi="仿宋" w:eastAsia="仿宋" w:cs="Times New Roman"/>
          <w:sz w:val="28"/>
          <w:szCs w:val="28"/>
        </w:rPr>
      </w:pPr>
      <w:r>
        <w:rPr>
          <w:rFonts w:hint="eastAsia" w:ascii="仿宋" w:hAnsi="仿宋" w:eastAsia="仿宋" w:cs="Times New Roman"/>
          <w:sz w:val="28"/>
          <w:szCs w:val="28"/>
        </w:rPr>
        <w:t xml:space="preserve">（7）注重地表覆盖，撒播二月兰、波斯菊、醡浆草、雏菊、苜蓿、毛茛科、石竹科等时令鲜花，营造野趣盎然、三季有花、莺飞蝶舞的森林游憩空间。                                                                                                </w:t>
      </w:r>
    </w:p>
    <w:p>
      <w:pPr>
        <w:pStyle w:val="5"/>
        <w:spacing w:before="0" w:after="0" w:line="276" w:lineRule="auto"/>
        <w:rPr>
          <w:rFonts w:ascii="仿宋" w:hAnsi="仿宋" w:eastAsia="仿宋"/>
        </w:rPr>
      </w:pPr>
      <w:r>
        <w:rPr>
          <w:rFonts w:hint="eastAsia" w:ascii="仿宋" w:hAnsi="仿宋" w:eastAsia="仿宋"/>
        </w:rPr>
        <w:t>3.管护措施</w:t>
      </w:r>
    </w:p>
    <w:p>
      <w:pPr>
        <w:pStyle w:val="46"/>
        <w:numPr>
          <w:ilvl w:val="0"/>
          <w:numId w:val="5"/>
        </w:numPr>
        <w:tabs>
          <w:tab w:val="left" w:pos="709"/>
          <w:tab w:val="left" w:pos="1134"/>
        </w:tabs>
        <w:spacing w:line="276" w:lineRule="auto"/>
        <w:ind w:left="0" w:firstLine="420" w:firstLineChars="0"/>
        <w:rPr>
          <w:rFonts w:ascii="仿宋" w:hAnsi="仿宋" w:eastAsia="仿宋" w:cs="Times New Roman"/>
          <w:sz w:val="28"/>
          <w:szCs w:val="28"/>
        </w:rPr>
      </w:pPr>
      <w:r>
        <w:rPr>
          <w:rFonts w:hint="eastAsia" w:ascii="仿宋" w:hAnsi="仿宋" w:eastAsia="仿宋" w:cs="Times New Roman"/>
          <w:sz w:val="28"/>
          <w:szCs w:val="28"/>
        </w:rPr>
        <w:t>对于林分郁闭度超过0.7以上且胸径连年生长量持续下降的林分，应采取强度适宜的抚育间伐，使林下保持开阔的游憩空间；</w:t>
      </w:r>
    </w:p>
    <w:p>
      <w:pPr>
        <w:pStyle w:val="46"/>
        <w:numPr>
          <w:ilvl w:val="0"/>
          <w:numId w:val="5"/>
        </w:numPr>
        <w:tabs>
          <w:tab w:val="left" w:pos="709"/>
          <w:tab w:val="left" w:pos="1134"/>
        </w:tabs>
        <w:spacing w:line="276" w:lineRule="auto"/>
        <w:ind w:left="0" w:firstLine="420" w:firstLineChars="0"/>
        <w:rPr>
          <w:rFonts w:ascii="仿宋" w:hAnsi="仿宋" w:eastAsia="仿宋" w:cs="Times New Roman"/>
          <w:sz w:val="28"/>
          <w:szCs w:val="28"/>
        </w:rPr>
      </w:pPr>
      <w:r>
        <w:rPr>
          <w:rFonts w:hint="eastAsia" w:ascii="仿宋" w:hAnsi="仿宋" w:eastAsia="仿宋" w:cs="Times New Roman"/>
          <w:sz w:val="28"/>
          <w:szCs w:val="28"/>
        </w:rPr>
        <w:t>对于近自然林，尽量减少人工干预，林地中的枯枝、枯立木和倒木，在不影响人们活动、不影响安全的情况下，可保留作为鸟、小型哺乳动物的巢穴，或任其腐烂归还自然；</w:t>
      </w:r>
    </w:p>
    <w:p>
      <w:pPr>
        <w:pStyle w:val="46"/>
        <w:numPr>
          <w:ilvl w:val="0"/>
          <w:numId w:val="5"/>
        </w:numPr>
        <w:tabs>
          <w:tab w:val="left" w:pos="709"/>
          <w:tab w:val="left" w:pos="1134"/>
        </w:tabs>
        <w:spacing w:line="276" w:lineRule="auto"/>
        <w:ind w:left="0" w:firstLine="420" w:firstLineChars="0"/>
        <w:rPr>
          <w:rFonts w:ascii="仿宋" w:hAnsi="仿宋" w:eastAsia="仿宋" w:cs="Times New Roman"/>
          <w:sz w:val="28"/>
          <w:szCs w:val="28"/>
        </w:rPr>
      </w:pPr>
      <w:r>
        <w:rPr>
          <w:rFonts w:hint="eastAsia" w:ascii="仿宋" w:hAnsi="仿宋" w:eastAsia="仿宋" w:cs="Times New Roman"/>
          <w:sz w:val="28"/>
          <w:szCs w:val="28"/>
        </w:rPr>
        <w:t>对于公园局部的精品园林区，应雇用具有园林、园艺专业知识背景的绿化技术人员进行精心管护，不断提升园林景观的品位，同时维护园林植物的健康；</w:t>
      </w:r>
    </w:p>
    <w:p>
      <w:pPr>
        <w:pStyle w:val="46"/>
        <w:numPr>
          <w:ilvl w:val="0"/>
          <w:numId w:val="5"/>
        </w:numPr>
        <w:tabs>
          <w:tab w:val="left" w:pos="709"/>
          <w:tab w:val="left" w:pos="1134"/>
        </w:tabs>
        <w:spacing w:line="276" w:lineRule="auto"/>
        <w:ind w:left="0" w:firstLine="420" w:firstLineChars="0"/>
        <w:rPr>
          <w:rFonts w:ascii="仿宋" w:hAnsi="仿宋" w:eastAsia="仿宋" w:cs="Times New Roman"/>
          <w:sz w:val="28"/>
          <w:szCs w:val="28"/>
        </w:rPr>
      </w:pPr>
      <w:r>
        <w:rPr>
          <w:rFonts w:hint="eastAsia" w:ascii="仿宋" w:hAnsi="仿宋" w:eastAsia="仿宋" w:cs="Times New Roman"/>
          <w:sz w:val="28"/>
          <w:szCs w:val="28"/>
        </w:rPr>
        <w:t>将公园路面的树木枯枝、落叶等枯落物，简单清扫至道路两侧林地、绿地中，将枯落物保留在林中分解归还林地，或者收集集中进行粉碎、腐化，再归还到林地中，以保留森林的自然景色。</w:t>
      </w:r>
    </w:p>
    <w:p>
      <w:pPr>
        <w:pStyle w:val="3"/>
        <w:spacing w:before="217" w:after="217"/>
        <w:jc w:val="left"/>
        <w:rPr>
          <w:rFonts w:ascii="黑体" w:hAnsi="黑体" w:eastAsia="黑体" w:cs="Times New Roman"/>
          <w:b w:val="0"/>
          <w:bCs w:val="0"/>
        </w:rPr>
      </w:pPr>
      <w:bookmarkStart w:id="63" w:name="_Toc530649102"/>
      <w:bookmarkStart w:id="64" w:name="_Toc27389885"/>
      <w:r>
        <w:rPr>
          <w:rFonts w:hint="eastAsia" w:ascii="黑体" w:hAnsi="黑体" w:eastAsia="黑体" w:cs="Times New Roman"/>
          <w:b w:val="0"/>
          <w:bCs w:val="0"/>
        </w:rPr>
        <w:t>三、水岸森林</w:t>
      </w:r>
      <w:bookmarkEnd w:id="63"/>
      <w:r>
        <w:rPr>
          <w:rFonts w:hint="eastAsia" w:ascii="黑体" w:hAnsi="黑体" w:eastAsia="黑体" w:cs="Times New Roman"/>
          <w:b w:val="0"/>
          <w:bCs w:val="0"/>
        </w:rPr>
        <w:t>植被</w:t>
      </w:r>
      <w:bookmarkEnd w:id="64"/>
    </w:p>
    <w:p>
      <w:pPr>
        <w:pStyle w:val="5"/>
        <w:spacing w:before="0" w:after="0" w:line="276" w:lineRule="auto"/>
        <w:rPr>
          <w:rFonts w:ascii="仿宋" w:hAnsi="仿宋" w:eastAsia="仿宋"/>
        </w:rPr>
      </w:pPr>
      <w:r>
        <w:rPr>
          <w:rFonts w:hint="eastAsia" w:ascii="仿宋" w:hAnsi="仿宋" w:eastAsia="仿宋"/>
        </w:rPr>
        <w:t>1.远景目标</w:t>
      </w:r>
    </w:p>
    <w:p>
      <w:pPr>
        <w:spacing w:line="276" w:lineRule="auto"/>
        <w:ind w:firstLine="562" w:firstLineChars="200"/>
        <w:rPr>
          <w:rFonts w:ascii="仿宋" w:hAnsi="仿宋" w:eastAsia="仿宋" w:cs="Times New Roman"/>
          <w:b/>
          <w:sz w:val="28"/>
          <w:szCs w:val="28"/>
        </w:rPr>
      </w:pPr>
      <w:r>
        <w:rPr>
          <w:rFonts w:hint="eastAsia" w:ascii="仿宋" w:hAnsi="仿宋" w:eastAsia="仿宋" w:cs="Times New Roman"/>
          <w:b/>
          <w:sz w:val="28"/>
          <w:szCs w:val="28"/>
        </w:rPr>
        <w:t>愿景：两岸花柳全依水，水清岸绿直到山</w:t>
      </w:r>
    </w:p>
    <w:p>
      <w:pPr>
        <w:spacing w:line="276" w:lineRule="auto"/>
        <w:ind w:firstLine="560" w:firstLineChars="200"/>
        <w:rPr>
          <w:rFonts w:ascii="仿宋" w:hAnsi="仿宋" w:eastAsia="仿宋"/>
          <w:kern w:val="0"/>
          <w:sz w:val="28"/>
          <w:szCs w:val="28"/>
        </w:rPr>
      </w:pPr>
      <w:r>
        <w:rPr>
          <w:rFonts w:hint="eastAsia" w:ascii="仿宋" w:hAnsi="仿宋" w:eastAsia="仿宋"/>
          <w:kern w:val="0"/>
          <w:sz w:val="28"/>
          <w:szCs w:val="28"/>
        </w:rPr>
        <w:t>在北京市域范围内，以潮白河、永定河、温榆河和北运河及其支流水系为构架，建设两岸各宽3</w:t>
      </w:r>
      <w:r>
        <w:rPr>
          <w:rFonts w:ascii="仿宋" w:hAnsi="仿宋" w:eastAsia="仿宋"/>
          <w:kern w:val="0"/>
          <w:sz w:val="28"/>
          <w:szCs w:val="28"/>
        </w:rPr>
        <w:t>0</w:t>
      </w:r>
      <w:r>
        <w:rPr>
          <w:rFonts w:hint="eastAsia" w:ascii="仿宋" w:hAnsi="仿宋" w:eastAsia="仿宋"/>
          <w:kern w:val="0"/>
          <w:sz w:val="28"/>
          <w:szCs w:val="28"/>
        </w:rPr>
        <w:t>米以上的沿河水岸森林。在保留河流廊道原始景观风貌的基础上，保护、修复河流廊道的生态功能，使水体岸线自然化率达85%以上，适宜绿化的水岸绿化率达85%以上，以保证为河流生物提供充足的有机碎屑、降低河流污染物，营造自然的生物生境，维持河流生态系统的稳定性。</w:t>
      </w:r>
    </w:p>
    <w:p>
      <w:pPr>
        <w:pStyle w:val="5"/>
        <w:spacing w:before="0" w:after="0" w:line="276" w:lineRule="auto"/>
        <w:rPr>
          <w:rFonts w:ascii="仿宋" w:hAnsi="仿宋" w:eastAsia="仿宋"/>
        </w:rPr>
      </w:pPr>
      <w:r>
        <w:rPr>
          <w:rFonts w:hint="eastAsia" w:ascii="仿宋" w:hAnsi="仿宋" w:eastAsia="仿宋"/>
        </w:rPr>
        <w:t>2.空间配置</w:t>
      </w:r>
    </w:p>
    <w:p>
      <w:pPr>
        <w:pStyle w:val="46"/>
        <w:numPr>
          <w:ilvl w:val="0"/>
          <w:numId w:val="6"/>
        </w:numPr>
        <w:tabs>
          <w:tab w:val="left" w:pos="1134"/>
        </w:tabs>
        <w:spacing w:line="276" w:lineRule="auto"/>
        <w:ind w:left="0" w:firstLine="480" w:firstLineChars="0"/>
        <w:rPr>
          <w:rFonts w:ascii="仿宋" w:hAnsi="仿宋" w:eastAsia="仿宋"/>
          <w:kern w:val="0"/>
          <w:sz w:val="28"/>
          <w:szCs w:val="28"/>
        </w:rPr>
      </w:pPr>
      <w:r>
        <w:rPr>
          <w:rFonts w:hint="eastAsia" w:ascii="仿宋" w:hAnsi="仿宋" w:eastAsia="仿宋"/>
          <w:kern w:val="0"/>
          <w:sz w:val="28"/>
          <w:szCs w:val="28"/>
        </w:rPr>
        <w:t>骨干河流保留大于100米宽、林木为主的河岸植被带，一般性河流保留恢复30米宽的自然河岸植被；</w:t>
      </w:r>
    </w:p>
    <w:p>
      <w:pPr>
        <w:pStyle w:val="46"/>
        <w:numPr>
          <w:ilvl w:val="0"/>
          <w:numId w:val="6"/>
        </w:numPr>
        <w:tabs>
          <w:tab w:val="left" w:pos="1134"/>
        </w:tabs>
        <w:spacing w:line="276" w:lineRule="auto"/>
        <w:ind w:left="0" w:firstLine="480" w:firstLineChars="0"/>
        <w:rPr>
          <w:rFonts w:ascii="仿宋" w:hAnsi="仿宋" w:eastAsia="仿宋"/>
          <w:kern w:val="0"/>
          <w:sz w:val="28"/>
          <w:szCs w:val="28"/>
        </w:rPr>
      </w:pPr>
      <w:r>
        <w:rPr>
          <w:rFonts w:hint="eastAsia" w:ascii="仿宋" w:hAnsi="仿宋" w:eastAsia="仿宋"/>
          <w:kern w:val="0"/>
          <w:sz w:val="28"/>
          <w:szCs w:val="28"/>
        </w:rPr>
        <w:t>保留自然河岸，建设能呼吸的生态景观河，为鱼类和两栖类动物提供生境；</w:t>
      </w:r>
    </w:p>
    <w:p>
      <w:pPr>
        <w:pStyle w:val="46"/>
        <w:numPr>
          <w:ilvl w:val="0"/>
          <w:numId w:val="6"/>
        </w:numPr>
        <w:tabs>
          <w:tab w:val="left" w:pos="1134"/>
        </w:tabs>
        <w:spacing w:line="276" w:lineRule="auto"/>
        <w:ind w:left="0" w:firstLine="480" w:firstLineChars="0"/>
        <w:rPr>
          <w:rFonts w:ascii="仿宋" w:hAnsi="仿宋" w:eastAsia="仿宋"/>
          <w:kern w:val="0"/>
          <w:sz w:val="28"/>
          <w:szCs w:val="28"/>
        </w:rPr>
      </w:pPr>
      <w:r>
        <w:rPr>
          <w:rFonts w:hint="eastAsia" w:ascii="仿宋" w:hAnsi="仿宋" w:eastAsia="仿宋"/>
          <w:kern w:val="0"/>
          <w:sz w:val="28"/>
          <w:szCs w:val="28"/>
        </w:rPr>
        <w:t>注重选用柳树、枫杨、苦楝、杨树等具有北京特色的水岸树种，延续原生河流景观风貌。</w:t>
      </w:r>
    </w:p>
    <w:p>
      <w:pPr>
        <w:pStyle w:val="5"/>
        <w:spacing w:before="0" w:after="0" w:line="276" w:lineRule="auto"/>
        <w:rPr>
          <w:rFonts w:ascii="仿宋" w:hAnsi="仿宋" w:eastAsia="仿宋"/>
        </w:rPr>
      </w:pPr>
      <w:r>
        <w:rPr>
          <w:rFonts w:ascii="仿宋" w:hAnsi="仿宋" w:eastAsia="仿宋"/>
        </w:rPr>
        <w:t>3</w:t>
      </w:r>
      <w:r>
        <w:rPr>
          <w:rFonts w:hint="eastAsia" w:ascii="仿宋" w:hAnsi="仿宋" w:eastAsia="仿宋"/>
        </w:rPr>
        <w:t>.管护措施</w:t>
      </w:r>
    </w:p>
    <w:p>
      <w:pPr>
        <w:pStyle w:val="46"/>
        <w:numPr>
          <w:ilvl w:val="0"/>
          <w:numId w:val="7"/>
        </w:numPr>
        <w:tabs>
          <w:tab w:val="left" w:pos="1134"/>
        </w:tabs>
        <w:spacing w:line="276" w:lineRule="auto"/>
        <w:ind w:left="0" w:firstLine="480" w:firstLineChars="0"/>
        <w:rPr>
          <w:rFonts w:ascii="仿宋" w:hAnsi="仿宋" w:eastAsia="仿宋"/>
          <w:kern w:val="0"/>
          <w:sz w:val="28"/>
          <w:szCs w:val="28"/>
        </w:rPr>
      </w:pPr>
      <w:r>
        <w:rPr>
          <w:rFonts w:hint="eastAsia" w:ascii="仿宋" w:hAnsi="仿宋" w:eastAsia="仿宋"/>
          <w:kern w:val="0"/>
          <w:sz w:val="28"/>
          <w:szCs w:val="28"/>
        </w:rPr>
        <w:t>注重河流两侧原生树木植被的就地保护，并定期检查健康状况；</w:t>
      </w:r>
    </w:p>
    <w:p>
      <w:pPr>
        <w:pStyle w:val="46"/>
        <w:numPr>
          <w:ilvl w:val="0"/>
          <w:numId w:val="7"/>
        </w:numPr>
        <w:tabs>
          <w:tab w:val="left" w:pos="1134"/>
        </w:tabs>
        <w:spacing w:line="276" w:lineRule="auto"/>
        <w:ind w:left="0" w:firstLine="480" w:firstLineChars="0"/>
        <w:rPr>
          <w:rFonts w:ascii="仿宋" w:hAnsi="仿宋" w:eastAsia="仿宋"/>
          <w:kern w:val="0"/>
          <w:sz w:val="28"/>
          <w:szCs w:val="28"/>
        </w:rPr>
      </w:pPr>
      <w:r>
        <w:rPr>
          <w:rFonts w:hint="eastAsia" w:ascii="仿宋" w:hAnsi="仿宋" w:eastAsia="仿宋"/>
          <w:kern w:val="0"/>
          <w:sz w:val="28"/>
          <w:szCs w:val="28"/>
        </w:rPr>
        <w:t>减少对近水岸植被的扰动，促进其形成多种生境，增加河流生物多样性；</w:t>
      </w:r>
    </w:p>
    <w:p>
      <w:pPr>
        <w:pStyle w:val="46"/>
        <w:numPr>
          <w:ilvl w:val="0"/>
          <w:numId w:val="7"/>
        </w:numPr>
        <w:tabs>
          <w:tab w:val="left" w:pos="1134"/>
        </w:tabs>
        <w:spacing w:line="276" w:lineRule="auto"/>
        <w:ind w:left="0" w:firstLine="480" w:firstLineChars="0"/>
        <w:rPr>
          <w:rFonts w:ascii="仿宋" w:hAnsi="仿宋" w:eastAsia="仿宋"/>
          <w:kern w:val="0"/>
          <w:sz w:val="28"/>
          <w:szCs w:val="28"/>
        </w:rPr>
      </w:pPr>
      <w:r>
        <w:rPr>
          <w:rFonts w:hint="eastAsia" w:ascii="仿宋" w:hAnsi="仿宋" w:eastAsia="仿宋"/>
          <w:kern w:val="0"/>
          <w:sz w:val="28"/>
          <w:szCs w:val="28"/>
        </w:rPr>
        <w:t>新造的河岸森林植被，在种植2-3年内进行一般性养护，如定期浇灌、施肥等，而后逐渐转换养护模式，以近自然养护为主，降低管理强度，并适当保留林下落叶等凋落物。</w:t>
      </w:r>
    </w:p>
    <w:p>
      <w:pPr>
        <w:pStyle w:val="3"/>
        <w:spacing w:before="217" w:after="217"/>
        <w:jc w:val="left"/>
        <w:rPr>
          <w:rFonts w:ascii="黑体" w:hAnsi="黑体" w:eastAsia="黑体" w:cs="Times New Roman"/>
          <w:b w:val="0"/>
          <w:bCs w:val="0"/>
        </w:rPr>
      </w:pPr>
      <w:bookmarkStart w:id="65" w:name="_Toc530649103"/>
      <w:bookmarkStart w:id="66" w:name="_Toc27389886"/>
      <w:r>
        <w:rPr>
          <w:rFonts w:hint="eastAsia" w:ascii="黑体" w:hAnsi="黑体" w:eastAsia="黑体" w:cs="Times New Roman"/>
          <w:b w:val="0"/>
          <w:bCs w:val="0"/>
        </w:rPr>
        <w:t>四、城区林荫街道</w:t>
      </w:r>
      <w:bookmarkEnd w:id="65"/>
      <w:bookmarkEnd w:id="66"/>
    </w:p>
    <w:p>
      <w:pPr>
        <w:pStyle w:val="5"/>
        <w:spacing w:before="0" w:after="0" w:line="276" w:lineRule="auto"/>
        <w:rPr>
          <w:rFonts w:ascii="仿宋" w:hAnsi="仿宋" w:eastAsia="仿宋"/>
        </w:rPr>
      </w:pPr>
      <w:r>
        <w:rPr>
          <w:rFonts w:hint="eastAsia" w:ascii="仿宋" w:hAnsi="仿宋" w:eastAsia="仿宋"/>
        </w:rPr>
        <w:t>1.远景目标</w:t>
      </w:r>
    </w:p>
    <w:p>
      <w:pPr>
        <w:spacing w:line="276" w:lineRule="auto"/>
        <w:ind w:firstLine="562" w:firstLineChars="200"/>
        <w:rPr>
          <w:rFonts w:ascii="仿宋" w:hAnsi="仿宋" w:eastAsia="仿宋" w:cs="Times New Roman"/>
          <w:b/>
          <w:sz w:val="28"/>
          <w:szCs w:val="28"/>
        </w:rPr>
      </w:pPr>
      <w:r>
        <w:rPr>
          <w:rFonts w:hint="eastAsia" w:ascii="仿宋" w:hAnsi="仿宋" w:eastAsia="仿宋" w:cs="Times New Roman"/>
          <w:b/>
          <w:sz w:val="28"/>
          <w:szCs w:val="28"/>
        </w:rPr>
        <w:t>愿景：人在林荫里，车行绿廊中</w:t>
      </w:r>
    </w:p>
    <w:p>
      <w:pPr>
        <w:spacing w:line="276" w:lineRule="auto"/>
        <w:ind w:firstLine="560" w:firstLineChars="200"/>
        <w:rPr>
          <w:rFonts w:ascii="仿宋" w:hAnsi="仿宋" w:eastAsia="仿宋"/>
          <w:kern w:val="0"/>
          <w:sz w:val="28"/>
          <w:szCs w:val="28"/>
        </w:rPr>
      </w:pPr>
      <w:r>
        <w:rPr>
          <w:rFonts w:hint="eastAsia" w:ascii="仿宋" w:hAnsi="仿宋" w:eastAsia="仿宋"/>
          <w:kern w:val="0"/>
          <w:sz w:val="28"/>
          <w:szCs w:val="28"/>
        </w:rPr>
        <w:t>通过植物合理配置、新材料应用和工程措施等，使城区街道树冠覆盖率达到</w:t>
      </w:r>
      <w:r>
        <w:rPr>
          <w:rFonts w:ascii="仿宋" w:hAnsi="仿宋" w:eastAsia="仿宋"/>
          <w:kern w:val="0"/>
          <w:sz w:val="28"/>
          <w:szCs w:val="28"/>
        </w:rPr>
        <w:t>40%</w:t>
      </w:r>
      <w:r>
        <w:rPr>
          <w:rFonts w:hint="eastAsia" w:ascii="仿宋" w:hAnsi="仿宋" w:eastAsia="仿宋"/>
          <w:kern w:val="0"/>
          <w:sz w:val="28"/>
          <w:szCs w:val="28"/>
        </w:rPr>
        <w:t>以上，使道路两侧林荫带兼具生态、防护、休憩、景观等功能。力争在全市打造300条以上特色林荫街道。</w:t>
      </w:r>
    </w:p>
    <w:p>
      <w:pPr>
        <w:pStyle w:val="5"/>
        <w:spacing w:before="0" w:after="0" w:line="276" w:lineRule="auto"/>
        <w:rPr>
          <w:rFonts w:ascii="仿宋" w:hAnsi="仿宋" w:eastAsia="仿宋"/>
        </w:rPr>
      </w:pPr>
      <w:r>
        <w:rPr>
          <w:rFonts w:hint="eastAsia" w:ascii="仿宋" w:hAnsi="仿宋" w:eastAsia="仿宋"/>
        </w:rPr>
        <w:t>2.空间配置</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（1）坚持以乔木为主。在有限的街道绿化用地中，将乔木作为街道绿化的骨架，同时配植观花、观果、色叶类灌木，增加绿视率，丰富街道景观风貌，并发挥防尘、降噪、护坡等作用；</w:t>
      </w:r>
    </w:p>
    <w:p>
      <w:pPr>
        <w:spacing w:line="276" w:lineRule="auto"/>
        <w:ind w:firstLine="480"/>
        <w:rPr>
          <w:rFonts w:ascii="仿宋" w:hAnsi="仿宋" w:eastAsia="仿宋" w:cs="Times New Roman"/>
          <w:sz w:val="28"/>
          <w:szCs w:val="28"/>
        </w:rPr>
      </w:pPr>
      <w:r>
        <w:rPr>
          <w:rFonts w:hint="eastAsia" w:ascii="仿宋" w:hAnsi="仿宋" w:eastAsia="仿宋" w:cs="Times New Roman"/>
          <w:sz w:val="28"/>
          <w:szCs w:val="28"/>
        </w:rPr>
        <w:t>（2）注重树木的观赏特征与沿街景观相融合。利用植物本身的形态特征和色彩季相变化，与沿街的建筑、立交桥、路灯、公共汽车站等形成和谐的街景；</w:t>
      </w:r>
    </w:p>
    <w:p>
      <w:pPr>
        <w:spacing w:line="276" w:lineRule="auto"/>
        <w:ind w:firstLine="480"/>
        <w:rPr>
          <w:rFonts w:ascii="仿宋" w:hAnsi="仿宋" w:eastAsia="仿宋" w:cs="Times New Roman"/>
          <w:sz w:val="28"/>
          <w:szCs w:val="28"/>
        </w:rPr>
      </w:pPr>
      <w:r>
        <w:rPr>
          <w:rFonts w:hint="eastAsia" w:ascii="仿宋" w:hAnsi="仿宋" w:eastAsia="仿宋" w:cs="Times New Roman"/>
          <w:sz w:val="28"/>
          <w:szCs w:val="28"/>
        </w:rPr>
        <w:t>（3）利用骨干行道树打造特色林荫街道，如国槐大道、银杏大道、栾树大道、白蜡大道等，体现北京市地方特色。</w:t>
      </w:r>
    </w:p>
    <w:p>
      <w:pPr>
        <w:pStyle w:val="5"/>
        <w:spacing w:before="0" w:after="0" w:line="276" w:lineRule="auto"/>
        <w:rPr>
          <w:rFonts w:ascii="仿宋" w:hAnsi="仿宋" w:eastAsia="仿宋"/>
        </w:rPr>
      </w:pPr>
      <w:r>
        <w:rPr>
          <w:rFonts w:hint="eastAsia" w:ascii="仿宋" w:hAnsi="仿宋" w:eastAsia="仿宋"/>
        </w:rPr>
        <w:t>3.管护措施</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（1）定期开展科学合理的浇水、除草、施肥、松土、通气、修剪、整形和病虫害防治，重点养护好行道树的根部，树池大小要适中；</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w:t>
      </w:r>
      <w:r>
        <w:rPr>
          <w:rFonts w:ascii="仿宋" w:hAnsi="仿宋" w:eastAsia="仿宋" w:cs="Times New Roman"/>
          <w:sz w:val="28"/>
          <w:szCs w:val="28"/>
        </w:rPr>
        <w:t>2</w:t>
      </w:r>
      <w:r>
        <w:rPr>
          <w:rFonts w:hint="eastAsia" w:ascii="仿宋" w:hAnsi="仿宋" w:eastAsia="仿宋" w:cs="Times New Roman"/>
          <w:sz w:val="28"/>
          <w:szCs w:val="28"/>
        </w:rPr>
        <w:t>）及时清理枯枝，更换空心树、枯死木等，排除道路行人的安全隐患；</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w:t>
      </w:r>
      <w:r>
        <w:rPr>
          <w:rFonts w:ascii="仿宋" w:hAnsi="仿宋" w:eastAsia="仿宋" w:cs="Times New Roman"/>
          <w:sz w:val="28"/>
          <w:szCs w:val="28"/>
        </w:rPr>
        <w:t>3</w:t>
      </w:r>
      <w:r>
        <w:rPr>
          <w:rFonts w:hint="eastAsia" w:ascii="仿宋" w:hAnsi="仿宋" w:eastAsia="仿宋" w:cs="Times New Roman"/>
          <w:sz w:val="28"/>
          <w:szCs w:val="28"/>
        </w:rPr>
        <w:t>）避免过度修剪，尽量保持树冠原有形状，不能为了避开电缆线、建筑物等而大幅度修建枝叶，应在架设电缆线等公共设施时避开行道树；</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w:t>
      </w:r>
      <w:r>
        <w:rPr>
          <w:rFonts w:ascii="仿宋" w:hAnsi="仿宋" w:eastAsia="仿宋" w:cs="Times New Roman"/>
          <w:sz w:val="28"/>
          <w:szCs w:val="28"/>
        </w:rPr>
        <w:t>4</w:t>
      </w:r>
      <w:r>
        <w:rPr>
          <w:rFonts w:hint="eastAsia" w:ascii="仿宋" w:hAnsi="仿宋" w:eastAsia="仿宋" w:cs="Times New Roman"/>
          <w:sz w:val="28"/>
          <w:szCs w:val="28"/>
        </w:rPr>
        <w:t>）注重提高枝下高，形成开敞的林下空间，便于交通视野；</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w:t>
      </w:r>
      <w:r>
        <w:rPr>
          <w:rFonts w:ascii="仿宋" w:hAnsi="仿宋" w:eastAsia="仿宋" w:cs="Times New Roman"/>
          <w:sz w:val="28"/>
          <w:szCs w:val="28"/>
        </w:rPr>
        <w:t>5</w:t>
      </w:r>
      <w:r>
        <w:rPr>
          <w:rFonts w:hint="eastAsia" w:ascii="仿宋" w:hAnsi="仿宋" w:eastAsia="仿宋" w:cs="Times New Roman"/>
          <w:sz w:val="28"/>
          <w:szCs w:val="28"/>
        </w:rPr>
        <w:t>）注重适当疏冠，避免低矮浓密的疏冠，促进空气流通和污染物扩散。</w:t>
      </w:r>
    </w:p>
    <w:p>
      <w:pPr>
        <w:pStyle w:val="3"/>
        <w:spacing w:before="217" w:after="217"/>
        <w:jc w:val="left"/>
        <w:rPr>
          <w:rFonts w:ascii="黑体" w:hAnsi="黑体" w:eastAsia="黑体" w:cs="Times New Roman"/>
          <w:b w:val="0"/>
          <w:bCs w:val="0"/>
        </w:rPr>
      </w:pPr>
      <w:bookmarkStart w:id="67" w:name="_Toc27389887"/>
      <w:bookmarkStart w:id="68" w:name="_Toc530649104"/>
      <w:r>
        <w:rPr>
          <w:rFonts w:hint="eastAsia" w:ascii="黑体" w:hAnsi="黑体" w:eastAsia="黑体" w:cs="Times New Roman"/>
          <w:b w:val="0"/>
          <w:bCs w:val="0"/>
        </w:rPr>
        <w:t>五、城间森林廊道</w:t>
      </w:r>
      <w:bookmarkEnd w:id="67"/>
      <w:bookmarkEnd w:id="68"/>
    </w:p>
    <w:p>
      <w:pPr>
        <w:pStyle w:val="5"/>
        <w:spacing w:before="0" w:after="0" w:line="276" w:lineRule="auto"/>
        <w:rPr>
          <w:rFonts w:ascii="仿宋" w:hAnsi="仿宋" w:eastAsia="仿宋"/>
        </w:rPr>
      </w:pPr>
      <w:r>
        <w:rPr>
          <w:rFonts w:hint="eastAsia" w:ascii="仿宋" w:hAnsi="仿宋" w:eastAsia="仿宋"/>
        </w:rPr>
        <w:t>1.远景目标</w:t>
      </w:r>
    </w:p>
    <w:p>
      <w:pPr>
        <w:spacing w:line="276" w:lineRule="auto"/>
        <w:ind w:firstLine="562" w:firstLineChars="200"/>
        <w:rPr>
          <w:rFonts w:ascii="仿宋" w:hAnsi="仿宋" w:eastAsia="仿宋" w:cs="Times New Roman"/>
          <w:b/>
          <w:sz w:val="28"/>
          <w:szCs w:val="28"/>
        </w:rPr>
      </w:pPr>
      <w:r>
        <w:rPr>
          <w:rFonts w:hint="eastAsia" w:ascii="仿宋" w:hAnsi="仿宋" w:eastAsia="仿宋" w:cs="Times New Roman"/>
          <w:b/>
          <w:sz w:val="28"/>
          <w:szCs w:val="28"/>
        </w:rPr>
        <w:t>愿景：连城绿带，多彩画廊</w:t>
      </w:r>
    </w:p>
    <w:p>
      <w:pPr>
        <w:spacing w:line="276" w:lineRule="auto"/>
        <w:ind w:firstLine="560" w:firstLineChars="200"/>
        <w:rPr>
          <w:rFonts w:ascii="仿宋" w:hAnsi="仿宋" w:eastAsia="仿宋"/>
          <w:kern w:val="0"/>
          <w:sz w:val="28"/>
          <w:szCs w:val="28"/>
        </w:rPr>
      </w:pPr>
      <w:r>
        <w:rPr>
          <w:rFonts w:hint="eastAsia" w:ascii="仿宋" w:hAnsi="仿宋" w:eastAsia="仿宋"/>
          <w:kern w:val="0"/>
          <w:sz w:val="28"/>
          <w:szCs w:val="28"/>
        </w:rPr>
        <w:t>在北京市域范围内，以城市道路为构架，建设宽度</w:t>
      </w:r>
      <w:r>
        <w:rPr>
          <w:rFonts w:ascii="仿宋" w:hAnsi="仿宋" w:eastAsia="仿宋"/>
          <w:kern w:val="0"/>
          <w:sz w:val="28"/>
          <w:szCs w:val="28"/>
        </w:rPr>
        <w:t>60</w:t>
      </w:r>
      <w:r>
        <w:rPr>
          <w:rFonts w:hint="eastAsia" w:ascii="仿宋" w:hAnsi="仿宋" w:eastAsia="仿宋"/>
          <w:kern w:val="0"/>
          <w:sz w:val="28"/>
          <w:szCs w:val="28"/>
        </w:rPr>
        <w:t>米以上的城市间道路森林带，使中心城区与外围10座新城之间保持至少1条以上的重点森林廊道。保证道路森林与周边自然、人文景观相协调，适宜绿化的道路绿化率达85%以上，发挥其防护、净化空气、分隔交通、减噪滞尘等生态功能，并连接不同城市生境，为城市生物提供一定的栖息地和迁移通道。</w:t>
      </w:r>
    </w:p>
    <w:p>
      <w:pPr>
        <w:pStyle w:val="5"/>
        <w:spacing w:before="0" w:after="0" w:line="276" w:lineRule="auto"/>
        <w:rPr>
          <w:rFonts w:ascii="仿宋" w:hAnsi="仿宋" w:eastAsia="仿宋"/>
        </w:rPr>
      </w:pPr>
      <w:r>
        <w:rPr>
          <w:rFonts w:hint="eastAsia" w:ascii="仿宋" w:hAnsi="仿宋" w:eastAsia="仿宋"/>
        </w:rPr>
        <w:t>2.空间配置</w:t>
      </w:r>
    </w:p>
    <w:p>
      <w:pPr>
        <w:spacing w:line="276" w:lineRule="auto"/>
        <w:ind w:firstLine="560" w:firstLineChars="200"/>
        <w:rPr>
          <w:rFonts w:ascii="仿宋" w:hAnsi="仿宋" w:eastAsia="仿宋"/>
          <w:kern w:val="0"/>
          <w:sz w:val="28"/>
          <w:szCs w:val="28"/>
        </w:rPr>
      </w:pPr>
      <w:r>
        <w:rPr>
          <w:rFonts w:hint="eastAsia" w:ascii="仿宋" w:hAnsi="仿宋" w:eastAsia="仿宋"/>
          <w:kern w:val="0"/>
          <w:sz w:val="28"/>
          <w:szCs w:val="28"/>
        </w:rPr>
        <w:t>（1）疏密有致的分层配置。靠路一侧采用花灌木和疏透结构林带，促进空气流通和污染物扩散；后侧采用紧密结构配置，降低污染物和噪音对周边影响；</w:t>
      </w:r>
    </w:p>
    <w:p>
      <w:pPr>
        <w:spacing w:line="276" w:lineRule="auto"/>
        <w:ind w:firstLine="560" w:firstLineChars="200"/>
        <w:rPr>
          <w:rFonts w:ascii="仿宋" w:hAnsi="仿宋" w:eastAsia="仿宋"/>
          <w:kern w:val="0"/>
          <w:sz w:val="28"/>
          <w:szCs w:val="28"/>
        </w:rPr>
      </w:pPr>
      <w:r>
        <w:rPr>
          <w:rFonts w:hint="eastAsia" w:ascii="仿宋" w:hAnsi="仿宋" w:eastAsia="仿宋"/>
          <w:kern w:val="0"/>
          <w:sz w:val="28"/>
          <w:szCs w:val="28"/>
        </w:rPr>
        <w:t>（2）开合有度的空间配置。在周边景观优美地段，以花灌木或者草地开敞空间配置，开阔交通视野和展示优美景观。</w:t>
      </w:r>
    </w:p>
    <w:p>
      <w:pPr>
        <w:pStyle w:val="5"/>
        <w:spacing w:before="0" w:after="0" w:line="276" w:lineRule="auto"/>
        <w:rPr>
          <w:rFonts w:ascii="仿宋" w:hAnsi="仿宋" w:eastAsia="仿宋"/>
        </w:rPr>
      </w:pPr>
      <w:r>
        <w:rPr>
          <w:rFonts w:hint="eastAsia" w:ascii="仿宋" w:hAnsi="仿宋" w:eastAsia="仿宋"/>
        </w:rPr>
        <w:t>3.管护措施</w:t>
      </w:r>
    </w:p>
    <w:p>
      <w:pPr>
        <w:spacing w:line="276" w:lineRule="auto"/>
        <w:ind w:firstLine="560" w:firstLineChars="200"/>
        <w:rPr>
          <w:rFonts w:ascii="仿宋" w:hAnsi="仿宋" w:eastAsia="仿宋"/>
          <w:kern w:val="0"/>
          <w:sz w:val="28"/>
          <w:szCs w:val="28"/>
        </w:rPr>
      </w:pPr>
      <w:r>
        <w:rPr>
          <w:rFonts w:hint="eastAsia" w:ascii="仿宋" w:hAnsi="仿宋" w:eastAsia="仿宋"/>
          <w:kern w:val="0"/>
          <w:sz w:val="28"/>
          <w:szCs w:val="28"/>
        </w:rPr>
        <w:t>（1）针对原有的城间道路森林，应注意定期检查树木的健康情况，适当进行补植。针对新建的道路林带，在建设初期对其进行灌溉、施肥、修枝等常规养护，而后逐渐减少养护强度，转化为近自然养护模式；</w:t>
      </w:r>
    </w:p>
    <w:p>
      <w:pPr>
        <w:spacing w:line="276" w:lineRule="auto"/>
        <w:ind w:firstLine="560" w:firstLineChars="200"/>
        <w:rPr>
          <w:rFonts w:ascii="仿宋" w:hAnsi="仿宋" w:eastAsia="仿宋"/>
          <w:kern w:val="0"/>
          <w:sz w:val="28"/>
          <w:szCs w:val="28"/>
        </w:rPr>
      </w:pPr>
      <w:r>
        <w:rPr>
          <w:rFonts w:hint="eastAsia" w:ascii="仿宋" w:hAnsi="仿宋" w:eastAsia="仿宋"/>
          <w:kern w:val="0"/>
          <w:sz w:val="28"/>
          <w:szCs w:val="28"/>
        </w:rPr>
        <w:t>（2）合理调控林分密度，根据不同路段防护需求培育密度适宜的景观林带；</w:t>
      </w:r>
    </w:p>
    <w:p>
      <w:pPr>
        <w:spacing w:line="276" w:lineRule="auto"/>
        <w:ind w:firstLine="560" w:firstLineChars="200"/>
        <w:rPr>
          <w:rFonts w:ascii="仿宋" w:hAnsi="仿宋" w:eastAsia="仿宋"/>
          <w:kern w:val="0"/>
          <w:sz w:val="28"/>
          <w:szCs w:val="28"/>
        </w:rPr>
      </w:pPr>
      <w:r>
        <w:rPr>
          <w:rFonts w:hint="eastAsia" w:ascii="仿宋" w:hAnsi="仿宋" w:eastAsia="仿宋"/>
          <w:kern w:val="0"/>
          <w:sz w:val="28"/>
          <w:szCs w:val="28"/>
        </w:rPr>
        <w:t>（3）注重对道路两侧枯枝落叶的利用，加强有机物地表覆盖度，减少道路两侧裸露的土壤面积。</w:t>
      </w:r>
    </w:p>
    <w:p>
      <w:pPr>
        <w:pStyle w:val="3"/>
        <w:spacing w:before="217" w:after="217"/>
        <w:jc w:val="left"/>
        <w:rPr>
          <w:rFonts w:ascii="黑体" w:hAnsi="黑体" w:eastAsia="黑体" w:cs="Times New Roman"/>
          <w:b w:val="0"/>
          <w:bCs w:val="0"/>
        </w:rPr>
      </w:pPr>
      <w:bookmarkStart w:id="69" w:name="_Toc27389888"/>
      <w:bookmarkStart w:id="70" w:name="_Toc530649105"/>
      <w:r>
        <w:rPr>
          <w:rFonts w:hint="eastAsia" w:ascii="黑体" w:hAnsi="黑体" w:eastAsia="黑体" w:cs="Times New Roman"/>
          <w:b w:val="0"/>
          <w:bCs w:val="0"/>
        </w:rPr>
        <w:t>六、乡村聚落森林</w:t>
      </w:r>
      <w:bookmarkEnd w:id="69"/>
      <w:bookmarkEnd w:id="70"/>
    </w:p>
    <w:p>
      <w:pPr>
        <w:pStyle w:val="5"/>
        <w:spacing w:before="0" w:after="0" w:line="276" w:lineRule="auto"/>
        <w:rPr>
          <w:rFonts w:ascii="仿宋" w:hAnsi="仿宋" w:eastAsia="仿宋"/>
        </w:rPr>
      </w:pPr>
      <w:r>
        <w:rPr>
          <w:rFonts w:hint="eastAsia" w:ascii="仿宋" w:hAnsi="仿宋" w:eastAsia="仿宋"/>
        </w:rPr>
        <w:t>1.远景目标</w:t>
      </w:r>
    </w:p>
    <w:p>
      <w:pPr>
        <w:spacing w:line="276" w:lineRule="auto"/>
        <w:ind w:firstLine="562" w:firstLineChars="200"/>
        <w:rPr>
          <w:rFonts w:ascii="仿宋" w:hAnsi="仿宋" w:eastAsia="仿宋" w:cs="Times New Roman"/>
          <w:b/>
          <w:sz w:val="28"/>
          <w:szCs w:val="28"/>
        </w:rPr>
      </w:pPr>
      <w:r>
        <w:rPr>
          <w:rFonts w:hint="eastAsia" w:ascii="仿宋" w:hAnsi="仿宋" w:eastAsia="仿宋" w:cs="Times New Roman"/>
          <w:b/>
          <w:sz w:val="28"/>
          <w:szCs w:val="28"/>
        </w:rPr>
        <w:t>愿景：乡村森林，乡愁味道</w:t>
      </w:r>
    </w:p>
    <w:p>
      <w:pPr>
        <w:spacing w:line="276" w:lineRule="auto"/>
        <w:ind w:firstLine="560" w:firstLineChars="200"/>
        <w:rPr>
          <w:rFonts w:ascii="仿宋" w:hAnsi="仿宋" w:eastAsia="仿宋"/>
          <w:kern w:val="0"/>
          <w:sz w:val="28"/>
          <w:szCs w:val="28"/>
        </w:rPr>
      </w:pPr>
      <w:r>
        <w:rPr>
          <w:rFonts w:hint="eastAsia" w:ascii="仿宋" w:hAnsi="仿宋" w:eastAsia="仿宋"/>
          <w:kern w:val="0"/>
          <w:sz w:val="28"/>
          <w:szCs w:val="28"/>
        </w:rPr>
        <w:t>实现村庄周围森林化、村内道路林荫化、村民庭院花果化、村内集中绿地人性化、河渠公路风景化、基本农田林网化。全面提高乡镇建成区和村庄居民点林木覆盖率，营造绿荫掩映、花果飘香、田园野趣的森林人居景观。</w:t>
      </w:r>
    </w:p>
    <w:p>
      <w:pPr>
        <w:pStyle w:val="5"/>
        <w:spacing w:before="0" w:after="0" w:line="276" w:lineRule="auto"/>
        <w:rPr>
          <w:rFonts w:ascii="仿宋" w:hAnsi="仿宋" w:eastAsia="仿宋"/>
        </w:rPr>
      </w:pPr>
      <w:r>
        <w:rPr>
          <w:rFonts w:hint="eastAsia" w:ascii="仿宋" w:hAnsi="仿宋" w:eastAsia="仿宋"/>
        </w:rPr>
        <w:t>2.空间配置</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（1）选择有北京乡愁味道的乡村树木，比如柿子、香椿、核桃、国槐、银杏等，回归乡村特有的森林树木景观；</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（2）道路、水岸等线性空间绿化无须追求统一规格、固定间距的规则绿化形式，可打造乔木种植疏密有致、高低错落，彩叶树种和花灌木点缀其间的田园自然景观，凸显乡野情趣；</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（3）近自然的栽植，延续乡村林木景观风貌。</w:t>
      </w:r>
    </w:p>
    <w:p>
      <w:pPr>
        <w:pStyle w:val="5"/>
        <w:spacing w:before="0" w:after="0" w:line="276" w:lineRule="auto"/>
        <w:rPr>
          <w:rFonts w:ascii="仿宋" w:hAnsi="仿宋" w:eastAsia="仿宋"/>
        </w:rPr>
      </w:pPr>
      <w:r>
        <w:rPr>
          <w:rFonts w:hint="eastAsia" w:ascii="仿宋" w:hAnsi="仿宋" w:eastAsia="仿宋"/>
        </w:rPr>
        <w:t>3.管护措施</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（1）注重土壤保护，对地面硬化影响植物生长的区域，应适当采取削减硬化面积、翻松板结地面、打穴增加通气孔等方式提升树木生境质量；</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（2）村内公共绿化由专人负责养护管理，养护人员相对固定，定期组织技术业务培训，提高养护管理水平，定期修剪、浇水、施肥、平整土地，保持树木健康；</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（3）近自然管护，降低管理成本，利于景观维护。</w:t>
      </w:r>
    </w:p>
    <w:p>
      <w:pPr>
        <w:pStyle w:val="3"/>
        <w:spacing w:before="217" w:after="217"/>
        <w:jc w:val="left"/>
        <w:rPr>
          <w:rFonts w:ascii="黑体" w:hAnsi="黑体" w:eastAsia="黑体" w:cs="Times New Roman"/>
          <w:b w:val="0"/>
          <w:bCs w:val="0"/>
        </w:rPr>
      </w:pPr>
      <w:bookmarkStart w:id="71" w:name="_Toc27389889"/>
      <w:bookmarkStart w:id="72" w:name="_Toc530649106"/>
      <w:r>
        <w:rPr>
          <w:rFonts w:hint="eastAsia" w:ascii="黑体" w:hAnsi="黑体" w:eastAsia="黑体" w:cs="Times New Roman"/>
          <w:b w:val="0"/>
          <w:bCs w:val="0"/>
        </w:rPr>
        <w:t>七、山地健康森林</w:t>
      </w:r>
      <w:bookmarkEnd w:id="71"/>
      <w:bookmarkEnd w:id="72"/>
    </w:p>
    <w:p>
      <w:pPr>
        <w:pStyle w:val="5"/>
        <w:spacing w:before="0" w:after="0" w:line="276" w:lineRule="auto"/>
        <w:rPr>
          <w:rFonts w:ascii="仿宋" w:hAnsi="仿宋" w:eastAsia="仿宋"/>
        </w:rPr>
      </w:pPr>
      <w:r>
        <w:rPr>
          <w:rFonts w:hint="eastAsia" w:ascii="仿宋" w:hAnsi="仿宋" w:eastAsia="仿宋"/>
        </w:rPr>
        <w:t>1.远景目标</w:t>
      </w:r>
    </w:p>
    <w:p>
      <w:pPr>
        <w:spacing w:line="276" w:lineRule="auto"/>
        <w:ind w:firstLine="562" w:firstLineChars="200"/>
        <w:rPr>
          <w:rFonts w:ascii="仿宋" w:hAnsi="仿宋" w:eastAsia="仿宋" w:cs="Times New Roman"/>
          <w:b/>
          <w:sz w:val="28"/>
          <w:szCs w:val="28"/>
        </w:rPr>
      </w:pPr>
      <w:r>
        <w:rPr>
          <w:rFonts w:hint="eastAsia" w:ascii="仿宋" w:hAnsi="仿宋" w:eastAsia="仿宋" w:cs="Times New Roman"/>
          <w:b/>
          <w:sz w:val="28"/>
          <w:szCs w:val="28"/>
        </w:rPr>
        <w:t>愿景：春季山花烂漫，夏季绿水青山，秋季层林尽染，冬季松柏傲雪</w:t>
      </w:r>
    </w:p>
    <w:p>
      <w:pPr>
        <w:spacing w:line="276" w:lineRule="auto"/>
        <w:ind w:firstLine="560" w:firstLineChars="200"/>
        <w:rPr>
          <w:rFonts w:ascii="仿宋" w:hAnsi="仿宋" w:eastAsia="仿宋"/>
          <w:kern w:val="0"/>
          <w:sz w:val="28"/>
          <w:szCs w:val="28"/>
        </w:rPr>
      </w:pPr>
      <w:r>
        <w:rPr>
          <w:rFonts w:hint="eastAsia" w:ascii="仿宋" w:hAnsi="仿宋" w:eastAsia="仿宋"/>
          <w:kern w:val="0"/>
          <w:sz w:val="28"/>
          <w:szCs w:val="28"/>
        </w:rPr>
        <w:t>根据北京不同山地森林景观的功能定位，确定森林景观的培育目标。注重森林抚育、低效林改造、矿山植被恢复，提高林分质量，增强生态涵养区功能，培育林分结构稳定、功能丰富、景观优美、生物多样的山地健康森林。</w:t>
      </w:r>
    </w:p>
    <w:p>
      <w:pPr>
        <w:pStyle w:val="5"/>
        <w:spacing w:before="0" w:after="0" w:line="276" w:lineRule="auto"/>
        <w:rPr>
          <w:rFonts w:ascii="仿宋" w:hAnsi="仿宋" w:eastAsia="仿宋"/>
        </w:rPr>
      </w:pPr>
      <w:r>
        <w:rPr>
          <w:rFonts w:hint="eastAsia" w:ascii="仿宋" w:hAnsi="仿宋" w:eastAsia="仿宋"/>
        </w:rPr>
        <w:t>2.空间配置</w:t>
      </w:r>
    </w:p>
    <w:p>
      <w:pPr>
        <w:spacing w:line="276" w:lineRule="auto"/>
        <w:ind w:firstLine="560" w:firstLineChars="200"/>
        <w:rPr>
          <w:rFonts w:ascii="仿宋" w:hAnsi="仿宋" w:eastAsia="仿宋"/>
          <w:kern w:val="0"/>
          <w:sz w:val="28"/>
          <w:szCs w:val="28"/>
        </w:rPr>
      </w:pPr>
      <w:r>
        <w:rPr>
          <w:rFonts w:hint="eastAsia" w:ascii="仿宋" w:hAnsi="仿宋" w:eastAsia="仿宋"/>
          <w:kern w:val="0"/>
          <w:sz w:val="28"/>
          <w:szCs w:val="28"/>
        </w:rPr>
        <w:t>（1）适地适树。根据林地情况选择合适的树种进行造林，培育复层异龄林；</w:t>
      </w:r>
    </w:p>
    <w:p>
      <w:pPr>
        <w:spacing w:line="276" w:lineRule="auto"/>
        <w:ind w:firstLine="560" w:firstLineChars="200"/>
        <w:rPr>
          <w:rFonts w:ascii="仿宋" w:hAnsi="仿宋" w:eastAsia="仿宋"/>
          <w:kern w:val="0"/>
          <w:sz w:val="28"/>
          <w:szCs w:val="28"/>
        </w:rPr>
      </w:pPr>
      <w:r>
        <w:rPr>
          <w:rFonts w:hint="eastAsia" w:ascii="仿宋" w:hAnsi="仿宋" w:eastAsia="仿宋"/>
          <w:kern w:val="0"/>
          <w:sz w:val="28"/>
          <w:szCs w:val="28"/>
        </w:rPr>
        <w:t>（2）水土保持林。以提升水土保持功能为导向，注重大乔木、亚乔木、灌木搭配，深根系与浅根系林木搭配，形成复层异龄、高覆盖度的林分；</w:t>
      </w:r>
    </w:p>
    <w:p>
      <w:pPr>
        <w:spacing w:line="276" w:lineRule="auto"/>
        <w:ind w:firstLine="560" w:firstLineChars="200"/>
        <w:rPr>
          <w:rFonts w:ascii="仿宋" w:hAnsi="仿宋" w:eastAsia="仿宋"/>
          <w:kern w:val="0"/>
          <w:sz w:val="28"/>
          <w:szCs w:val="28"/>
        </w:rPr>
      </w:pPr>
      <w:r>
        <w:rPr>
          <w:rFonts w:hint="eastAsia" w:ascii="仿宋" w:hAnsi="仿宋" w:eastAsia="仿宋"/>
          <w:kern w:val="0"/>
          <w:sz w:val="28"/>
          <w:szCs w:val="28"/>
        </w:rPr>
        <w:t>（3）生态风景林。合理搭配常绿与落叶树种，适度增加彩叶树种和珍贵树种种植比例，以高大乔木为主，密度适中，形成四季有景、季相景观变化明显、林下通透的林分。</w:t>
      </w:r>
    </w:p>
    <w:p>
      <w:pPr>
        <w:pStyle w:val="5"/>
        <w:spacing w:before="0" w:after="0" w:line="276" w:lineRule="auto"/>
        <w:rPr>
          <w:rFonts w:ascii="仿宋" w:hAnsi="仿宋" w:eastAsia="仿宋"/>
        </w:rPr>
      </w:pPr>
      <w:r>
        <w:rPr>
          <w:rFonts w:hint="eastAsia" w:ascii="仿宋" w:hAnsi="仿宋" w:eastAsia="仿宋"/>
        </w:rPr>
        <w:t>3.管护措施</w:t>
      </w:r>
    </w:p>
    <w:p>
      <w:pPr>
        <w:spacing w:line="276" w:lineRule="auto"/>
        <w:ind w:firstLine="560" w:firstLineChars="200"/>
        <w:rPr>
          <w:rFonts w:ascii="仿宋" w:hAnsi="仿宋" w:eastAsia="仿宋"/>
          <w:kern w:val="0"/>
          <w:sz w:val="28"/>
          <w:szCs w:val="28"/>
        </w:rPr>
      </w:pPr>
      <w:r>
        <w:rPr>
          <w:rFonts w:hint="eastAsia" w:ascii="仿宋" w:hAnsi="仿宋" w:eastAsia="仿宋"/>
          <w:kern w:val="0"/>
          <w:sz w:val="28"/>
          <w:szCs w:val="28"/>
        </w:rPr>
        <w:t>（1）以补绿、增彩、提质为主，根据不同林分的主导功能设置科学的经营措施；</w:t>
      </w:r>
    </w:p>
    <w:p>
      <w:pPr>
        <w:spacing w:line="276" w:lineRule="auto"/>
        <w:ind w:firstLine="560" w:firstLineChars="200"/>
        <w:rPr>
          <w:rFonts w:ascii="仿宋" w:hAnsi="仿宋" w:eastAsia="仿宋"/>
          <w:kern w:val="0"/>
          <w:sz w:val="28"/>
          <w:szCs w:val="28"/>
        </w:rPr>
      </w:pPr>
      <w:r>
        <w:rPr>
          <w:rFonts w:hint="eastAsia" w:ascii="仿宋" w:hAnsi="仿宋" w:eastAsia="仿宋"/>
          <w:kern w:val="0"/>
          <w:sz w:val="28"/>
          <w:szCs w:val="28"/>
        </w:rPr>
        <w:t>（2）加强森林抚育，确定目标树、目标林，合理调整林分密度，优化树种结构；</w:t>
      </w:r>
    </w:p>
    <w:p>
      <w:pPr>
        <w:spacing w:line="276" w:lineRule="auto"/>
        <w:ind w:firstLine="560" w:firstLineChars="200"/>
        <w:rPr>
          <w:rFonts w:ascii="仿宋" w:hAnsi="仿宋" w:eastAsia="仿宋"/>
          <w:kern w:val="0"/>
          <w:sz w:val="28"/>
          <w:szCs w:val="28"/>
        </w:rPr>
      </w:pPr>
      <w:r>
        <w:rPr>
          <w:rFonts w:hint="eastAsia" w:ascii="仿宋" w:hAnsi="仿宋" w:eastAsia="仿宋"/>
          <w:kern w:val="0"/>
          <w:sz w:val="28"/>
          <w:szCs w:val="28"/>
        </w:rPr>
        <w:t>（3）提升自然保护区、风景名胜区、森林公园等建设水平，建立完备的自然保护地体系；</w:t>
      </w:r>
    </w:p>
    <w:p>
      <w:pPr>
        <w:spacing w:line="276" w:lineRule="auto"/>
        <w:ind w:firstLine="560" w:firstLineChars="200"/>
        <w:rPr>
          <w:rFonts w:ascii="仿宋" w:hAnsi="仿宋" w:eastAsia="仿宋"/>
          <w:sz w:val="24"/>
        </w:rPr>
      </w:pPr>
      <w:r>
        <w:rPr>
          <w:rFonts w:hint="eastAsia" w:ascii="仿宋" w:hAnsi="仿宋" w:eastAsia="仿宋"/>
          <w:kern w:val="0"/>
          <w:sz w:val="28"/>
          <w:szCs w:val="28"/>
        </w:rPr>
        <w:t>（4）加强病虫害防护、火灾防控。</w:t>
      </w:r>
    </w:p>
    <w:p>
      <w:pPr>
        <w:spacing w:line="360" w:lineRule="auto"/>
        <w:rPr>
          <w:sz w:val="24"/>
        </w:rPr>
        <w:sectPr>
          <w:pgSz w:w="11906" w:h="16838"/>
          <w:pgMar w:top="1440" w:right="1800" w:bottom="1440" w:left="1800" w:header="851" w:footer="992" w:gutter="0"/>
          <w:cols w:space="425" w:num="1"/>
          <w:titlePg/>
          <w:docGrid w:type="lines" w:linePitch="312" w:charSpace="0"/>
        </w:sectPr>
      </w:pPr>
    </w:p>
    <w:p>
      <w:pPr>
        <w:pStyle w:val="2"/>
        <w:keepLines w:val="0"/>
        <w:widowControl/>
        <w:spacing w:before="0" w:after="435" w:line="276" w:lineRule="auto"/>
        <w:jc w:val="center"/>
        <w:rPr>
          <w:rFonts w:ascii="黑体" w:hAnsi="黑体" w:eastAsia="黑体" w:cs="宋体"/>
          <w:spacing w:val="4"/>
          <w:kern w:val="36"/>
          <w:sz w:val="40"/>
          <w:szCs w:val="40"/>
        </w:rPr>
      </w:pPr>
      <w:bookmarkStart w:id="73" w:name="_Toc528968716"/>
      <w:bookmarkStart w:id="74" w:name="_Toc27389890"/>
      <w:bookmarkStart w:id="75" w:name="_Toc530648929"/>
      <w:bookmarkStart w:id="76" w:name="_Toc529864925"/>
      <w:r>
        <w:rPr>
          <w:rFonts w:hint="eastAsia" w:ascii="黑体" w:hAnsi="黑体" w:eastAsia="黑体" w:cs="宋体"/>
          <w:spacing w:val="4"/>
          <w:kern w:val="36"/>
          <w:sz w:val="40"/>
          <w:szCs w:val="40"/>
        </w:rPr>
        <w:t>第四篇 生态资源本底与建设需求分析</w:t>
      </w:r>
      <w:bookmarkEnd w:id="73"/>
      <w:bookmarkEnd w:id="74"/>
      <w:bookmarkEnd w:id="75"/>
      <w:bookmarkEnd w:id="76"/>
    </w:p>
    <w:p>
      <w:pPr>
        <w:pStyle w:val="3"/>
        <w:spacing w:before="217" w:after="217"/>
        <w:jc w:val="left"/>
        <w:rPr>
          <w:rFonts w:ascii="黑体" w:hAnsi="黑体" w:eastAsia="黑体" w:cs="Times New Roman"/>
          <w:b w:val="0"/>
          <w:bCs w:val="0"/>
        </w:rPr>
      </w:pPr>
      <w:bookmarkStart w:id="77" w:name="_Toc529001292"/>
      <w:bookmarkStart w:id="78" w:name="_Toc528968717"/>
      <w:bookmarkStart w:id="79" w:name="_Toc530143089"/>
      <w:bookmarkStart w:id="80" w:name="_Toc530648930"/>
      <w:bookmarkStart w:id="81" w:name="_Toc27389891"/>
      <w:r>
        <w:rPr>
          <w:rFonts w:hint="eastAsia" w:ascii="黑体" w:hAnsi="黑体" w:eastAsia="黑体" w:cs="Times New Roman"/>
          <w:b w:val="0"/>
          <w:bCs w:val="0"/>
        </w:rPr>
        <w:t>一、</w:t>
      </w:r>
      <w:bookmarkEnd w:id="77"/>
      <w:bookmarkEnd w:id="78"/>
      <w:bookmarkEnd w:id="79"/>
      <w:bookmarkEnd w:id="80"/>
      <w:bookmarkStart w:id="82" w:name="_Toc529001293"/>
      <w:bookmarkStart w:id="83" w:name="_Toc528968718"/>
      <w:bookmarkStart w:id="84" w:name="_Toc530648931"/>
      <w:r>
        <w:rPr>
          <w:rFonts w:hint="eastAsia" w:ascii="黑体" w:hAnsi="黑体" w:eastAsia="黑体" w:cs="Times New Roman"/>
          <w:b w:val="0"/>
          <w:bCs w:val="0"/>
        </w:rPr>
        <w:t>资源本底分析</w:t>
      </w:r>
      <w:bookmarkEnd w:id="81"/>
    </w:p>
    <w:p>
      <w:pPr>
        <w:pStyle w:val="4"/>
        <w:spacing w:before="217" w:after="217" w:line="276" w:lineRule="auto"/>
        <w:rPr>
          <w:rFonts w:ascii="仿宋" w:hAnsi="仿宋" w:eastAsia="仿宋" w:cs="Times New Roman"/>
          <w:spacing w:val="20"/>
        </w:rPr>
      </w:pPr>
      <w:bookmarkStart w:id="85" w:name="_Toc27389892"/>
      <w:r>
        <w:rPr>
          <w:rFonts w:hint="eastAsia" w:ascii="仿宋" w:hAnsi="仿宋" w:eastAsia="仿宋" w:cs="Times New Roman"/>
          <w:spacing w:val="20"/>
        </w:rPr>
        <w:t>（一）森林资源</w:t>
      </w:r>
      <w:bookmarkEnd w:id="82"/>
      <w:bookmarkEnd w:id="83"/>
      <w:bookmarkEnd w:id="84"/>
      <w:bookmarkEnd w:id="85"/>
    </w:p>
    <w:p>
      <w:pPr>
        <w:pStyle w:val="5"/>
        <w:spacing w:before="0" w:after="0" w:line="276" w:lineRule="auto"/>
        <w:rPr>
          <w:rFonts w:ascii="仿宋" w:hAnsi="仿宋" w:eastAsia="仿宋"/>
        </w:rPr>
      </w:pPr>
      <w:bookmarkStart w:id="86" w:name="_Toc530648933"/>
      <w:bookmarkStart w:id="87" w:name="_Toc529001298"/>
      <w:r>
        <w:rPr>
          <w:rFonts w:hint="eastAsia" w:ascii="仿宋" w:hAnsi="仿宋" w:eastAsia="仿宋"/>
        </w:rPr>
        <w:t>1.森林面积</w:t>
      </w:r>
      <w:bookmarkEnd w:id="86"/>
    </w:p>
    <w:p>
      <w:pPr>
        <w:spacing w:line="276" w:lineRule="auto"/>
        <w:ind w:firstLine="560" w:firstLineChars="200"/>
        <w:rPr>
          <w:rFonts w:ascii="仿宋" w:hAnsi="仿宋" w:eastAsia="仿宋"/>
        </w:rPr>
      </w:pPr>
      <w:r>
        <w:rPr>
          <w:rFonts w:hint="eastAsia" w:ascii="仿宋" w:hAnsi="仿宋" w:eastAsia="仿宋"/>
          <w:sz w:val="28"/>
          <w:szCs w:val="28"/>
        </w:rPr>
        <w:t>近年来森林面积稳步增长，森林覆盖率与林木绿化率均呈现增长的趋势。北京森林主要分布在西部、北部山区，2012年北京实施百万亩平原造林以后，平原区森林面积显著增加。2017年北京森林面积</w:t>
      </w:r>
      <w:r>
        <w:rPr>
          <w:rFonts w:ascii="仿宋" w:hAnsi="仿宋" w:eastAsia="仿宋" w:cs="Times New Roman"/>
          <w:color w:val="000000"/>
          <w:sz w:val="28"/>
          <w:szCs w:val="28"/>
        </w:rPr>
        <w:t>767665.10</w:t>
      </w:r>
      <w:r>
        <w:rPr>
          <w:rFonts w:hint="eastAsia" w:ascii="仿宋" w:hAnsi="仿宋" w:eastAsia="仿宋" w:cs="Times New Roman"/>
          <w:color w:val="000000"/>
          <w:sz w:val="28"/>
          <w:szCs w:val="28"/>
        </w:rPr>
        <w:t>公顷，</w:t>
      </w:r>
      <w:r>
        <w:rPr>
          <w:rFonts w:hint="eastAsia" w:ascii="仿宋" w:hAnsi="仿宋" w:eastAsia="仿宋"/>
          <w:sz w:val="28"/>
          <w:szCs w:val="28"/>
        </w:rPr>
        <w:t>森林覆盖率43.00%，林木绿化率61.01%。</w:t>
      </w:r>
    </w:p>
    <w:p>
      <w:pPr>
        <w:spacing w:line="276" w:lineRule="auto"/>
        <w:rPr>
          <w:rFonts w:ascii="仿宋" w:hAnsi="仿宋" w:eastAsia="仿宋"/>
        </w:rPr>
      </w:pP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6" w:hRule="atLeast"/>
        </w:trPr>
        <w:tc>
          <w:tcPr>
            <w:tcW w:w="5000" w:type="pct"/>
          </w:tcPr>
          <w:p>
            <w:pPr>
              <w:spacing w:line="276" w:lineRule="auto"/>
              <w:jc w:val="center"/>
              <w:rPr>
                <w:rFonts w:ascii="仿宋" w:hAnsi="仿宋" w:eastAsia="仿宋" w:cs="Times New Roman"/>
                <w:color w:val="000000"/>
              </w:rPr>
            </w:pPr>
            <w:r>
              <w:rPr>
                <w:rFonts w:ascii="仿宋" w:hAnsi="仿宋" w:eastAsia="仿宋" w:cs="Times New Roman"/>
                <w:b/>
                <w:sz w:val="24"/>
                <w:szCs w:val="24"/>
              </w:rPr>
              <w:drawing>
                <wp:anchor distT="0" distB="0" distL="114300" distR="114300" simplePos="0" relativeHeight="251654144" behindDoc="0" locked="0" layoutInCell="1" allowOverlap="1">
                  <wp:simplePos x="0" y="0"/>
                  <wp:positionH relativeFrom="margin">
                    <wp:posOffset>1155065</wp:posOffset>
                  </wp:positionH>
                  <wp:positionV relativeFrom="paragraph">
                    <wp:posOffset>21590</wp:posOffset>
                  </wp:positionV>
                  <wp:extent cx="3877310" cy="1880235"/>
                  <wp:effectExtent l="0" t="0" r="8890" b="5715"/>
                  <wp:wrapNone/>
                  <wp:docPr id="35"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true" noChangeArrowheads="true"/>
                          </pic:cNvPicPr>
                        </pic:nvPicPr>
                        <pic:blipFill>
                          <a:blip r:embed="rId9" cstate="print"/>
                          <a:srcRect b="5262"/>
                          <a:stretch>
                            <a:fillRect/>
                          </a:stretch>
                        </pic:blipFill>
                        <pic:spPr>
                          <a:xfrm>
                            <a:off x="0" y="0"/>
                            <a:ext cx="3877401" cy="18803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vAlign w:val="center"/>
          </w:tcPr>
          <w:p>
            <w:pPr>
              <w:spacing w:line="276" w:lineRule="auto"/>
              <w:jc w:val="center"/>
              <w:rPr>
                <w:rFonts w:ascii="仿宋" w:hAnsi="仿宋" w:eastAsia="仿宋" w:cs="Times New Roman"/>
                <w:color w:val="000000"/>
              </w:rPr>
            </w:pPr>
            <w:r>
              <w:rPr>
                <w:rFonts w:hint="eastAsia" w:ascii="仿宋" w:hAnsi="仿宋" w:eastAsia="仿宋" w:cs="Times New Roman"/>
                <w:b/>
                <w:szCs w:val="24"/>
              </w:rPr>
              <w:t>图4-1北京市2</w:t>
            </w:r>
            <w:r>
              <w:rPr>
                <w:rFonts w:ascii="仿宋" w:hAnsi="仿宋" w:eastAsia="仿宋" w:cs="Times New Roman"/>
                <w:b/>
                <w:szCs w:val="24"/>
              </w:rPr>
              <w:t>00</w:t>
            </w:r>
            <w:r>
              <w:rPr>
                <w:rFonts w:hint="eastAsia" w:ascii="仿宋" w:hAnsi="仿宋" w:eastAsia="仿宋" w:cs="Times New Roman"/>
                <w:b/>
                <w:szCs w:val="24"/>
              </w:rPr>
              <w:t>9年与2014年森林资源分布图</w:t>
            </w:r>
          </w:p>
        </w:tc>
      </w:tr>
    </w:tbl>
    <w:p>
      <w:pPr>
        <w:spacing w:line="276" w:lineRule="auto"/>
        <w:ind w:firstLine="480" w:firstLineChars="200"/>
        <w:rPr>
          <w:rFonts w:ascii="仿宋" w:hAnsi="仿宋" w:eastAsia="仿宋"/>
          <w:sz w:val="24"/>
          <w:szCs w:val="24"/>
        </w:rPr>
      </w:pP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16"/>
        <w:gridCol w:w="2902"/>
        <w:gridCol w:w="29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1672" w:type="pct"/>
          </w:tcPr>
          <w:p>
            <w:pPr>
              <w:spacing w:line="276" w:lineRule="auto"/>
              <w:rPr>
                <w:rFonts w:ascii="仿宋" w:hAnsi="仿宋" w:eastAsia="仿宋"/>
              </w:rPr>
            </w:pPr>
            <w:r>
              <w:rPr>
                <w:rFonts w:ascii="仿宋" w:hAnsi="仿宋" w:eastAsia="仿宋"/>
              </w:rPr>
              <w:drawing>
                <wp:anchor distT="0" distB="0" distL="114300" distR="114300" simplePos="0" relativeHeight="251598848" behindDoc="0" locked="0" layoutInCell="1" allowOverlap="1">
                  <wp:simplePos x="0" y="0"/>
                  <wp:positionH relativeFrom="column">
                    <wp:posOffset>-59055</wp:posOffset>
                  </wp:positionH>
                  <wp:positionV relativeFrom="paragraph">
                    <wp:posOffset>168910</wp:posOffset>
                  </wp:positionV>
                  <wp:extent cx="1821815" cy="976630"/>
                  <wp:effectExtent l="0" t="0" r="7620" b="0"/>
                  <wp:wrapNone/>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10" cstate="print">
                            <a:extLst>
                              <a:ext uri="{28A0092B-C50C-407E-A947-70E740481C1C}">
                                <a14:useLocalDpi xmlns:a14="http://schemas.microsoft.com/office/drawing/2010/main" val="false"/>
                              </a:ext>
                            </a:extLst>
                          </a:blip>
                          <a:srcRect l="2858"/>
                          <a:stretch>
                            <a:fillRect/>
                          </a:stretch>
                        </pic:blipFill>
                        <pic:spPr>
                          <a:xfrm>
                            <a:off x="0" y="0"/>
                            <a:ext cx="1843225" cy="988164"/>
                          </a:xfrm>
                          <a:prstGeom prst="rect">
                            <a:avLst/>
                          </a:prstGeom>
                          <a:ln>
                            <a:noFill/>
                          </a:ln>
                        </pic:spPr>
                      </pic:pic>
                    </a:graphicData>
                  </a:graphic>
                </wp:anchor>
              </w:drawing>
            </w:r>
          </w:p>
        </w:tc>
        <w:tc>
          <w:tcPr>
            <w:tcW w:w="1664" w:type="pct"/>
          </w:tcPr>
          <w:p>
            <w:pPr>
              <w:spacing w:line="276" w:lineRule="auto"/>
              <w:rPr>
                <w:rFonts w:ascii="仿宋" w:hAnsi="仿宋" w:eastAsia="仿宋" w:cs="Times New Roman"/>
                <w:b/>
                <w:bCs/>
                <w:color w:val="000000"/>
                <w:sz w:val="24"/>
                <w:szCs w:val="24"/>
              </w:rPr>
            </w:pPr>
            <w:r>
              <w:rPr>
                <w:rFonts w:ascii="仿宋" w:hAnsi="仿宋" w:eastAsia="仿宋"/>
              </w:rPr>
              <w:drawing>
                <wp:anchor distT="0" distB="0" distL="114300" distR="114300" simplePos="0" relativeHeight="251586560" behindDoc="0" locked="0" layoutInCell="1" allowOverlap="1">
                  <wp:simplePos x="0" y="0"/>
                  <wp:positionH relativeFrom="column">
                    <wp:posOffset>-67945</wp:posOffset>
                  </wp:positionH>
                  <wp:positionV relativeFrom="paragraph">
                    <wp:posOffset>12700</wp:posOffset>
                  </wp:positionV>
                  <wp:extent cx="1828800" cy="1214120"/>
                  <wp:effectExtent l="0" t="0" r="0" b="5080"/>
                  <wp:wrapNone/>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11"/>
                          <a:stretch>
                            <a:fillRect/>
                          </a:stretch>
                        </pic:blipFill>
                        <pic:spPr>
                          <a:xfrm>
                            <a:off x="0" y="0"/>
                            <a:ext cx="1830558" cy="1215287"/>
                          </a:xfrm>
                          <a:prstGeom prst="rect">
                            <a:avLst/>
                          </a:prstGeom>
                        </pic:spPr>
                      </pic:pic>
                    </a:graphicData>
                  </a:graphic>
                </wp:anchor>
              </w:drawing>
            </w:r>
          </w:p>
        </w:tc>
        <w:tc>
          <w:tcPr>
            <w:tcW w:w="1664" w:type="pct"/>
          </w:tcPr>
          <w:p>
            <w:pPr>
              <w:spacing w:line="276" w:lineRule="auto"/>
              <w:rPr>
                <w:rFonts w:ascii="仿宋" w:hAnsi="仿宋" w:eastAsia="仿宋" w:cs="Times New Roman"/>
                <w:b/>
                <w:bCs/>
                <w:color w:val="000000"/>
                <w:sz w:val="24"/>
                <w:szCs w:val="24"/>
              </w:rPr>
            </w:pPr>
            <w:r>
              <w:rPr>
                <w:rFonts w:ascii="仿宋" w:hAnsi="仿宋" w:eastAsia="仿宋"/>
              </w:rPr>
              <w:drawing>
                <wp:anchor distT="0" distB="0" distL="114300" distR="114300" simplePos="0" relativeHeight="251592704" behindDoc="0" locked="0" layoutInCell="1" allowOverlap="1">
                  <wp:simplePos x="0" y="0"/>
                  <wp:positionH relativeFrom="column">
                    <wp:posOffset>-39370</wp:posOffset>
                  </wp:positionH>
                  <wp:positionV relativeFrom="paragraph">
                    <wp:posOffset>5715</wp:posOffset>
                  </wp:positionV>
                  <wp:extent cx="1772285" cy="1204595"/>
                  <wp:effectExtent l="0" t="0" r="0" b="0"/>
                  <wp:wrapNone/>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12"/>
                          <a:stretch>
                            <a:fillRect/>
                          </a:stretch>
                        </pic:blipFill>
                        <pic:spPr>
                          <a:xfrm>
                            <a:off x="0" y="0"/>
                            <a:ext cx="1780343" cy="1210203"/>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72" w:type="pct"/>
          </w:tcPr>
          <w:p>
            <w:pPr>
              <w:jc w:val="center"/>
              <w:rPr>
                <w:rFonts w:ascii="仿宋" w:hAnsi="仿宋" w:eastAsia="仿宋" w:cs="Times New Roman"/>
                <w:b/>
                <w:color w:val="000000"/>
              </w:rPr>
            </w:pPr>
            <w:r>
              <w:rPr>
                <w:rFonts w:hint="eastAsia" w:ascii="仿宋" w:hAnsi="仿宋" w:eastAsia="仿宋" w:cs="Times New Roman"/>
                <w:b/>
              </w:rPr>
              <w:t>图4-2北京市</w:t>
            </w:r>
            <w:r>
              <w:rPr>
                <w:rFonts w:ascii="仿宋" w:hAnsi="仿宋" w:eastAsia="仿宋" w:cs="Times New Roman"/>
                <w:b/>
              </w:rPr>
              <w:t>2007</w:t>
            </w:r>
            <w:r>
              <w:rPr>
                <w:rFonts w:hint="eastAsia" w:ascii="仿宋" w:hAnsi="仿宋" w:eastAsia="仿宋" w:cs="Times New Roman"/>
                <w:b/>
              </w:rPr>
              <w:t>年到</w:t>
            </w:r>
            <w:r>
              <w:rPr>
                <w:rFonts w:ascii="仿宋" w:hAnsi="仿宋" w:eastAsia="仿宋" w:cs="Times New Roman"/>
                <w:b/>
              </w:rPr>
              <w:t>2017</w:t>
            </w:r>
            <w:r>
              <w:rPr>
                <w:rFonts w:hint="eastAsia" w:ascii="仿宋" w:hAnsi="仿宋" w:eastAsia="仿宋" w:cs="Times New Roman"/>
                <w:b/>
              </w:rPr>
              <w:t>年林木绿化率与森林覆盖率变化图</w:t>
            </w:r>
          </w:p>
        </w:tc>
        <w:tc>
          <w:tcPr>
            <w:tcW w:w="1664" w:type="pct"/>
          </w:tcPr>
          <w:p>
            <w:pPr>
              <w:jc w:val="center"/>
              <w:rPr>
                <w:rFonts w:ascii="仿宋" w:hAnsi="仿宋" w:eastAsia="仿宋" w:cs="Times New Roman"/>
                <w:b/>
                <w:bCs/>
                <w:color w:val="000000"/>
                <w:sz w:val="24"/>
                <w:szCs w:val="24"/>
              </w:rPr>
            </w:pPr>
            <w:r>
              <w:rPr>
                <w:rFonts w:hint="eastAsia" w:ascii="仿宋" w:hAnsi="仿宋" w:eastAsia="仿宋" w:cs="Times New Roman"/>
                <w:b/>
                <w:color w:val="000000"/>
              </w:rPr>
              <w:t>图4-3</w:t>
            </w:r>
            <w:r>
              <w:rPr>
                <w:rFonts w:ascii="仿宋" w:hAnsi="仿宋" w:eastAsia="仿宋" w:cs="Times New Roman"/>
                <w:b/>
                <w:color w:val="000000"/>
              </w:rPr>
              <w:t xml:space="preserve"> 201</w:t>
            </w:r>
            <w:r>
              <w:rPr>
                <w:rFonts w:hint="eastAsia" w:ascii="仿宋" w:hAnsi="仿宋" w:eastAsia="仿宋" w:cs="Times New Roman"/>
                <w:b/>
                <w:color w:val="000000"/>
              </w:rPr>
              <w:t>3年与</w:t>
            </w:r>
            <w:r>
              <w:rPr>
                <w:rFonts w:ascii="仿宋" w:hAnsi="仿宋" w:eastAsia="仿宋" w:cs="Times New Roman"/>
                <w:b/>
                <w:color w:val="000000"/>
              </w:rPr>
              <w:t>2017</w:t>
            </w:r>
            <w:r>
              <w:rPr>
                <w:rFonts w:hint="eastAsia" w:ascii="仿宋" w:hAnsi="仿宋" w:eastAsia="仿宋" w:cs="Times New Roman"/>
                <w:b/>
                <w:color w:val="000000"/>
              </w:rPr>
              <w:t>年各区森林覆盖率对比图</w:t>
            </w:r>
          </w:p>
        </w:tc>
        <w:tc>
          <w:tcPr>
            <w:tcW w:w="1664" w:type="pct"/>
          </w:tcPr>
          <w:p>
            <w:pPr>
              <w:ind w:firstLine="105" w:firstLineChars="50"/>
              <w:jc w:val="center"/>
              <w:rPr>
                <w:rFonts w:ascii="仿宋" w:hAnsi="仿宋" w:eastAsia="仿宋" w:cs="Times New Roman"/>
                <w:b/>
                <w:bCs/>
                <w:color w:val="000000"/>
                <w:sz w:val="24"/>
                <w:szCs w:val="24"/>
              </w:rPr>
            </w:pPr>
            <w:r>
              <w:rPr>
                <w:rFonts w:hint="eastAsia" w:ascii="仿宋" w:hAnsi="仿宋" w:eastAsia="仿宋" w:cs="Times New Roman"/>
                <w:b/>
                <w:color w:val="000000"/>
              </w:rPr>
              <w:t>图4-4</w:t>
            </w:r>
            <w:r>
              <w:rPr>
                <w:rFonts w:ascii="仿宋" w:hAnsi="仿宋" w:eastAsia="仿宋" w:cs="Times New Roman"/>
                <w:b/>
                <w:color w:val="000000"/>
              </w:rPr>
              <w:t xml:space="preserve"> 201</w:t>
            </w:r>
            <w:r>
              <w:rPr>
                <w:rFonts w:hint="eastAsia" w:ascii="仿宋" w:hAnsi="仿宋" w:eastAsia="仿宋" w:cs="Times New Roman"/>
                <w:b/>
                <w:color w:val="000000"/>
              </w:rPr>
              <w:t>3年与</w:t>
            </w:r>
            <w:r>
              <w:rPr>
                <w:rFonts w:ascii="仿宋" w:hAnsi="仿宋" w:eastAsia="仿宋" w:cs="Times New Roman"/>
                <w:b/>
                <w:color w:val="000000"/>
              </w:rPr>
              <w:t>2017</w:t>
            </w:r>
            <w:r>
              <w:rPr>
                <w:rFonts w:hint="eastAsia" w:ascii="仿宋" w:hAnsi="仿宋" w:eastAsia="仿宋" w:cs="Times New Roman"/>
                <w:b/>
                <w:color w:val="000000"/>
              </w:rPr>
              <w:t>年各区林木绿化率对比图</w:t>
            </w:r>
          </w:p>
        </w:tc>
      </w:tr>
    </w:tbl>
    <w:p>
      <w:pPr>
        <w:spacing w:line="276" w:lineRule="auto"/>
        <w:ind w:firstLine="420" w:firstLineChars="200"/>
        <w:jc w:val="left"/>
        <w:rPr>
          <w:rFonts w:ascii="仿宋" w:hAnsi="仿宋" w:eastAsia="仿宋" w:cs="Times New Roman"/>
          <w:b/>
          <w:szCs w:val="24"/>
        </w:rPr>
      </w:pPr>
    </w:p>
    <w:p>
      <w:pPr>
        <w:pStyle w:val="5"/>
        <w:spacing w:before="0" w:after="0" w:line="276" w:lineRule="auto"/>
        <w:rPr>
          <w:rFonts w:ascii="仿宋" w:hAnsi="仿宋" w:eastAsia="仿宋"/>
        </w:rPr>
      </w:pPr>
      <w:r>
        <w:rPr>
          <w:rFonts w:hint="eastAsia" w:ascii="仿宋" w:hAnsi="仿宋" w:eastAsia="仿宋"/>
        </w:rPr>
        <w:t>2.森林郁闭度</w:t>
      </w:r>
    </w:p>
    <w:p>
      <w:pPr>
        <w:spacing w:line="276" w:lineRule="auto"/>
        <w:ind w:firstLine="560" w:firstLineChars="200"/>
        <w:jc w:val="left"/>
        <w:rPr>
          <w:rFonts w:ascii="仿宋" w:hAnsi="仿宋" w:eastAsia="仿宋" w:cs="Times New Roman"/>
          <w:color w:val="000000"/>
          <w:sz w:val="28"/>
          <w:szCs w:val="28"/>
        </w:rPr>
      </w:pPr>
      <w:r>
        <w:rPr>
          <w:rFonts w:hint="eastAsia" w:ascii="仿宋" w:hAnsi="仿宋" w:eastAsia="仿宋"/>
          <w:sz w:val="28"/>
          <w:szCs w:val="24"/>
        </w:rPr>
        <w:t>目前</w:t>
      </w:r>
      <w:r>
        <w:rPr>
          <w:rFonts w:hint="eastAsia" w:ascii="仿宋" w:hAnsi="仿宋" w:eastAsia="仿宋" w:cs="Times New Roman"/>
          <w:color w:val="000000"/>
          <w:sz w:val="28"/>
          <w:szCs w:val="28"/>
        </w:rPr>
        <w:t>北京市林分平均郁闭度为</w:t>
      </w:r>
      <w:r>
        <w:rPr>
          <w:rFonts w:ascii="仿宋" w:hAnsi="仿宋" w:eastAsia="仿宋" w:cs="Times New Roman"/>
          <w:color w:val="000000"/>
          <w:sz w:val="28"/>
          <w:szCs w:val="28"/>
        </w:rPr>
        <w:t>0.55</w:t>
      </w:r>
      <w:r>
        <w:rPr>
          <w:rFonts w:hint="eastAsia" w:ascii="仿宋" w:hAnsi="仿宋" w:eastAsia="仿宋" w:cs="Times New Roman"/>
          <w:color w:val="000000"/>
          <w:sz w:val="28"/>
          <w:szCs w:val="28"/>
        </w:rPr>
        <w:t>，郁闭度在</w:t>
      </w:r>
      <w:r>
        <w:rPr>
          <w:rFonts w:ascii="仿宋" w:hAnsi="仿宋" w:eastAsia="仿宋" w:cs="Times New Roman"/>
          <w:color w:val="000000"/>
          <w:sz w:val="28"/>
          <w:szCs w:val="28"/>
        </w:rPr>
        <w:t>0.6</w:t>
      </w:r>
      <w:r>
        <w:rPr>
          <w:rFonts w:hint="eastAsia" w:ascii="仿宋" w:hAnsi="仿宋" w:eastAsia="仿宋" w:cs="Times New Roman"/>
          <w:color w:val="000000"/>
          <w:sz w:val="28"/>
          <w:szCs w:val="28"/>
        </w:rPr>
        <w:t>～</w:t>
      </w:r>
      <w:r>
        <w:rPr>
          <w:rFonts w:ascii="仿宋" w:hAnsi="仿宋" w:eastAsia="仿宋" w:cs="Times New Roman"/>
          <w:color w:val="000000"/>
          <w:sz w:val="28"/>
          <w:szCs w:val="28"/>
        </w:rPr>
        <w:t>0.8</w:t>
      </w:r>
      <w:r>
        <w:rPr>
          <w:rFonts w:hint="eastAsia" w:ascii="仿宋" w:hAnsi="仿宋" w:eastAsia="仿宋" w:cs="Times New Roman"/>
          <w:color w:val="000000"/>
          <w:sz w:val="28"/>
          <w:szCs w:val="28"/>
        </w:rPr>
        <w:t>的面积最大，为</w:t>
      </w:r>
      <w:r>
        <w:rPr>
          <w:rFonts w:ascii="仿宋" w:hAnsi="仿宋" w:eastAsia="仿宋" w:cs="Times New Roman"/>
          <w:color w:val="000000"/>
          <w:sz w:val="28"/>
          <w:szCs w:val="28"/>
        </w:rPr>
        <w:t>199510.30</w:t>
      </w:r>
      <w:r>
        <w:rPr>
          <w:rFonts w:hint="eastAsia" w:ascii="仿宋" w:hAnsi="仿宋" w:eastAsia="仿宋" w:cs="Times New Roman"/>
          <w:color w:val="000000"/>
          <w:sz w:val="28"/>
          <w:szCs w:val="28"/>
        </w:rPr>
        <w:t>公顷，占</w:t>
      </w:r>
      <w:r>
        <w:rPr>
          <w:rFonts w:ascii="仿宋" w:hAnsi="仿宋" w:eastAsia="仿宋" w:cs="Times New Roman"/>
          <w:color w:val="000000"/>
          <w:sz w:val="28"/>
          <w:szCs w:val="28"/>
        </w:rPr>
        <w:t>33.14%</w:t>
      </w:r>
      <w:r>
        <w:rPr>
          <w:rFonts w:hint="eastAsia" w:ascii="仿宋" w:hAnsi="仿宋" w:eastAsia="仿宋" w:cs="Times New Roman"/>
          <w:color w:val="000000"/>
          <w:sz w:val="28"/>
          <w:szCs w:val="28"/>
        </w:rPr>
        <w:t>。与</w:t>
      </w:r>
      <w:r>
        <w:rPr>
          <w:rFonts w:ascii="仿宋" w:hAnsi="仿宋" w:eastAsia="仿宋" w:cs="Times New Roman"/>
          <w:color w:val="000000"/>
          <w:sz w:val="28"/>
          <w:szCs w:val="28"/>
        </w:rPr>
        <w:t>2009</w:t>
      </w:r>
      <w:r>
        <w:rPr>
          <w:rFonts w:hint="eastAsia" w:ascii="仿宋" w:hAnsi="仿宋" w:eastAsia="仿宋" w:cs="Times New Roman"/>
          <w:color w:val="000000"/>
          <w:sz w:val="28"/>
          <w:szCs w:val="28"/>
        </w:rPr>
        <w:t>年相比，郁闭度在</w:t>
      </w:r>
      <w:r>
        <w:rPr>
          <w:rFonts w:ascii="仿宋" w:hAnsi="仿宋" w:eastAsia="仿宋" w:cs="Times New Roman"/>
          <w:color w:val="000000"/>
          <w:sz w:val="28"/>
          <w:szCs w:val="28"/>
        </w:rPr>
        <w:t>0.6</w:t>
      </w:r>
      <w:r>
        <w:rPr>
          <w:rFonts w:hint="eastAsia" w:ascii="仿宋" w:hAnsi="仿宋" w:eastAsia="仿宋" w:cs="Times New Roman"/>
          <w:color w:val="000000"/>
          <w:sz w:val="28"/>
          <w:szCs w:val="28"/>
        </w:rPr>
        <w:t>～</w:t>
      </w:r>
      <w:r>
        <w:rPr>
          <w:rFonts w:ascii="仿宋" w:hAnsi="仿宋" w:eastAsia="仿宋" w:cs="Times New Roman"/>
          <w:color w:val="000000"/>
          <w:sz w:val="28"/>
          <w:szCs w:val="28"/>
        </w:rPr>
        <w:t>0.8</w:t>
      </w:r>
      <w:r>
        <w:rPr>
          <w:rFonts w:hint="eastAsia" w:ascii="仿宋" w:hAnsi="仿宋" w:eastAsia="仿宋" w:cs="Times New Roman"/>
          <w:color w:val="000000"/>
          <w:sz w:val="28"/>
          <w:szCs w:val="28"/>
        </w:rPr>
        <w:t>之间的林分面积增长幅度最大。</w:t>
      </w:r>
      <w:bookmarkEnd w:id="87"/>
      <w:bookmarkStart w:id="88" w:name="_Toc529001309"/>
      <w:bookmarkStart w:id="89" w:name="_Toc530648936"/>
    </w:p>
    <w:p>
      <w:pPr>
        <w:pStyle w:val="5"/>
        <w:spacing w:before="0" w:after="0" w:line="276" w:lineRule="auto"/>
        <w:rPr>
          <w:rFonts w:ascii="仿宋" w:hAnsi="仿宋" w:eastAsia="仿宋"/>
        </w:rPr>
      </w:pPr>
      <w:r>
        <w:rPr>
          <w:rFonts w:hint="eastAsia" w:ascii="仿宋" w:hAnsi="仿宋" w:eastAsia="仿宋"/>
        </w:rPr>
        <w:t>3.森林自然度</w:t>
      </w:r>
      <w:bookmarkEnd w:id="88"/>
      <w:bookmarkEnd w:id="89"/>
    </w:p>
    <w:p>
      <w:pPr>
        <w:spacing w:line="276" w:lineRule="auto"/>
        <w:ind w:firstLine="480"/>
        <w:rPr>
          <w:rFonts w:ascii="仿宋" w:hAnsi="仿宋" w:eastAsia="仿宋" w:cs="Times New Roman"/>
          <w:color w:val="000000"/>
          <w:sz w:val="28"/>
          <w:szCs w:val="28"/>
        </w:rPr>
      </w:pPr>
      <w:r>
        <w:rPr>
          <w:rFonts w:hint="eastAsia" w:ascii="仿宋" w:hAnsi="仿宋" w:eastAsia="仿宋" w:cs="Times New Roman"/>
          <w:color w:val="000000"/>
          <w:sz w:val="28"/>
          <w:szCs w:val="28"/>
        </w:rPr>
        <w:t>目前北京森林自然度</w:t>
      </w:r>
      <w:r>
        <w:rPr>
          <w:rFonts w:ascii="仿宋" w:hAnsi="仿宋" w:eastAsia="仿宋" w:cs="Times New Roman"/>
          <w:color w:val="000000"/>
          <w:sz w:val="28"/>
          <w:szCs w:val="28"/>
        </w:rPr>
        <w:t>I</w:t>
      </w:r>
      <w:r>
        <w:rPr>
          <w:rFonts w:hint="eastAsia" w:ascii="仿宋" w:hAnsi="仿宋" w:eastAsia="仿宋" w:cs="Times New Roman"/>
          <w:color w:val="000000"/>
          <w:sz w:val="28"/>
          <w:szCs w:val="28"/>
        </w:rPr>
        <w:t>级面积最小，为</w:t>
      </w:r>
      <w:r>
        <w:rPr>
          <w:rFonts w:ascii="仿宋" w:hAnsi="仿宋" w:eastAsia="仿宋" w:cs="Times New Roman"/>
          <w:color w:val="000000"/>
          <w:sz w:val="28"/>
          <w:szCs w:val="28"/>
        </w:rPr>
        <w:t>7704.17</w:t>
      </w:r>
      <w:r>
        <w:rPr>
          <w:rFonts w:hint="eastAsia" w:ascii="仿宋" w:hAnsi="仿宋" w:eastAsia="仿宋" w:cs="Times New Roman"/>
          <w:color w:val="000000"/>
          <w:sz w:val="28"/>
          <w:szCs w:val="28"/>
        </w:rPr>
        <w:t>公顷，</w:t>
      </w:r>
      <w:r>
        <w:rPr>
          <w:rFonts w:ascii="仿宋" w:hAnsi="仿宋" w:eastAsia="仿宋" w:cs="Times New Roman"/>
          <w:color w:val="000000"/>
          <w:sz w:val="28"/>
          <w:szCs w:val="28"/>
        </w:rPr>
        <w:t>V</w:t>
      </w:r>
      <w:r>
        <w:rPr>
          <w:rFonts w:hint="eastAsia" w:ascii="仿宋" w:hAnsi="仿宋" w:eastAsia="仿宋" w:cs="Times New Roman"/>
          <w:color w:val="000000"/>
          <w:sz w:val="28"/>
          <w:szCs w:val="28"/>
        </w:rPr>
        <w:t>级面积最大，为</w:t>
      </w:r>
      <w:r>
        <w:rPr>
          <w:rFonts w:ascii="仿宋" w:hAnsi="仿宋" w:eastAsia="仿宋" w:cs="Times New Roman"/>
          <w:color w:val="000000"/>
          <w:sz w:val="28"/>
          <w:szCs w:val="28"/>
        </w:rPr>
        <w:t>409321.50</w:t>
      </w:r>
      <w:r>
        <w:rPr>
          <w:rFonts w:hint="eastAsia" w:ascii="仿宋" w:hAnsi="仿宋" w:eastAsia="仿宋" w:cs="Times New Roman"/>
          <w:color w:val="000000"/>
          <w:sz w:val="28"/>
          <w:szCs w:val="28"/>
        </w:rPr>
        <w:t>公顷。与</w:t>
      </w:r>
      <w:r>
        <w:rPr>
          <w:rFonts w:ascii="仿宋" w:hAnsi="仿宋" w:eastAsia="仿宋" w:cs="Times New Roman"/>
          <w:color w:val="000000"/>
          <w:sz w:val="28"/>
          <w:szCs w:val="28"/>
        </w:rPr>
        <w:t>2009</w:t>
      </w:r>
      <w:r>
        <w:rPr>
          <w:rFonts w:hint="eastAsia" w:ascii="仿宋" w:hAnsi="仿宋" w:eastAsia="仿宋" w:cs="Times New Roman"/>
          <w:color w:val="000000"/>
          <w:sz w:val="28"/>
          <w:szCs w:val="28"/>
        </w:rPr>
        <w:t>年相比，自然度</w:t>
      </w:r>
      <w:r>
        <w:rPr>
          <w:rFonts w:ascii="仿宋" w:hAnsi="仿宋" w:eastAsia="仿宋" w:cs="Times New Roman"/>
          <w:color w:val="000000"/>
          <w:sz w:val="28"/>
          <w:szCs w:val="28"/>
        </w:rPr>
        <w:t>I</w:t>
      </w:r>
      <w:r>
        <w:rPr>
          <w:rFonts w:hint="eastAsia" w:ascii="仿宋" w:hAnsi="仿宋" w:eastAsia="仿宋" w:cs="Times New Roman"/>
          <w:color w:val="000000"/>
          <w:sz w:val="28"/>
          <w:szCs w:val="28"/>
        </w:rPr>
        <w:t>级和</w:t>
      </w:r>
      <w:r>
        <w:rPr>
          <w:rFonts w:ascii="仿宋" w:hAnsi="仿宋" w:eastAsia="仿宋" w:cs="Times New Roman"/>
          <w:color w:val="000000"/>
          <w:sz w:val="28"/>
          <w:szCs w:val="28"/>
        </w:rPr>
        <w:t>II</w:t>
      </w:r>
      <w:r>
        <w:rPr>
          <w:rFonts w:hint="eastAsia" w:ascii="仿宋" w:hAnsi="仿宋" w:eastAsia="仿宋" w:cs="Times New Roman"/>
          <w:color w:val="000000"/>
          <w:sz w:val="28"/>
          <w:szCs w:val="28"/>
        </w:rPr>
        <w:t>级的森林面积均减少，自然度</w:t>
      </w:r>
      <w:r>
        <w:rPr>
          <w:rFonts w:ascii="仿宋" w:hAnsi="仿宋" w:eastAsia="仿宋" w:cs="Times New Roman"/>
          <w:color w:val="000000"/>
          <w:sz w:val="28"/>
          <w:szCs w:val="28"/>
        </w:rPr>
        <w:t>III</w:t>
      </w:r>
      <w:r>
        <w:rPr>
          <w:rFonts w:hint="eastAsia" w:ascii="仿宋" w:hAnsi="仿宋" w:eastAsia="仿宋" w:cs="Times New Roman"/>
          <w:color w:val="000000"/>
          <w:sz w:val="28"/>
          <w:szCs w:val="28"/>
        </w:rPr>
        <w:t>级</w:t>
      </w:r>
      <w:r>
        <w:rPr>
          <w:rFonts w:ascii="仿宋" w:hAnsi="仿宋" w:eastAsia="仿宋" w:cs="Times New Roman"/>
          <w:color w:val="000000"/>
          <w:sz w:val="28"/>
          <w:szCs w:val="28"/>
        </w:rPr>
        <w:t xml:space="preserve"> </w:t>
      </w:r>
      <w:r>
        <w:rPr>
          <w:rFonts w:hint="eastAsia" w:ascii="仿宋" w:hAnsi="仿宋" w:eastAsia="仿宋" w:cs="Times New Roman"/>
          <w:color w:val="000000"/>
          <w:sz w:val="28"/>
          <w:szCs w:val="28"/>
        </w:rPr>
        <w:t>、</w:t>
      </w:r>
      <w:r>
        <w:rPr>
          <w:rFonts w:ascii="仿宋" w:hAnsi="仿宋" w:eastAsia="仿宋" w:cs="Times New Roman"/>
          <w:color w:val="000000"/>
          <w:sz w:val="28"/>
          <w:szCs w:val="28"/>
        </w:rPr>
        <w:t>IV</w:t>
      </w:r>
      <w:r>
        <w:rPr>
          <w:rFonts w:hint="eastAsia" w:ascii="仿宋" w:hAnsi="仿宋" w:eastAsia="仿宋" w:cs="Times New Roman"/>
          <w:color w:val="000000"/>
          <w:sz w:val="28"/>
          <w:szCs w:val="28"/>
        </w:rPr>
        <w:t>级和</w:t>
      </w:r>
      <w:r>
        <w:rPr>
          <w:rFonts w:ascii="仿宋" w:hAnsi="仿宋" w:eastAsia="仿宋" w:cs="Times New Roman"/>
          <w:color w:val="000000"/>
          <w:sz w:val="28"/>
          <w:szCs w:val="28"/>
        </w:rPr>
        <w:t>V</w:t>
      </w:r>
      <w:r>
        <w:rPr>
          <w:rFonts w:hint="eastAsia" w:ascii="仿宋" w:hAnsi="仿宋" w:eastAsia="仿宋" w:cs="Times New Roman"/>
          <w:color w:val="000000"/>
          <w:sz w:val="28"/>
          <w:szCs w:val="28"/>
        </w:rPr>
        <w:t>级的森林面积都有增加。</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47"/>
        <w:gridCol w:w="42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6" w:hRule="atLeast"/>
        </w:trPr>
        <w:tc>
          <w:tcPr>
            <w:tcW w:w="4247" w:type="dxa"/>
          </w:tcPr>
          <w:p>
            <w:pPr>
              <w:spacing w:line="276" w:lineRule="auto"/>
              <w:rPr>
                <w:rFonts w:ascii="仿宋" w:hAnsi="仿宋" w:eastAsia="仿宋" w:cs="Times New Roman"/>
                <w:color w:val="000000"/>
                <w:sz w:val="24"/>
                <w:szCs w:val="24"/>
              </w:rPr>
            </w:pPr>
            <w:r>
              <w:rPr>
                <w:rFonts w:ascii="仿宋" w:hAnsi="仿宋" w:eastAsia="仿宋" w:cs="Times New Roman"/>
                <w:color w:val="000000"/>
                <w:sz w:val="24"/>
                <w:szCs w:val="24"/>
              </w:rPr>
              <w:drawing>
                <wp:anchor distT="0" distB="0" distL="114300" distR="114300" simplePos="0" relativeHeight="251678720" behindDoc="0" locked="0" layoutInCell="1" allowOverlap="0">
                  <wp:simplePos x="0" y="0"/>
                  <wp:positionH relativeFrom="margin">
                    <wp:posOffset>-13335</wp:posOffset>
                  </wp:positionH>
                  <wp:positionV relativeFrom="paragraph">
                    <wp:posOffset>36195</wp:posOffset>
                  </wp:positionV>
                  <wp:extent cx="2533015" cy="2455545"/>
                  <wp:effectExtent l="0" t="0" r="635" b="2540"/>
                  <wp:wrapNone/>
                  <wp:docPr id="28672" name="图片 2867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672" name="图片 28672"/>
                          <pic:cNvPicPr>
                            <a:picLocks noChangeAspect="true"/>
                          </pic:cNvPicPr>
                        </pic:nvPicPr>
                        <pic:blipFill>
                          <a:blip r:embed="rId13" cstate="print"/>
                          <a:stretch>
                            <a:fillRect/>
                          </a:stretch>
                        </pic:blipFill>
                        <pic:spPr>
                          <a:xfrm>
                            <a:off x="0" y="0"/>
                            <a:ext cx="2533301" cy="2455524"/>
                          </a:xfrm>
                          <a:prstGeom prst="rect">
                            <a:avLst/>
                          </a:prstGeom>
                        </pic:spPr>
                      </pic:pic>
                    </a:graphicData>
                  </a:graphic>
                </wp:anchor>
              </w:drawing>
            </w:r>
          </w:p>
        </w:tc>
        <w:tc>
          <w:tcPr>
            <w:tcW w:w="4247" w:type="dxa"/>
          </w:tcPr>
          <w:p>
            <w:pPr>
              <w:spacing w:line="276" w:lineRule="auto"/>
              <w:rPr>
                <w:rFonts w:ascii="仿宋" w:hAnsi="仿宋" w:eastAsia="仿宋" w:cs="Times New Roman"/>
                <w:color w:val="000000"/>
                <w:sz w:val="24"/>
                <w:szCs w:val="24"/>
              </w:rPr>
            </w:pPr>
            <w:r>
              <w:rPr>
                <w:rFonts w:ascii="仿宋" w:hAnsi="仿宋" w:eastAsia="仿宋" w:cs="Times New Roman"/>
                <w:color w:val="0000CC"/>
                <w:sz w:val="24"/>
                <w:szCs w:val="24"/>
              </w:rPr>
              <w:drawing>
                <wp:anchor distT="0" distB="0" distL="114300" distR="114300" simplePos="0" relativeHeight="251672576" behindDoc="0" locked="0" layoutInCell="1" allowOverlap="1">
                  <wp:simplePos x="0" y="0"/>
                  <wp:positionH relativeFrom="column">
                    <wp:posOffset>34290</wp:posOffset>
                  </wp:positionH>
                  <wp:positionV relativeFrom="paragraph">
                    <wp:posOffset>5715</wp:posOffset>
                  </wp:positionV>
                  <wp:extent cx="2475865" cy="2475865"/>
                  <wp:effectExtent l="0" t="0" r="635" b="635"/>
                  <wp:wrapNone/>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noChangeArrowheads="true"/>
                          </pic:cNvPicPr>
                        </pic:nvPicPr>
                        <pic:blipFill>
                          <a:blip r:embed="rId14" cstate="print">
                            <a:extLst>
                              <a:ext uri="{28A0092B-C50C-407E-A947-70E740481C1C}">
                                <a14:useLocalDpi xmlns:a14="http://schemas.microsoft.com/office/drawing/2010/main" val="false"/>
                              </a:ext>
                            </a:extLst>
                          </a:blip>
                          <a:stretch>
                            <a:fillRect/>
                          </a:stretch>
                        </pic:blipFill>
                        <pic:spPr>
                          <a:xfrm>
                            <a:off x="0" y="0"/>
                            <a:ext cx="2476072" cy="2476072"/>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47" w:type="dxa"/>
          </w:tcPr>
          <w:p>
            <w:pPr>
              <w:spacing w:line="276" w:lineRule="auto"/>
              <w:jc w:val="center"/>
              <w:rPr>
                <w:rFonts w:ascii="仿宋" w:hAnsi="仿宋" w:eastAsia="仿宋" w:cs="Times New Roman"/>
                <w:b/>
              </w:rPr>
            </w:pPr>
            <w:r>
              <w:rPr>
                <w:rFonts w:hint="eastAsia" w:ascii="仿宋" w:hAnsi="仿宋" w:eastAsia="仿宋" w:cs="Times New Roman"/>
                <w:b/>
              </w:rPr>
              <w:t>图4-5</w:t>
            </w:r>
            <w:r>
              <w:rPr>
                <w:rFonts w:ascii="仿宋" w:hAnsi="仿宋" w:eastAsia="仿宋" w:cs="Times New Roman"/>
                <w:b/>
              </w:rPr>
              <w:t xml:space="preserve"> </w:t>
            </w:r>
            <w:r>
              <w:rPr>
                <w:rFonts w:hint="eastAsia" w:ascii="仿宋" w:hAnsi="仿宋" w:eastAsia="仿宋" w:cs="Times New Roman"/>
                <w:b/>
              </w:rPr>
              <w:t>北京森林自然度分布图</w:t>
            </w:r>
          </w:p>
        </w:tc>
        <w:tc>
          <w:tcPr>
            <w:tcW w:w="4247" w:type="dxa"/>
          </w:tcPr>
          <w:p>
            <w:pPr>
              <w:spacing w:line="276" w:lineRule="auto"/>
              <w:jc w:val="center"/>
              <w:rPr>
                <w:rFonts w:ascii="仿宋" w:hAnsi="仿宋" w:eastAsia="仿宋" w:cs="Times New Roman"/>
                <w:b/>
              </w:rPr>
            </w:pPr>
            <w:r>
              <w:rPr>
                <w:rFonts w:hint="eastAsia" w:ascii="仿宋" w:hAnsi="仿宋" w:eastAsia="仿宋" w:cs="Times New Roman"/>
                <w:b/>
              </w:rPr>
              <w:t>图4-6北京森林郁闭度分布图</w:t>
            </w:r>
          </w:p>
        </w:tc>
      </w:tr>
    </w:tbl>
    <w:p>
      <w:pPr>
        <w:pStyle w:val="4"/>
        <w:spacing w:before="217" w:after="217" w:line="276" w:lineRule="auto"/>
        <w:rPr>
          <w:rFonts w:ascii="仿宋" w:hAnsi="仿宋" w:eastAsia="仿宋" w:cs="Times New Roman"/>
          <w:spacing w:val="20"/>
        </w:rPr>
      </w:pPr>
      <w:bookmarkStart w:id="90" w:name="_Toc528968724"/>
      <w:bookmarkStart w:id="91" w:name="_Toc529864947"/>
      <w:bookmarkStart w:id="92" w:name="_Toc27389893"/>
      <w:bookmarkStart w:id="93" w:name="_Toc530648939"/>
      <w:r>
        <w:rPr>
          <w:rFonts w:hint="eastAsia" w:ascii="仿宋" w:hAnsi="仿宋" w:eastAsia="仿宋" w:cs="Times New Roman"/>
          <w:spacing w:val="20"/>
        </w:rPr>
        <w:t>（二）</w:t>
      </w:r>
      <w:r>
        <w:rPr>
          <w:rFonts w:ascii="仿宋" w:hAnsi="仿宋" w:eastAsia="仿宋" w:cs="Times New Roman"/>
          <w:spacing w:val="20"/>
        </w:rPr>
        <w:t>绿地资源</w:t>
      </w:r>
      <w:bookmarkEnd w:id="90"/>
      <w:bookmarkEnd w:id="91"/>
      <w:bookmarkEnd w:id="92"/>
      <w:bookmarkEnd w:id="93"/>
    </w:p>
    <w:p>
      <w:pPr>
        <w:pStyle w:val="5"/>
        <w:spacing w:before="0" w:after="0" w:line="276" w:lineRule="auto"/>
        <w:rPr>
          <w:rFonts w:ascii="仿宋" w:hAnsi="仿宋" w:eastAsia="仿宋"/>
        </w:rPr>
      </w:pPr>
      <w:bookmarkStart w:id="94" w:name="_Toc529864949"/>
      <w:bookmarkStart w:id="95" w:name="_Toc530648940"/>
      <w:r>
        <w:rPr>
          <w:rFonts w:hint="eastAsia" w:ascii="仿宋" w:hAnsi="仿宋" w:eastAsia="仿宋"/>
        </w:rPr>
        <w:t>1.</w:t>
      </w:r>
      <w:r>
        <w:rPr>
          <w:rFonts w:ascii="仿宋" w:hAnsi="仿宋" w:eastAsia="仿宋"/>
        </w:rPr>
        <w:t>城区</w:t>
      </w:r>
      <w:bookmarkEnd w:id="94"/>
      <w:r>
        <w:rPr>
          <w:rFonts w:hint="eastAsia" w:ascii="仿宋" w:hAnsi="仿宋" w:eastAsia="仿宋"/>
        </w:rPr>
        <w:t>绿地资源</w:t>
      </w:r>
      <w:bookmarkEnd w:id="95"/>
    </w:p>
    <w:p>
      <w:pPr>
        <w:spacing w:line="276" w:lineRule="auto"/>
        <w:ind w:firstLine="560" w:firstLineChars="200"/>
        <w:rPr>
          <w:rFonts w:ascii="仿宋" w:hAnsi="仿宋" w:eastAsia="仿宋"/>
          <w:sz w:val="28"/>
          <w:szCs w:val="28"/>
        </w:rPr>
      </w:pPr>
      <w:r>
        <w:rPr>
          <w:rFonts w:hint="eastAsia" w:ascii="仿宋" w:hAnsi="仿宋" w:eastAsia="仿宋"/>
          <w:b/>
          <w:sz w:val="28"/>
          <w:szCs w:val="28"/>
        </w:rPr>
        <w:t xml:space="preserve"> </w:t>
      </w:r>
      <w:r>
        <w:rPr>
          <w:rFonts w:ascii="仿宋" w:hAnsi="仿宋" w:eastAsia="仿宋"/>
          <w:sz w:val="28"/>
          <w:szCs w:val="28"/>
        </w:rPr>
        <w:t>2017</w:t>
      </w:r>
      <w:r>
        <w:rPr>
          <w:rFonts w:hint="eastAsia" w:ascii="仿宋" w:hAnsi="仿宋" w:eastAsia="仿宋"/>
          <w:sz w:val="28"/>
          <w:szCs w:val="28"/>
        </w:rPr>
        <w:t>年北京市绿化覆盖率</w:t>
      </w:r>
      <w:r>
        <w:rPr>
          <w:rFonts w:ascii="仿宋" w:hAnsi="仿宋" w:eastAsia="仿宋"/>
          <w:sz w:val="28"/>
          <w:szCs w:val="28"/>
        </w:rPr>
        <w:t>48.42%</w:t>
      </w:r>
      <w:r>
        <w:rPr>
          <w:rFonts w:hint="eastAsia" w:ascii="仿宋" w:hAnsi="仿宋" w:eastAsia="仿宋"/>
          <w:sz w:val="28"/>
          <w:szCs w:val="28"/>
        </w:rPr>
        <w:t>、</w:t>
      </w:r>
      <w:r>
        <w:rPr>
          <w:rFonts w:ascii="仿宋" w:hAnsi="仿宋" w:eastAsia="仿宋"/>
          <w:sz w:val="28"/>
          <w:szCs w:val="28"/>
        </w:rPr>
        <w:t>绿地率46.65%</w:t>
      </w:r>
      <w:r>
        <w:rPr>
          <w:rFonts w:hint="eastAsia" w:ascii="仿宋" w:hAnsi="仿宋" w:eastAsia="仿宋"/>
          <w:sz w:val="28"/>
          <w:szCs w:val="28"/>
        </w:rPr>
        <w:t>、</w:t>
      </w:r>
      <w:r>
        <w:rPr>
          <w:rFonts w:ascii="仿宋" w:hAnsi="仿宋" w:eastAsia="仿宋"/>
          <w:sz w:val="28"/>
          <w:szCs w:val="28"/>
        </w:rPr>
        <w:t>人均公园</w:t>
      </w:r>
      <w:r>
        <w:rPr>
          <w:rFonts w:ascii="仿宋" w:hAnsi="仿宋" w:eastAsia="仿宋"/>
          <w:sz w:val="28"/>
          <w:szCs w:val="24"/>
        </w:rPr>
        <w:t>绿地面积</w:t>
      </w:r>
      <w:r>
        <w:rPr>
          <w:rFonts w:ascii="仿宋" w:hAnsi="仿宋" w:eastAsia="仿宋"/>
          <w:sz w:val="28"/>
          <w:szCs w:val="28"/>
        </w:rPr>
        <w:t>16.2平方米</w:t>
      </w:r>
      <w:r>
        <w:rPr>
          <w:rFonts w:hint="eastAsia" w:ascii="仿宋" w:hAnsi="仿宋" w:eastAsia="仿宋"/>
          <w:sz w:val="28"/>
          <w:szCs w:val="28"/>
        </w:rPr>
        <w:t>，</w:t>
      </w:r>
      <w:r>
        <w:rPr>
          <w:rFonts w:ascii="仿宋" w:hAnsi="仿宋" w:eastAsia="仿宋"/>
          <w:sz w:val="28"/>
          <w:szCs w:val="28"/>
        </w:rPr>
        <w:t>人均绿地面积41平方米</w:t>
      </w:r>
      <w:r>
        <w:rPr>
          <w:rFonts w:hint="eastAsia" w:ascii="仿宋" w:hAnsi="仿宋" w:eastAsia="仿宋"/>
          <w:sz w:val="28"/>
          <w:szCs w:val="28"/>
        </w:rPr>
        <w:t>，</w:t>
      </w:r>
      <w:r>
        <w:rPr>
          <w:rFonts w:hint="eastAsia" w:ascii="仿宋" w:hAnsi="仿宋" w:eastAsia="仿宋"/>
          <w:sz w:val="28"/>
          <w:szCs w:val="24"/>
        </w:rPr>
        <w:t>公园绿地</w:t>
      </w:r>
      <w:r>
        <w:rPr>
          <w:rFonts w:ascii="仿宋" w:hAnsi="仿宋" w:eastAsia="仿宋"/>
          <w:sz w:val="28"/>
          <w:szCs w:val="24"/>
        </w:rPr>
        <w:t>500米</w:t>
      </w:r>
      <w:r>
        <w:rPr>
          <w:rFonts w:hint="eastAsia" w:ascii="仿宋" w:hAnsi="仿宋" w:eastAsia="仿宋"/>
          <w:sz w:val="28"/>
          <w:szCs w:val="24"/>
        </w:rPr>
        <w:t>服务半径对中心城区覆盖率为41.68</w:t>
      </w:r>
      <w:r>
        <w:rPr>
          <w:rFonts w:ascii="仿宋" w:hAnsi="仿宋" w:eastAsia="仿宋"/>
          <w:sz w:val="28"/>
          <w:szCs w:val="24"/>
        </w:rPr>
        <w:t>%</w:t>
      </w:r>
      <w:r>
        <w:rPr>
          <w:rFonts w:hint="eastAsia" w:ascii="仿宋" w:hAnsi="仿宋" w:eastAsia="仿宋"/>
          <w:sz w:val="28"/>
          <w:szCs w:val="24"/>
        </w:rPr>
        <w:t>，</w:t>
      </w:r>
      <w:r>
        <w:rPr>
          <w:rFonts w:hint="eastAsia" w:ascii="仿宋" w:hAnsi="仿宋" w:eastAsia="仿宋"/>
          <w:sz w:val="28"/>
          <w:szCs w:val="28"/>
        </w:rPr>
        <w:t>对居住区</w:t>
      </w:r>
      <w:r>
        <w:rPr>
          <w:rFonts w:ascii="仿宋" w:hAnsi="仿宋" w:eastAsia="仿宋"/>
          <w:sz w:val="28"/>
          <w:szCs w:val="28"/>
        </w:rPr>
        <w:t>覆盖率为77%</w:t>
      </w:r>
      <w:r>
        <w:rPr>
          <w:rFonts w:hint="eastAsia" w:ascii="仿宋" w:hAnsi="仿宋" w:eastAsia="仿宋"/>
          <w:sz w:val="28"/>
          <w:szCs w:val="28"/>
        </w:rPr>
        <w:t>，从各个区来看还存在一定差距。</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47"/>
        <w:gridCol w:w="42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3" w:hRule="atLeast"/>
        </w:trPr>
        <w:tc>
          <w:tcPr>
            <w:tcW w:w="4247" w:type="dxa"/>
          </w:tcPr>
          <w:p>
            <w:pPr>
              <w:spacing w:line="276" w:lineRule="auto"/>
              <w:rPr>
                <w:rFonts w:ascii="仿宋" w:hAnsi="仿宋" w:eastAsia="仿宋"/>
                <w:sz w:val="24"/>
                <w:szCs w:val="24"/>
              </w:rPr>
            </w:pPr>
            <w:r>
              <w:rPr>
                <w:rFonts w:ascii="仿宋" w:hAnsi="仿宋" w:eastAsia="仿宋"/>
              </w:rPr>
              <w:drawing>
                <wp:anchor distT="0" distB="0" distL="114300" distR="114300" simplePos="0" relativeHeight="251684864" behindDoc="0" locked="0" layoutInCell="1" allowOverlap="1">
                  <wp:simplePos x="0" y="0"/>
                  <wp:positionH relativeFrom="margin">
                    <wp:posOffset>-6350</wp:posOffset>
                  </wp:positionH>
                  <wp:positionV relativeFrom="paragraph">
                    <wp:posOffset>304165</wp:posOffset>
                  </wp:positionV>
                  <wp:extent cx="2668905" cy="1501140"/>
                  <wp:effectExtent l="0" t="0" r="0" b="3810"/>
                  <wp:wrapSquare wrapText="bothSides"/>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noChangeArrowheads="true"/>
                          </pic:cNvPicPr>
                        </pic:nvPicPr>
                        <pic:blipFill>
                          <a:blip r:embed="rId15" cstate="print"/>
                          <a:srcRect l="1282" t="1471" r="816" b="2521"/>
                          <a:stretch>
                            <a:fillRect/>
                          </a:stretch>
                        </pic:blipFill>
                        <pic:spPr>
                          <a:xfrm>
                            <a:off x="0" y="0"/>
                            <a:ext cx="2668905" cy="1501140"/>
                          </a:xfrm>
                          <a:prstGeom prst="rect">
                            <a:avLst/>
                          </a:prstGeom>
                          <a:noFill/>
                          <a:ln>
                            <a:noFill/>
                          </a:ln>
                        </pic:spPr>
                      </pic:pic>
                    </a:graphicData>
                  </a:graphic>
                </wp:anchor>
              </w:drawing>
            </w:r>
          </w:p>
        </w:tc>
        <w:tc>
          <w:tcPr>
            <w:tcW w:w="4247" w:type="dxa"/>
          </w:tcPr>
          <w:p>
            <w:pPr>
              <w:spacing w:line="276" w:lineRule="auto"/>
              <w:rPr>
                <w:rFonts w:ascii="仿宋" w:hAnsi="仿宋" w:eastAsia="仿宋"/>
                <w:sz w:val="24"/>
                <w:szCs w:val="24"/>
              </w:rPr>
            </w:pPr>
            <w:r>
              <w:rPr>
                <w:rFonts w:ascii="仿宋" w:hAnsi="仿宋" w:eastAsia="仿宋"/>
                <w:sz w:val="24"/>
                <w:szCs w:val="24"/>
              </w:rPr>
              <w:drawing>
                <wp:anchor distT="0" distB="0" distL="114300" distR="114300" simplePos="0" relativeHeight="251691008" behindDoc="0" locked="0" layoutInCell="1" allowOverlap="1">
                  <wp:simplePos x="0" y="0"/>
                  <wp:positionH relativeFrom="margin">
                    <wp:posOffset>-40005</wp:posOffset>
                  </wp:positionH>
                  <wp:positionV relativeFrom="paragraph">
                    <wp:posOffset>29845</wp:posOffset>
                  </wp:positionV>
                  <wp:extent cx="2560320" cy="1748155"/>
                  <wp:effectExtent l="0" t="0" r="0" b="4445"/>
                  <wp:wrapNone/>
                  <wp:docPr id="20" name="图片 20" descr="中心城区"/>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中心城区"/>
                          <pic:cNvPicPr>
                            <a:picLocks noChangeAspect="true" noChangeArrowheads="true"/>
                          </pic:cNvPicPr>
                        </pic:nvPicPr>
                        <pic:blipFill>
                          <a:blip r:embed="rId16" cstate="print">
                            <a:extLst>
                              <a:ext uri="{28A0092B-C50C-407E-A947-70E740481C1C}">
                                <a14:useLocalDpi xmlns:a14="http://schemas.microsoft.com/office/drawing/2010/main" val="false"/>
                              </a:ext>
                            </a:extLst>
                          </a:blip>
                          <a:srcRect t="3268"/>
                          <a:stretch>
                            <a:fillRect/>
                          </a:stretch>
                        </pic:blipFill>
                        <pic:spPr>
                          <a:xfrm>
                            <a:off x="0" y="0"/>
                            <a:ext cx="2560174" cy="1748397"/>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47" w:type="dxa"/>
          </w:tcPr>
          <w:p>
            <w:pPr>
              <w:spacing w:line="276" w:lineRule="auto"/>
              <w:jc w:val="center"/>
              <w:rPr>
                <w:rFonts w:ascii="仿宋" w:hAnsi="仿宋" w:eastAsia="仿宋"/>
                <w:b/>
                <w:bCs/>
                <w:szCs w:val="21"/>
              </w:rPr>
            </w:pPr>
            <w:r>
              <w:rPr>
                <w:rFonts w:hint="eastAsia" w:ascii="仿宋" w:hAnsi="仿宋" w:eastAsia="仿宋"/>
                <w:b/>
                <w:bCs/>
                <w:szCs w:val="21"/>
              </w:rPr>
              <w:t>图4-7</w:t>
            </w:r>
            <w:r>
              <w:rPr>
                <w:rFonts w:ascii="仿宋" w:hAnsi="仿宋" w:eastAsia="仿宋"/>
                <w:b/>
                <w:bCs/>
                <w:szCs w:val="21"/>
              </w:rPr>
              <w:t xml:space="preserve"> </w:t>
            </w:r>
            <w:r>
              <w:rPr>
                <w:rFonts w:hint="eastAsia" w:ascii="仿宋" w:hAnsi="仿宋" w:eastAsia="仿宋"/>
                <w:b/>
                <w:bCs/>
                <w:szCs w:val="21"/>
              </w:rPr>
              <w:t>北京市“两率”统计图</w:t>
            </w:r>
          </w:p>
        </w:tc>
        <w:tc>
          <w:tcPr>
            <w:tcW w:w="4247" w:type="dxa"/>
          </w:tcPr>
          <w:p>
            <w:pPr>
              <w:spacing w:line="276" w:lineRule="auto"/>
              <w:jc w:val="center"/>
              <w:rPr>
                <w:rFonts w:ascii="仿宋" w:hAnsi="仿宋" w:eastAsia="仿宋"/>
                <w:b/>
                <w:bCs/>
                <w:szCs w:val="21"/>
              </w:rPr>
            </w:pPr>
            <w:r>
              <w:rPr>
                <w:rFonts w:hint="eastAsia" w:ascii="仿宋" w:hAnsi="仿宋" w:eastAsia="仿宋"/>
                <w:b/>
                <w:bCs/>
                <w:szCs w:val="21"/>
              </w:rPr>
              <w:t>图4-8中心城区及核心区绿地分布图</w:t>
            </w:r>
          </w:p>
        </w:tc>
      </w:tr>
    </w:tbl>
    <w:p>
      <w:pPr>
        <w:spacing w:line="276" w:lineRule="auto"/>
        <w:ind w:firstLine="480" w:firstLineChars="200"/>
        <w:rPr>
          <w:rFonts w:ascii="仿宋" w:hAnsi="仿宋" w:eastAsia="仿宋"/>
          <w:sz w:val="24"/>
          <w:szCs w:val="24"/>
        </w:rPr>
      </w:pPr>
    </w:p>
    <w:p>
      <w:pPr>
        <w:pStyle w:val="5"/>
        <w:spacing w:before="0" w:after="0" w:line="276" w:lineRule="auto"/>
        <w:rPr>
          <w:rFonts w:ascii="仿宋" w:hAnsi="仿宋" w:eastAsia="仿宋"/>
        </w:rPr>
      </w:pPr>
      <w:bookmarkStart w:id="96" w:name="_Toc529864950"/>
      <w:bookmarkStart w:id="97" w:name="_Toc530648941"/>
      <w:r>
        <w:rPr>
          <w:rFonts w:hint="eastAsia" w:ascii="仿宋" w:hAnsi="仿宋" w:eastAsia="仿宋"/>
        </w:rPr>
        <w:t>2.</w:t>
      </w:r>
      <w:r>
        <w:rPr>
          <w:rFonts w:ascii="仿宋" w:hAnsi="仿宋" w:eastAsia="仿宋"/>
        </w:rPr>
        <w:t>中心城区</w:t>
      </w:r>
      <w:bookmarkEnd w:id="96"/>
      <w:r>
        <w:rPr>
          <w:rFonts w:hint="eastAsia" w:ascii="仿宋" w:hAnsi="仿宋" w:eastAsia="仿宋"/>
        </w:rPr>
        <w:t>绿地资源</w:t>
      </w:r>
      <w:bookmarkEnd w:id="97"/>
    </w:p>
    <w:p>
      <w:pPr>
        <w:spacing w:line="276" w:lineRule="auto"/>
        <w:ind w:firstLine="560" w:firstLineChars="200"/>
        <w:jc w:val="left"/>
        <w:rPr>
          <w:rFonts w:ascii="仿宋" w:hAnsi="仿宋" w:eastAsia="仿宋"/>
          <w:b/>
          <w:sz w:val="22"/>
          <w:szCs w:val="24"/>
          <w:lang w:val="zh-CN"/>
        </w:rPr>
      </w:pPr>
      <w:r>
        <w:rPr>
          <w:rFonts w:ascii="仿宋" w:hAnsi="仿宋" w:eastAsia="仿宋"/>
          <w:sz w:val="28"/>
          <w:szCs w:val="28"/>
        </w:rPr>
        <w:t>中心城区总面积为</w:t>
      </w:r>
      <w:r>
        <w:rPr>
          <w:rFonts w:ascii="仿宋" w:hAnsi="仿宋" w:eastAsia="仿宋"/>
          <w:sz w:val="28"/>
          <w:szCs w:val="24"/>
        </w:rPr>
        <w:t>136087</w:t>
      </w:r>
      <w:r>
        <w:rPr>
          <w:rFonts w:ascii="仿宋" w:hAnsi="仿宋" w:eastAsia="仿宋"/>
          <w:sz w:val="28"/>
          <w:szCs w:val="28"/>
        </w:rPr>
        <w:t>公顷，绿化覆盖率为47.67%，绿地率为45.37%，公园绿地500米服务半径</w:t>
      </w:r>
      <w:r>
        <w:rPr>
          <w:rFonts w:hint="eastAsia" w:ascii="仿宋" w:hAnsi="仿宋" w:eastAsia="仿宋"/>
          <w:sz w:val="28"/>
          <w:szCs w:val="28"/>
        </w:rPr>
        <w:t>对居住区</w:t>
      </w:r>
      <w:r>
        <w:rPr>
          <w:rFonts w:ascii="仿宋" w:hAnsi="仿宋" w:eastAsia="仿宋"/>
          <w:sz w:val="28"/>
          <w:szCs w:val="28"/>
        </w:rPr>
        <w:t>覆盖率为90.34%，人均绿地面积为32.7平方米，人均公园绿地面积为11.15平方米。</w:t>
      </w:r>
      <w:r>
        <w:rPr>
          <w:rFonts w:hint="eastAsia" w:ascii="仿宋" w:hAnsi="仿宋" w:eastAsia="仿宋"/>
          <w:sz w:val="28"/>
          <w:szCs w:val="28"/>
        </w:rPr>
        <w:t>其中，</w:t>
      </w:r>
      <w:r>
        <w:rPr>
          <w:rFonts w:ascii="仿宋" w:hAnsi="仿宋" w:eastAsia="仿宋"/>
          <w:sz w:val="28"/>
          <w:szCs w:val="28"/>
        </w:rPr>
        <w:t>首都功能核心区总面积9239公顷，绿化覆盖率为31.79%，绿地率为23.4%，公园绿地500米服务半径覆盖率为92.73%，人均绿地面积为10.44平方米，人均公园绿地面积仅为5.45平方米。</w:t>
      </w:r>
    </w:p>
    <w:p>
      <w:pPr>
        <w:spacing w:line="276" w:lineRule="auto"/>
        <w:ind w:firstLine="409" w:firstLineChars="195"/>
        <w:jc w:val="center"/>
        <w:rPr>
          <w:rFonts w:ascii="仿宋" w:hAnsi="仿宋" w:eastAsia="仿宋"/>
          <w:b/>
          <w:lang w:val="zh-CN"/>
        </w:rPr>
      </w:pPr>
      <w:r>
        <w:rPr>
          <w:rFonts w:hint="eastAsia" w:ascii="仿宋" w:hAnsi="仿宋" w:eastAsia="仿宋"/>
          <w:b/>
          <w:lang w:val="zh-CN"/>
        </w:rPr>
        <w:t>表4-1  中心城区绿地情况</w:t>
      </w:r>
      <w:r>
        <w:rPr>
          <w:rFonts w:ascii="仿宋" w:hAnsi="仿宋" w:eastAsia="仿宋"/>
          <w:b/>
          <w:lang w:val="zh-CN"/>
        </w:rPr>
        <w:t>（公顷、%、平方米/人）</w:t>
      </w:r>
    </w:p>
    <w:tbl>
      <w:tblPr>
        <w:tblStyle w:val="94"/>
        <w:tblW w:w="5000" w:type="pct"/>
        <w:tblInd w:w="0" w:type="dxa"/>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Layout w:type="fixed"/>
        <w:tblCellMar>
          <w:top w:w="0" w:type="dxa"/>
          <w:left w:w="108" w:type="dxa"/>
          <w:bottom w:w="0" w:type="dxa"/>
          <w:right w:w="108" w:type="dxa"/>
        </w:tblCellMar>
      </w:tblPr>
      <w:tblGrid>
        <w:gridCol w:w="2325"/>
        <w:gridCol w:w="1310"/>
        <w:gridCol w:w="1020"/>
        <w:gridCol w:w="1214"/>
        <w:gridCol w:w="1259"/>
        <w:gridCol w:w="1592"/>
      </w:tblGrid>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333" w:type="pct"/>
            <w:tcBorders>
              <w:bottom w:val="nil"/>
              <w:right w:val="nil"/>
            </w:tcBorders>
            <w:shd w:val="clear" w:color="auto" w:fill="9BBB59" w:themeFill="accent3"/>
            <w:noWrap/>
          </w:tcPr>
          <w:p>
            <w:pPr>
              <w:widowControl/>
              <w:jc w:val="center"/>
              <w:rPr>
                <w:rFonts w:ascii="仿宋" w:hAnsi="仿宋" w:eastAsia="仿宋"/>
                <w:b/>
                <w:bCs w:val="0"/>
                <w:color w:val="000000"/>
                <w:kern w:val="0"/>
                <w:szCs w:val="21"/>
              </w:rPr>
            </w:pPr>
            <w:r>
              <w:rPr>
                <w:rFonts w:hint="eastAsia" w:ascii="仿宋" w:hAnsi="仿宋" w:eastAsia="仿宋"/>
                <w:b/>
                <w:bCs w:val="0"/>
                <w:color w:val="000000"/>
                <w:kern w:val="0"/>
                <w:szCs w:val="21"/>
              </w:rPr>
              <w:t>统计单位</w:t>
            </w:r>
          </w:p>
        </w:tc>
        <w:tc>
          <w:tcPr>
            <w:tcW w:w="751" w:type="pct"/>
            <w:shd w:val="clear" w:color="auto" w:fill="9BBB59" w:themeFill="accent3"/>
            <w:noWrap/>
          </w:tcPr>
          <w:p>
            <w:pPr>
              <w:widowControl/>
              <w:jc w:val="center"/>
              <w:rPr>
                <w:rFonts w:ascii="仿宋" w:hAnsi="仿宋" w:eastAsia="仿宋"/>
                <w:b/>
                <w:bCs w:val="0"/>
                <w:color w:val="000000"/>
                <w:kern w:val="0"/>
                <w:szCs w:val="21"/>
              </w:rPr>
            </w:pPr>
            <w:r>
              <w:rPr>
                <w:rFonts w:ascii="仿宋" w:hAnsi="仿宋" w:eastAsia="仿宋"/>
                <w:b/>
                <w:bCs w:val="0"/>
                <w:color w:val="000000"/>
                <w:kern w:val="0"/>
                <w:szCs w:val="21"/>
              </w:rPr>
              <w:t>绿化覆盖率</w:t>
            </w:r>
          </w:p>
        </w:tc>
        <w:tc>
          <w:tcPr>
            <w:tcW w:w="585" w:type="pct"/>
            <w:shd w:val="clear" w:color="auto" w:fill="9BBB59" w:themeFill="accent3"/>
            <w:noWrap/>
          </w:tcPr>
          <w:p>
            <w:pPr>
              <w:widowControl/>
              <w:jc w:val="center"/>
              <w:rPr>
                <w:rFonts w:ascii="仿宋" w:hAnsi="仿宋" w:eastAsia="仿宋"/>
                <w:b/>
                <w:bCs w:val="0"/>
                <w:color w:val="000000"/>
                <w:kern w:val="0"/>
                <w:szCs w:val="21"/>
              </w:rPr>
            </w:pPr>
            <w:r>
              <w:rPr>
                <w:rFonts w:ascii="仿宋" w:hAnsi="仿宋" w:eastAsia="仿宋"/>
                <w:b/>
                <w:bCs w:val="0"/>
                <w:color w:val="000000"/>
                <w:kern w:val="0"/>
                <w:szCs w:val="21"/>
              </w:rPr>
              <w:t>绿地率</w:t>
            </w:r>
          </w:p>
        </w:tc>
        <w:tc>
          <w:tcPr>
            <w:tcW w:w="696" w:type="pct"/>
            <w:shd w:val="clear" w:color="auto" w:fill="9BBB59" w:themeFill="accent3"/>
            <w:noWrap/>
          </w:tcPr>
          <w:p>
            <w:pPr>
              <w:widowControl/>
              <w:jc w:val="center"/>
              <w:rPr>
                <w:rFonts w:ascii="仿宋" w:hAnsi="仿宋" w:eastAsia="仿宋"/>
                <w:b/>
                <w:bCs w:val="0"/>
                <w:color w:val="000000"/>
                <w:kern w:val="0"/>
                <w:szCs w:val="21"/>
              </w:rPr>
            </w:pPr>
            <w:r>
              <w:rPr>
                <w:rFonts w:ascii="仿宋" w:hAnsi="仿宋" w:eastAsia="仿宋"/>
                <w:b/>
                <w:bCs w:val="0"/>
                <w:color w:val="000000"/>
                <w:kern w:val="0"/>
                <w:szCs w:val="21"/>
              </w:rPr>
              <w:t>人均绿地面积</w:t>
            </w:r>
          </w:p>
        </w:tc>
        <w:tc>
          <w:tcPr>
            <w:tcW w:w="722" w:type="pct"/>
            <w:shd w:val="clear" w:color="auto" w:fill="9BBB59" w:themeFill="accent3"/>
            <w:noWrap/>
          </w:tcPr>
          <w:p>
            <w:pPr>
              <w:widowControl/>
              <w:jc w:val="center"/>
              <w:rPr>
                <w:rFonts w:ascii="仿宋" w:hAnsi="仿宋" w:eastAsia="仿宋"/>
                <w:b/>
                <w:bCs w:val="0"/>
                <w:color w:val="000000"/>
                <w:kern w:val="0"/>
                <w:szCs w:val="21"/>
              </w:rPr>
            </w:pPr>
            <w:r>
              <w:rPr>
                <w:rFonts w:ascii="仿宋" w:hAnsi="仿宋" w:eastAsia="仿宋"/>
                <w:b/>
                <w:bCs w:val="0"/>
                <w:color w:val="000000"/>
                <w:kern w:val="0"/>
                <w:szCs w:val="21"/>
              </w:rPr>
              <w:t>人均公园绿地面积</w:t>
            </w:r>
          </w:p>
        </w:tc>
        <w:tc>
          <w:tcPr>
            <w:tcW w:w="913" w:type="pct"/>
            <w:shd w:val="clear" w:color="auto" w:fill="9BBB59" w:themeFill="accent3"/>
          </w:tcPr>
          <w:p>
            <w:pPr>
              <w:widowControl/>
              <w:jc w:val="center"/>
              <w:rPr>
                <w:rFonts w:ascii="仿宋" w:hAnsi="仿宋" w:eastAsia="仿宋"/>
                <w:b/>
                <w:bCs w:val="0"/>
                <w:color w:val="000000"/>
                <w:kern w:val="0"/>
                <w:szCs w:val="21"/>
              </w:rPr>
            </w:pPr>
            <w:r>
              <w:rPr>
                <w:rFonts w:ascii="仿宋" w:hAnsi="仿宋" w:eastAsia="仿宋"/>
                <w:b/>
                <w:bCs w:val="0"/>
                <w:color w:val="000000"/>
                <w:kern w:val="0"/>
                <w:szCs w:val="21"/>
              </w:rPr>
              <w:t>公园绿地500米覆盖率</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333"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noWrap/>
          </w:tcPr>
          <w:p>
            <w:pPr>
              <w:widowControl/>
              <w:jc w:val="center"/>
              <w:rPr>
                <w:rFonts w:ascii="仿宋" w:hAnsi="仿宋" w:eastAsia="仿宋"/>
                <w:b/>
                <w:bCs w:val="0"/>
                <w:color w:val="000000"/>
                <w:kern w:val="0"/>
                <w:szCs w:val="21"/>
              </w:rPr>
            </w:pPr>
            <w:r>
              <w:rPr>
                <w:rFonts w:ascii="仿宋" w:hAnsi="仿宋" w:eastAsia="仿宋"/>
                <w:b/>
                <w:bCs w:val="0"/>
                <w:color w:val="000000"/>
                <w:kern w:val="0"/>
                <w:szCs w:val="21"/>
              </w:rPr>
              <w:t>西城区</w:t>
            </w:r>
          </w:p>
        </w:tc>
        <w:tc>
          <w:tcPr>
            <w:tcW w:w="751"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30.73</w:t>
            </w:r>
          </w:p>
        </w:tc>
        <w:tc>
          <w:tcPr>
            <w:tcW w:w="585"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20.99</w:t>
            </w:r>
          </w:p>
        </w:tc>
        <w:tc>
          <w:tcPr>
            <w:tcW w:w="696"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8.7</w:t>
            </w:r>
          </w:p>
        </w:tc>
        <w:tc>
          <w:tcPr>
            <w:tcW w:w="722"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4.1</w:t>
            </w:r>
          </w:p>
        </w:tc>
        <w:tc>
          <w:tcPr>
            <w:tcW w:w="913"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color w:val="000000"/>
                <w:kern w:val="0"/>
                <w:szCs w:val="21"/>
              </w:rPr>
            </w:pPr>
            <w:r>
              <w:rPr>
                <w:rFonts w:ascii="仿宋" w:hAnsi="仿宋" w:eastAsia="仿宋"/>
                <w:color w:val="000000"/>
                <w:kern w:val="0"/>
                <w:szCs w:val="21"/>
              </w:rPr>
              <w:t>95.03</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333" w:type="pct"/>
            <w:tcBorders>
              <w:right w:val="nil"/>
              <w:insideV w:val="nil"/>
            </w:tcBorders>
            <w:shd w:val="clear" w:color="auto" w:fill="FFFFFF" w:themeFill="background1"/>
            <w:noWrap/>
          </w:tcPr>
          <w:p>
            <w:pPr>
              <w:widowControl/>
              <w:jc w:val="center"/>
              <w:rPr>
                <w:rFonts w:ascii="仿宋" w:hAnsi="仿宋" w:eastAsia="仿宋"/>
                <w:b/>
                <w:bCs w:val="0"/>
                <w:color w:val="000000"/>
                <w:kern w:val="0"/>
                <w:szCs w:val="21"/>
              </w:rPr>
            </w:pPr>
            <w:r>
              <w:rPr>
                <w:rFonts w:ascii="仿宋" w:hAnsi="仿宋" w:eastAsia="仿宋"/>
                <w:b/>
                <w:bCs w:val="0"/>
                <w:color w:val="000000"/>
                <w:kern w:val="0"/>
                <w:szCs w:val="21"/>
              </w:rPr>
              <w:t>东城区</w:t>
            </w:r>
          </w:p>
        </w:tc>
        <w:tc>
          <w:tcPr>
            <w:tcW w:w="751" w:type="pct"/>
            <w:noWrap/>
          </w:tcPr>
          <w:p>
            <w:pPr>
              <w:widowControl/>
              <w:jc w:val="center"/>
              <w:rPr>
                <w:rFonts w:ascii="仿宋" w:hAnsi="仿宋" w:eastAsia="仿宋"/>
                <w:color w:val="000000"/>
                <w:kern w:val="0"/>
                <w:szCs w:val="21"/>
              </w:rPr>
            </w:pPr>
            <w:r>
              <w:rPr>
                <w:rFonts w:ascii="仿宋" w:hAnsi="仿宋" w:eastAsia="仿宋"/>
                <w:color w:val="000000"/>
                <w:kern w:val="0"/>
                <w:szCs w:val="21"/>
              </w:rPr>
              <w:t>33.08</w:t>
            </w:r>
          </w:p>
        </w:tc>
        <w:tc>
          <w:tcPr>
            <w:tcW w:w="585" w:type="pct"/>
            <w:noWrap/>
          </w:tcPr>
          <w:p>
            <w:pPr>
              <w:widowControl/>
              <w:jc w:val="center"/>
              <w:rPr>
                <w:rFonts w:ascii="仿宋" w:hAnsi="仿宋" w:eastAsia="仿宋"/>
                <w:color w:val="000000"/>
                <w:kern w:val="0"/>
                <w:szCs w:val="21"/>
              </w:rPr>
            </w:pPr>
            <w:r>
              <w:rPr>
                <w:rFonts w:ascii="仿宋" w:hAnsi="仿宋" w:eastAsia="仿宋"/>
                <w:color w:val="000000"/>
                <w:kern w:val="0"/>
                <w:szCs w:val="21"/>
              </w:rPr>
              <w:t>26.31</w:t>
            </w:r>
          </w:p>
        </w:tc>
        <w:tc>
          <w:tcPr>
            <w:tcW w:w="696" w:type="pct"/>
            <w:noWrap/>
          </w:tcPr>
          <w:p>
            <w:pPr>
              <w:widowControl/>
              <w:jc w:val="center"/>
              <w:rPr>
                <w:rFonts w:ascii="仿宋" w:hAnsi="仿宋" w:eastAsia="仿宋"/>
                <w:color w:val="000000"/>
                <w:kern w:val="0"/>
                <w:szCs w:val="21"/>
              </w:rPr>
            </w:pPr>
            <w:r>
              <w:rPr>
                <w:rFonts w:ascii="仿宋" w:hAnsi="仿宋" w:eastAsia="仿宋"/>
                <w:color w:val="000000"/>
                <w:kern w:val="0"/>
                <w:szCs w:val="21"/>
              </w:rPr>
              <w:t>12.94</w:t>
            </w:r>
          </w:p>
        </w:tc>
        <w:tc>
          <w:tcPr>
            <w:tcW w:w="722" w:type="pct"/>
            <w:noWrap/>
          </w:tcPr>
          <w:p>
            <w:pPr>
              <w:widowControl/>
              <w:jc w:val="center"/>
              <w:rPr>
                <w:rFonts w:ascii="仿宋" w:hAnsi="仿宋" w:eastAsia="仿宋"/>
                <w:color w:val="000000"/>
                <w:kern w:val="0"/>
                <w:szCs w:val="21"/>
              </w:rPr>
            </w:pPr>
            <w:r>
              <w:rPr>
                <w:rFonts w:ascii="仿宋" w:hAnsi="仿宋" w:eastAsia="仿宋"/>
                <w:color w:val="000000"/>
                <w:kern w:val="0"/>
                <w:szCs w:val="21"/>
              </w:rPr>
              <w:t>7.38</w:t>
            </w:r>
          </w:p>
        </w:tc>
        <w:tc>
          <w:tcPr>
            <w:tcW w:w="913" w:type="pct"/>
          </w:tcPr>
          <w:p>
            <w:pPr>
              <w:widowControl/>
              <w:jc w:val="center"/>
              <w:rPr>
                <w:rFonts w:ascii="仿宋" w:hAnsi="仿宋" w:eastAsia="仿宋"/>
                <w:color w:val="000000"/>
                <w:kern w:val="0"/>
                <w:szCs w:val="21"/>
              </w:rPr>
            </w:pPr>
            <w:r>
              <w:rPr>
                <w:rFonts w:ascii="仿宋" w:hAnsi="仿宋" w:eastAsia="仿宋"/>
                <w:color w:val="000000"/>
                <w:kern w:val="0"/>
                <w:szCs w:val="21"/>
              </w:rPr>
              <w:t>90.42</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PrEx>
        <w:tc>
          <w:tcPr>
            <w:tcW w:w="1333" w:type="pct"/>
            <w:tcBorders>
              <w:top w:val="single" w:color="9BBB59" w:themeColor="accent3" w:sz="4" w:space="0"/>
              <w:bottom w:val="single" w:color="9BBB59" w:themeColor="accent3" w:sz="4" w:space="0"/>
              <w:right w:val="nil"/>
              <w:insideH w:val="single" w:sz="4" w:space="0"/>
              <w:insideV w:val="nil"/>
            </w:tcBorders>
            <w:shd w:val="clear" w:color="auto" w:fill="C2D69B" w:themeFill="accent3" w:themeFillTint="99"/>
            <w:noWrap/>
          </w:tcPr>
          <w:p>
            <w:pPr>
              <w:widowControl/>
              <w:jc w:val="center"/>
              <w:rPr>
                <w:rFonts w:ascii="仿宋" w:hAnsi="仿宋" w:eastAsia="仿宋"/>
                <w:b/>
                <w:bCs w:val="0"/>
                <w:color w:val="000000"/>
                <w:kern w:val="0"/>
                <w:szCs w:val="21"/>
              </w:rPr>
            </w:pPr>
            <w:r>
              <w:rPr>
                <w:rFonts w:hint="eastAsia" w:ascii="仿宋" w:hAnsi="仿宋" w:eastAsia="仿宋"/>
                <w:b/>
                <w:bCs w:val="0"/>
                <w:color w:val="000000"/>
                <w:kern w:val="0"/>
                <w:szCs w:val="21"/>
              </w:rPr>
              <w:t>首都功能核心区小计</w:t>
            </w:r>
          </w:p>
        </w:tc>
        <w:tc>
          <w:tcPr>
            <w:tcW w:w="751" w:type="pct"/>
            <w:tcBorders>
              <w:top w:val="single" w:color="9BBB59" w:themeColor="accent3" w:sz="4" w:space="0"/>
              <w:bottom w:val="single" w:color="9BBB59" w:themeColor="accent3" w:sz="4" w:space="0"/>
              <w:insideH w:val="single" w:sz="4" w:space="0"/>
            </w:tcBorders>
            <w:shd w:val="clear" w:color="auto" w:fill="C2D69B" w:themeFill="accent3" w:themeFillTint="99"/>
            <w:noWrap/>
          </w:tcPr>
          <w:p>
            <w:pPr>
              <w:widowControl/>
              <w:jc w:val="center"/>
              <w:rPr>
                <w:rFonts w:ascii="仿宋" w:hAnsi="仿宋" w:eastAsia="仿宋"/>
                <w:b/>
                <w:bCs/>
                <w:color w:val="000000"/>
                <w:kern w:val="0"/>
                <w:szCs w:val="21"/>
              </w:rPr>
            </w:pPr>
            <w:r>
              <w:rPr>
                <w:rFonts w:ascii="仿宋" w:hAnsi="仿宋" w:eastAsia="仿宋"/>
                <w:b/>
                <w:bCs/>
                <w:color w:val="000000"/>
                <w:kern w:val="0"/>
                <w:szCs w:val="21"/>
              </w:rPr>
              <w:t>31.79</w:t>
            </w:r>
          </w:p>
        </w:tc>
        <w:tc>
          <w:tcPr>
            <w:tcW w:w="585" w:type="pct"/>
            <w:tcBorders>
              <w:top w:val="single" w:color="9BBB59" w:themeColor="accent3" w:sz="4" w:space="0"/>
              <w:bottom w:val="single" w:color="9BBB59" w:themeColor="accent3" w:sz="4" w:space="0"/>
              <w:insideH w:val="single" w:sz="4" w:space="0"/>
            </w:tcBorders>
            <w:shd w:val="clear" w:color="auto" w:fill="C2D69B" w:themeFill="accent3" w:themeFillTint="99"/>
            <w:noWrap/>
          </w:tcPr>
          <w:p>
            <w:pPr>
              <w:widowControl/>
              <w:jc w:val="center"/>
              <w:rPr>
                <w:rFonts w:ascii="仿宋" w:hAnsi="仿宋" w:eastAsia="仿宋"/>
                <w:b/>
                <w:bCs/>
                <w:color w:val="000000"/>
                <w:kern w:val="0"/>
                <w:szCs w:val="21"/>
              </w:rPr>
            </w:pPr>
            <w:r>
              <w:rPr>
                <w:rFonts w:ascii="仿宋" w:hAnsi="仿宋" w:eastAsia="仿宋"/>
                <w:b/>
                <w:bCs/>
                <w:color w:val="000000"/>
                <w:kern w:val="0"/>
                <w:szCs w:val="21"/>
              </w:rPr>
              <w:t>23.4</w:t>
            </w:r>
          </w:p>
        </w:tc>
        <w:tc>
          <w:tcPr>
            <w:tcW w:w="696" w:type="pct"/>
            <w:tcBorders>
              <w:top w:val="single" w:color="9BBB59" w:themeColor="accent3" w:sz="4" w:space="0"/>
              <w:bottom w:val="single" w:color="9BBB59" w:themeColor="accent3" w:sz="4" w:space="0"/>
              <w:insideH w:val="single" w:sz="4" w:space="0"/>
            </w:tcBorders>
            <w:shd w:val="clear" w:color="auto" w:fill="C2D69B" w:themeFill="accent3" w:themeFillTint="99"/>
            <w:noWrap/>
          </w:tcPr>
          <w:p>
            <w:pPr>
              <w:widowControl/>
              <w:jc w:val="center"/>
              <w:rPr>
                <w:rFonts w:ascii="仿宋" w:hAnsi="仿宋" w:eastAsia="仿宋"/>
                <w:b/>
                <w:color w:val="000000"/>
                <w:kern w:val="0"/>
                <w:szCs w:val="21"/>
              </w:rPr>
            </w:pPr>
            <w:r>
              <w:rPr>
                <w:rFonts w:ascii="仿宋" w:hAnsi="仿宋" w:eastAsia="仿宋"/>
                <w:b/>
                <w:color w:val="000000"/>
                <w:kern w:val="0"/>
                <w:szCs w:val="21"/>
              </w:rPr>
              <w:t>10.44</w:t>
            </w:r>
          </w:p>
        </w:tc>
        <w:tc>
          <w:tcPr>
            <w:tcW w:w="722" w:type="pct"/>
            <w:tcBorders>
              <w:top w:val="single" w:color="9BBB59" w:themeColor="accent3" w:sz="4" w:space="0"/>
              <w:bottom w:val="single" w:color="9BBB59" w:themeColor="accent3" w:sz="4" w:space="0"/>
              <w:insideH w:val="single" w:sz="4" w:space="0"/>
            </w:tcBorders>
            <w:shd w:val="clear" w:color="auto" w:fill="C2D69B" w:themeFill="accent3" w:themeFillTint="99"/>
            <w:noWrap/>
          </w:tcPr>
          <w:p>
            <w:pPr>
              <w:widowControl/>
              <w:jc w:val="center"/>
              <w:rPr>
                <w:rFonts w:ascii="仿宋" w:hAnsi="仿宋" w:eastAsia="仿宋"/>
                <w:b/>
                <w:color w:val="000000"/>
                <w:kern w:val="0"/>
                <w:szCs w:val="21"/>
              </w:rPr>
            </w:pPr>
            <w:r>
              <w:rPr>
                <w:rFonts w:ascii="仿宋" w:hAnsi="仿宋" w:eastAsia="仿宋"/>
                <w:b/>
                <w:color w:val="000000"/>
                <w:kern w:val="0"/>
                <w:szCs w:val="21"/>
              </w:rPr>
              <w:t>5.45</w:t>
            </w:r>
          </w:p>
        </w:tc>
        <w:tc>
          <w:tcPr>
            <w:tcW w:w="913" w:type="pct"/>
            <w:tcBorders>
              <w:top w:val="single" w:color="9BBB59" w:themeColor="accent3" w:sz="4" w:space="0"/>
              <w:bottom w:val="single" w:color="9BBB59" w:themeColor="accent3" w:sz="4" w:space="0"/>
              <w:insideH w:val="single" w:sz="4" w:space="0"/>
            </w:tcBorders>
            <w:shd w:val="clear" w:color="auto" w:fill="C2D69B" w:themeFill="accent3" w:themeFillTint="99"/>
          </w:tcPr>
          <w:p>
            <w:pPr>
              <w:widowControl/>
              <w:jc w:val="center"/>
              <w:rPr>
                <w:rFonts w:ascii="仿宋" w:hAnsi="仿宋" w:eastAsia="仿宋"/>
                <w:b/>
                <w:color w:val="000000"/>
                <w:kern w:val="0"/>
                <w:szCs w:val="21"/>
              </w:rPr>
            </w:pPr>
            <w:r>
              <w:rPr>
                <w:rFonts w:ascii="仿宋" w:hAnsi="仿宋" w:eastAsia="仿宋"/>
                <w:b/>
                <w:color w:val="000000"/>
                <w:kern w:val="0"/>
                <w:szCs w:val="21"/>
              </w:rPr>
              <w:t>92.73</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333" w:type="pct"/>
            <w:tcBorders>
              <w:right w:val="nil"/>
              <w:insideV w:val="nil"/>
            </w:tcBorders>
            <w:shd w:val="clear" w:color="auto" w:fill="FFFFFF" w:themeFill="background1"/>
            <w:noWrap/>
          </w:tcPr>
          <w:p>
            <w:pPr>
              <w:widowControl/>
              <w:jc w:val="center"/>
              <w:rPr>
                <w:rFonts w:ascii="仿宋" w:hAnsi="仿宋" w:eastAsia="仿宋"/>
                <w:b/>
                <w:bCs w:val="0"/>
                <w:color w:val="000000"/>
                <w:kern w:val="0"/>
                <w:szCs w:val="21"/>
              </w:rPr>
            </w:pPr>
            <w:r>
              <w:rPr>
                <w:rFonts w:ascii="仿宋" w:hAnsi="仿宋" w:eastAsia="仿宋"/>
                <w:b/>
                <w:bCs w:val="0"/>
                <w:color w:val="000000"/>
                <w:kern w:val="0"/>
                <w:szCs w:val="21"/>
              </w:rPr>
              <w:t>朝阳区</w:t>
            </w:r>
          </w:p>
        </w:tc>
        <w:tc>
          <w:tcPr>
            <w:tcW w:w="751" w:type="pct"/>
            <w:noWrap/>
          </w:tcPr>
          <w:p>
            <w:pPr>
              <w:widowControl/>
              <w:jc w:val="center"/>
              <w:rPr>
                <w:rFonts w:ascii="仿宋" w:hAnsi="仿宋" w:eastAsia="仿宋"/>
                <w:color w:val="000000"/>
                <w:kern w:val="0"/>
                <w:sz w:val="18"/>
                <w:szCs w:val="18"/>
              </w:rPr>
            </w:pPr>
            <w:r>
              <w:rPr>
                <w:rFonts w:ascii="仿宋" w:hAnsi="仿宋" w:eastAsia="仿宋"/>
                <w:color w:val="000000"/>
                <w:kern w:val="0"/>
                <w:sz w:val="18"/>
                <w:szCs w:val="18"/>
              </w:rPr>
              <w:t>47.91</w:t>
            </w:r>
          </w:p>
        </w:tc>
        <w:tc>
          <w:tcPr>
            <w:tcW w:w="585" w:type="pct"/>
            <w:noWrap/>
          </w:tcPr>
          <w:p>
            <w:pPr>
              <w:widowControl/>
              <w:jc w:val="center"/>
              <w:rPr>
                <w:rFonts w:ascii="仿宋" w:hAnsi="仿宋" w:eastAsia="仿宋"/>
                <w:color w:val="000000"/>
                <w:kern w:val="0"/>
                <w:sz w:val="18"/>
                <w:szCs w:val="18"/>
              </w:rPr>
            </w:pPr>
            <w:r>
              <w:rPr>
                <w:rFonts w:ascii="仿宋" w:hAnsi="仿宋" w:eastAsia="仿宋"/>
                <w:color w:val="000000"/>
                <w:kern w:val="0"/>
                <w:sz w:val="18"/>
                <w:szCs w:val="18"/>
              </w:rPr>
              <w:t>47.92</w:t>
            </w:r>
          </w:p>
        </w:tc>
        <w:tc>
          <w:tcPr>
            <w:tcW w:w="696" w:type="pct"/>
            <w:noWrap/>
          </w:tcPr>
          <w:p>
            <w:pPr>
              <w:widowControl/>
              <w:jc w:val="center"/>
              <w:rPr>
                <w:rFonts w:ascii="仿宋" w:hAnsi="仿宋" w:eastAsia="仿宋"/>
                <w:color w:val="000000"/>
                <w:kern w:val="0"/>
                <w:sz w:val="18"/>
                <w:szCs w:val="18"/>
              </w:rPr>
            </w:pPr>
            <w:r>
              <w:rPr>
                <w:rFonts w:ascii="仿宋" w:hAnsi="仿宋" w:eastAsia="仿宋"/>
                <w:color w:val="000000"/>
                <w:kern w:val="0"/>
                <w:sz w:val="18"/>
                <w:szCs w:val="18"/>
              </w:rPr>
              <w:t>39.8</w:t>
            </w:r>
          </w:p>
        </w:tc>
        <w:tc>
          <w:tcPr>
            <w:tcW w:w="722" w:type="pct"/>
            <w:noWrap/>
          </w:tcPr>
          <w:p>
            <w:pPr>
              <w:widowControl/>
              <w:jc w:val="center"/>
              <w:rPr>
                <w:rFonts w:ascii="仿宋" w:hAnsi="仿宋" w:eastAsia="仿宋"/>
                <w:color w:val="000000"/>
                <w:kern w:val="0"/>
                <w:sz w:val="18"/>
                <w:szCs w:val="18"/>
              </w:rPr>
            </w:pPr>
            <w:r>
              <w:rPr>
                <w:rFonts w:ascii="仿宋" w:hAnsi="仿宋" w:eastAsia="仿宋"/>
                <w:color w:val="000000"/>
                <w:kern w:val="0"/>
                <w:sz w:val="18"/>
                <w:szCs w:val="18"/>
              </w:rPr>
              <w:t>17.27</w:t>
            </w:r>
          </w:p>
        </w:tc>
        <w:tc>
          <w:tcPr>
            <w:tcW w:w="913" w:type="pct"/>
          </w:tcPr>
          <w:p>
            <w:pPr>
              <w:widowControl/>
              <w:jc w:val="center"/>
              <w:rPr>
                <w:rFonts w:ascii="仿宋" w:hAnsi="仿宋" w:eastAsia="仿宋"/>
                <w:color w:val="000000"/>
                <w:kern w:val="0"/>
                <w:sz w:val="18"/>
                <w:szCs w:val="18"/>
              </w:rPr>
            </w:pPr>
            <w:r>
              <w:rPr>
                <w:rFonts w:ascii="仿宋" w:hAnsi="仿宋" w:eastAsia="仿宋"/>
                <w:color w:val="000000"/>
                <w:kern w:val="0"/>
                <w:sz w:val="18"/>
                <w:szCs w:val="18"/>
              </w:rPr>
              <w:t>92.3</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333"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noWrap/>
          </w:tcPr>
          <w:p>
            <w:pPr>
              <w:widowControl/>
              <w:jc w:val="center"/>
              <w:rPr>
                <w:rFonts w:ascii="仿宋" w:hAnsi="仿宋" w:eastAsia="仿宋"/>
                <w:b/>
                <w:bCs w:val="0"/>
                <w:color w:val="000000"/>
                <w:kern w:val="0"/>
                <w:szCs w:val="21"/>
              </w:rPr>
            </w:pPr>
            <w:r>
              <w:rPr>
                <w:rFonts w:ascii="仿宋" w:hAnsi="仿宋" w:eastAsia="仿宋"/>
                <w:b/>
                <w:bCs w:val="0"/>
                <w:color w:val="000000"/>
                <w:kern w:val="0"/>
                <w:szCs w:val="21"/>
              </w:rPr>
              <w:t>海淀区</w:t>
            </w:r>
          </w:p>
        </w:tc>
        <w:tc>
          <w:tcPr>
            <w:tcW w:w="751"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 w:val="18"/>
                <w:szCs w:val="18"/>
              </w:rPr>
            </w:pPr>
            <w:r>
              <w:rPr>
                <w:rFonts w:ascii="仿宋" w:hAnsi="仿宋" w:eastAsia="仿宋"/>
                <w:color w:val="000000"/>
                <w:kern w:val="0"/>
                <w:sz w:val="18"/>
                <w:szCs w:val="18"/>
              </w:rPr>
              <w:t>52.24</w:t>
            </w:r>
          </w:p>
        </w:tc>
        <w:tc>
          <w:tcPr>
            <w:tcW w:w="585"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 w:val="18"/>
                <w:szCs w:val="18"/>
              </w:rPr>
            </w:pPr>
            <w:r>
              <w:rPr>
                <w:rFonts w:ascii="仿宋" w:hAnsi="仿宋" w:eastAsia="仿宋"/>
                <w:color w:val="000000"/>
                <w:kern w:val="0"/>
                <w:sz w:val="18"/>
                <w:szCs w:val="18"/>
              </w:rPr>
              <w:t>48.83</w:t>
            </w:r>
          </w:p>
        </w:tc>
        <w:tc>
          <w:tcPr>
            <w:tcW w:w="696"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 w:val="18"/>
                <w:szCs w:val="18"/>
              </w:rPr>
            </w:pPr>
            <w:r>
              <w:rPr>
                <w:rFonts w:ascii="仿宋" w:hAnsi="仿宋" w:eastAsia="仿宋"/>
                <w:color w:val="000000"/>
                <w:kern w:val="0"/>
                <w:sz w:val="18"/>
                <w:szCs w:val="18"/>
              </w:rPr>
              <w:t>36.46</w:t>
            </w:r>
          </w:p>
        </w:tc>
        <w:tc>
          <w:tcPr>
            <w:tcW w:w="722"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 w:val="18"/>
                <w:szCs w:val="18"/>
              </w:rPr>
            </w:pPr>
            <w:r>
              <w:rPr>
                <w:rFonts w:ascii="仿宋" w:hAnsi="仿宋" w:eastAsia="仿宋"/>
                <w:color w:val="000000"/>
                <w:kern w:val="0"/>
                <w:sz w:val="18"/>
                <w:szCs w:val="18"/>
              </w:rPr>
              <w:t>13.19</w:t>
            </w:r>
          </w:p>
        </w:tc>
        <w:tc>
          <w:tcPr>
            <w:tcW w:w="913"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color w:val="000000"/>
                <w:kern w:val="0"/>
                <w:sz w:val="18"/>
                <w:szCs w:val="18"/>
              </w:rPr>
            </w:pPr>
            <w:r>
              <w:rPr>
                <w:rFonts w:ascii="仿宋" w:hAnsi="仿宋" w:eastAsia="仿宋"/>
                <w:color w:val="000000"/>
                <w:kern w:val="0"/>
                <w:sz w:val="18"/>
                <w:szCs w:val="18"/>
              </w:rPr>
              <w:t>90.77</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333" w:type="pct"/>
            <w:tcBorders>
              <w:right w:val="nil"/>
              <w:insideV w:val="nil"/>
            </w:tcBorders>
            <w:shd w:val="clear" w:color="auto" w:fill="FFFFFF" w:themeFill="background1"/>
            <w:noWrap/>
          </w:tcPr>
          <w:p>
            <w:pPr>
              <w:widowControl/>
              <w:jc w:val="center"/>
              <w:rPr>
                <w:rFonts w:ascii="仿宋" w:hAnsi="仿宋" w:eastAsia="仿宋"/>
                <w:b/>
                <w:bCs w:val="0"/>
                <w:color w:val="000000"/>
                <w:kern w:val="0"/>
                <w:szCs w:val="21"/>
              </w:rPr>
            </w:pPr>
            <w:r>
              <w:rPr>
                <w:rFonts w:ascii="仿宋" w:hAnsi="仿宋" w:eastAsia="仿宋"/>
                <w:b/>
                <w:bCs w:val="0"/>
                <w:color w:val="000000"/>
                <w:kern w:val="0"/>
                <w:szCs w:val="21"/>
              </w:rPr>
              <w:t>丰台区</w:t>
            </w:r>
          </w:p>
        </w:tc>
        <w:tc>
          <w:tcPr>
            <w:tcW w:w="751" w:type="pct"/>
            <w:noWrap/>
          </w:tcPr>
          <w:p>
            <w:pPr>
              <w:widowControl/>
              <w:jc w:val="center"/>
              <w:rPr>
                <w:rFonts w:ascii="仿宋" w:hAnsi="仿宋" w:eastAsia="仿宋"/>
                <w:color w:val="000000"/>
                <w:kern w:val="0"/>
                <w:sz w:val="18"/>
                <w:szCs w:val="18"/>
              </w:rPr>
            </w:pPr>
            <w:r>
              <w:rPr>
                <w:rFonts w:ascii="仿宋" w:hAnsi="仿宋" w:eastAsia="仿宋"/>
                <w:color w:val="000000"/>
                <w:kern w:val="0"/>
                <w:sz w:val="18"/>
                <w:szCs w:val="18"/>
              </w:rPr>
              <w:t>46.64</w:t>
            </w:r>
          </w:p>
        </w:tc>
        <w:tc>
          <w:tcPr>
            <w:tcW w:w="585" w:type="pct"/>
            <w:noWrap/>
          </w:tcPr>
          <w:p>
            <w:pPr>
              <w:widowControl/>
              <w:jc w:val="center"/>
              <w:rPr>
                <w:rFonts w:ascii="仿宋" w:hAnsi="仿宋" w:eastAsia="仿宋"/>
                <w:color w:val="000000"/>
                <w:kern w:val="0"/>
                <w:sz w:val="18"/>
                <w:szCs w:val="18"/>
              </w:rPr>
            </w:pPr>
            <w:r>
              <w:rPr>
                <w:rFonts w:ascii="仿宋" w:hAnsi="仿宋" w:eastAsia="仿宋"/>
                <w:color w:val="000000"/>
                <w:kern w:val="0"/>
                <w:sz w:val="18"/>
                <w:szCs w:val="18"/>
              </w:rPr>
              <w:t>44.52</w:t>
            </w:r>
          </w:p>
        </w:tc>
        <w:tc>
          <w:tcPr>
            <w:tcW w:w="696" w:type="pct"/>
            <w:noWrap/>
          </w:tcPr>
          <w:p>
            <w:pPr>
              <w:widowControl/>
              <w:jc w:val="center"/>
              <w:rPr>
                <w:rFonts w:ascii="仿宋" w:hAnsi="仿宋" w:eastAsia="仿宋"/>
                <w:color w:val="000000"/>
                <w:kern w:val="0"/>
                <w:sz w:val="18"/>
                <w:szCs w:val="18"/>
              </w:rPr>
            </w:pPr>
            <w:r>
              <w:rPr>
                <w:rFonts w:ascii="仿宋" w:hAnsi="仿宋" w:eastAsia="仿宋"/>
                <w:color w:val="000000"/>
                <w:kern w:val="0"/>
                <w:sz w:val="18"/>
                <w:szCs w:val="18"/>
              </w:rPr>
              <w:t>27.59</w:t>
            </w:r>
          </w:p>
        </w:tc>
        <w:tc>
          <w:tcPr>
            <w:tcW w:w="722" w:type="pct"/>
            <w:noWrap/>
          </w:tcPr>
          <w:p>
            <w:pPr>
              <w:widowControl/>
              <w:jc w:val="center"/>
              <w:rPr>
                <w:rFonts w:ascii="仿宋" w:hAnsi="仿宋" w:eastAsia="仿宋"/>
                <w:color w:val="000000"/>
                <w:kern w:val="0"/>
                <w:sz w:val="18"/>
                <w:szCs w:val="18"/>
              </w:rPr>
            </w:pPr>
            <w:r>
              <w:rPr>
                <w:rFonts w:ascii="仿宋" w:hAnsi="仿宋" w:eastAsia="仿宋"/>
                <w:color w:val="000000"/>
                <w:kern w:val="0"/>
                <w:sz w:val="18"/>
                <w:szCs w:val="18"/>
              </w:rPr>
              <w:t>8.18</w:t>
            </w:r>
          </w:p>
        </w:tc>
        <w:tc>
          <w:tcPr>
            <w:tcW w:w="913" w:type="pct"/>
          </w:tcPr>
          <w:p>
            <w:pPr>
              <w:widowControl/>
              <w:jc w:val="center"/>
              <w:rPr>
                <w:rFonts w:ascii="仿宋" w:hAnsi="仿宋" w:eastAsia="仿宋"/>
                <w:color w:val="000000"/>
                <w:kern w:val="0"/>
                <w:sz w:val="18"/>
                <w:szCs w:val="18"/>
              </w:rPr>
            </w:pPr>
            <w:r>
              <w:rPr>
                <w:rFonts w:ascii="仿宋" w:hAnsi="仿宋" w:eastAsia="仿宋"/>
                <w:color w:val="000000"/>
                <w:kern w:val="0"/>
                <w:sz w:val="18"/>
                <w:szCs w:val="18"/>
              </w:rPr>
              <w:t>79.73</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PrEx>
        <w:tc>
          <w:tcPr>
            <w:tcW w:w="1333"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noWrap/>
          </w:tcPr>
          <w:p>
            <w:pPr>
              <w:widowControl/>
              <w:jc w:val="center"/>
              <w:rPr>
                <w:rFonts w:ascii="仿宋" w:hAnsi="仿宋" w:eastAsia="仿宋"/>
                <w:b/>
                <w:bCs w:val="0"/>
                <w:color w:val="000000"/>
                <w:kern w:val="0"/>
                <w:szCs w:val="21"/>
              </w:rPr>
            </w:pPr>
            <w:r>
              <w:rPr>
                <w:rFonts w:ascii="仿宋" w:hAnsi="仿宋" w:eastAsia="仿宋"/>
                <w:b/>
                <w:bCs w:val="0"/>
                <w:color w:val="000000"/>
                <w:kern w:val="0"/>
                <w:szCs w:val="21"/>
              </w:rPr>
              <w:t>石景山区</w:t>
            </w:r>
          </w:p>
        </w:tc>
        <w:tc>
          <w:tcPr>
            <w:tcW w:w="751"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 w:val="18"/>
                <w:szCs w:val="18"/>
              </w:rPr>
            </w:pPr>
            <w:r>
              <w:rPr>
                <w:rFonts w:ascii="仿宋" w:hAnsi="仿宋" w:eastAsia="仿宋"/>
                <w:color w:val="000000"/>
                <w:kern w:val="0"/>
                <w:sz w:val="18"/>
                <w:szCs w:val="18"/>
              </w:rPr>
              <w:t>52.38</w:t>
            </w:r>
          </w:p>
        </w:tc>
        <w:tc>
          <w:tcPr>
            <w:tcW w:w="585"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 w:val="18"/>
                <w:szCs w:val="18"/>
              </w:rPr>
            </w:pPr>
            <w:r>
              <w:rPr>
                <w:rFonts w:ascii="仿宋" w:hAnsi="仿宋" w:eastAsia="仿宋"/>
                <w:color w:val="000000"/>
                <w:kern w:val="0"/>
                <w:sz w:val="18"/>
                <w:szCs w:val="18"/>
              </w:rPr>
              <w:t>51.23</w:t>
            </w:r>
          </w:p>
        </w:tc>
        <w:tc>
          <w:tcPr>
            <w:tcW w:w="696"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 w:val="18"/>
                <w:szCs w:val="18"/>
              </w:rPr>
            </w:pPr>
            <w:r>
              <w:rPr>
                <w:rFonts w:ascii="仿宋" w:hAnsi="仿宋" w:eastAsia="仿宋"/>
                <w:color w:val="000000"/>
                <w:kern w:val="0"/>
                <w:sz w:val="18"/>
                <w:szCs w:val="18"/>
              </w:rPr>
              <w:t>70.23</w:t>
            </w:r>
          </w:p>
        </w:tc>
        <w:tc>
          <w:tcPr>
            <w:tcW w:w="722"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 w:val="18"/>
                <w:szCs w:val="18"/>
              </w:rPr>
            </w:pPr>
            <w:r>
              <w:rPr>
                <w:rFonts w:ascii="仿宋" w:hAnsi="仿宋" w:eastAsia="仿宋"/>
                <w:color w:val="000000"/>
                <w:kern w:val="0"/>
                <w:sz w:val="18"/>
                <w:szCs w:val="18"/>
              </w:rPr>
              <w:t>20.51</w:t>
            </w:r>
          </w:p>
        </w:tc>
        <w:tc>
          <w:tcPr>
            <w:tcW w:w="913"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color w:val="000000"/>
                <w:kern w:val="0"/>
                <w:sz w:val="18"/>
                <w:szCs w:val="18"/>
              </w:rPr>
            </w:pPr>
            <w:r>
              <w:rPr>
                <w:rFonts w:ascii="仿宋" w:hAnsi="仿宋" w:eastAsia="仿宋"/>
                <w:color w:val="000000"/>
                <w:kern w:val="0"/>
                <w:sz w:val="18"/>
                <w:szCs w:val="18"/>
              </w:rPr>
              <w:t>93.8</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333" w:type="pct"/>
            <w:tcBorders>
              <w:right w:val="nil"/>
              <w:insideV w:val="nil"/>
            </w:tcBorders>
            <w:shd w:val="clear" w:color="auto" w:fill="C2D69B" w:themeFill="accent3" w:themeFillTint="99"/>
            <w:noWrap/>
          </w:tcPr>
          <w:p>
            <w:pPr>
              <w:widowControl/>
              <w:jc w:val="center"/>
              <w:rPr>
                <w:rFonts w:ascii="仿宋" w:hAnsi="仿宋" w:eastAsia="仿宋"/>
                <w:b/>
                <w:bCs w:val="0"/>
                <w:color w:val="000000"/>
                <w:kern w:val="0"/>
                <w:szCs w:val="21"/>
              </w:rPr>
            </w:pPr>
            <w:r>
              <w:rPr>
                <w:rFonts w:hint="eastAsia" w:ascii="仿宋" w:hAnsi="仿宋" w:eastAsia="仿宋"/>
                <w:b/>
                <w:bCs w:val="0"/>
                <w:color w:val="000000"/>
                <w:kern w:val="0"/>
                <w:szCs w:val="21"/>
              </w:rPr>
              <w:t>中心城区</w:t>
            </w:r>
            <w:r>
              <w:rPr>
                <w:rFonts w:ascii="仿宋" w:hAnsi="仿宋" w:eastAsia="仿宋"/>
                <w:b/>
                <w:bCs w:val="0"/>
                <w:color w:val="000000"/>
                <w:kern w:val="0"/>
                <w:szCs w:val="21"/>
              </w:rPr>
              <w:t>合计</w:t>
            </w:r>
          </w:p>
        </w:tc>
        <w:tc>
          <w:tcPr>
            <w:tcW w:w="751" w:type="pct"/>
            <w:shd w:val="clear" w:color="auto" w:fill="C2D69B" w:themeFill="accent3" w:themeFillTint="99"/>
            <w:noWrap/>
          </w:tcPr>
          <w:p>
            <w:pPr>
              <w:widowControl/>
              <w:jc w:val="center"/>
              <w:rPr>
                <w:rFonts w:ascii="仿宋" w:hAnsi="仿宋" w:eastAsia="仿宋"/>
                <w:b/>
                <w:color w:val="000000"/>
                <w:kern w:val="0"/>
                <w:sz w:val="18"/>
                <w:szCs w:val="18"/>
              </w:rPr>
            </w:pPr>
            <w:r>
              <w:rPr>
                <w:rFonts w:ascii="仿宋" w:hAnsi="仿宋" w:eastAsia="仿宋"/>
                <w:b/>
                <w:color w:val="000000"/>
                <w:kern w:val="0"/>
                <w:sz w:val="18"/>
                <w:szCs w:val="18"/>
              </w:rPr>
              <w:t>47.67</w:t>
            </w:r>
          </w:p>
        </w:tc>
        <w:tc>
          <w:tcPr>
            <w:tcW w:w="585" w:type="pct"/>
            <w:shd w:val="clear" w:color="auto" w:fill="C2D69B" w:themeFill="accent3" w:themeFillTint="99"/>
            <w:noWrap/>
          </w:tcPr>
          <w:p>
            <w:pPr>
              <w:widowControl/>
              <w:jc w:val="center"/>
              <w:rPr>
                <w:rFonts w:ascii="仿宋" w:hAnsi="仿宋" w:eastAsia="仿宋"/>
                <w:b/>
                <w:color w:val="000000"/>
                <w:kern w:val="0"/>
                <w:sz w:val="18"/>
                <w:szCs w:val="18"/>
              </w:rPr>
            </w:pPr>
            <w:r>
              <w:rPr>
                <w:rFonts w:ascii="仿宋" w:hAnsi="仿宋" w:eastAsia="仿宋"/>
                <w:b/>
                <w:color w:val="000000"/>
                <w:kern w:val="0"/>
                <w:sz w:val="18"/>
                <w:szCs w:val="18"/>
              </w:rPr>
              <w:t>45.37</w:t>
            </w:r>
          </w:p>
        </w:tc>
        <w:tc>
          <w:tcPr>
            <w:tcW w:w="696" w:type="pct"/>
            <w:shd w:val="clear" w:color="auto" w:fill="C2D69B" w:themeFill="accent3" w:themeFillTint="99"/>
            <w:noWrap/>
          </w:tcPr>
          <w:p>
            <w:pPr>
              <w:widowControl/>
              <w:jc w:val="center"/>
              <w:rPr>
                <w:rFonts w:ascii="仿宋" w:hAnsi="仿宋" w:eastAsia="仿宋"/>
                <w:b/>
                <w:color w:val="000000"/>
                <w:kern w:val="0"/>
                <w:sz w:val="18"/>
                <w:szCs w:val="18"/>
              </w:rPr>
            </w:pPr>
            <w:r>
              <w:rPr>
                <w:rFonts w:ascii="仿宋" w:hAnsi="仿宋" w:eastAsia="仿宋"/>
                <w:b/>
                <w:color w:val="000000"/>
                <w:kern w:val="0"/>
                <w:sz w:val="18"/>
                <w:szCs w:val="18"/>
              </w:rPr>
              <w:t>32.70</w:t>
            </w:r>
          </w:p>
        </w:tc>
        <w:tc>
          <w:tcPr>
            <w:tcW w:w="722" w:type="pct"/>
            <w:shd w:val="clear" w:color="auto" w:fill="C2D69B" w:themeFill="accent3" w:themeFillTint="99"/>
            <w:noWrap/>
          </w:tcPr>
          <w:p>
            <w:pPr>
              <w:widowControl/>
              <w:jc w:val="center"/>
              <w:rPr>
                <w:rFonts w:ascii="仿宋" w:hAnsi="仿宋" w:eastAsia="仿宋"/>
                <w:b/>
                <w:color w:val="000000"/>
                <w:kern w:val="0"/>
                <w:sz w:val="18"/>
                <w:szCs w:val="18"/>
              </w:rPr>
            </w:pPr>
            <w:r>
              <w:rPr>
                <w:rFonts w:ascii="仿宋" w:hAnsi="仿宋" w:eastAsia="仿宋"/>
                <w:b/>
                <w:color w:val="000000"/>
                <w:kern w:val="0"/>
                <w:sz w:val="18"/>
                <w:szCs w:val="18"/>
              </w:rPr>
              <w:t>12.15</w:t>
            </w:r>
          </w:p>
        </w:tc>
        <w:tc>
          <w:tcPr>
            <w:tcW w:w="913" w:type="pct"/>
            <w:shd w:val="clear" w:color="auto" w:fill="C2D69B" w:themeFill="accent3" w:themeFillTint="99"/>
          </w:tcPr>
          <w:p>
            <w:pPr>
              <w:widowControl/>
              <w:jc w:val="center"/>
              <w:rPr>
                <w:rFonts w:ascii="仿宋" w:hAnsi="仿宋" w:eastAsia="仿宋"/>
                <w:b/>
                <w:color w:val="000000"/>
                <w:kern w:val="0"/>
                <w:sz w:val="18"/>
                <w:szCs w:val="18"/>
              </w:rPr>
            </w:pPr>
            <w:r>
              <w:rPr>
                <w:rFonts w:ascii="仿宋" w:hAnsi="仿宋" w:eastAsia="仿宋"/>
                <w:b/>
                <w:color w:val="000000"/>
                <w:kern w:val="0"/>
                <w:sz w:val="18"/>
                <w:szCs w:val="18"/>
              </w:rPr>
              <w:t>90.34</w:t>
            </w:r>
          </w:p>
        </w:tc>
      </w:tr>
    </w:tbl>
    <w:p>
      <w:pPr>
        <w:pStyle w:val="4"/>
        <w:spacing w:before="217" w:after="217" w:line="276" w:lineRule="auto"/>
        <w:rPr>
          <w:rFonts w:ascii="仿宋" w:hAnsi="仿宋" w:eastAsia="仿宋" w:cs="Times New Roman"/>
          <w:spacing w:val="20"/>
        </w:rPr>
      </w:pPr>
      <w:bookmarkStart w:id="98" w:name="_Toc529864958"/>
      <w:bookmarkStart w:id="99" w:name="_Toc530648944"/>
      <w:bookmarkStart w:id="100" w:name="_Toc528968729"/>
      <w:bookmarkStart w:id="101" w:name="_Toc27389894"/>
      <w:r>
        <w:rPr>
          <w:rFonts w:hint="eastAsia" w:ascii="仿宋" w:hAnsi="仿宋" w:eastAsia="仿宋" w:cs="Times New Roman"/>
          <w:spacing w:val="20"/>
        </w:rPr>
        <w:t>（三）湿地</w:t>
      </w:r>
      <w:r>
        <w:rPr>
          <w:rFonts w:ascii="仿宋" w:hAnsi="仿宋" w:eastAsia="仿宋" w:cs="Times New Roman"/>
          <w:spacing w:val="20"/>
        </w:rPr>
        <w:t>资源</w:t>
      </w:r>
      <w:bookmarkEnd w:id="98"/>
      <w:bookmarkEnd w:id="99"/>
      <w:bookmarkEnd w:id="100"/>
      <w:bookmarkEnd w:id="101"/>
    </w:p>
    <w:p>
      <w:pPr>
        <w:pStyle w:val="5"/>
        <w:spacing w:before="0" w:after="0" w:line="276" w:lineRule="auto"/>
        <w:rPr>
          <w:rFonts w:ascii="仿宋" w:hAnsi="仿宋" w:eastAsia="仿宋"/>
        </w:rPr>
      </w:pPr>
      <w:bookmarkStart w:id="102" w:name="_Toc530648945"/>
      <w:r>
        <w:rPr>
          <w:rFonts w:ascii="仿宋" w:hAnsi="仿宋" w:eastAsia="仿宋"/>
        </w:rPr>
        <w:t>1</w:t>
      </w:r>
      <w:r>
        <w:rPr>
          <w:rFonts w:hint="eastAsia" w:ascii="仿宋" w:hAnsi="仿宋" w:eastAsia="仿宋"/>
        </w:rPr>
        <w:t>.湿地面积</w:t>
      </w:r>
      <w:bookmarkEnd w:id="102"/>
    </w:p>
    <w:p>
      <w:pPr>
        <w:spacing w:line="276" w:lineRule="auto"/>
        <w:ind w:firstLine="560" w:firstLineChars="200"/>
        <w:rPr>
          <w:rFonts w:ascii="仿宋" w:hAnsi="仿宋" w:eastAsia="仿宋"/>
          <w:sz w:val="28"/>
          <w:szCs w:val="28"/>
        </w:rPr>
      </w:pPr>
      <w:r>
        <w:rPr>
          <w:rFonts w:ascii="仿宋" w:hAnsi="仿宋" w:eastAsia="仿宋"/>
          <w:sz w:val="28"/>
          <w:szCs w:val="28"/>
        </w:rPr>
        <w:t>北京湿地总面积51434.1公顷，约占</w:t>
      </w:r>
      <w:r>
        <w:rPr>
          <w:rFonts w:hint="eastAsia" w:ascii="仿宋" w:hAnsi="仿宋" w:eastAsia="仿宋"/>
          <w:sz w:val="28"/>
          <w:szCs w:val="28"/>
        </w:rPr>
        <w:t>全市</w:t>
      </w:r>
      <w:r>
        <w:rPr>
          <w:rFonts w:ascii="仿宋" w:hAnsi="仿宋" w:eastAsia="仿宋"/>
          <w:sz w:val="28"/>
          <w:szCs w:val="28"/>
        </w:rPr>
        <w:t>国土总面积的3.13%</w:t>
      </w:r>
      <w:r>
        <w:rPr>
          <w:rFonts w:hint="eastAsia" w:ascii="仿宋" w:hAnsi="仿宋" w:eastAsia="仿宋"/>
          <w:sz w:val="28"/>
          <w:szCs w:val="28"/>
        </w:rPr>
        <w:t>。</w:t>
      </w:r>
      <w:r>
        <w:rPr>
          <w:rFonts w:ascii="仿宋" w:hAnsi="仿宋" w:eastAsia="仿宋"/>
          <w:sz w:val="28"/>
          <w:szCs w:val="28"/>
        </w:rPr>
        <w:t>其中，天然湿地</w:t>
      </w:r>
      <w:r>
        <w:rPr>
          <w:rFonts w:hint="eastAsia" w:ascii="仿宋" w:hAnsi="仿宋" w:eastAsia="仿宋"/>
          <w:sz w:val="28"/>
          <w:szCs w:val="28"/>
        </w:rPr>
        <w:t>（</w:t>
      </w:r>
      <w:r>
        <w:rPr>
          <w:rFonts w:ascii="仿宋" w:hAnsi="仿宋" w:eastAsia="仿宋"/>
          <w:sz w:val="28"/>
          <w:szCs w:val="28"/>
        </w:rPr>
        <w:t>河流、少数天然湖泊</w:t>
      </w:r>
      <w:r>
        <w:rPr>
          <w:rFonts w:hint="eastAsia" w:ascii="仿宋" w:hAnsi="仿宋" w:eastAsia="仿宋"/>
          <w:sz w:val="28"/>
          <w:szCs w:val="28"/>
        </w:rPr>
        <w:t>、</w:t>
      </w:r>
      <w:r>
        <w:rPr>
          <w:rFonts w:ascii="仿宋" w:hAnsi="仿宋" w:eastAsia="仿宋"/>
          <w:sz w:val="28"/>
          <w:szCs w:val="28"/>
        </w:rPr>
        <w:t>沼泽湿地</w:t>
      </w:r>
      <w:r>
        <w:rPr>
          <w:rFonts w:hint="eastAsia" w:ascii="仿宋" w:hAnsi="仿宋" w:eastAsia="仿宋"/>
          <w:sz w:val="28"/>
          <w:szCs w:val="28"/>
        </w:rPr>
        <w:t>）</w:t>
      </w:r>
      <w:r>
        <w:rPr>
          <w:rFonts w:ascii="仿宋" w:hAnsi="仿宋" w:eastAsia="仿宋"/>
          <w:sz w:val="28"/>
          <w:szCs w:val="28"/>
        </w:rPr>
        <w:t>面积23852.1公顷，占湿地总面积的46.4%，人工湿地</w:t>
      </w:r>
      <w:r>
        <w:rPr>
          <w:rFonts w:hint="eastAsia" w:ascii="仿宋" w:hAnsi="仿宋" w:eastAsia="仿宋"/>
          <w:sz w:val="28"/>
          <w:szCs w:val="28"/>
        </w:rPr>
        <w:t>（</w:t>
      </w:r>
      <w:r>
        <w:rPr>
          <w:rFonts w:ascii="仿宋" w:hAnsi="仿宋" w:eastAsia="仿宋"/>
          <w:sz w:val="28"/>
          <w:szCs w:val="28"/>
        </w:rPr>
        <w:t>水库湿地、</w:t>
      </w:r>
      <w:r>
        <w:fldChar w:fldCharType="begin"/>
      </w:r>
      <w:r>
        <w:instrText xml:space="preserve"> HYPERLINK "https://baike.baidu.com/item/%E6%B9%96%E6%B3%8A%E6%B9%BF%E5%9C%B0" \t "_blank" </w:instrText>
      </w:r>
      <w:r>
        <w:fldChar w:fldCharType="separate"/>
      </w:r>
      <w:r>
        <w:rPr>
          <w:rFonts w:ascii="仿宋" w:hAnsi="仿宋" w:eastAsia="仿宋"/>
          <w:sz w:val="28"/>
          <w:szCs w:val="28"/>
        </w:rPr>
        <w:t>湖泊</w:t>
      </w:r>
      <w:r>
        <w:rPr>
          <w:rFonts w:ascii="仿宋" w:hAnsi="仿宋" w:eastAsia="仿宋"/>
          <w:sz w:val="28"/>
          <w:szCs w:val="28"/>
        </w:rPr>
        <w:fldChar w:fldCharType="end"/>
      </w:r>
      <w:r>
        <w:rPr>
          <w:rFonts w:hint="eastAsia" w:ascii="仿宋" w:hAnsi="仿宋" w:eastAsia="仿宋"/>
          <w:sz w:val="28"/>
          <w:szCs w:val="28"/>
        </w:rPr>
        <w:t>、</w:t>
      </w:r>
      <w:r>
        <w:rPr>
          <w:rFonts w:ascii="仿宋" w:hAnsi="仿宋" w:eastAsia="仿宋"/>
          <w:sz w:val="28"/>
          <w:szCs w:val="28"/>
        </w:rPr>
        <w:t>公园湿地）为27582公顷，占湿地总面的53.6%。</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47"/>
        <w:gridCol w:w="42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5" w:hRule="atLeast"/>
        </w:trPr>
        <w:tc>
          <w:tcPr>
            <w:tcW w:w="4247" w:type="dxa"/>
          </w:tcPr>
          <w:p>
            <w:pPr>
              <w:spacing w:line="276" w:lineRule="auto"/>
              <w:jc w:val="center"/>
              <w:rPr>
                <w:rFonts w:ascii="仿宋" w:hAnsi="仿宋" w:eastAsia="仿宋"/>
                <w:sz w:val="24"/>
                <w:szCs w:val="24"/>
              </w:rPr>
            </w:pPr>
            <w:r>
              <w:rPr>
                <w:rFonts w:ascii="仿宋" w:hAnsi="仿宋" w:eastAsia="仿宋"/>
              </w:rPr>
              <w:drawing>
                <wp:anchor distT="0" distB="0" distL="114300" distR="114300" simplePos="0" relativeHeight="251697152" behindDoc="0" locked="0" layoutInCell="1" allowOverlap="1">
                  <wp:simplePos x="0" y="0"/>
                  <wp:positionH relativeFrom="margin">
                    <wp:posOffset>83820</wp:posOffset>
                  </wp:positionH>
                  <wp:positionV relativeFrom="paragraph">
                    <wp:posOffset>41275</wp:posOffset>
                  </wp:positionV>
                  <wp:extent cx="2233930" cy="1721485"/>
                  <wp:effectExtent l="0" t="0" r="13970" b="12700"/>
                  <wp:wrapNone/>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c>
        <w:tc>
          <w:tcPr>
            <w:tcW w:w="4247" w:type="dxa"/>
          </w:tcPr>
          <w:p>
            <w:pPr>
              <w:spacing w:line="276" w:lineRule="auto"/>
              <w:jc w:val="center"/>
              <w:rPr>
                <w:rFonts w:ascii="仿宋" w:hAnsi="仿宋" w:eastAsia="仿宋"/>
                <w:sz w:val="24"/>
                <w:szCs w:val="24"/>
              </w:rPr>
            </w:pPr>
            <w:r>
              <w:rPr>
                <w:rFonts w:ascii="仿宋" w:hAnsi="仿宋" w:eastAsia="仿宋"/>
              </w:rPr>
              <w:drawing>
                <wp:anchor distT="0" distB="0" distL="114300" distR="114300" simplePos="0" relativeHeight="251703296" behindDoc="0" locked="0" layoutInCell="1" allowOverlap="0">
                  <wp:simplePos x="0" y="0"/>
                  <wp:positionH relativeFrom="margin">
                    <wp:posOffset>-26670</wp:posOffset>
                  </wp:positionH>
                  <wp:positionV relativeFrom="paragraph">
                    <wp:posOffset>-12700</wp:posOffset>
                  </wp:positionV>
                  <wp:extent cx="2557145" cy="1805940"/>
                  <wp:effectExtent l="0" t="0" r="0" b="4445"/>
                  <wp:wrapNone/>
                  <wp:docPr id="28714" name="图片 287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714" name="图片 28714"/>
                          <pic:cNvPicPr>
                            <a:picLocks noChangeAspect="true" noChangeArrowheads="true"/>
                          </pic:cNvPicPr>
                        </pic:nvPicPr>
                        <pic:blipFill>
                          <a:blip r:embed="rId18" cstate="print">
                            <a:extLst>
                              <a:ext uri="{28A0092B-C50C-407E-A947-70E740481C1C}">
                                <a14:useLocalDpi xmlns:a14="http://schemas.microsoft.com/office/drawing/2010/main" val="false"/>
                              </a:ext>
                            </a:extLst>
                          </a:blip>
                          <a:stretch>
                            <a:fillRect/>
                          </a:stretch>
                        </pic:blipFill>
                        <pic:spPr>
                          <a:xfrm>
                            <a:off x="0" y="0"/>
                            <a:ext cx="2557109" cy="1805787"/>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47" w:type="dxa"/>
          </w:tcPr>
          <w:p>
            <w:pPr>
              <w:spacing w:line="276" w:lineRule="auto"/>
              <w:ind w:right="633" w:firstLine="420" w:firstLineChars="200"/>
              <w:rPr>
                <w:rFonts w:ascii="仿宋" w:hAnsi="仿宋" w:eastAsia="仿宋"/>
                <w:sz w:val="24"/>
                <w:szCs w:val="24"/>
              </w:rPr>
            </w:pPr>
            <w:r>
              <w:rPr>
                <w:rFonts w:hint="eastAsia" w:ascii="仿宋" w:hAnsi="仿宋" w:eastAsia="仿宋"/>
                <w:b/>
                <w:szCs w:val="21"/>
              </w:rPr>
              <w:t>图4-9</w:t>
            </w:r>
            <w:r>
              <w:rPr>
                <w:rFonts w:ascii="仿宋" w:hAnsi="仿宋" w:eastAsia="仿宋"/>
                <w:b/>
                <w:szCs w:val="21"/>
              </w:rPr>
              <w:t xml:space="preserve"> 北京市湿地类型占比图</w:t>
            </w:r>
          </w:p>
        </w:tc>
        <w:tc>
          <w:tcPr>
            <w:tcW w:w="4247" w:type="dxa"/>
          </w:tcPr>
          <w:p>
            <w:pPr>
              <w:spacing w:line="276" w:lineRule="auto"/>
              <w:jc w:val="center"/>
              <w:rPr>
                <w:rFonts w:ascii="仿宋" w:hAnsi="仿宋" w:eastAsia="仿宋"/>
                <w:sz w:val="24"/>
                <w:szCs w:val="24"/>
              </w:rPr>
            </w:pPr>
            <w:r>
              <w:rPr>
                <w:rFonts w:hint="eastAsia" w:ascii="仿宋" w:hAnsi="仿宋" w:eastAsia="仿宋"/>
                <w:b/>
                <w:lang w:val="zh-CN"/>
              </w:rPr>
              <w:t>图4-10</w:t>
            </w:r>
            <w:r>
              <w:rPr>
                <w:rFonts w:ascii="仿宋" w:hAnsi="仿宋" w:eastAsia="仿宋"/>
                <w:b/>
                <w:lang w:val="zh-CN"/>
              </w:rPr>
              <w:t xml:space="preserve"> 北京市湿地资源分布图</w:t>
            </w:r>
          </w:p>
        </w:tc>
      </w:tr>
    </w:tbl>
    <w:p>
      <w:pPr>
        <w:spacing w:line="276" w:lineRule="auto"/>
        <w:ind w:firstLine="468" w:firstLineChars="195"/>
        <w:jc w:val="center"/>
        <w:rPr>
          <w:rFonts w:ascii="仿宋" w:hAnsi="仿宋" w:eastAsia="仿宋"/>
          <w:sz w:val="24"/>
          <w:szCs w:val="24"/>
        </w:rPr>
      </w:pPr>
    </w:p>
    <w:p>
      <w:pPr>
        <w:pStyle w:val="5"/>
        <w:spacing w:before="0" w:after="0" w:line="276" w:lineRule="auto"/>
        <w:rPr>
          <w:rFonts w:ascii="仿宋" w:hAnsi="仿宋" w:eastAsia="仿宋"/>
        </w:rPr>
      </w:pPr>
      <w:bookmarkStart w:id="103" w:name="_Toc530648946"/>
      <w:r>
        <w:rPr>
          <w:rFonts w:hint="eastAsia" w:ascii="仿宋" w:hAnsi="仿宋" w:eastAsia="仿宋"/>
        </w:rPr>
        <w:t>2.湿地分布</w:t>
      </w:r>
      <w:bookmarkEnd w:id="103"/>
      <w:r>
        <w:rPr>
          <w:rFonts w:hint="eastAsia" w:ascii="仿宋" w:hAnsi="仿宋" w:eastAsia="仿宋"/>
        </w:rPr>
        <w:t xml:space="preserve"> </w:t>
      </w:r>
    </w:p>
    <w:p>
      <w:pPr>
        <w:spacing w:line="276" w:lineRule="auto"/>
        <w:ind w:firstLine="560" w:firstLineChars="200"/>
        <w:rPr>
          <w:rFonts w:ascii="仿宋" w:hAnsi="仿宋" w:eastAsia="仿宋"/>
          <w:sz w:val="28"/>
          <w:szCs w:val="28"/>
        </w:rPr>
      </w:pPr>
      <w:r>
        <w:rPr>
          <w:rFonts w:ascii="仿宋" w:hAnsi="仿宋" w:eastAsia="仿宋"/>
          <w:sz w:val="28"/>
          <w:szCs w:val="28"/>
        </w:rPr>
        <w:t>北京市16个区均有湿地分布，密云</w:t>
      </w:r>
      <w:r>
        <w:rPr>
          <w:rFonts w:hint="eastAsia" w:ascii="仿宋" w:hAnsi="仿宋" w:eastAsia="仿宋"/>
          <w:sz w:val="28"/>
          <w:szCs w:val="28"/>
        </w:rPr>
        <w:t>区</w:t>
      </w:r>
      <w:r>
        <w:rPr>
          <w:rFonts w:ascii="仿宋" w:hAnsi="仿宋" w:eastAsia="仿宋"/>
          <w:sz w:val="28"/>
          <w:szCs w:val="28"/>
        </w:rPr>
        <w:t>湿地面积</w:t>
      </w:r>
      <w:r>
        <w:rPr>
          <w:rFonts w:hint="eastAsia" w:ascii="仿宋" w:hAnsi="仿宋" w:eastAsia="仿宋"/>
          <w:sz w:val="28"/>
          <w:szCs w:val="28"/>
        </w:rPr>
        <w:t>最大，为</w:t>
      </w:r>
      <w:r>
        <w:rPr>
          <w:rFonts w:ascii="仿宋" w:hAnsi="仿宋" w:eastAsia="仿宋"/>
          <w:sz w:val="28"/>
          <w:szCs w:val="28"/>
        </w:rPr>
        <w:t>10914公顷，占全市湿地总</w:t>
      </w:r>
      <w:r>
        <w:rPr>
          <w:rFonts w:hint="eastAsia" w:ascii="仿宋" w:hAnsi="仿宋" w:eastAsia="仿宋"/>
          <w:sz w:val="28"/>
          <w:szCs w:val="28"/>
        </w:rPr>
        <w:t>面积</w:t>
      </w:r>
      <w:r>
        <w:rPr>
          <w:rFonts w:ascii="仿宋" w:hAnsi="仿宋" w:eastAsia="仿宋"/>
          <w:sz w:val="28"/>
          <w:szCs w:val="28"/>
        </w:rPr>
        <w:t>的21.2%</w:t>
      </w:r>
      <w:r>
        <w:rPr>
          <w:rFonts w:hint="eastAsia" w:ascii="仿宋" w:hAnsi="仿宋" w:eastAsia="仿宋"/>
          <w:sz w:val="28"/>
          <w:szCs w:val="28"/>
        </w:rPr>
        <w:t>，</w:t>
      </w:r>
      <w:r>
        <w:rPr>
          <w:rFonts w:ascii="仿宋" w:hAnsi="仿宋" w:eastAsia="仿宋"/>
          <w:sz w:val="28"/>
          <w:szCs w:val="28"/>
        </w:rPr>
        <w:t>其次是通州区，占15.4%</w:t>
      </w:r>
      <w:r>
        <w:rPr>
          <w:rFonts w:hint="eastAsia" w:ascii="仿宋" w:hAnsi="仿宋" w:eastAsia="仿宋"/>
          <w:sz w:val="28"/>
          <w:szCs w:val="28"/>
        </w:rPr>
        <w:t>，</w:t>
      </w:r>
      <w:r>
        <w:rPr>
          <w:rFonts w:ascii="仿宋" w:hAnsi="仿宋" w:eastAsia="仿宋"/>
          <w:sz w:val="28"/>
          <w:szCs w:val="28"/>
        </w:rPr>
        <w:t>湿地面积最小的是东城区，</w:t>
      </w:r>
      <w:r>
        <w:rPr>
          <w:rFonts w:hint="eastAsia" w:ascii="仿宋" w:hAnsi="仿宋" w:eastAsia="仿宋"/>
          <w:sz w:val="28"/>
          <w:szCs w:val="28"/>
        </w:rPr>
        <w:t>占</w:t>
      </w:r>
      <w:r>
        <w:rPr>
          <w:rFonts w:ascii="仿宋" w:hAnsi="仿宋" w:eastAsia="仿宋"/>
          <w:sz w:val="28"/>
          <w:szCs w:val="28"/>
        </w:rPr>
        <w:t>0.17%。</w:t>
      </w:r>
    </w:p>
    <w:p>
      <w:pPr>
        <w:spacing w:line="276" w:lineRule="auto"/>
        <w:ind w:firstLine="409" w:firstLineChars="195"/>
        <w:jc w:val="center"/>
        <w:rPr>
          <w:rFonts w:ascii="仿宋" w:hAnsi="仿宋" w:eastAsia="仿宋"/>
          <w:b/>
          <w:lang w:val="zh-CN"/>
        </w:rPr>
      </w:pPr>
      <w:r>
        <w:rPr>
          <w:rFonts w:hint="eastAsia" w:ascii="仿宋" w:hAnsi="仿宋" w:eastAsia="仿宋"/>
          <w:b/>
          <w:lang w:val="zh-CN"/>
        </w:rPr>
        <w:t>表4</w:t>
      </w:r>
      <w:r>
        <w:rPr>
          <w:rFonts w:ascii="仿宋" w:hAnsi="仿宋" w:eastAsia="仿宋"/>
          <w:b/>
          <w:lang w:val="zh-CN"/>
        </w:rPr>
        <w:t>-</w:t>
      </w:r>
      <w:r>
        <w:rPr>
          <w:rFonts w:hint="eastAsia" w:ascii="仿宋" w:hAnsi="仿宋" w:eastAsia="仿宋"/>
          <w:b/>
          <w:lang w:val="zh-CN"/>
        </w:rPr>
        <w:t xml:space="preserve">2  </w:t>
      </w:r>
      <w:r>
        <w:rPr>
          <w:rFonts w:ascii="仿宋" w:hAnsi="仿宋" w:eastAsia="仿宋"/>
          <w:b/>
          <w:lang w:val="zh-CN"/>
        </w:rPr>
        <w:t>北京市各区湿地面积统计表</w:t>
      </w:r>
    </w:p>
    <w:tbl>
      <w:tblPr>
        <w:tblStyle w:val="94"/>
        <w:tblW w:w="5103" w:type="pct"/>
        <w:tblInd w:w="0" w:type="dxa"/>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Layout w:type="fixed"/>
        <w:tblCellMar>
          <w:top w:w="0" w:type="dxa"/>
          <w:left w:w="108" w:type="dxa"/>
          <w:bottom w:w="0" w:type="dxa"/>
          <w:right w:w="108" w:type="dxa"/>
        </w:tblCellMar>
      </w:tblPr>
      <w:tblGrid>
        <w:gridCol w:w="1215"/>
        <w:gridCol w:w="1253"/>
        <w:gridCol w:w="1159"/>
        <w:gridCol w:w="1161"/>
        <w:gridCol w:w="1159"/>
        <w:gridCol w:w="1178"/>
        <w:gridCol w:w="1775"/>
      </w:tblGrid>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3" w:type="pct"/>
            <w:vMerge w:val="restart"/>
            <w:tcBorders>
              <w:bottom w:val="nil"/>
              <w:right w:val="nil"/>
            </w:tcBorders>
            <w:shd w:val="clear" w:color="auto" w:fill="9BBB59" w:themeFill="accent3"/>
            <w:noWrap/>
            <w:vAlign w:val="center"/>
          </w:tcPr>
          <w:p>
            <w:pPr>
              <w:jc w:val="center"/>
              <w:rPr>
                <w:rFonts w:ascii="仿宋" w:hAnsi="仿宋" w:eastAsia="仿宋"/>
                <w:b w:val="0"/>
                <w:bCs w:val="0"/>
                <w:color w:val="000000"/>
                <w:kern w:val="0"/>
                <w:szCs w:val="21"/>
              </w:rPr>
            </w:pPr>
            <w:r>
              <w:rPr>
                <w:rFonts w:ascii="仿宋" w:hAnsi="仿宋" w:eastAsia="仿宋"/>
                <w:b/>
                <w:bCs/>
                <w:color w:val="000000"/>
                <w:kern w:val="0"/>
                <w:szCs w:val="21"/>
              </w:rPr>
              <w:t>名称</w:t>
            </w:r>
          </w:p>
        </w:tc>
        <w:tc>
          <w:tcPr>
            <w:tcW w:w="704" w:type="pct"/>
            <w:vMerge w:val="restart"/>
            <w:shd w:val="clear" w:color="auto" w:fill="9BBB59" w:themeFill="accent3"/>
            <w:noWrap/>
            <w:vAlign w:val="center"/>
          </w:tcPr>
          <w:p>
            <w:pPr>
              <w:widowControl/>
              <w:jc w:val="center"/>
              <w:rPr>
                <w:rFonts w:ascii="仿宋" w:hAnsi="仿宋" w:eastAsia="仿宋"/>
                <w:b w:val="0"/>
                <w:bCs w:val="0"/>
                <w:color w:val="000000"/>
                <w:kern w:val="0"/>
                <w:szCs w:val="21"/>
              </w:rPr>
            </w:pPr>
            <w:r>
              <w:rPr>
                <w:rFonts w:ascii="仿宋" w:hAnsi="仿宋" w:eastAsia="仿宋"/>
                <w:b/>
                <w:bCs/>
                <w:color w:val="000000"/>
                <w:kern w:val="0"/>
                <w:szCs w:val="21"/>
              </w:rPr>
              <w:t>总面积</w:t>
            </w:r>
          </w:p>
          <w:p>
            <w:pPr>
              <w:jc w:val="center"/>
              <w:rPr>
                <w:rFonts w:ascii="仿宋" w:hAnsi="仿宋" w:eastAsia="仿宋"/>
                <w:b w:val="0"/>
                <w:bCs w:val="0"/>
                <w:color w:val="000000"/>
                <w:kern w:val="0"/>
                <w:szCs w:val="21"/>
              </w:rPr>
            </w:pPr>
            <w:r>
              <w:rPr>
                <w:rFonts w:ascii="仿宋" w:hAnsi="仿宋" w:eastAsia="仿宋"/>
                <w:b/>
                <w:bCs/>
                <w:color w:val="000000"/>
                <w:kern w:val="0"/>
                <w:szCs w:val="21"/>
              </w:rPr>
              <w:t>（公顷）</w:t>
            </w:r>
          </w:p>
        </w:tc>
        <w:tc>
          <w:tcPr>
            <w:tcW w:w="2616" w:type="pct"/>
            <w:gridSpan w:val="4"/>
            <w:shd w:val="clear" w:color="auto" w:fill="9BBB59" w:themeFill="accent3"/>
            <w:noWrap/>
            <w:vAlign w:val="center"/>
          </w:tcPr>
          <w:p>
            <w:pPr>
              <w:widowControl/>
              <w:jc w:val="center"/>
              <w:rPr>
                <w:rFonts w:ascii="仿宋" w:hAnsi="仿宋" w:eastAsia="仿宋"/>
                <w:b w:val="0"/>
                <w:bCs w:val="0"/>
                <w:color w:val="000000"/>
                <w:kern w:val="0"/>
                <w:szCs w:val="21"/>
              </w:rPr>
            </w:pPr>
            <w:r>
              <w:rPr>
                <w:rFonts w:ascii="仿宋" w:hAnsi="仿宋" w:eastAsia="仿宋"/>
                <w:b/>
                <w:bCs/>
                <w:color w:val="000000"/>
                <w:kern w:val="0"/>
                <w:szCs w:val="21"/>
              </w:rPr>
              <w:t>类别</w:t>
            </w:r>
          </w:p>
        </w:tc>
        <w:tc>
          <w:tcPr>
            <w:tcW w:w="997" w:type="pct"/>
            <w:vMerge w:val="restart"/>
            <w:shd w:val="clear" w:color="auto" w:fill="9BBB59" w:themeFill="accent3"/>
            <w:noWrap/>
            <w:vAlign w:val="center"/>
          </w:tcPr>
          <w:p>
            <w:pPr>
              <w:widowControl/>
              <w:jc w:val="center"/>
              <w:rPr>
                <w:rFonts w:ascii="仿宋" w:hAnsi="仿宋" w:eastAsia="仿宋"/>
                <w:b w:val="0"/>
                <w:bCs w:val="0"/>
                <w:color w:val="000000"/>
                <w:kern w:val="0"/>
                <w:szCs w:val="21"/>
              </w:rPr>
            </w:pPr>
            <w:r>
              <w:rPr>
                <w:rFonts w:ascii="仿宋" w:hAnsi="仿宋" w:eastAsia="仿宋"/>
                <w:b/>
                <w:bCs/>
                <w:color w:val="000000"/>
                <w:kern w:val="0"/>
                <w:szCs w:val="21"/>
              </w:rPr>
              <w:t>各区湿地面积占</w:t>
            </w:r>
          </w:p>
          <w:p>
            <w:pPr>
              <w:widowControl/>
              <w:jc w:val="center"/>
              <w:rPr>
                <w:rFonts w:ascii="仿宋" w:hAnsi="仿宋" w:eastAsia="仿宋"/>
                <w:b w:val="0"/>
                <w:bCs w:val="0"/>
                <w:color w:val="000000"/>
                <w:kern w:val="0"/>
                <w:szCs w:val="21"/>
              </w:rPr>
            </w:pPr>
            <w:r>
              <w:rPr>
                <w:rFonts w:ascii="仿宋" w:hAnsi="仿宋" w:eastAsia="仿宋"/>
                <w:b/>
                <w:bCs/>
                <w:color w:val="000000"/>
                <w:kern w:val="0"/>
                <w:szCs w:val="21"/>
              </w:rPr>
              <w:t>湿地总面积比例（%）</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3" w:type="pct"/>
            <w:vMerge w:val="continue"/>
            <w:tcBorders>
              <w:top w:val="single" w:color="9BBB59" w:themeColor="accent3" w:sz="4" w:space="0"/>
              <w:bottom w:val="single" w:color="9BBB59" w:themeColor="accent3" w:sz="4" w:space="0"/>
              <w:right w:val="nil"/>
              <w:insideH w:val="single" w:sz="4" w:space="0"/>
              <w:insideV w:val="nil"/>
            </w:tcBorders>
            <w:shd w:val="clear" w:color="auto" w:fill="FFFFFF" w:themeFill="background1"/>
            <w:noWrap/>
          </w:tcPr>
          <w:p>
            <w:pPr>
              <w:widowControl/>
              <w:jc w:val="center"/>
              <w:rPr>
                <w:rFonts w:ascii="仿宋" w:hAnsi="仿宋" w:eastAsia="仿宋"/>
                <w:b w:val="0"/>
                <w:bCs w:val="0"/>
                <w:color w:val="000000"/>
                <w:kern w:val="0"/>
                <w:szCs w:val="21"/>
              </w:rPr>
            </w:pPr>
          </w:p>
        </w:tc>
        <w:tc>
          <w:tcPr>
            <w:tcW w:w="704" w:type="pct"/>
            <w:vMerge w:val="continue"/>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b/>
                <w:color w:val="000000"/>
                <w:kern w:val="0"/>
                <w:szCs w:val="21"/>
              </w:rPr>
            </w:pPr>
          </w:p>
        </w:tc>
        <w:tc>
          <w:tcPr>
            <w:tcW w:w="651" w:type="pct"/>
            <w:tcBorders>
              <w:top w:val="single" w:color="9BBB59" w:themeColor="accent3" w:sz="4" w:space="0"/>
              <w:bottom w:val="single" w:color="9BBB59" w:themeColor="accent3" w:sz="4" w:space="0"/>
              <w:insideH w:val="single" w:sz="4" w:space="0"/>
            </w:tcBorders>
            <w:shd w:val="clear" w:color="auto" w:fill="9BBB59" w:themeFill="accent3"/>
            <w:noWrap/>
          </w:tcPr>
          <w:p>
            <w:pPr>
              <w:widowControl/>
              <w:jc w:val="center"/>
              <w:rPr>
                <w:rFonts w:ascii="仿宋" w:hAnsi="仿宋" w:eastAsia="仿宋"/>
                <w:b/>
                <w:color w:val="000000"/>
                <w:kern w:val="0"/>
                <w:szCs w:val="21"/>
              </w:rPr>
            </w:pPr>
            <w:r>
              <w:rPr>
                <w:rFonts w:ascii="仿宋" w:hAnsi="仿宋" w:eastAsia="仿宋"/>
                <w:b/>
                <w:color w:val="000000"/>
                <w:kern w:val="0"/>
                <w:szCs w:val="21"/>
              </w:rPr>
              <w:t>天然湿地（公顷）</w:t>
            </w:r>
          </w:p>
        </w:tc>
        <w:tc>
          <w:tcPr>
            <w:tcW w:w="652" w:type="pct"/>
            <w:tcBorders>
              <w:top w:val="single" w:color="9BBB59" w:themeColor="accent3" w:sz="4" w:space="0"/>
              <w:bottom w:val="single" w:color="9BBB59" w:themeColor="accent3" w:sz="4" w:space="0"/>
              <w:insideH w:val="single" w:sz="4" w:space="0"/>
            </w:tcBorders>
            <w:shd w:val="clear" w:color="auto" w:fill="9BBB59" w:themeFill="accent3"/>
            <w:noWrap/>
          </w:tcPr>
          <w:p>
            <w:pPr>
              <w:widowControl/>
              <w:jc w:val="center"/>
              <w:rPr>
                <w:rFonts w:ascii="仿宋" w:hAnsi="仿宋" w:eastAsia="仿宋"/>
                <w:b/>
                <w:color w:val="000000"/>
                <w:kern w:val="0"/>
                <w:szCs w:val="21"/>
              </w:rPr>
            </w:pPr>
            <w:r>
              <w:rPr>
                <w:rFonts w:ascii="仿宋" w:hAnsi="仿宋" w:eastAsia="仿宋"/>
                <w:b/>
                <w:color w:val="000000"/>
                <w:kern w:val="0"/>
                <w:szCs w:val="21"/>
              </w:rPr>
              <w:t>人工湿地（公顷）</w:t>
            </w:r>
          </w:p>
        </w:tc>
        <w:tc>
          <w:tcPr>
            <w:tcW w:w="651" w:type="pct"/>
            <w:tcBorders>
              <w:top w:val="single" w:color="9BBB59" w:themeColor="accent3" w:sz="4" w:space="0"/>
              <w:bottom w:val="single" w:color="9BBB59" w:themeColor="accent3" w:sz="4" w:space="0"/>
              <w:insideH w:val="single" w:sz="4" w:space="0"/>
            </w:tcBorders>
            <w:shd w:val="clear" w:color="auto" w:fill="9BBB59" w:themeFill="accent3"/>
            <w:noWrap/>
          </w:tcPr>
          <w:p>
            <w:pPr>
              <w:widowControl/>
              <w:jc w:val="center"/>
              <w:rPr>
                <w:rFonts w:ascii="仿宋" w:hAnsi="仿宋" w:eastAsia="仿宋"/>
                <w:b/>
                <w:color w:val="000000"/>
                <w:kern w:val="0"/>
                <w:szCs w:val="21"/>
              </w:rPr>
            </w:pPr>
            <w:r>
              <w:rPr>
                <w:rFonts w:ascii="仿宋" w:hAnsi="仿宋" w:eastAsia="仿宋"/>
                <w:b/>
                <w:color w:val="000000"/>
                <w:kern w:val="0"/>
                <w:szCs w:val="21"/>
              </w:rPr>
              <w:t>重要湿地（公顷）</w:t>
            </w:r>
          </w:p>
        </w:tc>
        <w:tc>
          <w:tcPr>
            <w:tcW w:w="662" w:type="pct"/>
            <w:tcBorders>
              <w:top w:val="single" w:color="9BBB59" w:themeColor="accent3" w:sz="4" w:space="0"/>
              <w:bottom w:val="single" w:color="9BBB59" w:themeColor="accent3" w:sz="4" w:space="0"/>
              <w:insideH w:val="single" w:sz="4" w:space="0"/>
            </w:tcBorders>
            <w:shd w:val="clear" w:color="auto" w:fill="9BBB59" w:themeFill="accent3"/>
            <w:noWrap/>
          </w:tcPr>
          <w:p>
            <w:pPr>
              <w:widowControl/>
              <w:jc w:val="center"/>
              <w:rPr>
                <w:rFonts w:ascii="仿宋" w:hAnsi="仿宋" w:eastAsia="仿宋"/>
                <w:b/>
                <w:color w:val="000000"/>
                <w:kern w:val="0"/>
                <w:szCs w:val="21"/>
              </w:rPr>
            </w:pPr>
            <w:r>
              <w:rPr>
                <w:rFonts w:ascii="仿宋" w:hAnsi="仿宋" w:eastAsia="仿宋"/>
                <w:b/>
                <w:color w:val="000000"/>
                <w:kern w:val="0"/>
                <w:szCs w:val="21"/>
              </w:rPr>
              <w:t>一般湿地</w:t>
            </w:r>
          </w:p>
          <w:p>
            <w:pPr>
              <w:widowControl/>
              <w:jc w:val="center"/>
              <w:rPr>
                <w:rFonts w:ascii="仿宋" w:hAnsi="仿宋" w:eastAsia="仿宋"/>
                <w:b/>
                <w:color w:val="000000"/>
                <w:kern w:val="0"/>
                <w:szCs w:val="21"/>
              </w:rPr>
            </w:pPr>
            <w:r>
              <w:rPr>
                <w:rFonts w:ascii="仿宋" w:hAnsi="仿宋" w:eastAsia="仿宋"/>
                <w:b/>
                <w:color w:val="000000"/>
                <w:kern w:val="0"/>
                <w:szCs w:val="21"/>
              </w:rPr>
              <w:t>（公顷）</w:t>
            </w:r>
          </w:p>
        </w:tc>
        <w:tc>
          <w:tcPr>
            <w:tcW w:w="997" w:type="pct"/>
            <w:vMerge w:val="continue"/>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3" w:type="pct"/>
            <w:tcBorders>
              <w:right w:val="nil"/>
              <w:insideV w:val="nil"/>
            </w:tcBorders>
            <w:shd w:val="clear" w:color="auto" w:fill="FFFFFF" w:themeFill="background1"/>
            <w:noWrap/>
          </w:tcPr>
          <w:p>
            <w:pPr>
              <w:widowControl/>
              <w:jc w:val="center"/>
              <w:rPr>
                <w:rFonts w:ascii="仿宋" w:hAnsi="仿宋" w:eastAsia="仿宋"/>
                <w:b w:val="0"/>
                <w:bCs w:val="0"/>
                <w:color w:val="000000"/>
                <w:kern w:val="0"/>
                <w:szCs w:val="21"/>
              </w:rPr>
            </w:pPr>
            <w:r>
              <w:rPr>
                <w:rFonts w:ascii="仿宋" w:hAnsi="仿宋" w:eastAsia="仿宋"/>
                <w:b/>
                <w:bCs/>
                <w:color w:val="000000"/>
                <w:kern w:val="0"/>
                <w:szCs w:val="21"/>
              </w:rPr>
              <w:t>合计</w:t>
            </w:r>
          </w:p>
        </w:tc>
        <w:tc>
          <w:tcPr>
            <w:tcW w:w="704" w:type="pct"/>
            <w:noWrap/>
          </w:tcPr>
          <w:p>
            <w:pPr>
              <w:widowControl/>
              <w:jc w:val="center"/>
              <w:rPr>
                <w:rFonts w:ascii="仿宋" w:hAnsi="仿宋" w:eastAsia="仿宋"/>
                <w:b/>
                <w:color w:val="000000"/>
                <w:kern w:val="0"/>
                <w:szCs w:val="21"/>
              </w:rPr>
            </w:pPr>
            <w:r>
              <w:rPr>
                <w:rFonts w:ascii="仿宋" w:hAnsi="仿宋" w:eastAsia="仿宋"/>
                <w:b/>
                <w:color w:val="000000"/>
                <w:kern w:val="0"/>
                <w:szCs w:val="21"/>
              </w:rPr>
              <w:t>51434.1</w:t>
            </w:r>
          </w:p>
        </w:tc>
        <w:tc>
          <w:tcPr>
            <w:tcW w:w="651" w:type="pct"/>
            <w:noWrap/>
          </w:tcPr>
          <w:p>
            <w:pPr>
              <w:widowControl/>
              <w:jc w:val="center"/>
              <w:rPr>
                <w:rFonts w:ascii="仿宋" w:hAnsi="仿宋" w:eastAsia="仿宋"/>
                <w:b/>
                <w:color w:val="000000"/>
                <w:kern w:val="0"/>
                <w:szCs w:val="21"/>
              </w:rPr>
            </w:pPr>
            <w:r>
              <w:rPr>
                <w:rFonts w:ascii="仿宋" w:hAnsi="仿宋" w:eastAsia="仿宋"/>
                <w:b/>
                <w:color w:val="000000"/>
                <w:kern w:val="0"/>
                <w:szCs w:val="21"/>
              </w:rPr>
              <w:t>23852.1</w:t>
            </w:r>
          </w:p>
        </w:tc>
        <w:tc>
          <w:tcPr>
            <w:tcW w:w="652" w:type="pct"/>
            <w:noWrap/>
          </w:tcPr>
          <w:p>
            <w:pPr>
              <w:widowControl/>
              <w:jc w:val="center"/>
              <w:rPr>
                <w:rFonts w:ascii="仿宋" w:hAnsi="仿宋" w:eastAsia="仿宋"/>
                <w:b/>
                <w:color w:val="000000"/>
                <w:kern w:val="0"/>
                <w:szCs w:val="21"/>
              </w:rPr>
            </w:pPr>
            <w:r>
              <w:rPr>
                <w:rFonts w:ascii="仿宋" w:hAnsi="仿宋" w:eastAsia="仿宋"/>
                <w:b/>
                <w:color w:val="000000"/>
                <w:kern w:val="0"/>
                <w:szCs w:val="21"/>
              </w:rPr>
              <w:t>27582</w:t>
            </w:r>
          </w:p>
        </w:tc>
        <w:tc>
          <w:tcPr>
            <w:tcW w:w="651" w:type="pct"/>
            <w:noWrap/>
          </w:tcPr>
          <w:p>
            <w:pPr>
              <w:widowControl/>
              <w:jc w:val="center"/>
              <w:rPr>
                <w:rFonts w:ascii="仿宋" w:hAnsi="仿宋" w:eastAsia="仿宋"/>
                <w:b/>
                <w:color w:val="000000"/>
                <w:kern w:val="0"/>
                <w:szCs w:val="21"/>
              </w:rPr>
            </w:pPr>
            <w:r>
              <w:rPr>
                <w:rFonts w:ascii="仿宋" w:hAnsi="仿宋" w:eastAsia="仿宋"/>
                <w:b/>
                <w:color w:val="000000"/>
                <w:kern w:val="0"/>
                <w:szCs w:val="21"/>
              </w:rPr>
              <w:t>19525</w:t>
            </w:r>
          </w:p>
        </w:tc>
        <w:tc>
          <w:tcPr>
            <w:tcW w:w="662" w:type="pct"/>
            <w:noWrap/>
          </w:tcPr>
          <w:p>
            <w:pPr>
              <w:widowControl/>
              <w:jc w:val="center"/>
              <w:rPr>
                <w:rFonts w:ascii="仿宋" w:hAnsi="仿宋" w:eastAsia="仿宋"/>
                <w:b/>
                <w:color w:val="000000"/>
                <w:kern w:val="0"/>
                <w:szCs w:val="21"/>
              </w:rPr>
            </w:pPr>
            <w:r>
              <w:rPr>
                <w:rFonts w:ascii="仿宋" w:hAnsi="仿宋" w:eastAsia="仿宋"/>
                <w:b/>
                <w:color w:val="000000"/>
                <w:kern w:val="0"/>
                <w:szCs w:val="21"/>
              </w:rPr>
              <w:t>31909.1</w:t>
            </w:r>
          </w:p>
        </w:tc>
        <w:tc>
          <w:tcPr>
            <w:tcW w:w="997" w:type="pct"/>
            <w:noWrap/>
          </w:tcPr>
          <w:p>
            <w:pPr>
              <w:widowControl/>
              <w:jc w:val="center"/>
              <w:rPr>
                <w:rFonts w:ascii="仿宋" w:hAnsi="仿宋" w:eastAsia="仿宋"/>
                <w:b/>
                <w:color w:val="000000"/>
                <w:kern w:val="0"/>
                <w:szCs w:val="21"/>
              </w:rPr>
            </w:pPr>
            <w:r>
              <w:rPr>
                <w:rFonts w:ascii="仿宋" w:hAnsi="仿宋" w:eastAsia="仿宋"/>
                <w:b/>
                <w:color w:val="000000"/>
                <w:kern w:val="0"/>
                <w:szCs w:val="21"/>
              </w:rPr>
              <w:t>100</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3"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noWrap/>
          </w:tcPr>
          <w:p>
            <w:pPr>
              <w:widowControl/>
              <w:jc w:val="center"/>
              <w:rPr>
                <w:rFonts w:ascii="仿宋" w:hAnsi="仿宋" w:eastAsia="仿宋"/>
                <w:b w:val="0"/>
                <w:bCs w:val="0"/>
                <w:color w:val="000000"/>
                <w:kern w:val="0"/>
                <w:szCs w:val="21"/>
              </w:rPr>
            </w:pPr>
            <w:r>
              <w:rPr>
                <w:rFonts w:ascii="仿宋" w:hAnsi="仿宋" w:eastAsia="仿宋"/>
                <w:b/>
                <w:bCs/>
                <w:color w:val="000000"/>
                <w:kern w:val="0"/>
                <w:szCs w:val="21"/>
              </w:rPr>
              <w:t>密云区</w:t>
            </w:r>
          </w:p>
        </w:tc>
        <w:tc>
          <w:tcPr>
            <w:tcW w:w="704"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10914</w:t>
            </w:r>
          </w:p>
        </w:tc>
        <w:tc>
          <w:tcPr>
            <w:tcW w:w="651"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1868.9</w:t>
            </w:r>
          </w:p>
        </w:tc>
        <w:tc>
          <w:tcPr>
            <w:tcW w:w="652"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9045.1</w:t>
            </w:r>
          </w:p>
        </w:tc>
        <w:tc>
          <w:tcPr>
            <w:tcW w:w="651"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9320.5</w:t>
            </w:r>
          </w:p>
        </w:tc>
        <w:tc>
          <w:tcPr>
            <w:tcW w:w="662"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1593.5</w:t>
            </w:r>
          </w:p>
        </w:tc>
        <w:tc>
          <w:tcPr>
            <w:tcW w:w="997"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21.2</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3" w:type="pct"/>
            <w:tcBorders>
              <w:right w:val="nil"/>
              <w:insideV w:val="nil"/>
            </w:tcBorders>
            <w:shd w:val="clear" w:color="auto" w:fill="FFFFFF" w:themeFill="background1"/>
            <w:noWrap/>
          </w:tcPr>
          <w:p>
            <w:pPr>
              <w:widowControl/>
              <w:jc w:val="center"/>
              <w:rPr>
                <w:rFonts w:ascii="仿宋" w:hAnsi="仿宋" w:eastAsia="仿宋"/>
                <w:b w:val="0"/>
                <w:bCs w:val="0"/>
                <w:color w:val="000000"/>
                <w:kern w:val="0"/>
                <w:szCs w:val="21"/>
              </w:rPr>
            </w:pPr>
            <w:r>
              <w:rPr>
                <w:rFonts w:ascii="仿宋" w:hAnsi="仿宋" w:eastAsia="仿宋"/>
                <w:b/>
                <w:bCs/>
                <w:color w:val="000000"/>
                <w:kern w:val="0"/>
                <w:szCs w:val="21"/>
              </w:rPr>
              <w:t>通州区</w:t>
            </w:r>
          </w:p>
        </w:tc>
        <w:tc>
          <w:tcPr>
            <w:tcW w:w="704" w:type="pct"/>
            <w:noWrap/>
          </w:tcPr>
          <w:p>
            <w:pPr>
              <w:widowControl/>
              <w:jc w:val="center"/>
              <w:rPr>
                <w:rFonts w:ascii="仿宋" w:hAnsi="仿宋" w:eastAsia="仿宋"/>
                <w:color w:val="000000"/>
                <w:kern w:val="0"/>
                <w:szCs w:val="21"/>
              </w:rPr>
            </w:pPr>
            <w:r>
              <w:rPr>
                <w:rFonts w:ascii="仿宋" w:hAnsi="仿宋" w:eastAsia="仿宋"/>
                <w:color w:val="000000"/>
                <w:kern w:val="0"/>
                <w:szCs w:val="21"/>
              </w:rPr>
              <w:t>7910.3</w:t>
            </w:r>
          </w:p>
        </w:tc>
        <w:tc>
          <w:tcPr>
            <w:tcW w:w="651" w:type="pct"/>
            <w:noWrap/>
          </w:tcPr>
          <w:p>
            <w:pPr>
              <w:widowControl/>
              <w:jc w:val="center"/>
              <w:rPr>
                <w:rFonts w:ascii="仿宋" w:hAnsi="仿宋" w:eastAsia="仿宋"/>
                <w:color w:val="000000"/>
                <w:kern w:val="0"/>
                <w:szCs w:val="21"/>
              </w:rPr>
            </w:pPr>
            <w:r>
              <w:rPr>
                <w:rFonts w:ascii="仿宋" w:hAnsi="仿宋" w:eastAsia="仿宋"/>
                <w:color w:val="000000"/>
                <w:kern w:val="0"/>
                <w:szCs w:val="21"/>
              </w:rPr>
              <w:t>2722.2</w:t>
            </w:r>
          </w:p>
        </w:tc>
        <w:tc>
          <w:tcPr>
            <w:tcW w:w="652" w:type="pct"/>
            <w:noWrap/>
          </w:tcPr>
          <w:p>
            <w:pPr>
              <w:widowControl/>
              <w:jc w:val="center"/>
              <w:rPr>
                <w:rFonts w:ascii="仿宋" w:hAnsi="仿宋" w:eastAsia="仿宋"/>
                <w:color w:val="000000"/>
                <w:kern w:val="0"/>
                <w:szCs w:val="21"/>
              </w:rPr>
            </w:pPr>
            <w:r>
              <w:rPr>
                <w:rFonts w:ascii="仿宋" w:hAnsi="仿宋" w:eastAsia="仿宋"/>
                <w:color w:val="000000"/>
                <w:kern w:val="0"/>
                <w:szCs w:val="21"/>
              </w:rPr>
              <w:t>5188.1</w:t>
            </w:r>
          </w:p>
        </w:tc>
        <w:tc>
          <w:tcPr>
            <w:tcW w:w="651" w:type="pct"/>
            <w:noWrap/>
          </w:tcPr>
          <w:p>
            <w:pPr>
              <w:widowControl/>
              <w:jc w:val="center"/>
              <w:rPr>
                <w:rFonts w:ascii="仿宋" w:hAnsi="仿宋" w:eastAsia="仿宋"/>
                <w:color w:val="000000"/>
                <w:kern w:val="0"/>
                <w:szCs w:val="21"/>
              </w:rPr>
            </w:pPr>
            <w:r>
              <w:rPr>
                <w:rFonts w:ascii="仿宋" w:hAnsi="仿宋" w:eastAsia="仿宋"/>
                <w:color w:val="000000"/>
                <w:kern w:val="0"/>
                <w:szCs w:val="21"/>
              </w:rPr>
              <w:t>0</w:t>
            </w:r>
          </w:p>
        </w:tc>
        <w:tc>
          <w:tcPr>
            <w:tcW w:w="662" w:type="pct"/>
            <w:noWrap/>
          </w:tcPr>
          <w:p>
            <w:pPr>
              <w:widowControl/>
              <w:jc w:val="center"/>
              <w:rPr>
                <w:rFonts w:ascii="仿宋" w:hAnsi="仿宋" w:eastAsia="仿宋"/>
                <w:color w:val="000000"/>
                <w:kern w:val="0"/>
                <w:szCs w:val="21"/>
              </w:rPr>
            </w:pPr>
            <w:r>
              <w:rPr>
                <w:rFonts w:ascii="仿宋" w:hAnsi="仿宋" w:eastAsia="仿宋"/>
                <w:color w:val="000000"/>
                <w:kern w:val="0"/>
                <w:szCs w:val="21"/>
              </w:rPr>
              <w:t>7910.3</w:t>
            </w:r>
          </w:p>
        </w:tc>
        <w:tc>
          <w:tcPr>
            <w:tcW w:w="997" w:type="pct"/>
            <w:noWrap/>
          </w:tcPr>
          <w:p>
            <w:pPr>
              <w:widowControl/>
              <w:jc w:val="center"/>
              <w:rPr>
                <w:rFonts w:ascii="仿宋" w:hAnsi="仿宋" w:eastAsia="仿宋"/>
                <w:color w:val="000000"/>
                <w:kern w:val="0"/>
                <w:szCs w:val="21"/>
              </w:rPr>
            </w:pPr>
            <w:r>
              <w:rPr>
                <w:rFonts w:ascii="仿宋" w:hAnsi="仿宋" w:eastAsia="仿宋"/>
                <w:color w:val="000000"/>
                <w:kern w:val="0"/>
                <w:szCs w:val="21"/>
              </w:rPr>
              <w:t>15.4</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3"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noWrap/>
          </w:tcPr>
          <w:p>
            <w:pPr>
              <w:widowControl/>
              <w:jc w:val="center"/>
              <w:rPr>
                <w:rFonts w:ascii="仿宋" w:hAnsi="仿宋" w:eastAsia="仿宋"/>
                <w:b w:val="0"/>
                <w:bCs w:val="0"/>
                <w:color w:val="000000"/>
                <w:kern w:val="0"/>
                <w:szCs w:val="21"/>
              </w:rPr>
            </w:pPr>
            <w:r>
              <w:rPr>
                <w:rFonts w:ascii="仿宋" w:hAnsi="仿宋" w:eastAsia="仿宋"/>
                <w:b/>
                <w:bCs/>
                <w:color w:val="000000"/>
                <w:kern w:val="0"/>
                <w:szCs w:val="21"/>
              </w:rPr>
              <w:t>房山区</w:t>
            </w:r>
          </w:p>
        </w:tc>
        <w:tc>
          <w:tcPr>
            <w:tcW w:w="704"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4808.2</w:t>
            </w:r>
          </w:p>
        </w:tc>
        <w:tc>
          <w:tcPr>
            <w:tcW w:w="651"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3096.1</w:t>
            </w:r>
          </w:p>
        </w:tc>
        <w:tc>
          <w:tcPr>
            <w:tcW w:w="652"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1712.1</w:t>
            </w:r>
          </w:p>
        </w:tc>
        <w:tc>
          <w:tcPr>
            <w:tcW w:w="651"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704.5</w:t>
            </w:r>
          </w:p>
        </w:tc>
        <w:tc>
          <w:tcPr>
            <w:tcW w:w="662"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4103.7</w:t>
            </w:r>
          </w:p>
        </w:tc>
        <w:tc>
          <w:tcPr>
            <w:tcW w:w="997"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9.3</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3" w:type="pct"/>
            <w:tcBorders>
              <w:right w:val="nil"/>
              <w:insideV w:val="nil"/>
            </w:tcBorders>
            <w:shd w:val="clear" w:color="auto" w:fill="FFFFFF" w:themeFill="background1"/>
            <w:noWrap/>
          </w:tcPr>
          <w:p>
            <w:pPr>
              <w:widowControl/>
              <w:jc w:val="center"/>
              <w:rPr>
                <w:rFonts w:ascii="仿宋" w:hAnsi="仿宋" w:eastAsia="仿宋"/>
                <w:b w:val="0"/>
                <w:bCs w:val="0"/>
                <w:color w:val="000000"/>
                <w:kern w:val="0"/>
                <w:szCs w:val="21"/>
              </w:rPr>
            </w:pPr>
            <w:r>
              <w:rPr>
                <w:rFonts w:ascii="仿宋" w:hAnsi="仿宋" w:eastAsia="仿宋"/>
                <w:b/>
                <w:bCs/>
                <w:color w:val="000000"/>
                <w:kern w:val="0"/>
                <w:szCs w:val="21"/>
              </w:rPr>
              <w:t>大兴区</w:t>
            </w:r>
          </w:p>
        </w:tc>
        <w:tc>
          <w:tcPr>
            <w:tcW w:w="704" w:type="pct"/>
            <w:noWrap/>
          </w:tcPr>
          <w:p>
            <w:pPr>
              <w:widowControl/>
              <w:jc w:val="center"/>
              <w:rPr>
                <w:rFonts w:ascii="仿宋" w:hAnsi="仿宋" w:eastAsia="仿宋"/>
                <w:color w:val="000000"/>
                <w:kern w:val="0"/>
                <w:szCs w:val="21"/>
              </w:rPr>
            </w:pPr>
            <w:r>
              <w:rPr>
                <w:rFonts w:ascii="仿宋" w:hAnsi="仿宋" w:eastAsia="仿宋"/>
                <w:color w:val="000000"/>
                <w:kern w:val="0"/>
                <w:szCs w:val="21"/>
              </w:rPr>
              <w:t>4446.4</w:t>
            </w:r>
          </w:p>
        </w:tc>
        <w:tc>
          <w:tcPr>
            <w:tcW w:w="651" w:type="pct"/>
            <w:noWrap/>
          </w:tcPr>
          <w:p>
            <w:pPr>
              <w:widowControl/>
              <w:jc w:val="center"/>
              <w:rPr>
                <w:rFonts w:ascii="仿宋" w:hAnsi="仿宋" w:eastAsia="仿宋"/>
                <w:color w:val="000000"/>
                <w:kern w:val="0"/>
                <w:szCs w:val="21"/>
              </w:rPr>
            </w:pPr>
            <w:r>
              <w:rPr>
                <w:rFonts w:ascii="仿宋" w:hAnsi="仿宋" w:eastAsia="仿宋"/>
                <w:color w:val="000000"/>
                <w:kern w:val="0"/>
                <w:szCs w:val="21"/>
              </w:rPr>
              <w:t>3349.3</w:t>
            </w:r>
          </w:p>
        </w:tc>
        <w:tc>
          <w:tcPr>
            <w:tcW w:w="652" w:type="pct"/>
            <w:noWrap/>
          </w:tcPr>
          <w:p>
            <w:pPr>
              <w:widowControl/>
              <w:jc w:val="center"/>
              <w:rPr>
                <w:rFonts w:ascii="仿宋" w:hAnsi="仿宋" w:eastAsia="仿宋"/>
                <w:color w:val="000000"/>
                <w:kern w:val="0"/>
                <w:szCs w:val="21"/>
              </w:rPr>
            </w:pPr>
            <w:r>
              <w:rPr>
                <w:rFonts w:ascii="仿宋" w:hAnsi="仿宋" w:eastAsia="仿宋"/>
                <w:color w:val="000000"/>
                <w:kern w:val="0"/>
                <w:szCs w:val="21"/>
              </w:rPr>
              <w:t>1097.1</w:t>
            </w:r>
          </w:p>
        </w:tc>
        <w:tc>
          <w:tcPr>
            <w:tcW w:w="651" w:type="pct"/>
            <w:noWrap/>
          </w:tcPr>
          <w:p>
            <w:pPr>
              <w:widowControl/>
              <w:jc w:val="center"/>
              <w:rPr>
                <w:rFonts w:ascii="仿宋" w:hAnsi="仿宋" w:eastAsia="仿宋"/>
                <w:color w:val="000000"/>
                <w:kern w:val="0"/>
                <w:szCs w:val="21"/>
              </w:rPr>
            </w:pPr>
            <w:r>
              <w:rPr>
                <w:rFonts w:ascii="仿宋" w:hAnsi="仿宋" w:eastAsia="仿宋"/>
                <w:color w:val="000000"/>
                <w:kern w:val="0"/>
                <w:szCs w:val="21"/>
              </w:rPr>
              <w:t>0</w:t>
            </w:r>
          </w:p>
        </w:tc>
        <w:tc>
          <w:tcPr>
            <w:tcW w:w="662" w:type="pct"/>
            <w:noWrap/>
          </w:tcPr>
          <w:p>
            <w:pPr>
              <w:widowControl/>
              <w:jc w:val="center"/>
              <w:rPr>
                <w:rFonts w:ascii="仿宋" w:hAnsi="仿宋" w:eastAsia="仿宋"/>
                <w:color w:val="000000"/>
                <w:kern w:val="0"/>
                <w:szCs w:val="21"/>
              </w:rPr>
            </w:pPr>
            <w:r>
              <w:rPr>
                <w:rFonts w:ascii="仿宋" w:hAnsi="仿宋" w:eastAsia="仿宋"/>
                <w:color w:val="000000"/>
                <w:kern w:val="0"/>
                <w:szCs w:val="21"/>
              </w:rPr>
              <w:t>4446.4</w:t>
            </w:r>
          </w:p>
        </w:tc>
        <w:tc>
          <w:tcPr>
            <w:tcW w:w="997" w:type="pct"/>
            <w:noWrap/>
          </w:tcPr>
          <w:p>
            <w:pPr>
              <w:widowControl/>
              <w:jc w:val="center"/>
              <w:rPr>
                <w:rFonts w:ascii="仿宋" w:hAnsi="仿宋" w:eastAsia="仿宋"/>
                <w:color w:val="000000"/>
                <w:kern w:val="0"/>
                <w:szCs w:val="21"/>
              </w:rPr>
            </w:pPr>
            <w:r>
              <w:rPr>
                <w:rFonts w:ascii="仿宋" w:hAnsi="仿宋" w:eastAsia="仿宋"/>
                <w:color w:val="000000"/>
                <w:kern w:val="0"/>
                <w:szCs w:val="21"/>
              </w:rPr>
              <w:t>8.6</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3"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noWrap/>
          </w:tcPr>
          <w:p>
            <w:pPr>
              <w:widowControl/>
              <w:jc w:val="center"/>
              <w:rPr>
                <w:rFonts w:ascii="仿宋" w:hAnsi="仿宋" w:eastAsia="仿宋"/>
                <w:b w:val="0"/>
                <w:bCs w:val="0"/>
                <w:color w:val="000000"/>
                <w:kern w:val="0"/>
                <w:szCs w:val="21"/>
              </w:rPr>
            </w:pPr>
            <w:r>
              <w:rPr>
                <w:rFonts w:ascii="仿宋" w:hAnsi="仿宋" w:eastAsia="仿宋"/>
                <w:b/>
                <w:bCs/>
                <w:color w:val="000000"/>
                <w:kern w:val="0"/>
                <w:szCs w:val="21"/>
              </w:rPr>
              <w:t>门头沟区</w:t>
            </w:r>
          </w:p>
        </w:tc>
        <w:tc>
          <w:tcPr>
            <w:tcW w:w="704"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3899.5</w:t>
            </w:r>
          </w:p>
        </w:tc>
        <w:tc>
          <w:tcPr>
            <w:tcW w:w="651"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3375.7</w:t>
            </w:r>
          </w:p>
        </w:tc>
        <w:tc>
          <w:tcPr>
            <w:tcW w:w="652"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523.8</w:t>
            </w:r>
          </w:p>
        </w:tc>
        <w:tc>
          <w:tcPr>
            <w:tcW w:w="651"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3149</w:t>
            </w:r>
          </w:p>
        </w:tc>
        <w:tc>
          <w:tcPr>
            <w:tcW w:w="662"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750.5</w:t>
            </w:r>
          </w:p>
        </w:tc>
        <w:tc>
          <w:tcPr>
            <w:tcW w:w="997"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7.6</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3" w:type="pct"/>
            <w:tcBorders>
              <w:right w:val="nil"/>
              <w:insideV w:val="nil"/>
            </w:tcBorders>
            <w:shd w:val="clear" w:color="auto" w:fill="FFFFFF" w:themeFill="background1"/>
            <w:noWrap/>
          </w:tcPr>
          <w:p>
            <w:pPr>
              <w:widowControl/>
              <w:jc w:val="center"/>
              <w:rPr>
                <w:rFonts w:ascii="仿宋" w:hAnsi="仿宋" w:eastAsia="仿宋"/>
                <w:b w:val="0"/>
                <w:bCs w:val="0"/>
                <w:color w:val="000000"/>
                <w:kern w:val="0"/>
                <w:szCs w:val="21"/>
              </w:rPr>
            </w:pPr>
            <w:r>
              <w:rPr>
                <w:rFonts w:ascii="仿宋" w:hAnsi="仿宋" w:eastAsia="仿宋"/>
                <w:b/>
                <w:bCs/>
                <w:color w:val="000000"/>
                <w:kern w:val="0"/>
                <w:szCs w:val="21"/>
              </w:rPr>
              <w:t>延庆区</w:t>
            </w:r>
          </w:p>
        </w:tc>
        <w:tc>
          <w:tcPr>
            <w:tcW w:w="704" w:type="pct"/>
            <w:noWrap/>
          </w:tcPr>
          <w:p>
            <w:pPr>
              <w:widowControl/>
              <w:jc w:val="center"/>
              <w:rPr>
                <w:rFonts w:ascii="仿宋" w:hAnsi="仿宋" w:eastAsia="仿宋"/>
                <w:color w:val="000000"/>
                <w:kern w:val="0"/>
                <w:szCs w:val="21"/>
              </w:rPr>
            </w:pPr>
            <w:r>
              <w:rPr>
                <w:rFonts w:ascii="仿宋" w:hAnsi="仿宋" w:eastAsia="仿宋"/>
                <w:color w:val="000000"/>
                <w:kern w:val="0"/>
                <w:szCs w:val="21"/>
              </w:rPr>
              <w:t>3694.6</w:t>
            </w:r>
          </w:p>
        </w:tc>
        <w:tc>
          <w:tcPr>
            <w:tcW w:w="651" w:type="pct"/>
            <w:noWrap/>
          </w:tcPr>
          <w:p>
            <w:pPr>
              <w:widowControl/>
              <w:jc w:val="center"/>
              <w:rPr>
                <w:rFonts w:ascii="仿宋" w:hAnsi="仿宋" w:eastAsia="仿宋"/>
                <w:color w:val="000000"/>
                <w:kern w:val="0"/>
                <w:szCs w:val="21"/>
              </w:rPr>
            </w:pPr>
            <w:r>
              <w:rPr>
                <w:rFonts w:ascii="仿宋" w:hAnsi="仿宋" w:eastAsia="仿宋"/>
                <w:color w:val="000000"/>
                <w:kern w:val="0"/>
                <w:szCs w:val="21"/>
              </w:rPr>
              <w:t>1214.5</w:t>
            </w:r>
          </w:p>
        </w:tc>
        <w:tc>
          <w:tcPr>
            <w:tcW w:w="652" w:type="pct"/>
            <w:noWrap/>
          </w:tcPr>
          <w:p>
            <w:pPr>
              <w:widowControl/>
              <w:jc w:val="center"/>
              <w:rPr>
                <w:rFonts w:ascii="仿宋" w:hAnsi="仿宋" w:eastAsia="仿宋"/>
                <w:color w:val="000000"/>
                <w:kern w:val="0"/>
                <w:szCs w:val="21"/>
              </w:rPr>
            </w:pPr>
            <w:r>
              <w:rPr>
                <w:rFonts w:ascii="仿宋" w:hAnsi="仿宋" w:eastAsia="仿宋"/>
                <w:color w:val="000000"/>
                <w:kern w:val="0"/>
                <w:szCs w:val="21"/>
              </w:rPr>
              <w:t>2480.1</w:t>
            </w:r>
          </w:p>
        </w:tc>
        <w:tc>
          <w:tcPr>
            <w:tcW w:w="651" w:type="pct"/>
            <w:noWrap/>
          </w:tcPr>
          <w:p>
            <w:pPr>
              <w:widowControl/>
              <w:jc w:val="center"/>
              <w:rPr>
                <w:rFonts w:ascii="仿宋" w:hAnsi="仿宋" w:eastAsia="仿宋"/>
                <w:color w:val="000000"/>
                <w:kern w:val="0"/>
                <w:szCs w:val="21"/>
              </w:rPr>
            </w:pPr>
            <w:r>
              <w:rPr>
                <w:rFonts w:ascii="仿宋" w:hAnsi="仿宋" w:eastAsia="仿宋"/>
                <w:color w:val="000000"/>
                <w:kern w:val="0"/>
                <w:szCs w:val="21"/>
              </w:rPr>
              <w:t>3140.4</w:t>
            </w:r>
          </w:p>
        </w:tc>
        <w:tc>
          <w:tcPr>
            <w:tcW w:w="662" w:type="pct"/>
            <w:noWrap/>
          </w:tcPr>
          <w:p>
            <w:pPr>
              <w:widowControl/>
              <w:jc w:val="center"/>
              <w:rPr>
                <w:rFonts w:ascii="仿宋" w:hAnsi="仿宋" w:eastAsia="仿宋"/>
                <w:color w:val="000000"/>
                <w:kern w:val="0"/>
                <w:szCs w:val="21"/>
              </w:rPr>
            </w:pPr>
            <w:r>
              <w:rPr>
                <w:rFonts w:ascii="仿宋" w:hAnsi="仿宋" w:eastAsia="仿宋"/>
                <w:color w:val="000000"/>
                <w:kern w:val="0"/>
                <w:szCs w:val="21"/>
              </w:rPr>
              <w:t>554.2</w:t>
            </w:r>
          </w:p>
        </w:tc>
        <w:tc>
          <w:tcPr>
            <w:tcW w:w="997" w:type="pct"/>
            <w:noWrap/>
          </w:tcPr>
          <w:p>
            <w:pPr>
              <w:widowControl/>
              <w:jc w:val="center"/>
              <w:rPr>
                <w:rFonts w:ascii="仿宋" w:hAnsi="仿宋" w:eastAsia="仿宋"/>
                <w:color w:val="000000"/>
                <w:kern w:val="0"/>
                <w:szCs w:val="21"/>
              </w:rPr>
            </w:pPr>
            <w:r>
              <w:rPr>
                <w:rFonts w:ascii="仿宋" w:hAnsi="仿宋" w:eastAsia="仿宋"/>
                <w:color w:val="000000"/>
                <w:kern w:val="0"/>
                <w:szCs w:val="21"/>
              </w:rPr>
              <w:t>7.2</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3"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noWrap/>
          </w:tcPr>
          <w:p>
            <w:pPr>
              <w:widowControl/>
              <w:jc w:val="center"/>
              <w:rPr>
                <w:rFonts w:ascii="仿宋" w:hAnsi="仿宋" w:eastAsia="仿宋"/>
                <w:b w:val="0"/>
                <w:bCs w:val="0"/>
                <w:color w:val="000000"/>
                <w:kern w:val="0"/>
                <w:szCs w:val="21"/>
              </w:rPr>
            </w:pPr>
            <w:r>
              <w:rPr>
                <w:rFonts w:ascii="仿宋" w:hAnsi="仿宋" w:eastAsia="仿宋"/>
                <w:b/>
                <w:bCs/>
                <w:color w:val="000000"/>
                <w:kern w:val="0"/>
                <w:szCs w:val="21"/>
              </w:rPr>
              <w:t>平谷区</w:t>
            </w:r>
          </w:p>
        </w:tc>
        <w:tc>
          <w:tcPr>
            <w:tcW w:w="704"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3324.7</w:t>
            </w:r>
          </w:p>
        </w:tc>
        <w:tc>
          <w:tcPr>
            <w:tcW w:w="651"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1365</w:t>
            </w:r>
          </w:p>
        </w:tc>
        <w:tc>
          <w:tcPr>
            <w:tcW w:w="652"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1959.7</w:t>
            </w:r>
          </w:p>
        </w:tc>
        <w:tc>
          <w:tcPr>
            <w:tcW w:w="651"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522</w:t>
            </w:r>
          </w:p>
        </w:tc>
        <w:tc>
          <w:tcPr>
            <w:tcW w:w="662"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2802.7</w:t>
            </w:r>
          </w:p>
        </w:tc>
        <w:tc>
          <w:tcPr>
            <w:tcW w:w="997"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6.5</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3" w:type="pct"/>
            <w:tcBorders>
              <w:right w:val="nil"/>
              <w:insideV w:val="nil"/>
            </w:tcBorders>
            <w:shd w:val="clear" w:color="auto" w:fill="FFFFFF" w:themeFill="background1"/>
            <w:noWrap/>
          </w:tcPr>
          <w:p>
            <w:pPr>
              <w:widowControl/>
              <w:jc w:val="center"/>
              <w:rPr>
                <w:rFonts w:ascii="仿宋" w:hAnsi="仿宋" w:eastAsia="仿宋"/>
                <w:b w:val="0"/>
                <w:bCs w:val="0"/>
                <w:color w:val="000000"/>
                <w:kern w:val="0"/>
                <w:szCs w:val="21"/>
              </w:rPr>
            </w:pPr>
            <w:r>
              <w:rPr>
                <w:rFonts w:ascii="仿宋" w:hAnsi="仿宋" w:eastAsia="仿宋"/>
                <w:b/>
                <w:bCs/>
                <w:color w:val="000000"/>
                <w:kern w:val="0"/>
                <w:szCs w:val="21"/>
              </w:rPr>
              <w:t>怀柔区</w:t>
            </w:r>
          </w:p>
        </w:tc>
        <w:tc>
          <w:tcPr>
            <w:tcW w:w="704" w:type="pct"/>
            <w:noWrap/>
          </w:tcPr>
          <w:p>
            <w:pPr>
              <w:widowControl/>
              <w:jc w:val="center"/>
              <w:rPr>
                <w:rFonts w:ascii="仿宋" w:hAnsi="仿宋" w:eastAsia="仿宋"/>
                <w:color w:val="000000"/>
                <w:kern w:val="0"/>
                <w:szCs w:val="21"/>
              </w:rPr>
            </w:pPr>
            <w:r>
              <w:rPr>
                <w:rFonts w:ascii="仿宋" w:hAnsi="仿宋" w:eastAsia="仿宋"/>
                <w:color w:val="000000"/>
                <w:kern w:val="0"/>
                <w:szCs w:val="21"/>
              </w:rPr>
              <w:t>3099.4</w:t>
            </w:r>
          </w:p>
        </w:tc>
        <w:tc>
          <w:tcPr>
            <w:tcW w:w="651" w:type="pct"/>
            <w:noWrap/>
          </w:tcPr>
          <w:p>
            <w:pPr>
              <w:widowControl/>
              <w:jc w:val="center"/>
              <w:rPr>
                <w:rFonts w:ascii="仿宋" w:hAnsi="仿宋" w:eastAsia="仿宋"/>
                <w:color w:val="000000"/>
                <w:kern w:val="0"/>
                <w:szCs w:val="21"/>
              </w:rPr>
            </w:pPr>
            <w:r>
              <w:rPr>
                <w:rFonts w:ascii="仿宋" w:hAnsi="仿宋" w:eastAsia="仿宋"/>
                <w:color w:val="000000"/>
                <w:kern w:val="0"/>
                <w:szCs w:val="21"/>
              </w:rPr>
              <w:t>1804.9</w:t>
            </w:r>
          </w:p>
        </w:tc>
        <w:tc>
          <w:tcPr>
            <w:tcW w:w="652" w:type="pct"/>
            <w:noWrap/>
          </w:tcPr>
          <w:p>
            <w:pPr>
              <w:widowControl/>
              <w:jc w:val="center"/>
              <w:rPr>
                <w:rFonts w:ascii="仿宋" w:hAnsi="仿宋" w:eastAsia="仿宋"/>
                <w:color w:val="000000"/>
                <w:kern w:val="0"/>
                <w:szCs w:val="21"/>
              </w:rPr>
            </w:pPr>
            <w:r>
              <w:rPr>
                <w:rFonts w:ascii="仿宋" w:hAnsi="仿宋" w:eastAsia="仿宋"/>
                <w:color w:val="000000"/>
                <w:kern w:val="0"/>
                <w:szCs w:val="21"/>
              </w:rPr>
              <w:t>1294.5</w:t>
            </w:r>
          </w:p>
        </w:tc>
        <w:tc>
          <w:tcPr>
            <w:tcW w:w="651" w:type="pct"/>
            <w:noWrap/>
          </w:tcPr>
          <w:p>
            <w:pPr>
              <w:widowControl/>
              <w:jc w:val="center"/>
              <w:rPr>
                <w:rFonts w:ascii="仿宋" w:hAnsi="仿宋" w:eastAsia="仿宋"/>
                <w:color w:val="000000"/>
                <w:kern w:val="0"/>
                <w:szCs w:val="21"/>
              </w:rPr>
            </w:pPr>
            <w:r>
              <w:rPr>
                <w:rFonts w:ascii="仿宋" w:hAnsi="仿宋" w:eastAsia="仿宋"/>
                <w:color w:val="000000"/>
                <w:kern w:val="0"/>
                <w:szCs w:val="21"/>
              </w:rPr>
              <w:t>1931</w:t>
            </w:r>
          </w:p>
        </w:tc>
        <w:tc>
          <w:tcPr>
            <w:tcW w:w="662" w:type="pct"/>
            <w:noWrap/>
          </w:tcPr>
          <w:p>
            <w:pPr>
              <w:widowControl/>
              <w:jc w:val="center"/>
              <w:rPr>
                <w:rFonts w:ascii="仿宋" w:hAnsi="仿宋" w:eastAsia="仿宋"/>
                <w:color w:val="000000"/>
                <w:kern w:val="0"/>
                <w:szCs w:val="21"/>
              </w:rPr>
            </w:pPr>
            <w:r>
              <w:rPr>
                <w:rFonts w:ascii="仿宋" w:hAnsi="仿宋" w:eastAsia="仿宋"/>
                <w:color w:val="000000"/>
                <w:kern w:val="0"/>
                <w:szCs w:val="21"/>
              </w:rPr>
              <w:t>1168.4</w:t>
            </w:r>
          </w:p>
        </w:tc>
        <w:tc>
          <w:tcPr>
            <w:tcW w:w="997" w:type="pct"/>
            <w:noWrap/>
          </w:tcPr>
          <w:p>
            <w:pPr>
              <w:widowControl/>
              <w:jc w:val="center"/>
              <w:rPr>
                <w:rFonts w:ascii="仿宋" w:hAnsi="仿宋" w:eastAsia="仿宋"/>
                <w:color w:val="000000"/>
                <w:kern w:val="0"/>
                <w:szCs w:val="21"/>
              </w:rPr>
            </w:pPr>
            <w:r>
              <w:rPr>
                <w:rFonts w:ascii="仿宋" w:hAnsi="仿宋" w:eastAsia="仿宋"/>
                <w:color w:val="000000"/>
                <w:kern w:val="0"/>
                <w:szCs w:val="21"/>
              </w:rPr>
              <w:t>6</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3"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noWrap/>
          </w:tcPr>
          <w:p>
            <w:pPr>
              <w:widowControl/>
              <w:jc w:val="center"/>
              <w:rPr>
                <w:rFonts w:ascii="仿宋" w:hAnsi="仿宋" w:eastAsia="仿宋"/>
                <w:b w:val="0"/>
                <w:bCs w:val="0"/>
                <w:color w:val="000000"/>
                <w:kern w:val="0"/>
                <w:szCs w:val="21"/>
              </w:rPr>
            </w:pPr>
            <w:r>
              <w:rPr>
                <w:rFonts w:ascii="仿宋" w:hAnsi="仿宋" w:eastAsia="仿宋"/>
                <w:b/>
                <w:bCs/>
                <w:color w:val="000000"/>
                <w:kern w:val="0"/>
                <w:szCs w:val="21"/>
              </w:rPr>
              <w:t>昌平区</w:t>
            </w:r>
          </w:p>
        </w:tc>
        <w:tc>
          <w:tcPr>
            <w:tcW w:w="704"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2187.5</w:t>
            </w:r>
          </w:p>
        </w:tc>
        <w:tc>
          <w:tcPr>
            <w:tcW w:w="651"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1273.7</w:t>
            </w:r>
          </w:p>
        </w:tc>
        <w:tc>
          <w:tcPr>
            <w:tcW w:w="652"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913.8</w:t>
            </w:r>
          </w:p>
        </w:tc>
        <w:tc>
          <w:tcPr>
            <w:tcW w:w="651"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0</w:t>
            </w:r>
          </w:p>
        </w:tc>
        <w:tc>
          <w:tcPr>
            <w:tcW w:w="662"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2187.5</w:t>
            </w:r>
          </w:p>
        </w:tc>
        <w:tc>
          <w:tcPr>
            <w:tcW w:w="997"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4.3</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3" w:type="pct"/>
            <w:tcBorders>
              <w:right w:val="nil"/>
              <w:insideV w:val="nil"/>
            </w:tcBorders>
            <w:shd w:val="clear" w:color="auto" w:fill="FFFFFF" w:themeFill="background1"/>
            <w:noWrap/>
          </w:tcPr>
          <w:p>
            <w:pPr>
              <w:widowControl/>
              <w:jc w:val="center"/>
              <w:rPr>
                <w:rFonts w:ascii="仿宋" w:hAnsi="仿宋" w:eastAsia="仿宋"/>
                <w:b w:val="0"/>
                <w:bCs w:val="0"/>
                <w:color w:val="000000"/>
                <w:kern w:val="0"/>
                <w:szCs w:val="21"/>
              </w:rPr>
            </w:pPr>
            <w:r>
              <w:rPr>
                <w:rFonts w:ascii="仿宋" w:hAnsi="仿宋" w:eastAsia="仿宋"/>
                <w:b/>
                <w:bCs/>
                <w:color w:val="000000"/>
                <w:kern w:val="0"/>
                <w:szCs w:val="21"/>
              </w:rPr>
              <w:t>顺义区</w:t>
            </w:r>
          </w:p>
        </w:tc>
        <w:tc>
          <w:tcPr>
            <w:tcW w:w="704" w:type="pct"/>
            <w:noWrap/>
          </w:tcPr>
          <w:p>
            <w:pPr>
              <w:widowControl/>
              <w:jc w:val="center"/>
              <w:rPr>
                <w:rFonts w:ascii="仿宋" w:hAnsi="仿宋" w:eastAsia="仿宋"/>
                <w:color w:val="000000"/>
                <w:kern w:val="0"/>
                <w:szCs w:val="21"/>
              </w:rPr>
            </w:pPr>
            <w:r>
              <w:rPr>
                <w:rFonts w:ascii="仿宋" w:hAnsi="仿宋" w:eastAsia="仿宋"/>
                <w:color w:val="000000"/>
                <w:kern w:val="0"/>
                <w:szCs w:val="21"/>
              </w:rPr>
              <w:t>2001.5</w:t>
            </w:r>
          </w:p>
        </w:tc>
        <w:tc>
          <w:tcPr>
            <w:tcW w:w="651" w:type="pct"/>
            <w:noWrap/>
          </w:tcPr>
          <w:p>
            <w:pPr>
              <w:widowControl/>
              <w:jc w:val="center"/>
              <w:rPr>
                <w:rFonts w:ascii="仿宋" w:hAnsi="仿宋" w:eastAsia="仿宋"/>
                <w:color w:val="000000"/>
                <w:kern w:val="0"/>
                <w:szCs w:val="21"/>
              </w:rPr>
            </w:pPr>
            <w:r>
              <w:rPr>
                <w:rFonts w:ascii="仿宋" w:hAnsi="仿宋" w:eastAsia="仿宋"/>
                <w:color w:val="000000"/>
                <w:kern w:val="0"/>
                <w:szCs w:val="21"/>
              </w:rPr>
              <w:t>1591.1</w:t>
            </w:r>
          </w:p>
        </w:tc>
        <w:tc>
          <w:tcPr>
            <w:tcW w:w="652" w:type="pct"/>
            <w:noWrap/>
          </w:tcPr>
          <w:p>
            <w:pPr>
              <w:widowControl/>
              <w:jc w:val="center"/>
              <w:rPr>
                <w:rFonts w:ascii="仿宋" w:hAnsi="仿宋" w:eastAsia="仿宋"/>
                <w:color w:val="000000"/>
                <w:kern w:val="0"/>
                <w:szCs w:val="21"/>
              </w:rPr>
            </w:pPr>
            <w:r>
              <w:rPr>
                <w:rFonts w:ascii="仿宋" w:hAnsi="仿宋" w:eastAsia="仿宋"/>
                <w:color w:val="000000"/>
                <w:kern w:val="0"/>
                <w:szCs w:val="21"/>
              </w:rPr>
              <w:t>410.4</w:t>
            </w:r>
          </w:p>
        </w:tc>
        <w:tc>
          <w:tcPr>
            <w:tcW w:w="651" w:type="pct"/>
            <w:noWrap/>
          </w:tcPr>
          <w:p>
            <w:pPr>
              <w:widowControl/>
              <w:jc w:val="center"/>
              <w:rPr>
                <w:rFonts w:ascii="仿宋" w:hAnsi="仿宋" w:eastAsia="仿宋"/>
                <w:color w:val="000000"/>
                <w:kern w:val="0"/>
                <w:szCs w:val="21"/>
              </w:rPr>
            </w:pPr>
            <w:r>
              <w:rPr>
                <w:rFonts w:ascii="仿宋" w:hAnsi="仿宋" w:eastAsia="仿宋"/>
                <w:color w:val="000000"/>
                <w:kern w:val="0"/>
                <w:szCs w:val="21"/>
              </w:rPr>
              <w:t>172.6</w:t>
            </w:r>
          </w:p>
        </w:tc>
        <w:tc>
          <w:tcPr>
            <w:tcW w:w="662" w:type="pct"/>
            <w:noWrap/>
          </w:tcPr>
          <w:p>
            <w:pPr>
              <w:widowControl/>
              <w:jc w:val="center"/>
              <w:rPr>
                <w:rFonts w:ascii="仿宋" w:hAnsi="仿宋" w:eastAsia="仿宋"/>
                <w:color w:val="000000"/>
                <w:kern w:val="0"/>
                <w:szCs w:val="21"/>
              </w:rPr>
            </w:pPr>
            <w:r>
              <w:rPr>
                <w:rFonts w:ascii="仿宋" w:hAnsi="仿宋" w:eastAsia="仿宋"/>
                <w:color w:val="000000"/>
                <w:kern w:val="0"/>
                <w:szCs w:val="21"/>
              </w:rPr>
              <w:t>1828.9</w:t>
            </w:r>
          </w:p>
        </w:tc>
        <w:tc>
          <w:tcPr>
            <w:tcW w:w="997" w:type="pct"/>
            <w:noWrap/>
          </w:tcPr>
          <w:p>
            <w:pPr>
              <w:widowControl/>
              <w:jc w:val="center"/>
              <w:rPr>
                <w:rFonts w:ascii="仿宋" w:hAnsi="仿宋" w:eastAsia="仿宋"/>
                <w:color w:val="000000"/>
                <w:kern w:val="0"/>
                <w:szCs w:val="21"/>
              </w:rPr>
            </w:pPr>
            <w:r>
              <w:rPr>
                <w:rFonts w:ascii="仿宋" w:hAnsi="仿宋" w:eastAsia="仿宋"/>
                <w:color w:val="000000"/>
                <w:kern w:val="0"/>
                <w:szCs w:val="21"/>
              </w:rPr>
              <w:t>3.9</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3"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noWrap/>
          </w:tcPr>
          <w:p>
            <w:pPr>
              <w:widowControl/>
              <w:jc w:val="center"/>
              <w:rPr>
                <w:rFonts w:ascii="仿宋" w:hAnsi="仿宋" w:eastAsia="仿宋"/>
                <w:b w:val="0"/>
                <w:bCs w:val="0"/>
                <w:color w:val="000000"/>
                <w:kern w:val="0"/>
                <w:szCs w:val="21"/>
              </w:rPr>
            </w:pPr>
            <w:r>
              <w:rPr>
                <w:rFonts w:ascii="仿宋" w:hAnsi="仿宋" w:eastAsia="仿宋"/>
                <w:b/>
                <w:bCs/>
                <w:color w:val="000000"/>
                <w:kern w:val="0"/>
                <w:szCs w:val="21"/>
              </w:rPr>
              <w:t>朝阳区</w:t>
            </w:r>
          </w:p>
        </w:tc>
        <w:tc>
          <w:tcPr>
            <w:tcW w:w="704"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1691.2</w:t>
            </w:r>
          </w:p>
        </w:tc>
        <w:tc>
          <w:tcPr>
            <w:tcW w:w="651"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530.9</w:t>
            </w:r>
          </w:p>
        </w:tc>
        <w:tc>
          <w:tcPr>
            <w:tcW w:w="652"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1160.3</w:t>
            </w:r>
          </w:p>
        </w:tc>
        <w:tc>
          <w:tcPr>
            <w:tcW w:w="651"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0</w:t>
            </w:r>
          </w:p>
        </w:tc>
        <w:tc>
          <w:tcPr>
            <w:tcW w:w="662"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1691.2</w:t>
            </w:r>
          </w:p>
        </w:tc>
        <w:tc>
          <w:tcPr>
            <w:tcW w:w="997"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3.3</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3" w:type="pct"/>
            <w:tcBorders>
              <w:right w:val="nil"/>
              <w:insideV w:val="nil"/>
            </w:tcBorders>
            <w:shd w:val="clear" w:color="auto" w:fill="FFFFFF" w:themeFill="background1"/>
            <w:noWrap/>
          </w:tcPr>
          <w:p>
            <w:pPr>
              <w:widowControl/>
              <w:jc w:val="center"/>
              <w:rPr>
                <w:rFonts w:ascii="仿宋" w:hAnsi="仿宋" w:eastAsia="仿宋"/>
                <w:b w:val="0"/>
                <w:bCs w:val="0"/>
                <w:color w:val="000000"/>
                <w:kern w:val="0"/>
                <w:szCs w:val="21"/>
              </w:rPr>
            </w:pPr>
            <w:r>
              <w:rPr>
                <w:rFonts w:ascii="仿宋" w:hAnsi="仿宋" w:eastAsia="仿宋"/>
                <w:b/>
                <w:bCs/>
                <w:color w:val="000000"/>
                <w:kern w:val="0"/>
                <w:szCs w:val="21"/>
              </w:rPr>
              <w:t>海淀区</w:t>
            </w:r>
          </w:p>
        </w:tc>
        <w:tc>
          <w:tcPr>
            <w:tcW w:w="704" w:type="pct"/>
            <w:noWrap/>
          </w:tcPr>
          <w:p>
            <w:pPr>
              <w:widowControl/>
              <w:jc w:val="center"/>
              <w:rPr>
                <w:rFonts w:ascii="仿宋" w:hAnsi="仿宋" w:eastAsia="仿宋"/>
                <w:color w:val="000000"/>
                <w:kern w:val="0"/>
                <w:szCs w:val="21"/>
              </w:rPr>
            </w:pPr>
            <w:r>
              <w:rPr>
                <w:rFonts w:ascii="仿宋" w:hAnsi="仿宋" w:eastAsia="仿宋"/>
                <w:color w:val="000000"/>
                <w:kern w:val="0"/>
                <w:szCs w:val="21"/>
              </w:rPr>
              <w:t>1491.3</w:t>
            </w:r>
          </w:p>
        </w:tc>
        <w:tc>
          <w:tcPr>
            <w:tcW w:w="651" w:type="pct"/>
            <w:noWrap/>
          </w:tcPr>
          <w:p>
            <w:pPr>
              <w:widowControl/>
              <w:jc w:val="center"/>
              <w:rPr>
                <w:rFonts w:ascii="仿宋" w:hAnsi="仿宋" w:eastAsia="仿宋"/>
                <w:color w:val="000000"/>
                <w:kern w:val="0"/>
                <w:szCs w:val="21"/>
              </w:rPr>
            </w:pPr>
            <w:r>
              <w:rPr>
                <w:rFonts w:ascii="仿宋" w:hAnsi="仿宋" w:eastAsia="仿宋"/>
                <w:color w:val="000000"/>
                <w:kern w:val="0"/>
                <w:szCs w:val="21"/>
              </w:rPr>
              <w:t>326.4</w:t>
            </w:r>
          </w:p>
        </w:tc>
        <w:tc>
          <w:tcPr>
            <w:tcW w:w="652" w:type="pct"/>
            <w:noWrap/>
          </w:tcPr>
          <w:p>
            <w:pPr>
              <w:widowControl/>
              <w:jc w:val="center"/>
              <w:rPr>
                <w:rFonts w:ascii="仿宋" w:hAnsi="仿宋" w:eastAsia="仿宋"/>
                <w:color w:val="000000"/>
                <w:kern w:val="0"/>
                <w:szCs w:val="21"/>
              </w:rPr>
            </w:pPr>
            <w:r>
              <w:rPr>
                <w:rFonts w:ascii="仿宋" w:hAnsi="仿宋" w:eastAsia="仿宋"/>
                <w:color w:val="000000"/>
                <w:kern w:val="0"/>
                <w:szCs w:val="21"/>
              </w:rPr>
              <w:t>1164.9</w:t>
            </w:r>
          </w:p>
        </w:tc>
        <w:tc>
          <w:tcPr>
            <w:tcW w:w="651" w:type="pct"/>
            <w:noWrap/>
          </w:tcPr>
          <w:p>
            <w:pPr>
              <w:widowControl/>
              <w:jc w:val="center"/>
              <w:rPr>
                <w:rFonts w:ascii="仿宋" w:hAnsi="仿宋" w:eastAsia="仿宋"/>
                <w:color w:val="000000"/>
                <w:kern w:val="0"/>
                <w:szCs w:val="21"/>
              </w:rPr>
            </w:pPr>
            <w:r>
              <w:rPr>
                <w:rFonts w:ascii="仿宋" w:hAnsi="仿宋" w:eastAsia="仿宋"/>
                <w:color w:val="000000"/>
                <w:kern w:val="0"/>
                <w:szCs w:val="21"/>
              </w:rPr>
              <w:t>419.1</w:t>
            </w:r>
          </w:p>
        </w:tc>
        <w:tc>
          <w:tcPr>
            <w:tcW w:w="662" w:type="pct"/>
            <w:noWrap/>
          </w:tcPr>
          <w:p>
            <w:pPr>
              <w:widowControl/>
              <w:jc w:val="center"/>
              <w:rPr>
                <w:rFonts w:ascii="仿宋" w:hAnsi="仿宋" w:eastAsia="仿宋"/>
                <w:color w:val="000000"/>
                <w:kern w:val="0"/>
                <w:szCs w:val="21"/>
              </w:rPr>
            </w:pPr>
            <w:r>
              <w:rPr>
                <w:rFonts w:ascii="仿宋" w:hAnsi="仿宋" w:eastAsia="仿宋"/>
                <w:color w:val="000000"/>
                <w:kern w:val="0"/>
                <w:szCs w:val="21"/>
              </w:rPr>
              <w:t>1072.2</w:t>
            </w:r>
          </w:p>
        </w:tc>
        <w:tc>
          <w:tcPr>
            <w:tcW w:w="997" w:type="pct"/>
            <w:noWrap/>
          </w:tcPr>
          <w:p>
            <w:pPr>
              <w:widowControl/>
              <w:jc w:val="center"/>
              <w:rPr>
                <w:rFonts w:ascii="仿宋" w:hAnsi="仿宋" w:eastAsia="仿宋"/>
                <w:color w:val="000000"/>
                <w:kern w:val="0"/>
                <w:szCs w:val="21"/>
              </w:rPr>
            </w:pPr>
            <w:r>
              <w:rPr>
                <w:rFonts w:ascii="仿宋" w:hAnsi="仿宋" w:eastAsia="仿宋"/>
                <w:color w:val="000000"/>
                <w:kern w:val="0"/>
                <w:szCs w:val="21"/>
              </w:rPr>
              <w:t>2.9</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3"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noWrap/>
          </w:tcPr>
          <w:p>
            <w:pPr>
              <w:widowControl/>
              <w:jc w:val="center"/>
              <w:rPr>
                <w:rFonts w:ascii="仿宋" w:hAnsi="仿宋" w:eastAsia="仿宋"/>
                <w:b w:val="0"/>
                <w:bCs w:val="0"/>
                <w:color w:val="000000"/>
                <w:kern w:val="0"/>
                <w:szCs w:val="21"/>
              </w:rPr>
            </w:pPr>
            <w:r>
              <w:rPr>
                <w:rFonts w:ascii="仿宋" w:hAnsi="仿宋" w:eastAsia="仿宋"/>
                <w:b/>
                <w:bCs/>
                <w:color w:val="000000"/>
                <w:kern w:val="0"/>
                <w:szCs w:val="21"/>
              </w:rPr>
              <w:t>丰台区</w:t>
            </w:r>
          </w:p>
        </w:tc>
        <w:tc>
          <w:tcPr>
            <w:tcW w:w="704"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1419.2</w:t>
            </w:r>
          </w:p>
        </w:tc>
        <w:tc>
          <w:tcPr>
            <w:tcW w:w="651"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1133.8</w:t>
            </w:r>
          </w:p>
        </w:tc>
        <w:tc>
          <w:tcPr>
            <w:tcW w:w="652"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285.4</w:t>
            </w:r>
          </w:p>
        </w:tc>
        <w:tc>
          <w:tcPr>
            <w:tcW w:w="651"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11.4</w:t>
            </w:r>
          </w:p>
        </w:tc>
        <w:tc>
          <w:tcPr>
            <w:tcW w:w="662"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1407.8</w:t>
            </w:r>
          </w:p>
        </w:tc>
        <w:tc>
          <w:tcPr>
            <w:tcW w:w="997"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2.76</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3" w:type="pct"/>
            <w:tcBorders>
              <w:right w:val="nil"/>
              <w:insideV w:val="nil"/>
            </w:tcBorders>
            <w:shd w:val="clear" w:color="auto" w:fill="FFFFFF" w:themeFill="background1"/>
            <w:noWrap/>
          </w:tcPr>
          <w:p>
            <w:pPr>
              <w:widowControl/>
              <w:jc w:val="center"/>
              <w:rPr>
                <w:rFonts w:ascii="仿宋" w:hAnsi="仿宋" w:eastAsia="仿宋"/>
                <w:b w:val="0"/>
                <w:bCs w:val="0"/>
                <w:color w:val="000000"/>
                <w:kern w:val="0"/>
                <w:szCs w:val="21"/>
              </w:rPr>
            </w:pPr>
            <w:r>
              <w:rPr>
                <w:rFonts w:ascii="仿宋" w:hAnsi="仿宋" w:eastAsia="仿宋"/>
                <w:b/>
                <w:bCs/>
                <w:color w:val="000000"/>
                <w:kern w:val="0"/>
                <w:szCs w:val="21"/>
              </w:rPr>
              <w:t>石景山区</w:t>
            </w:r>
          </w:p>
        </w:tc>
        <w:tc>
          <w:tcPr>
            <w:tcW w:w="704" w:type="pct"/>
            <w:noWrap/>
          </w:tcPr>
          <w:p>
            <w:pPr>
              <w:widowControl/>
              <w:jc w:val="center"/>
              <w:rPr>
                <w:rFonts w:ascii="仿宋" w:hAnsi="仿宋" w:eastAsia="仿宋"/>
                <w:color w:val="000000"/>
                <w:kern w:val="0"/>
                <w:szCs w:val="21"/>
              </w:rPr>
            </w:pPr>
            <w:r>
              <w:rPr>
                <w:rFonts w:ascii="仿宋" w:hAnsi="仿宋" w:eastAsia="仿宋"/>
                <w:color w:val="000000"/>
                <w:kern w:val="0"/>
                <w:szCs w:val="21"/>
              </w:rPr>
              <w:t>257.3</w:t>
            </w:r>
          </w:p>
        </w:tc>
        <w:tc>
          <w:tcPr>
            <w:tcW w:w="651" w:type="pct"/>
            <w:noWrap/>
          </w:tcPr>
          <w:p>
            <w:pPr>
              <w:widowControl/>
              <w:jc w:val="center"/>
              <w:rPr>
                <w:rFonts w:ascii="仿宋" w:hAnsi="仿宋" w:eastAsia="仿宋"/>
                <w:color w:val="000000"/>
                <w:kern w:val="0"/>
                <w:szCs w:val="21"/>
              </w:rPr>
            </w:pPr>
            <w:r>
              <w:rPr>
                <w:rFonts w:ascii="仿宋" w:hAnsi="仿宋" w:eastAsia="仿宋"/>
                <w:color w:val="000000"/>
                <w:kern w:val="0"/>
                <w:szCs w:val="21"/>
              </w:rPr>
              <w:t>199.6</w:t>
            </w:r>
          </w:p>
        </w:tc>
        <w:tc>
          <w:tcPr>
            <w:tcW w:w="652" w:type="pct"/>
            <w:noWrap/>
          </w:tcPr>
          <w:p>
            <w:pPr>
              <w:widowControl/>
              <w:jc w:val="center"/>
              <w:rPr>
                <w:rFonts w:ascii="仿宋" w:hAnsi="仿宋" w:eastAsia="仿宋"/>
                <w:color w:val="000000"/>
                <w:kern w:val="0"/>
                <w:szCs w:val="21"/>
              </w:rPr>
            </w:pPr>
            <w:r>
              <w:rPr>
                <w:rFonts w:ascii="仿宋" w:hAnsi="仿宋" w:eastAsia="仿宋"/>
                <w:color w:val="000000"/>
                <w:kern w:val="0"/>
                <w:szCs w:val="21"/>
              </w:rPr>
              <w:t>57.7</w:t>
            </w:r>
          </w:p>
        </w:tc>
        <w:tc>
          <w:tcPr>
            <w:tcW w:w="651" w:type="pct"/>
            <w:noWrap/>
          </w:tcPr>
          <w:p>
            <w:pPr>
              <w:widowControl/>
              <w:jc w:val="center"/>
              <w:rPr>
                <w:rFonts w:ascii="仿宋" w:hAnsi="仿宋" w:eastAsia="仿宋"/>
                <w:color w:val="000000"/>
                <w:kern w:val="0"/>
                <w:szCs w:val="21"/>
              </w:rPr>
            </w:pPr>
            <w:r>
              <w:rPr>
                <w:rFonts w:ascii="仿宋" w:hAnsi="仿宋" w:eastAsia="仿宋"/>
                <w:color w:val="000000"/>
                <w:kern w:val="0"/>
                <w:szCs w:val="21"/>
              </w:rPr>
              <w:t>0</w:t>
            </w:r>
          </w:p>
        </w:tc>
        <w:tc>
          <w:tcPr>
            <w:tcW w:w="662" w:type="pct"/>
            <w:noWrap/>
          </w:tcPr>
          <w:p>
            <w:pPr>
              <w:widowControl/>
              <w:jc w:val="center"/>
              <w:rPr>
                <w:rFonts w:ascii="仿宋" w:hAnsi="仿宋" w:eastAsia="仿宋"/>
                <w:color w:val="000000"/>
                <w:kern w:val="0"/>
                <w:szCs w:val="21"/>
              </w:rPr>
            </w:pPr>
            <w:r>
              <w:rPr>
                <w:rFonts w:ascii="仿宋" w:hAnsi="仿宋" w:eastAsia="仿宋"/>
                <w:color w:val="000000"/>
                <w:kern w:val="0"/>
                <w:szCs w:val="21"/>
              </w:rPr>
              <w:t>257.3</w:t>
            </w:r>
          </w:p>
        </w:tc>
        <w:tc>
          <w:tcPr>
            <w:tcW w:w="997" w:type="pct"/>
            <w:noWrap/>
          </w:tcPr>
          <w:p>
            <w:pPr>
              <w:widowControl/>
              <w:jc w:val="center"/>
              <w:rPr>
                <w:rFonts w:ascii="仿宋" w:hAnsi="仿宋" w:eastAsia="仿宋"/>
                <w:color w:val="000000"/>
                <w:kern w:val="0"/>
                <w:szCs w:val="21"/>
              </w:rPr>
            </w:pPr>
            <w:r>
              <w:rPr>
                <w:rFonts w:ascii="仿宋" w:hAnsi="仿宋" w:eastAsia="仿宋"/>
                <w:color w:val="000000"/>
                <w:kern w:val="0"/>
                <w:szCs w:val="21"/>
              </w:rPr>
              <w:t>0.5</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3"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noWrap/>
          </w:tcPr>
          <w:p>
            <w:pPr>
              <w:widowControl/>
              <w:jc w:val="center"/>
              <w:rPr>
                <w:rFonts w:ascii="仿宋" w:hAnsi="仿宋" w:eastAsia="仿宋"/>
                <w:b w:val="0"/>
                <w:bCs w:val="0"/>
                <w:color w:val="000000"/>
                <w:kern w:val="0"/>
                <w:szCs w:val="21"/>
              </w:rPr>
            </w:pPr>
            <w:r>
              <w:rPr>
                <w:rFonts w:ascii="仿宋" w:hAnsi="仿宋" w:eastAsia="仿宋"/>
                <w:b/>
                <w:bCs/>
                <w:color w:val="000000"/>
                <w:kern w:val="0"/>
                <w:szCs w:val="21"/>
              </w:rPr>
              <w:t>西城区</w:t>
            </w:r>
          </w:p>
        </w:tc>
        <w:tc>
          <w:tcPr>
            <w:tcW w:w="704"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180.3</w:t>
            </w:r>
          </w:p>
        </w:tc>
        <w:tc>
          <w:tcPr>
            <w:tcW w:w="651"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0</w:t>
            </w:r>
          </w:p>
        </w:tc>
        <w:tc>
          <w:tcPr>
            <w:tcW w:w="652"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180.3</w:t>
            </w:r>
          </w:p>
        </w:tc>
        <w:tc>
          <w:tcPr>
            <w:tcW w:w="651"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130.4</w:t>
            </w:r>
          </w:p>
        </w:tc>
        <w:tc>
          <w:tcPr>
            <w:tcW w:w="662"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49.9</w:t>
            </w:r>
          </w:p>
        </w:tc>
        <w:tc>
          <w:tcPr>
            <w:tcW w:w="997" w:type="pct"/>
            <w:tcBorders>
              <w:top w:val="single" w:color="9BBB59" w:themeColor="accent3" w:sz="4" w:space="0"/>
              <w:bottom w:val="single" w:color="9BBB59" w:themeColor="accent3" w:sz="4" w:space="0"/>
              <w:insideH w:val="single" w:sz="4" w:space="0"/>
            </w:tcBorders>
            <w:noWrap/>
          </w:tcPr>
          <w:p>
            <w:pPr>
              <w:widowControl/>
              <w:jc w:val="center"/>
              <w:rPr>
                <w:rFonts w:ascii="仿宋" w:hAnsi="仿宋" w:eastAsia="仿宋"/>
                <w:color w:val="000000"/>
                <w:kern w:val="0"/>
                <w:szCs w:val="21"/>
              </w:rPr>
            </w:pPr>
            <w:r>
              <w:rPr>
                <w:rFonts w:ascii="仿宋" w:hAnsi="仿宋" w:eastAsia="仿宋"/>
                <w:color w:val="000000"/>
                <w:kern w:val="0"/>
                <w:szCs w:val="21"/>
              </w:rPr>
              <w:t>0.37</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3" w:type="pct"/>
            <w:tcBorders>
              <w:right w:val="nil"/>
              <w:insideV w:val="nil"/>
            </w:tcBorders>
            <w:shd w:val="clear" w:color="auto" w:fill="FFFFFF" w:themeFill="background1"/>
            <w:noWrap/>
          </w:tcPr>
          <w:p>
            <w:pPr>
              <w:widowControl/>
              <w:jc w:val="center"/>
              <w:rPr>
                <w:rFonts w:ascii="仿宋" w:hAnsi="仿宋" w:eastAsia="仿宋"/>
                <w:b w:val="0"/>
                <w:bCs w:val="0"/>
                <w:color w:val="000000"/>
                <w:kern w:val="0"/>
                <w:szCs w:val="21"/>
              </w:rPr>
            </w:pPr>
            <w:r>
              <w:rPr>
                <w:rFonts w:ascii="仿宋" w:hAnsi="仿宋" w:eastAsia="仿宋"/>
                <w:b/>
                <w:bCs/>
                <w:color w:val="000000"/>
                <w:kern w:val="0"/>
                <w:szCs w:val="21"/>
              </w:rPr>
              <w:t>东城区</w:t>
            </w:r>
          </w:p>
        </w:tc>
        <w:tc>
          <w:tcPr>
            <w:tcW w:w="704" w:type="pct"/>
            <w:noWrap/>
          </w:tcPr>
          <w:p>
            <w:pPr>
              <w:widowControl/>
              <w:jc w:val="center"/>
              <w:rPr>
                <w:rFonts w:ascii="仿宋" w:hAnsi="仿宋" w:eastAsia="仿宋"/>
                <w:color w:val="000000"/>
                <w:kern w:val="0"/>
                <w:szCs w:val="21"/>
              </w:rPr>
            </w:pPr>
            <w:r>
              <w:rPr>
                <w:rFonts w:ascii="仿宋" w:hAnsi="仿宋" w:eastAsia="仿宋"/>
                <w:color w:val="000000"/>
                <w:kern w:val="0"/>
                <w:szCs w:val="21"/>
              </w:rPr>
              <w:t>108.7</w:t>
            </w:r>
          </w:p>
        </w:tc>
        <w:tc>
          <w:tcPr>
            <w:tcW w:w="651" w:type="pct"/>
            <w:noWrap/>
          </w:tcPr>
          <w:p>
            <w:pPr>
              <w:widowControl/>
              <w:jc w:val="center"/>
              <w:rPr>
                <w:rFonts w:ascii="仿宋" w:hAnsi="仿宋" w:eastAsia="仿宋"/>
                <w:color w:val="000000"/>
                <w:kern w:val="0"/>
                <w:szCs w:val="21"/>
              </w:rPr>
            </w:pPr>
            <w:r>
              <w:rPr>
                <w:rFonts w:ascii="仿宋" w:hAnsi="仿宋" w:eastAsia="仿宋"/>
                <w:color w:val="000000"/>
                <w:kern w:val="0"/>
                <w:szCs w:val="21"/>
              </w:rPr>
              <w:t>0</w:t>
            </w:r>
          </w:p>
        </w:tc>
        <w:tc>
          <w:tcPr>
            <w:tcW w:w="652" w:type="pct"/>
            <w:noWrap/>
          </w:tcPr>
          <w:p>
            <w:pPr>
              <w:widowControl/>
              <w:jc w:val="center"/>
              <w:rPr>
                <w:rFonts w:ascii="仿宋" w:hAnsi="仿宋" w:eastAsia="仿宋"/>
                <w:color w:val="000000"/>
                <w:kern w:val="0"/>
                <w:szCs w:val="21"/>
              </w:rPr>
            </w:pPr>
            <w:r>
              <w:rPr>
                <w:rFonts w:ascii="仿宋" w:hAnsi="仿宋" w:eastAsia="仿宋"/>
                <w:color w:val="000000"/>
                <w:kern w:val="0"/>
                <w:szCs w:val="21"/>
              </w:rPr>
              <w:t>108.7</w:t>
            </w:r>
          </w:p>
        </w:tc>
        <w:tc>
          <w:tcPr>
            <w:tcW w:w="651" w:type="pct"/>
            <w:noWrap/>
          </w:tcPr>
          <w:p>
            <w:pPr>
              <w:widowControl/>
              <w:jc w:val="center"/>
              <w:rPr>
                <w:rFonts w:ascii="仿宋" w:hAnsi="仿宋" w:eastAsia="仿宋"/>
                <w:color w:val="000000"/>
                <w:kern w:val="0"/>
                <w:szCs w:val="21"/>
              </w:rPr>
            </w:pPr>
            <w:r>
              <w:rPr>
                <w:rFonts w:ascii="仿宋" w:hAnsi="仿宋" w:eastAsia="仿宋"/>
                <w:color w:val="000000"/>
                <w:kern w:val="0"/>
                <w:szCs w:val="21"/>
              </w:rPr>
              <w:t>24.1</w:t>
            </w:r>
          </w:p>
        </w:tc>
        <w:tc>
          <w:tcPr>
            <w:tcW w:w="662" w:type="pct"/>
            <w:noWrap/>
          </w:tcPr>
          <w:p>
            <w:pPr>
              <w:widowControl/>
              <w:jc w:val="center"/>
              <w:rPr>
                <w:rFonts w:ascii="仿宋" w:hAnsi="仿宋" w:eastAsia="仿宋"/>
                <w:color w:val="000000"/>
                <w:kern w:val="0"/>
                <w:szCs w:val="21"/>
              </w:rPr>
            </w:pPr>
            <w:r>
              <w:rPr>
                <w:rFonts w:ascii="仿宋" w:hAnsi="仿宋" w:eastAsia="仿宋"/>
                <w:color w:val="000000"/>
                <w:kern w:val="0"/>
                <w:szCs w:val="21"/>
              </w:rPr>
              <w:t>84.6</w:t>
            </w:r>
          </w:p>
        </w:tc>
        <w:tc>
          <w:tcPr>
            <w:tcW w:w="997" w:type="pct"/>
            <w:noWrap/>
          </w:tcPr>
          <w:p>
            <w:pPr>
              <w:widowControl/>
              <w:jc w:val="center"/>
              <w:rPr>
                <w:rFonts w:ascii="仿宋" w:hAnsi="仿宋" w:eastAsia="仿宋"/>
                <w:color w:val="000000"/>
                <w:kern w:val="0"/>
                <w:szCs w:val="21"/>
              </w:rPr>
            </w:pPr>
            <w:r>
              <w:rPr>
                <w:rFonts w:ascii="仿宋" w:hAnsi="仿宋" w:eastAsia="仿宋"/>
                <w:color w:val="000000"/>
                <w:kern w:val="0"/>
                <w:szCs w:val="21"/>
              </w:rPr>
              <w:t>0.17</w:t>
            </w:r>
          </w:p>
        </w:tc>
      </w:tr>
    </w:tbl>
    <w:p>
      <w:pPr>
        <w:pStyle w:val="3"/>
        <w:spacing w:before="217" w:after="217"/>
        <w:jc w:val="left"/>
        <w:rPr>
          <w:rFonts w:ascii="黑体" w:hAnsi="黑体" w:eastAsia="黑体" w:cs="Times New Roman"/>
          <w:b w:val="0"/>
          <w:bCs w:val="0"/>
        </w:rPr>
      </w:pPr>
      <w:bookmarkStart w:id="104" w:name="_Toc530648949"/>
      <w:bookmarkStart w:id="105" w:name="_Toc27389895"/>
      <w:bookmarkStart w:id="106" w:name="_Toc528968739"/>
      <w:r>
        <w:rPr>
          <w:rFonts w:hint="eastAsia" w:ascii="黑体" w:hAnsi="黑体" w:eastAsia="黑体" w:cs="Times New Roman"/>
          <w:b w:val="0"/>
          <w:bCs w:val="0"/>
        </w:rPr>
        <w:t>二、建设需求分析</w:t>
      </w:r>
      <w:bookmarkEnd w:id="104"/>
      <w:bookmarkEnd w:id="105"/>
      <w:bookmarkEnd w:id="106"/>
    </w:p>
    <w:p>
      <w:pPr>
        <w:pStyle w:val="4"/>
        <w:spacing w:before="217" w:after="217" w:line="264" w:lineRule="auto"/>
        <w:rPr>
          <w:rFonts w:ascii="仿宋" w:hAnsi="仿宋" w:eastAsia="仿宋" w:cs="Times New Roman"/>
          <w:spacing w:val="20"/>
        </w:rPr>
      </w:pPr>
      <w:bookmarkStart w:id="107" w:name="_Toc528968740"/>
      <w:bookmarkStart w:id="108" w:name="_Toc530648950"/>
      <w:bookmarkStart w:id="109" w:name="_Toc27389896"/>
      <w:r>
        <w:rPr>
          <w:rFonts w:hint="eastAsia" w:ascii="仿宋" w:hAnsi="仿宋" w:eastAsia="仿宋" w:cs="Times New Roman"/>
          <w:spacing w:val="20"/>
        </w:rPr>
        <w:t>（一）缓解城市热岛效应</w:t>
      </w:r>
      <w:bookmarkEnd w:id="107"/>
      <w:bookmarkEnd w:id="108"/>
      <w:bookmarkEnd w:id="109"/>
    </w:p>
    <w:p>
      <w:pPr>
        <w:pStyle w:val="5"/>
        <w:spacing w:before="0" w:after="0" w:line="240" w:lineRule="auto"/>
        <w:rPr>
          <w:rFonts w:ascii="仿宋" w:hAnsi="仿宋" w:eastAsia="仿宋"/>
        </w:rPr>
      </w:pPr>
      <w:bookmarkStart w:id="110" w:name="_Toc530648951"/>
      <w:bookmarkStart w:id="111" w:name="_Toc528968742"/>
      <w:r>
        <w:rPr>
          <w:rFonts w:hint="eastAsia" w:ascii="仿宋" w:hAnsi="仿宋" w:eastAsia="仿宋"/>
        </w:rPr>
        <w:t>1.市域热岛</w:t>
      </w:r>
      <w:bookmarkEnd w:id="110"/>
    </w:p>
    <w:p>
      <w:pPr>
        <w:ind w:firstLine="560" w:firstLineChars="200"/>
        <w:rPr>
          <w:rFonts w:ascii="仿宋" w:hAnsi="仿宋" w:eastAsia="仿宋"/>
          <w:sz w:val="28"/>
          <w:szCs w:val="24"/>
        </w:rPr>
      </w:pPr>
      <w:r>
        <w:rPr>
          <w:rFonts w:hint="eastAsia" w:ascii="仿宋" w:hAnsi="仿宋" w:eastAsia="仿宋"/>
          <w:bCs/>
          <w:sz w:val="28"/>
          <w:szCs w:val="28"/>
        </w:rPr>
        <w:t>平原区内热岛分布聚集，</w:t>
      </w:r>
      <w:r>
        <w:rPr>
          <w:rFonts w:ascii="仿宋" w:hAnsi="仿宋" w:eastAsia="仿宋"/>
          <w:sz w:val="28"/>
          <w:szCs w:val="24"/>
        </w:rPr>
        <w:t>2017</w:t>
      </w:r>
      <w:r>
        <w:rPr>
          <w:rFonts w:hint="eastAsia" w:ascii="仿宋" w:hAnsi="仿宋" w:eastAsia="仿宋"/>
          <w:sz w:val="28"/>
          <w:szCs w:val="24"/>
        </w:rPr>
        <w:t>年北京市域</w:t>
      </w:r>
      <w:r>
        <w:rPr>
          <w:rFonts w:ascii="仿宋" w:hAnsi="仿宋" w:eastAsia="仿宋"/>
          <w:sz w:val="28"/>
          <w:szCs w:val="24"/>
        </w:rPr>
        <w:t>93.</w:t>
      </w:r>
      <w:r>
        <w:rPr>
          <w:rFonts w:hint="eastAsia" w:ascii="仿宋" w:hAnsi="仿宋" w:eastAsia="仿宋"/>
          <w:sz w:val="28"/>
          <w:szCs w:val="28"/>
        </w:rPr>
        <w:t>63</w:t>
      </w:r>
      <w:r>
        <w:rPr>
          <w:rFonts w:ascii="仿宋" w:hAnsi="仿宋" w:eastAsia="仿宋"/>
          <w:sz w:val="28"/>
          <w:szCs w:val="24"/>
        </w:rPr>
        <w:t>%</w:t>
      </w:r>
      <w:r>
        <w:rPr>
          <w:rFonts w:hint="eastAsia" w:ascii="仿宋" w:hAnsi="仿宋" w:eastAsia="仿宋"/>
          <w:sz w:val="28"/>
          <w:szCs w:val="24"/>
        </w:rPr>
        <w:t>的强热岛和极强热岛集中分布在平原区，而山区92.85%的面积属于绿岛区域，平原区温度远高于山区。</w:t>
      </w:r>
      <w:bookmarkStart w:id="112" w:name="_Toc530648952"/>
    </w:p>
    <w:p>
      <w:pPr>
        <w:pStyle w:val="5"/>
        <w:spacing w:before="0" w:after="0" w:line="240" w:lineRule="auto"/>
        <w:rPr>
          <w:rFonts w:ascii="仿宋" w:hAnsi="仿宋" w:eastAsia="仿宋"/>
        </w:rPr>
      </w:pPr>
      <w:r>
        <w:rPr>
          <w:rFonts w:hint="eastAsia" w:ascii="仿宋" w:hAnsi="仿宋" w:eastAsia="仿宋"/>
        </w:rPr>
        <w:t>2.平原区热岛</w:t>
      </w:r>
      <w:bookmarkEnd w:id="112"/>
    </w:p>
    <w:p>
      <w:pPr>
        <w:ind w:firstLine="560" w:firstLineChars="200"/>
        <w:rPr>
          <w:rFonts w:ascii="仿宋" w:hAnsi="仿宋" w:eastAsia="仿宋"/>
          <w:bCs/>
          <w:sz w:val="28"/>
          <w:szCs w:val="28"/>
        </w:rPr>
      </w:pPr>
      <w:r>
        <w:rPr>
          <w:rFonts w:hint="eastAsia" w:ascii="仿宋" w:hAnsi="仿宋" w:eastAsia="仿宋"/>
          <w:bCs/>
          <w:sz w:val="28"/>
          <w:szCs w:val="28"/>
        </w:rPr>
        <w:t>平原区城市热岛较集中的分布在城市的建设用地、农村居民点用地和工矿用地范围之内，城市建设用地是极强热带最集中分布区，其次是农村居民点用地。</w:t>
      </w:r>
    </w:p>
    <w:p>
      <w:pPr>
        <w:jc w:val="left"/>
        <w:rPr>
          <w:rFonts w:ascii="仿宋" w:hAnsi="仿宋" w:eastAsia="仿宋"/>
          <w:sz w:val="24"/>
        </w:rPr>
      </w:pP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1"/>
        <w:gridCol w:w="48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9" w:hRule="atLeast"/>
        </w:trPr>
        <w:tc>
          <w:tcPr>
            <w:tcW w:w="3681" w:type="dxa"/>
          </w:tcPr>
          <w:p>
            <w:pPr>
              <w:jc w:val="left"/>
              <w:rPr>
                <w:rFonts w:ascii="仿宋" w:hAnsi="仿宋" w:eastAsia="仿宋"/>
                <w:sz w:val="24"/>
              </w:rPr>
            </w:pPr>
            <w:r>
              <w:rPr>
                <w:rFonts w:ascii="仿宋" w:hAnsi="仿宋" w:eastAsia="仿宋"/>
              </w:rPr>
              <w:drawing>
                <wp:anchor distT="0" distB="0" distL="114300" distR="114300" simplePos="0" relativeHeight="251629568" behindDoc="0" locked="0" layoutInCell="1" allowOverlap="1">
                  <wp:simplePos x="0" y="0"/>
                  <wp:positionH relativeFrom="page">
                    <wp:posOffset>64135</wp:posOffset>
                  </wp:positionH>
                  <wp:positionV relativeFrom="paragraph">
                    <wp:posOffset>20955</wp:posOffset>
                  </wp:positionV>
                  <wp:extent cx="2202815" cy="2049780"/>
                  <wp:effectExtent l="0" t="0" r="6985" b="7620"/>
                  <wp:wrapNone/>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noChangeArrowheads="true"/>
                          </pic:cNvPicPr>
                        </pic:nvPicPr>
                        <pic:blipFill>
                          <a:blip r:embed="rId19"/>
                          <a:srcRect/>
                          <a:stretch>
                            <a:fillRect/>
                          </a:stretch>
                        </pic:blipFill>
                        <pic:spPr>
                          <a:xfrm>
                            <a:off x="0" y="0"/>
                            <a:ext cx="2202815" cy="2049780"/>
                          </a:xfrm>
                          <a:prstGeom prst="rect">
                            <a:avLst/>
                          </a:prstGeom>
                          <a:noFill/>
                          <a:ln w="3175">
                            <a:noFill/>
                          </a:ln>
                        </pic:spPr>
                      </pic:pic>
                    </a:graphicData>
                  </a:graphic>
                </wp:anchor>
              </w:drawing>
            </w:r>
          </w:p>
        </w:tc>
        <w:tc>
          <w:tcPr>
            <w:tcW w:w="4813" w:type="dxa"/>
          </w:tcPr>
          <w:p>
            <w:pPr>
              <w:jc w:val="left"/>
              <w:rPr>
                <w:rFonts w:ascii="仿宋" w:hAnsi="仿宋" w:eastAsia="仿宋"/>
                <w:sz w:val="24"/>
              </w:rPr>
            </w:pPr>
            <w:r>
              <w:rPr>
                <w:rFonts w:hint="eastAsia" w:ascii="仿宋" w:hAnsi="仿宋" w:eastAsia="仿宋"/>
                <w:sz w:val="24"/>
              </w:rPr>
              <w:drawing>
                <wp:anchor distT="0" distB="0" distL="114300" distR="114300" simplePos="0" relativeHeight="251635712" behindDoc="0" locked="0" layoutInCell="1" allowOverlap="1">
                  <wp:simplePos x="0" y="0"/>
                  <wp:positionH relativeFrom="column">
                    <wp:posOffset>31750</wp:posOffset>
                  </wp:positionH>
                  <wp:positionV relativeFrom="paragraph">
                    <wp:posOffset>2540</wp:posOffset>
                  </wp:positionV>
                  <wp:extent cx="2882900" cy="2067560"/>
                  <wp:effectExtent l="0" t="0" r="0" b="9525"/>
                  <wp:wrapNone/>
                  <wp:docPr id="95265" name="图片 95265" descr="I:\李晓婷数据\1李晓婷数据处理新\01热场\01x市域热场加各类型用地.jpg01x市域热场加各类型用地"/>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265" name="图片 95265" descr="I:\李晓婷数据\1李晓婷数据处理新\01热场\01x市域热场加各类型用地.jpg01x市域热场加各类型用地"/>
                          <pic:cNvPicPr>
                            <a:picLocks noChangeAspect="true" noChangeArrowheads="true"/>
                          </pic:cNvPicPr>
                        </pic:nvPicPr>
                        <pic:blipFill>
                          <a:blip r:embed="rId20" cstate="print">
                            <a:extLst>
                              <a:ext uri="{28A0092B-C50C-407E-A947-70E740481C1C}">
                                <a14:useLocalDpi xmlns:a14="http://schemas.microsoft.com/office/drawing/2010/main" val="false"/>
                              </a:ext>
                            </a:extLst>
                          </a:blip>
                          <a:srcRect l="1683"/>
                          <a:stretch>
                            <a:fillRect/>
                          </a:stretch>
                        </pic:blipFill>
                        <pic:spPr>
                          <a:xfrm>
                            <a:off x="0" y="0"/>
                            <a:ext cx="2883100" cy="2067339"/>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81" w:type="dxa"/>
          </w:tcPr>
          <w:p>
            <w:pPr>
              <w:ind w:firstLine="210" w:firstLineChars="100"/>
              <w:rPr>
                <w:rFonts w:ascii="仿宋" w:hAnsi="仿宋" w:eastAsia="仿宋"/>
                <w:b/>
                <w:szCs w:val="21"/>
              </w:rPr>
            </w:pPr>
            <w:r>
              <w:rPr>
                <w:rFonts w:hint="eastAsia" w:ascii="仿宋" w:hAnsi="仿宋" w:eastAsia="仿宋"/>
                <w:b/>
                <w:szCs w:val="21"/>
              </w:rPr>
              <w:t>图4-11北京市域热岛分布图</w:t>
            </w:r>
          </w:p>
        </w:tc>
        <w:tc>
          <w:tcPr>
            <w:tcW w:w="4813" w:type="dxa"/>
          </w:tcPr>
          <w:p>
            <w:pPr>
              <w:ind w:right="1266" w:firstLine="409" w:firstLineChars="195"/>
              <w:jc w:val="right"/>
              <w:rPr>
                <w:rFonts w:ascii="仿宋" w:hAnsi="仿宋" w:eastAsia="仿宋"/>
                <w:b/>
                <w:szCs w:val="21"/>
              </w:rPr>
            </w:pPr>
            <w:r>
              <w:rPr>
                <w:rFonts w:hint="eastAsia" w:ascii="仿宋" w:hAnsi="仿宋" w:eastAsia="仿宋"/>
                <w:b/>
                <w:szCs w:val="21"/>
                <w:lang w:val="zh-CN"/>
              </w:rPr>
              <w:t>图4-12</w:t>
            </w:r>
            <w:r>
              <w:rPr>
                <w:rFonts w:ascii="仿宋" w:hAnsi="仿宋" w:eastAsia="仿宋"/>
                <w:b/>
                <w:szCs w:val="21"/>
                <w:lang w:val="zh-CN"/>
              </w:rPr>
              <w:t xml:space="preserve"> </w:t>
            </w:r>
            <w:r>
              <w:rPr>
                <w:rFonts w:hint="eastAsia" w:ascii="仿宋" w:hAnsi="仿宋" w:eastAsia="仿宋"/>
                <w:b/>
                <w:szCs w:val="21"/>
                <w:lang w:val="zh-CN"/>
              </w:rPr>
              <w:t>北京市域热岛分布图</w:t>
            </w:r>
          </w:p>
        </w:tc>
      </w:tr>
    </w:tbl>
    <w:p>
      <w:pPr>
        <w:pStyle w:val="5"/>
        <w:spacing w:before="0" w:after="0" w:line="240" w:lineRule="auto"/>
        <w:rPr>
          <w:rFonts w:ascii="仿宋" w:hAnsi="仿宋" w:eastAsia="仿宋"/>
        </w:rPr>
      </w:pPr>
      <w:bookmarkStart w:id="113" w:name="_Toc530648953"/>
      <w:r>
        <w:rPr>
          <w:rFonts w:hint="eastAsia" w:ascii="仿宋" w:hAnsi="仿宋" w:eastAsia="仿宋"/>
        </w:rPr>
        <w:t>3.中心城区热岛</w:t>
      </w:r>
      <w:bookmarkEnd w:id="113"/>
    </w:p>
    <w:p>
      <w:pPr>
        <w:ind w:firstLine="560" w:firstLineChars="200"/>
        <w:rPr>
          <w:rFonts w:ascii="仿宋" w:hAnsi="仿宋" w:eastAsia="仿宋"/>
          <w:bCs/>
          <w:sz w:val="28"/>
          <w:szCs w:val="28"/>
        </w:rPr>
      </w:pPr>
      <w:bookmarkStart w:id="114" w:name="_Toc529864993"/>
      <w:r>
        <w:rPr>
          <w:rFonts w:hint="eastAsia" w:ascii="仿宋" w:hAnsi="仿宋" w:eastAsia="仿宋"/>
          <w:bCs/>
          <w:sz w:val="28"/>
          <w:szCs w:val="28"/>
        </w:rPr>
        <w:t>中心城区</w:t>
      </w:r>
      <w:bookmarkEnd w:id="114"/>
      <w:r>
        <w:rPr>
          <w:rFonts w:hint="eastAsia" w:ascii="仿宋" w:hAnsi="仿宋" w:eastAsia="仿宋"/>
          <w:bCs/>
          <w:sz w:val="28"/>
          <w:szCs w:val="28"/>
        </w:rPr>
        <w:t>占平原区总面积的16.47%，是热岛效应相对集中的地区，聚集了平原区34.25%的强热岛和极强热岛。</w:t>
      </w:r>
    </w:p>
    <w:p>
      <w:pPr>
        <w:ind w:firstLine="560" w:firstLineChars="200"/>
        <w:rPr>
          <w:rFonts w:ascii="仿宋" w:hAnsi="仿宋" w:eastAsia="仿宋"/>
          <w:bCs/>
          <w:sz w:val="28"/>
          <w:szCs w:val="28"/>
        </w:rPr>
      </w:pPr>
      <w:bookmarkStart w:id="115" w:name="_Toc529864994"/>
      <w:r>
        <w:rPr>
          <w:rFonts w:hint="eastAsia" w:ascii="仿宋" w:hAnsi="仿宋" w:eastAsia="仿宋"/>
          <w:bCs/>
          <w:sz w:val="28"/>
          <w:szCs w:val="28"/>
        </w:rPr>
        <w:t>在中心城区范围内，西城的新街口、什刹海、展览路街道区域，东城的北新桥、景山、东四街道区域，宣武门的大栅栏片区，海淀的东升乡，朝阳的十八里店乡，丰台的卢沟桥乡、南苑乡等热岛分布比较集中。</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6" w:hRule="atLeast"/>
        </w:trPr>
        <w:tc>
          <w:tcPr>
            <w:tcW w:w="8494" w:type="dxa"/>
          </w:tcPr>
          <w:p>
            <w:pPr>
              <w:rPr>
                <w:rFonts w:ascii="仿宋" w:hAnsi="仿宋" w:eastAsia="仿宋"/>
                <w:bCs/>
                <w:sz w:val="24"/>
                <w:szCs w:val="24"/>
              </w:rPr>
            </w:pPr>
            <w:r>
              <w:rPr>
                <w:rFonts w:hint="eastAsia" w:ascii="仿宋" w:hAnsi="仿宋" w:eastAsia="仿宋"/>
                <w:sz w:val="24"/>
              </w:rPr>
              <w:drawing>
                <wp:anchor distT="0" distB="0" distL="114300" distR="114300" simplePos="0" relativeHeight="251641856" behindDoc="0" locked="0" layoutInCell="1" allowOverlap="1">
                  <wp:simplePos x="0" y="0"/>
                  <wp:positionH relativeFrom="margin">
                    <wp:posOffset>814070</wp:posOffset>
                  </wp:positionH>
                  <wp:positionV relativeFrom="paragraph">
                    <wp:posOffset>71755</wp:posOffset>
                  </wp:positionV>
                  <wp:extent cx="3620770" cy="1955800"/>
                  <wp:effectExtent l="0" t="0" r="0" b="6985"/>
                  <wp:wrapNone/>
                  <wp:docPr id="17" name="图片 17" descr="02z中心城区热场加集中分布区出图不带乡镇边界"/>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02z中心城区热场加集中分布区出图不带乡镇边界"/>
                          <pic:cNvPicPr>
                            <a:picLocks noChangeAspect="true" noChangeArrowheads="true"/>
                          </pic:cNvPicPr>
                        </pic:nvPicPr>
                        <pic:blipFill>
                          <a:blip r:embed="rId21" cstate="hqprint"/>
                          <a:srcRect l="1231" r="1149"/>
                          <a:stretch>
                            <a:fillRect/>
                          </a:stretch>
                        </pic:blipFill>
                        <pic:spPr>
                          <a:xfrm>
                            <a:off x="0" y="0"/>
                            <a:ext cx="3620516" cy="1955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94" w:type="dxa"/>
          </w:tcPr>
          <w:p>
            <w:pPr>
              <w:jc w:val="center"/>
              <w:rPr>
                <w:rFonts w:ascii="仿宋" w:hAnsi="仿宋" w:eastAsia="仿宋"/>
                <w:bCs/>
                <w:sz w:val="24"/>
                <w:szCs w:val="24"/>
              </w:rPr>
            </w:pPr>
            <w:r>
              <w:rPr>
                <w:rFonts w:hint="eastAsia" w:ascii="仿宋" w:hAnsi="仿宋" w:eastAsia="仿宋"/>
                <w:b/>
                <w:lang w:val="zh-CN"/>
              </w:rPr>
              <w:t>图4-14</w:t>
            </w:r>
            <w:r>
              <w:rPr>
                <w:rFonts w:ascii="仿宋" w:hAnsi="仿宋" w:eastAsia="仿宋"/>
                <w:b/>
                <w:lang w:val="zh-CN"/>
              </w:rPr>
              <w:t xml:space="preserve"> </w:t>
            </w:r>
            <w:r>
              <w:rPr>
                <w:rFonts w:hint="eastAsia" w:ascii="仿宋" w:hAnsi="仿宋" w:eastAsia="仿宋"/>
                <w:b/>
                <w:lang w:val="zh-CN"/>
              </w:rPr>
              <w:t>北京中心城区热岛分布图</w:t>
            </w:r>
          </w:p>
        </w:tc>
      </w:tr>
      <w:bookmarkEnd w:id="111"/>
      <w:bookmarkEnd w:id="115"/>
    </w:tbl>
    <w:p>
      <w:pPr>
        <w:pStyle w:val="4"/>
        <w:spacing w:before="217" w:after="217" w:line="240" w:lineRule="auto"/>
        <w:rPr>
          <w:rFonts w:ascii="仿宋" w:hAnsi="仿宋" w:eastAsia="仿宋" w:cs="Times New Roman"/>
          <w:spacing w:val="20"/>
        </w:rPr>
      </w:pPr>
      <w:bookmarkStart w:id="116" w:name="_Toc530648957"/>
      <w:bookmarkStart w:id="117" w:name="_Toc27389897"/>
      <w:r>
        <w:rPr>
          <w:rFonts w:hint="eastAsia" w:ascii="仿宋" w:hAnsi="仿宋" w:eastAsia="仿宋" w:cs="Times New Roman"/>
          <w:spacing w:val="20"/>
        </w:rPr>
        <w:t>（二）提高林木树冠覆盖</w:t>
      </w:r>
      <w:bookmarkEnd w:id="116"/>
      <w:bookmarkEnd w:id="117"/>
    </w:p>
    <w:p>
      <w:pPr>
        <w:pStyle w:val="5"/>
        <w:spacing w:before="0" w:after="0" w:line="240" w:lineRule="auto"/>
        <w:rPr>
          <w:rFonts w:ascii="仿宋" w:hAnsi="仿宋" w:eastAsia="仿宋"/>
        </w:rPr>
      </w:pPr>
      <w:bookmarkStart w:id="118" w:name="_Toc530648958"/>
      <w:bookmarkStart w:id="119" w:name="_Toc528968766"/>
      <w:bookmarkStart w:id="120" w:name="_Toc530648962"/>
      <w:r>
        <w:rPr>
          <w:rFonts w:hint="eastAsia" w:ascii="仿宋" w:hAnsi="仿宋" w:eastAsia="仿宋"/>
        </w:rPr>
        <w:t>1.城市整体树冠覆盖</w:t>
      </w:r>
      <w:bookmarkEnd w:id="118"/>
    </w:p>
    <w:p>
      <w:pPr>
        <w:ind w:firstLine="560" w:firstLineChars="200"/>
        <w:rPr>
          <w:rFonts w:ascii="仿宋" w:hAnsi="仿宋" w:eastAsia="仿宋"/>
          <w:sz w:val="28"/>
          <w:szCs w:val="24"/>
        </w:rPr>
      </w:pPr>
      <w:r>
        <w:rPr>
          <w:rFonts w:hint="eastAsia" w:ascii="仿宋" w:hAnsi="仿宋" w:eastAsia="仿宋"/>
          <w:sz w:val="28"/>
          <w:szCs w:val="24"/>
        </w:rPr>
        <w:t>基于对北京高清晰遥感数据，对中心城区林木树冠覆盖进行解译分析。目前北京中心城区林木树冠覆盖率为37.73%，其中绿隔地区为42.25%，中心地区为24.65%，核心区为23.54%。</w:t>
      </w:r>
    </w:p>
    <w:p>
      <w:pPr>
        <w:pStyle w:val="5"/>
        <w:spacing w:before="0" w:after="0" w:line="240" w:lineRule="auto"/>
        <w:rPr>
          <w:rFonts w:ascii="仿宋" w:hAnsi="仿宋" w:eastAsia="仿宋"/>
        </w:rPr>
      </w:pPr>
      <w:bookmarkStart w:id="121" w:name="_Toc530648959"/>
      <w:r>
        <w:rPr>
          <w:rFonts w:hint="eastAsia" w:ascii="仿宋" w:hAnsi="仿宋" w:eastAsia="仿宋"/>
        </w:rPr>
        <w:t>2.各区树冠覆盖特征</w:t>
      </w:r>
      <w:bookmarkEnd w:id="121"/>
    </w:p>
    <w:p>
      <w:pPr>
        <w:autoSpaceDE w:val="0"/>
        <w:autoSpaceDN w:val="0"/>
        <w:ind w:firstLine="560" w:firstLineChars="200"/>
        <w:rPr>
          <w:rFonts w:ascii="仿宋" w:hAnsi="仿宋" w:eastAsia="仿宋"/>
          <w:sz w:val="28"/>
          <w:szCs w:val="24"/>
        </w:rPr>
      </w:pPr>
      <w:r>
        <w:rPr>
          <w:rFonts w:hint="eastAsia" w:ascii="仿宋" w:hAnsi="仿宋" w:eastAsia="仿宋"/>
          <w:sz w:val="28"/>
          <w:szCs w:val="24"/>
        </w:rPr>
        <w:t>北京中心城区六个区的林木树冠覆盖率总体表现为：石景山区（55.13%）＞海淀区（42.60%）＞丰台区（35.22%）＞朝阳区（34.70%）＞东城区（25.81%）＞西城区（22.4%）。</w:t>
      </w:r>
    </w:p>
    <w:p>
      <w:pPr>
        <w:pStyle w:val="5"/>
        <w:spacing w:before="0" w:after="0" w:line="240" w:lineRule="auto"/>
        <w:rPr>
          <w:rFonts w:ascii="仿宋" w:hAnsi="仿宋" w:eastAsia="仿宋"/>
        </w:rPr>
      </w:pPr>
      <w:bookmarkStart w:id="122" w:name="_Toc530648960"/>
      <w:r>
        <w:rPr>
          <w:rFonts w:hint="eastAsia" w:ascii="仿宋" w:hAnsi="仿宋" w:eastAsia="仿宋"/>
        </w:rPr>
        <w:t>3.不同地类树冠覆盖特征</w:t>
      </w:r>
      <w:bookmarkEnd w:id="122"/>
    </w:p>
    <w:p>
      <w:pPr>
        <w:ind w:firstLine="560" w:firstLineChars="200"/>
        <w:rPr>
          <w:rFonts w:ascii="仿宋" w:hAnsi="仿宋" w:eastAsia="仿宋"/>
          <w:sz w:val="24"/>
        </w:rPr>
      </w:pPr>
      <w:r>
        <w:rPr>
          <w:rFonts w:hint="eastAsia" w:ascii="仿宋" w:hAnsi="仿宋" w:eastAsia="仿宋"/>
          <w:sz w:val="28"/>
          <w:szCs w:val="24"/>
        </w:rPr>
        <w:t>公园林木树冠覆盖最高，平均为71.04%，其次为道路、居住区和大学，平均林木树冠覆盖分别为29.03%、28.87%和25.20%，事业单位、医院、中学、小学的平均林木树冠覆盖相对较低，分别只有16.72%、14.26%、14.65%和16.31%。从功能区内部差异看来，树冠覆盖差异很大，说明一些空间的树冠覆盖提升潜力很大。</w:t>
      </w:r>
    </w:p>
    <w:tbl>
      <w:tblPr>
        <w:tblStyle w:val="94"/>
        <w:tblpPr w:leftFromText="180" w:rightFromText="180" w:vertAnchor="text" w:horzAnchor="margin" w:tblpY="65"/>
        <w:tblW w:w="5000" w:type="pct"/>
        <w:tblInd w:w="0" w:type="dxa"/>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Layout w:type="autofit"/>
        <w:tblCellMar>
          <w:top w:w="0" w:type="dxa"/>
          <w:left w:w="108" w:type="dxa"/>
          <w:bottom w:w="0" w:type="dxa"/>
          <w:right w:w="108" w:type="dxa"/>
        </w:tblCellMar>
      </w:tblPr>
      <w:tblGrid>
        <w:gridCol w:w="1985"/>
        <w:gridCol w:w="1245"/>
        <w:gridCol w:w="2002"/>
        <w:gridCol w:w="1496"/>
        <w:gridCol w:w="1992"/>
      </w:tblGrid>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000" w:type="pct"/>
            <w:gridSpan w:val="5"/>
            <w:tcBorders>
              <w:top w:val="nil"/>
              <w:left w:val="nil"/>
              <w:bottom w:val="nil"/>
              <w:right w:val="nil"/>
            </w:tcBorders>
            <w:shd w:val="clear" w:color="auto" w:fill="auto"/>
          </w:tcPr>
          <w:p>
            <w:pPr>
              <w:jc w:val="center"/>
              <w:rPr>
                <w:rFonts w:ascii="仿宋" w:hAnsi="仿宋" w:eastAsia="仿宋" w:cs="Times New Roman"/>
                <w:b/>
                <w:bCs/>
                <w:color w:val="000000"/>
                <w:kern w:val="0"/>
                <w:szCs w:val="21"/>
              </w:rPr>
            </w:pPr>
            <w:r>
              <w:rPr>
                <w:rFonts w:hint="eastAsia" w:ascii="仿宋" w:hAnsi="仿宋" w:eastAsia="仿宋"/>
                <w:b/>
                <w:bCs/>
                <w:color w:val="auto"/>
                <w:lang w:val="zh-CN"/>
              </w:rPr>
              <w:t xml:space="preserve">表4-3  </w:t>
            </w:r>
            <w:r>
              <w:rPr>
                <w:rFonts w:ascii="仿宋" w:hAnsi="仿宋" w:eastAsia="仿宋"/>
                <w:b/>
                <w:bCs/>
                <w:color w:val="auto"/>
                <w:lang w:val="zh-CN"/>
              </w:rPr>
              <w:t>北京市各</w:t>
            </w:r>
            <w:r>
              <w:rPr>
                <w:rFonts w:hint="eastAsia" w:ascii="仿宋" w:hAnsi="仿宋" w:eastAsia="仿宋"/>
                <w:b/>
                <w:bCs/>
                <w:color w:val="auto"/>
                <w:lang w:val="zh-CN"/>
              </w:rPr>
              <w:t>不同地类林木树冠覆盖</w:t>
            </w:r>
            <w:r>
              <w:rPr>
                <w:rFonts w:ascii="仿宋" w:hAnsi="仿宋" w:eastAsia="仿宋"/>
                <w:b/>
                <w:bCs/>
                <w:color w:val="auto"/>
                <w:lang w:val="zh-CN"/>
              </w:rPr>
              <w:t>统计表</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138" w:type="pct"/>
            <w:tcBorders>
              <w:top w:val="single" w:color="9BBB59" w:themeColor="accent3" w:sz="4" w:space="0"/>
              <w:bottom w:val="single" w:color="9BBB59" w:themeColor="accent3" w:sz="4" w:space="0"/>
              <w:right w:val="nil"/>
              <w:insideH w:val="single" w:sz="4" w:space="0"/>
              <w:insideV w:val="nil"/>
            </w:tcBorders>
            <w:shd w:val="clear" w:color="auto" w:fill="76923C" w:themeFill="accent3" w:themeFillShade="BF"/>
          </w:tcPr>
          <w:p>
            <w:pPr>
              <w:widowControl/>
              <w:jc w:val="center"/>
              <w:rPr>
                <w:rFonts w:ascii="仿宋" w:hAnsi="仿宋" w:eastAsia="仿宋" w:cs="Times New Roman"/>
                <w:b w:val="0"/>
                <w:bCs w:val="0"/>
                <w:color w:val="000000"/>
                <w:kern w:val="0"/>
                <w:szCs w:val="21"/>
              </w:rPr>
            </w:pPr>
            <w:r>
              <w:rPr>
                <w:rFonts w:hint="eastAsia" w:ascii="仿宋" w:hAnsi="仿宋" w:eastAsia="仿宋" w:cs="Times New Roman"/>
                <w:b/>
                <w:bCs/>
                <w:color w:val="000000"/>
                <w:kern w:val="0"/>
                <w:szCs w:val="21"/>
              </w:rPr>
              <w:t>统计单位</w:t>
            </w:r>
          </w:p>
        </w:tc>
        <w:tc>
          <w:tcPr>
            <w:tcW w:w="714" w:type="pct"/>
            <w:tcBorders>
              <w:top w:val="single" w:color="9BBB59" w:themeColor="accent3" w:sz="4" w:space="0"/>
              <w:bottom w:val="single" w:color="9BBB59" w:themeColor="accent3" w:sz="4" w:space="0"/>
              <w:insideH w:val="single" w:sz="4" w:space="0"/>
            </w:tcBorders>
            <w:shd w:val="clear" w:color="auto" w:fill="76923C" w:themeFill="accent3" w:themeFillShade="BF"/>
          </w:tcPr>
          <w:p>
            <w:pPr>
              <w:widowControl/>
              <w:jc w:val="center"/>
              <w:rPr>
                <w:rFonts w:ascii="仿宋" w:hAnsi="仿宋" w:eastAsia="仿宋" w:cs="Times New Roman"/>
                <w:b/>
                <w:bCs/>
                <w:color w:val="000000"/>
                <w:kern w:val="0"/>
                <w:szCs w:val="21"/>
              </w:rPr>
            </w:pPr>
            <w:r>
              <w:rPr>
                <w:rFonts w:hint="eastAsia" w:ascii="仿宋" w:hAnsi="仿宋" w:eastAsia="仿宋" w:cs="Times New Roman"/>
                <w:color w:val="000000"/>
                <w:kern w:val="0"/>
                <w:szCs w:val="21"/>
              </w:rPr>
              <w:t>均值</w:t>
            </w:r>
          </w:p>
        </w:tc>
        <w:tc>
          <w:tcPr>
            <w:tcW w:w="1148" w:type="pct"/>
            <w:tcBorders>
              <w:top w:val="single" w:color="9BBB59" w:themeColor="accent3" w:sz="4" w:space="0"/>
              <w:bottom w:val="single" w:color="9BBB59" w:themeColor="accent3" w:sz="4" w:space="0"/>
              <w:insideH w:val="single" w:sz="4" w:space="0"/>
            </w:tcBorders>
            <w:shd w:val="clear" w:color="auto" w:fill="76923C" w:themeFill="accent3" w:themeFillShade="BF"/>
          </w:tcPr>
          <w:p>
            <w:pPr>
              <w:widowControl/>
              <w:jc w:val="center"/>
              <w:rPr>
                <w:rFonts w:ascii="仿宋" w:hAnsi="仿宋" w:eastAsia="仿宋" w:cs="Times New Roman"/>
                <w:b/>
                <w:bCs/>
                <w:color w:val="000000"/>
                <w:kern w:val="0"/>
                <w:szCs w:val="21"/>
              </w:rPr>
            </w:pPr>
            <w:r>
              <w:rPr>
                <w:rFonts w:hint="eastAsia" w:ascii="仿宋" w:hAnsi="仿宋" w:eastAsia="仿宋" w:cs="Times New Roman"/>
                <w:color w:val="000000"/>
                <w:kern w:val="0"/>
                <w:szCs w:val="21"/>
              </w:rPr>
              <w:t>最大值</w:t>
            </w:r>
          </w:p>
        </w:tc>
        <w:tc>
          <w:tcPr>
            <w:tcW w:w="858" w:type="pct"/>
            <w:tcBorders>
              <w:top w:val="single" w:color="9BBB59" w:themeColor="accent3" w:sz="4" w:space="0"/>
              <w:bottom w:val="single" w:color="9BBB59" w:themeColor="accent3" w:sz="4" w:space="0"/>
              <w:insideH w:val="single" w:sz="4" w:space="0"/>
            </w:tcBorders>
            <w:shd w:val="clear" w:color="auto" w:fill="76923C" w:themeFill="accent3" w:themeFillShade="BF"/>
          </w:tcPr>
          <w:p>
            <w:pPr>
              <w:widowControl/>
              <w:jc w:val="center"/>
              <w:rPr>
                <w:rFonts w:ascii="仿宋" w:hAnsi="仿宋" w:eastAsia="仿宋" w:cs="Times New Roman"/>
                <w:b/>
                <w:bCs/>
                <w:color w:val="000000"/>
                <w:kern w:val="0"/>
                <w:szCs w:val="21"/>
              </w:rPr>
            </w:pPr>
            <w:r>
              <w:rPr>
                <w:rFonts w:hint="eastAsia" w:ascii="仿宋" w:hAnsi="仿宋" w:eastAsia="仿宋" w:cs="Times New Roman"/>
                <w:color w:val="000000"/>
                <w:kern w:val="0"/>
                <w:szCs w:val="21"/>
              </w:rPr>
              <w:t>最小值</w:t>
            </w:r>
          </w:p>
        </w:tc>
        <w:tc>
          <w:tcPr>
            <w:tcW w:w="1143" w:type="pct"/>
            <w:tcBorders>
              <w:top w:val="single" w:color="9BBB59" w:themeColor="accent3" w:sz="4" w:space="0"/>
              <w:bottom w:val="single" w:color="9BBB59" w:themeColor="accent3" w:sz="4" w:space="0"/>
              <w:insideH w:val="single" w:sz="4" w:space="0"/>
            </w:tcBorders>
            <w:shd w:val="clear" w:color="auto" w:fill="76923C" w:themeFill="accent3" w:themeFillShade="BF"/>
          </w:tcPr>
          <w:p>
            <w:pPr>
              <w:widowControl/>
              <w:jc w:val="center"/>
              <w:rPr>
                <w:rFonts w:ascii="仿宋" w:hAnsi="仿宋" w:eastAsia="仿宋" w:cs="Times New Roman"/>
                <w:b/>
                <w:bCs/>
                <w:color w:val="000000"/>
                <w:kern w:val="0"/>
                <w:szCs w:val="21"/>
              </w:rPr>
            </w:pPr>
            <w:r>
              <w:rPr>
                <w:rFonts w:hint="eastAsia" w:ascii="仿宋" w:hAnsi="仿宋" w:eastAsia="仿宋" w:cs="Times New Roman"/>
                <w:color w:val="000000"/>
                <w:kern w:val="0"/>
                <w:szCs w:val="21"/>
              </w:rPr>
              <w:t>标准差</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138" w:type="pct"/>
            <w:tcBorders>
              <w:right w:val="nil"/>
              <w:insideV w:val="nil"/>
            </w:tcBorders>
            <w:shd w:val="clear" w:color="auto" w:fill="FFFFFF" w:themeFill="background1"/>
          </w:tcPr>
          <w:p>
            <w:pPr>
              <w:widowControl/>
              <w:jc w:val="center"/>
              <w:rPr>
                <w:rFonts w:ascii="仿宋" w:hAnsi="仿宋" w:eastAsia="仿宋" w:cs="Times New Roman"/>
                <w:b w:val="0"/>
                <w:bCs w:val="0"/>
                <w:color w:val="000000"/>
                <w:kern w:val="0"/>
                <w:szCs w:val="21"/>
              </w:rPr>
            </w:pPr>
            <w:r>
              <w:rPr>
                <w:rFonts w:hint="eastAsia" w:ascii="仿宋" w:hAnsi="仿宋" w:eastAsia="仿宋" w:cs="Times New Roman"/>
                <w:b/>
                <w:bCs/>
                <w:color w:val="000000"/>
                <w:kern w:val="0"/>
                <w:szCs w:val="21"/>
              </w:rPr>
              <w:t>道路</w:t>
            </w:r>
          </w:p>
        </w:tc>
        <w:tc>
          <w:tcPr>
            <w:tcW w:w="714" w:type="pct"/>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29.03</w:t>
            </w:r>
          </w:p>
        </w:tc>
        <w:tc>
          <w:tcPr>
            <w:tcW w:w="1148" w:type="pct"/>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100</w:t>
            </w:r>
          </w:p>
        </w:tc>
        <w:tc>
          <w:tcPr>
            <w:tcW w:w="858" w:type="pct"/>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0</w:t>
            </w:r>
          </w:p>
        </w:tc>
        <w:tc>
          <w:tcPr>
            <w:tcW w:w="1143" w:type="pct"/>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20.06</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138"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widowControl/>
              <w:jc w:val="center"/>
              <w:rPr>
                <w:rFonts w:ascii="仿宋" w:hAnsi="仿宋" w:eastAsia="仿宋" w:cs="Times New Roman"/>
                <w:b w:val="0"/>
                <w:bCs w:val="0"/>
                <w:color w:val="000000"/>
                <w:kern w:val="0"/>
                <w:szCs w:val="21"/>
              </w:rPr>
            </w:pPr>
            <w:r>
              <w:rPr>
                <w:rFonts w:hint="eastAsia" w:ascii="仿宋" w:hAnsi="仿宋" w:eastAsia="仿宋" w:cs="Times New Roman"/>
                <w:b/>
                <w:bCs/>
                <w:color w:val="000000"/>
                <w:kern w:val="0"/>
                <w:szCs w:val="21"/>
              </w:rPr>
              <w:t>公园</w:t>
            </w:r>
          </w:p>
        </w:tc>
        <w:tc>
          <w:tcPr>
            <w:tcW w:w="714"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71.04</w:t>
            </w:r>
          </w:p>
        </w:tc>
        <w:tc>
          <w:tcPr>
            <w:tcW w:w="1148"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98.99</w:t>
            </w:r>
          </w:p>
        </w:tc>
        <w:tc>
          <w:tcPr>
            <w:tcW w:w="858"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6.07</w:t>
            </w:r>
          </w:p>
        </w:tc>
        <w:tc>
          <w:tcPr>
            <w:tcW w:w="1143"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18.70</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138" w:type="pct"/>
            <w:tcBorders>
              <w:right w:val="nil"/>
              <w:insideV w:val="nil"/>
            </w:tcBorders>
            <w:shd w:val="clear" w:color="auto" w:fill="FFFFFF" w:themeFill="background1"/>
          </w:tcPr>
          <w:p>
            <w:pPr>
              <w:widowControl/>
              <w:jc w:val="center"/>
              <w:rPr>
                <w:rFonts w:ascii="仿宋" w:hAnsi="仿宋" w:eastAsia="仿宋" w:cs="Times New Roman"/>
                <w:b w:val="0"/>
                <w:bCs w:val="0"/>
                <w:color w:val="000000"/>
                <w:kern w:val="0"/>
                <w:szCs w:val="21"/>
              </w:rPr>
            </w:pPr>
            <w:r>
              <w:rPr>
                <w:rFonts w:hint="eastAsia" w:ascii="仿宋" w:hAnsi="仿宋" w:eastAsia="仿宋" w:cs="Times New Roman"/>
                <w:b/>
                <w:bCs/>
                <w:color w:val="000000"/>
                <w:kern w:val="0"/>
                <w:szCs w:val="21"/>
              </w:rPr>
              <w:t>居住区</w:t>
            </w:r>
          </w:p>
        </w:tc>
        <w:tc>
          <w:tcPr>
            <w:tcW w:w="714" w:type="pct"/>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28.87</w:t>
            </w:r>
          </w:p>
        </w:tc>
        <w:tc>
          <w:tcPr>
            <w:tcW w:w="1148" w:type="pct"/>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54.06</w:t>
            </w:r>
          </w:p>
        </w:tc>
        <w:tc>
          <w:tcPr>
            <w:tcW w:w="858" w:type="pct"/>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15.5</w:t>
            </w:r>
          </w:p>
        </w:tc>
        <w:tc>
          <w:tcPr>
            <w:tcW w:w="1143" w:type="pct"/>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8.29</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138"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widowControl/>
              <w:jc w:val="center"/>
              <w:rPr>
                <w:rFonts w:ascii="仿宋" w:hAnsi="仿宋" w:eastAsia="仿宋" w:cs="Times New Roman"/>
                <w:b w:val="0"/>
                <w:bCs w:val="0"/>
                <w:color w:val="000000"/>
                <w:kern w:val="0"/>
                <w:szCs w:val="21"/>
              </w:rPr>
            </w:pPr>
            <w:r>
              <w:rPr>
                <w:rFonts w:hint="eastAsia" w:ascii="仿宋" w:hAnsi="仿宋" w:eastAsia="仿宋" w:cs="Times New Roman"/>
                <w:b/>
                <w:bCs/>
                <w:color w:val="000000"/>
                <w:kern w:val="0"/>
                <w:szCs w:val="21"/>
              </w:rPr>
              <w:t>单位</w:t>
            </w:r>
          </w:p>
        </w:tc>
        <w:tc>
          <w:tcPr>
            <w:tcW w:w="714"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16.72</w:t>
            </w:r>
          </w:p>
        </w:tc>
        <w:tc>
          <w:tcPr>
            <w:tcW w:w="1148"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50.39</w:t>
            </w:r>
          </w:p>
        </w:tc>
        <w:tc>
          <w:tcPr>
            <w:tcW w:w="858"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0</w:t>
            </w:r>
          </w:p>
        </w:tc>
        <w:tc>
          <w:tcPr>
            <w:tcW w:w="1143"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14.35</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138" w:type="pct"/>
            <w:tcBorders>
              <w:right w:val="nil"/>
              <w:insideV w:val="nil"/>
            </w:tcBorders>
            <w:shd w:val="clear" w:color="auto" w:fill="FFFFFF" w:themeFill="background1"/>
          </w:tcPr>
          <w:p>
            <w:pPr>
              <w:widowControl/>
              <w:jc w:val="center"/>
              <w:rPr>
                <w:rFonts w:ascii="仿宋" w:hAnsi="仿宋" w:eastAsia="仿宋" w:cs="Times New Roman"/>
                <w:b w:val="0"/>
                <w:bCs w:val="0"/>
                <w:color w:val="000000"/>
                <w:kern w:val="0"/>
                <w:szCs w:val="21"/>
              </w:rPr>
            </w:pPr>
            <w:r>
              <w:rPr>
                <w:rFonts w:hint="eastAsia" w:ascii="仿宋" w:hAnsi="仿宋" w:eastAsia="仿宋" w:cs="Times New Roman"/>
                <w:b/>
                <w:bCs/>
                <w:color w:val="000000"/>
                <w:kern w:val="0"/>
                <w:szCs w:val="21"/>
              </w:rPr>
              <w:t>医院</w:t>
            </w:r>
          </w:p>
        </w:tc>
        <w:tc>
          <w:tcPr>
            <w:tcW w:w="714" w:type="pct"/>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14.26</w:t>
            </w:r>
          </w:p>
        </w:tc>
        <w:tc>
          <w:tcPr>
            <w:tcW w:w="1148" w:type="pct"/>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49.8</w:t>
            </w:r>
          </w:p>
        </w:tc>
        <w:tc>
          <w:tcPr>
            <w:tcW w:w="858" w:type="pct"/>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0</w:t>
            </w:r>
          </w:p>
        </w:tc>
        <w:tc>
          <w:tcPr>
            <w:tcW w:w="1143" w:type="pct"/>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10.36</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138"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widowControl/>
              <w:jc w:val="center"/>
              <w:rPr>
                <w:rFonts w:ascii="仿宋" w:hAnsi="仿宋" w:eastAsia="仿宋" w:cs="Times New Roman"/>
                <w:b w:val="0"/>
                <w:bCs w:val="0"/>
                <w:color w:val="000000"/>
                <w:kern w:val="0"/>
                <w:szCs w:val="21"/>
              </w:rPr>
            </w:pPr>
            <w:r>
              <w:rPr>
                <w:rFonts w:hint="eastAsia" w:ascii="仿宋" w:hAnsi="仿宋" w:eastAsia="仿宋" w:cs="Times New Roman"/>
                <w:b/>
                <w:bCs/>
                <w:color w:val="000000"/>
                <w:kern w:val="0"/>
                <w:szCs w:val="21"/>
              </w:rPr>
              <w:t>大学</w:t>
            </w:r>
          </w:p>
        </w:tc>
        <w:tc>
          <w:tcPr>
            <w:tcW w:w="714"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25.20</w:t>
            </w:r>
          </w:p>
        </w:tc>
        <w:tc>
          <w:tcPr>
            <w:tcW w:w="1148"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59.73</w:t>
            </w:r>
          </w:p>
        </w:tc>
        <w:tc>
          <w:tcPr>
            <w:tcW w:w="858"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2.06</w:t>
            </w:r>
          </w:p>
        </w:tc>
        <w:tc>
          <w:tcPr>
            <w:tcW w:w="1143"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11.67</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1138" w:type="pct"/>
            <w:tcBorders>
              <w:right w:val="nil"/>
              <w:insideV w:val="nil"/>
            </w:tcBorders>
            <w:shd w:val="clear" w:color="auto" w:fill="FFFFFF" w:themeFill="background1"/>
          </w:tcPr>
          <w:p>
            <w:pPr>
              <w:widowControl/>
              <w:jc w:val="center"/>
              <w:rPr>
                <w:rFonts w:ascii="仿宋" w:hAnsi="仿宋" w:eastAsia="仿宋" w:cs="Times New Roman"/>
                <w:b w:val="0"/>
                <w:bCs w:val="0"/>
                <w:color w:val="000000"/>
                <w:kern w:val="0"/>
                <w:szCs w:val="21"/>
              </w:rPr>
            </w:pPr>
            <w:r>
              <w:rPr>
                <w:rFonts w:hint="eastAsia" w:ascii="仿宋" w:hAnsi="仿宋" w:eastAsia="仿宋" w:cs="Times New Roman"/>
                <w:b/>
                <w:bCs/>
                <w:color w:val="000000"/>
                <w:kern w:val="0"/>
                <w:szCs w:val="21"/>
              </w:rPr>
              <w:t>中学</w:t>
            </w:r>
          </w:p>
        </w:tc>
        <w:tc>
          <w:tcPr>
            <w:tcW w:w="714" w:type="pct"/>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14.65</w:t>
            </w:r>
          </w:p>
        </w:tc>
        <w:tc>
          <w:tcPr>
            <w:tcW w:w="1148" w:type="pct"/>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47.63</w:t>
            </w:r>
          </w:p>
        </w:tc>
        <w:tc>
          <w:tcPr>
            <w:tcW w:w="858" w:type="pct"/>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0.3</w:t>
            </w:r>
          </w:p>
        </w:tc>
        <w:tc>
          <w:tcPr>
            <w:tcW w:w="1143" w:type="pct"/>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8.10</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138"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widowControl/>
              <w:jc w:val="center"/>
              <w:rPr>
                <w:rFonts w:ascii="仿宋" w:hAnsi="仿宋" w:eastAsia="仿宋" w:cs="Times New Roman"/>
                <w:b w:val="0"/>
                <w:bCs w:val="0"/>
                <w:color w:val="000000"/>
                <w:kern w:val="0"/>
                <w:szCs w:val="21"/>
              </w:rPr>
            </w:pPr>
            <w:r>
              <w:rPr>
                <w:rFonts w:hint="eastAsia" w:ascii="仿宋" w:hAnsi="仿宋" w:eastAsia="仿宋" w:cs="Times New Roman"/>
                <w:b/>
                <w:bCs/>
                <w:color w:val="000000"/>
                <w:kern w:val="0"/>
                <w:szCs w:val="21"/>
              </w:rPr>
              <w:t>小学</w:t>
            </w:r>
          </w:p>
        </w:tc>
        <w:tc>
          <w:tcPr>
            <w:tcW w:w="714"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 xml:space="preserve">16.31 </w:t>
            </w:r>
          </w:p>
        </w:tc>
        <w:tc>
          <w:tcPr>
            <w:tcW w:w="1148"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64.45</w:t>
            </w:r>
          </w:p>
        </w:tc>
        <w:tc>
          <w:tcPr>
            <w:tcW w:w="858"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0</w:t>
            </w:r>
          </w:p>
        </w:tc>
        <w:tc>
          <w:tcPr>
            <w:tcW w:w="1143"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cs="Times New Roman"/>
                <w:b/>
                <w:bCs/>
                <w:color w:val="000000"/>
                <w:kern w:val="0"/>
                <w:szCs w:val="21"/>
              </w:rPr>
            </w:pPr>
            <w:r>
              <w:rPr>
                <w:rFonts w:hint="eastAsia" w:ascii="仿宋" w:hAnsi="仿宋" w:eastAsia="仿宋" w:cs="Times New Roman"/>
                <w:b/>
                <w:bCs/>
                <w:color w:val="000000"/>
                <w:kern w:val="0"/>
                <w:szCs w:val="21"/>
              </w:rPr>
              <w:t>10.34</w:t>
            </w:r>
          </w:p>
        </w:tc>
      </w:tr>
    </w:tbl>
    <w:p>
      <w:pPr>
        <w:pStyle w:val="4"/>
        <w:spacing w:before="217" w:after="217" w:line="240" w:lineRule="auto"/>
        <w:rPr>
          <w:rFonts w:ascii="仿宋" w:hAnsi="仿宋" w:eastAsia="仿宋" w:cs="Times New Roman"/>
          <w:spacing w:val="20"/>
        </w:rPr>
      </w:pPr>
      <w:bookmarkStart w:id="123" w:name="_Toc27389898"/>
      <w:r>
        <w:rPr>
          <w:rFonts w:hint="eastAsia" w:ascii="仿宋" w:hAnsi="仿宋" w:eastAsia="仿宋" w:cs="Times New Roman"/>
          <w:spacing w:val="20"/>
        </w:rPr>
        <w:t>（三）减轻城市森林</w:t>
      </w:r>
      <w:bookmarkEnd w:id="119"/>
      <w:bookmarkEnd w:id="120"/>
      <w:r>
        <w:rPr>
          <w:rFonts w:hint="eastAsia" w:ascii="仿宋" w:hAnsi="仿宋" w:eastAsia="仿宋" w:cs="Times New Roman"/>
          <w:spacing w:val="20"/>
        </w:rPr>
        <w:t>破碎</w:t>
      </w:r>
      <w:bookmarkEnd w:id="123"/>
    </w:p>
    <w:p>
      <w:pPr>
        <w:ind w:firstLine="560" w:firstLineChars="200"/>
        <w:rPr>
          <w:rFonts w:ascii="仿宋" w:hAnsi="仿宋" w:eastAsia="仿宋" w:cs="Times New Roman"/>
          <w:sz w:val="28"/>
          <w:szCs w:val="24"/>
        </w:rPr>
      </w:pPr>
      <w:r>
        <w:rPr>
          <w:rFonts w:hint="eastAsia" w:ascii="仿宋" w:hAnsi="仿宋" w:eastAsia="仿宋" w:cs="Times New Roman"/>
          <w:sz w:val="28"/>
          <w:szCs w:val="24"/>
        </w:rPr>
        <w:t>我们</w:t>
      </w:r>
      <w:r>
        <w:rPr>
          <w:rFonts w:ascii="仿宋" w:hAnsi="仿宋" w:eastAsia="仿宋" w:cs="Times New Roman"/>
          <w:sz w:val="28"/>
          <w:szCs w:val="24"/>
        </w:rPr>
        <w:t>按照小斑块（0.01</w:t>
      </w:r>
      <w:r>
        <w:rPr>
          <w:rFonts w:hint="eastAsia" w:ascii="仿宋" w:hAnsi="仿宋" w:eastAsia="仿宋" w:cs="Times New Roman"/>
          <w:sz w:val="28"/>
          <w:szCs w:val="24"/>
        </w:rPr>
        <w:t>~2</w:t>
      </w:r>
      <w:r>
        <w:rPr>
          <w:rFonts w:ascii="仿宋" w:hAnsi="仿宋" w:eastAsia="仿宋" w:cs="Times New Roman"/>
          <w:sz w:val="28"/>
          <w:szCs w:val="24"/>
        </w:rPr>
        <w:t>.50公顷）、中斑块（2.51~5.00公顷）、中大斑块（5.01~20.00公顷）、大斑块（20.01~ 60.00公顷</w:t>
      </w:r>
      <w:r>
        <w:rPr>
          <w:rFonts w:ascii="仿宋" w:hAnsi="仿宋" w:eastAsia="仿宋" w:cs="Times New Roman"/>
          <w:sz w:val="28"/>
          <w:szCs w:val="24"/>
        </w:rPr>
        <w:tab/>
      </w:r>
      <w:r>
        <w:rPr>
          <w:rFonts w:ascii="仿宋" w:hAnsi="仿宋" w:eastAsia="仿宋" w:cs="Times New Roman"/>
          <w:sz w:val="28"/>
          <w:szCs w:val="24"/>
        </w:rPr>
        <w:t>）、超大斑块（60.01~600公顷）和巨斑块（＞600.00公顷）</w:t>
      </w:r>
      <w:r>
        <w:rPr>
          <w:rFonts w:hint="eastAsia" w:ascii="仿宋" w:hAnsi="仿宋" w:eastAsia="仿宋" w:cs="Times New Roman"/>
          <w:sz w:val="28"/>
          <w:szCs w:val="24"/>
        </w:rPr>
        <w:t>等不同等级，对北京城市森林的破碎情况</w:t>
      </w:r>
      <w:r>
        <w:rPr>
          <w:rFonts w:ascii="仿宋" w:hAnsi="仿宋" w:eastAsia="仿宋" w:cs="Times New Roman"/>
          <w:sz w:val="28"/>
          <w:szCs w:val="24"/>
        </w:rPr>
        <w:t>进行了分析。</w:t>
      </w:r>
    </w:p>
    <w:p>
      <w:pPr>
        <w:pStyle w:val="5"/>
        <w:spacing w:before="0" w:after="0" w:line="240" w:lineRule="auto"/>
        <w:rPr>
          <w:rFonts w:ascii="仿宋" w:hAnsi="仿宋" w:eastAsia="仿宋"/>
        </w:rPr>
      </w:pPr>
      <w:bookmarkStart w:id="124" w:name="_Toc530648963"/>
      <w:r>
        <w:rPr>
          <w:rFonts w:hint="eastAsia" w:ascii="仿宋" w:hAnsi="仿宋" w:eastAsia="仿宋"/>
        </w:rPr>
        <w:t>1.斑块数量</w:t>
      </w:r>
      <w:bookmarkEnd w:id="124"/>
    </w:p>
    <w:p>
      <w:pPr>
        <w:ind w:firstLine="560" w:firstLineChars="200"/>
        <w:rPr>
          <w:rFonts w:ascii="仿宋" w:hAnsi="仿宋" w:eastAsia="仿宋" w:cs="Times New Roman"/>
          <w:sz w:val="28"/>
          <w:szCs w:val="24"/>
        </w:rPr>
      </w:pPr>
      <w:r>
        <w:rPr>
          <w:rFonts w:hint="eastAsia" w:ascii="仿宋" w:hAnsi="仿宋" w:eastAsia="仿宋" w:cs="Times New Roman"/>
          <w:sz w:val="28"/>
          <w:szCs w:val="24"/>
        </w:rPr>
        <w:t>近年来北京森林</w:t>
      </w:r>
      <w:r>
        <w:rPr>
          <w:rFonts w:hint="eastAsia" w:ascii="仿宋" w:hAnsi="仿宋" w:eastAsia="仿宋"/>
          <w:sz w:val="28"/>
          <w:szCs w:val="24"/>
        </w:rPr>
        <w:t>斑块数量明显增加，主要分布在延庆、密云、怀柔等西北部山区，以及昌平、大兴、房山、通州和平谷等平原地区。</w:t>
      </w:r>
    </w:p>
    <w:p>
      <w:pPr>
        <w:jc w:val="center"/>
        <w:rPr>
          <w:rFonts w:ascii="仿宋" w:hAnsi="仿宋" w:eastAsia="仿宋" w:cs="Times New Roman"/>
          <w:sz w:val="24"/>
        </w:rPr>
      </w:pPr>
    </w:p>
    <w:p>
      <w:pPr>
        <w:jc w:val="center"/>
        <w:rPr>
          <w:rFonts w:ascii="仿宋" w:hAnsi="仿宋" w:eastAsia="仿宋" w:cs="Times New Roman"/>
          <w:sz w:val="24"/>
        </w:rPr>
      </w:pPr>
      <w:r>
        <w:rPr>
          <w:rFonts w:hint="eastAsia" w:ascii="仿宋" w:hAnsi="仿宋" w:eastAsia="仿宋"/>
          <w:b/>
          <w:lang w:val="zh-CN"/>
        </w:rPr>
        <w:t xml:space="preserve"> </w:t>
      </w:r>
      <w:r>
        <w:rPr>
          <w:rFonts w:ascii="仿宋" w:hAnsi="仿宋" w:eastAsia="仿宋"/>
          <w:b/>
          <w:lang w:val="zh-CN"/>
        </w:rPr>
        <w:t xml:space="preserve">                          </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00"/>
        <w:gridCol w:w="41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1" w:hRule="atLeast"/>
        </w:trPr>
        <w:tc>
          <w:tcPr>
            <w:tcW w:w="4300" w:type="dxa"/>
          </w:tcPr>
          <w:p>
            <w:pPr>
              <w:jc w:val="center"/>
              <w:rPr>
                <w:rFonts w:ascii="仿宋" w:hAnsi="仿宋" w:eastAsia="仿宋" w:cs="Times New Roman"/>
                <w:sz w:val="24"/>
              </w:rPr>
            </w:pPr>
            <w:r>
              <w:rPr>
                <w:rFonts w:ascii="仿宋" w:hAnsi="仿宋" w:eastAsia="仿宋" w:cs="Times New Roman"/>
                <w:sz w:val="24"/>
              </w:rPr>
              <w:drawing>
                <wp:anchor distT="0" distB="0" distL="114300" distR="114300" simplePos="0" relativeHeight="251709440" behindDoc="0" locked="0" layoutInCell="1" allowOverlap="1">
                  <wp:simplePos x="0" y="0"/>
                  <wp:positionH relativeFrom="margin">
                    <wp:posOffset>-73660</wp:posOffset>
                  </wp:positionH>
                  <wp:positionV relativeFrom="paragraph">
                    <wp:posOffset>7620</wp:posOffset>
                  </wp:positionV>
                  <wp:extent cx="2626995" cy="2626995"/>
                  <wp:effectExtent l="0" t="0" r="2540" b="2540"/>
                  <wp:wrapNone/>
                  <wp:docPr id="28687" name="图片 286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687" name="图片 28687"/>
                          <pic:cNvPicPr>
                            <a:picLocks noChangeAspect="true" noChangeArrowheads="true"/>
                          </pic:cNvPicPr>
                        </pic:nvPicPr>
                        <pic:blipFill>
                          <a:blip r:embed="rId22" cstate="print">
                            <a:extLst>
                              <a:ext uri="{28A0092B-C50C-407E-A947-70E740481C1C}">
                                <a14:useLocalDpi xmlns:a14="http://schemas.microsoft.com/office/drawing/2010/main" val="false"/>
                              </a:ext>
                            </a:extLst>
                          </a:blip>
                          <a:srcRect/>
                          <a:stretch>
                            <a:fillRect/>
                          </a:stretch>
                        </pic:blipFill>
                        <pic:spPr>
                          <a:xfrm>
                            <a:off x="0" y="0"/>
                            <a:ext cx="2626963" cy="2626963"/>
                          </a:xfrm>
                          <a:prstGeom prst="rect">
                            <a:avLst/>
                          </a:prstGeom>
                          <a:noFill/>
                          <a:ln>
                            <a:noFill/>
                          </a:ln>
                        </pic:spPr>
                      </pic:pic>
                    </a:graphicData>
                  </a:graphic>
                </wp:anchor>
              </w:drawing>
            </w:r>
          </w:p>
        </w:tc>
        <w:tc>
          <w:tcPr>
            <w:tcW w:w="4194" w:type="dxa"/>
          </w:tcPr>
          <w:p>
            <w:pPr>
              <w:jc w:val="center"/>
              <w:rPr>
                <w:rFonts w:ascii="仿宋" w:hAnsi="仿宋" w:eastAsia="仿宋" w:cs="Times New Roman"/>
                <w:sz w:val="24"/>
              </w:rPr>
            </w:pPr>
            <w:r>
              <w:rPr>
                <w:rFonts w:ascii="仿宋" w:hAnsi="仿宋" w:eastAsia="仿宋" w:cs="Times New Roman"/>
                <w:b/>
                <w:sz w:val="24"/>
              </w:rPr>
              <w:drawing>
                <wp:anchor distT="0" distB="0" distL="114300" distR="114300" simplePos="0" relativeHeight="251715584" behindDoc="0" locked="0" layoutInCell="1" allowOverlap="1">
                  <wp:simplePos x="0" y="0"/>
                  <wp:positionH relativeFrom="margin">
                    <wp:posOffset>-5080</wp:posOffset>
                  </wp:positionH>
                  <wp:positionV relativeFrom="paragraph">
                    <wp:posOffset>22860</wp:posOffset>
                  </wp:positionV>
                  <wp:extent cx="2581275" cy="2581275"/>
                  <wp:effectExtent l="0" t="0" r="9525" b="9525"/>
                  <wp:wrapNone/>
                  <wp:docPr id="28688" name="图片 286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688" name="图片 28688"/>
                          <pic:cNvPicPr>
                            <a:picLocks noChangeAspect="true" noChangeArrowheads="true"/>
                          </pic:cNvPicPr>
                        </pic:nvPicPr>
                        <pic:blipFill>
                          <a:blip r:embed="rId23" cstate="print">
                            <a:extLst>
                              <a:ext uri="{28A0092B-C50C-407E-A947-70E740481C1C}">
                                <a14:useLocalDpi xmlns:a14="http://schemas.microsoft.com/office/drawing/2010/main" val="false"/>
                              </a:ext>
                            </a:extLst>
                          </a:blip>
                          <a:stretch>
                            <a:fillRect/>
                          </a:stretch>
                        </pic:blipFill>
                        <pic:spPr>
                          <a:xfrm>
                            <a:off x="0" y="0"/>
                            <a:ext cx="2581275" cy="25812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00" w:type="dxa"/>
          </w:tcPr>
          <w:p>
            <w:pPr>
              <w:jc w:val="center"/>
              <w:rPr>
                <w:rFonts w:ascii="仿宋" w:hAnsi="仿宋" w:eastAsia="仿宋" w:cs="Times New Roman"/>
                <w:sz w:val="24"/>
              </w:rPr>
            </w:pPr>
            <w:r>
              <w:rPr>
                <w:rFonts w:hint="eastAsia" w:ascii="仿宋" w:hAnsi="仿宋" w:eastAsia="仿宋"/>
                <w:b/>
                <w:lang w:val="zh-CN"/>
              </w:rPr>
              <w:t>图4-15</w:t>
            </w:r>
            <w:r>
              <w:rPr>
                <w:rFonts w:ascii="仿宋" w:hAnsi="仿宋" w:eastAsia="仿宋"/>
                <w:b/>
                <w:lang w:val="zh-CN"/>
              </w:rPr>
              <w:t xml:space="preserve"> </w:t>
            </w:r>
            <w:r>
              <w:rPr>
                <w:rFonts w:hint="eastAsia" w:ascii="仿宋" w:hAnsi="仿宋" w:eastAsia="仿宋"/>
                <w:b/>
                <w:lang w:val="zh-CN"/>
              </w:rPr>
              <w:t>森林斑块分布对比图</w:t>
            </w:r>
          </w:p>
        </w:tc>
        <w:tc>
          <w:tcPr>
            <w:tcW w:w="4194" w:type="dxa"/>
          </w:tcPr>
          <w:p>
            <w:pPr>
              <w:jc w:val="center"/>
              <w:rPr>
                <w:rFonts w:ascii="仿宋" w:hAnsi="仿宋" w:eastAsia="仿宋"/>
                <w:b/>
                <w:lang w:val="zh-CN"/>
              </w:rPr>
            </w:pPr>
            <w:r>
              <w:rPr>
                <w:rFonts w:hint="eastAsia" w:ascii="仿宋" w:hAnsi="仿宋" w:eastAsia="仿宋"/>
                <w:b/>
                <w:lang w:val="zh-CN"/>
              </w:rPr>
              <w:t>图4-16北京已建及在建生态廊道分布图</w:t>
            </w:r>
          </w:p>
        </w:tc>
      </w:tr>
    </w:tbl>
    <w:p>
      <w:pPr>
        <w:jc w:val="center"/>
        <w:rPr>
          <w:rFonts w:ascii="仿宋" w:hAnsi="仿宋" w:eastAsia="仿宋" w:cs="Times New Roman"/>
          <w:sz w:val="24"/>
        </w:rPr>
      </w:pPr>
    </w:p>
    <w:p>
      <w:pPr>
        <w:pStyle w:val="5"/>
        <w:spacing w:before="0" w:after="0" w:line="240" w:lineRule="auto"/>
        <w:rPr>
          <w:rFonts w:ascii="仿宋" w:hAnsi="仿宋" w:eastAsia="仿宋"/>
        </w:rPr>
      </w:pPr>
      <w:bookmarkStart w:id="125" w:name="_Toc530648964"/>
      <w:r>
        <w:rPr>
          <w:rFonts w:hint="eastAsia" w:ascii="仿宋" w:hAnsi="仿宋" w:eastAsia="仿宋"/>
        </w:rPr>
        <w:t>2.斑块结构</w:t>
      </w:r>
      <w:bookmarkEnd w:id="125"/>
    </w:p>
    <w:p>
      <w:pPr>
        <w:ind w:firstLine="560" w:firstLineChars="200"/>
        <w:rPr>
          <w:rFonts w:ascii="仿宋" w:hAnsi="仿宋" w:eastAsia="仿宋" w:cs="Times New Roman"/>
          <w:sz w:val="28"/>
          <w:szCs w:val="28"/>
        </w:rPr>
      </w:pPr>
      <w:r>
        <w:rPr>
          <w:rFonts w:hint="eastAsia" w:ascii="仿宋" w:hAnsi="仿宋" w:eastAsia="仿宋"/>
          <w:sz w:val="28"/>
          <w:szCs w:val="24"/>
        </w:rPr>
        <w:t>平原区森</w:t>
      </w:r>
      <w:r>
        <w:rPr>
          <w:rFonts w:hint="eastAsia" w:ascii="仿宋" w:hAnsi="仿宋" w:eastAsia="仿宋" w:cs="Times New Roman"/>
          <w:sz w:val="28"/>
          <w:szCs w:val="28"/>
        </w:rPr>
        <w:t>林小斑块数量占主体，2009年-2014年增长明显，占斑块总数的</w:t>
      </w:r>
      <w:r>
        <w:rPr>
          <w:rFonts w:ascii="仿宋" w:hAnsi="仿宋" w:eastAsia="仿宋" w:cs="Times New Roman"/>
          <w:sz w:val="28"/>
          <w:szCs w:val="28"/>
        </w:rPr>
        <w:t>58.9%</w:t>
      </w:r>
      <w:r>
        <w:rPr>
          <w:rFonts w:hint="eastAsia" w:ascii="仿宋" w:hAnsi="仿宋" w:eastAsia="仿宋" w:cs="Times New Roman"/>
          <w:sz w:val="28"/>
          <w:szCs w:val="28"/>
        </w:rPr>
        <w:t>和</w:t>
      </w:r>
      <w:r>
        <w:rPr>
          <w:rFonts w:ascii="仿宋" w:hAnsi="仿宋" w:eastAsia="仿宋" w:cs="Times New Roman"/>
          <w:sz w:val="28"/>
          <w:szCs w:val="28"/>
        </w:rPr>
        <w:t>64.97%</w:t>
      </w:r>
      <w:r>
        <w:rPr>
          <w:rFonts w:hint="eastAsia" w:ascii="仿宋" w:hAnsi="仿宋" w:eastAsia="仿宋" w:cs="Times New Roman"/>
          <w:sz w:val="28"/>
          <w:szCs w:val="28"/>
        </w:rPr>
        <w:t>。从面积比重来看，面积2</w:t>
      </w:r>
      <w:r>
        <w:rPr>
          <w:rFonts w:ascii="仿宋" w:hAnsi="仿宋" w:eastAsia="仿宋" w:cs="Times New Roman"/>
          <w:sz w:val="28"/>
          <w:szCs w:val="28"/>
        </w:rPr>
        <w:t>0</w:t>
      </w:r>
      <w:r>
        <w:rPr>
          <w:rFonts w:hint="eastAsia" w:ascii="仿宋" w:hAnsi="仿宋" w:eastAsia="仿宋" w:cs="Times New Roman"/>
          <w:sz w:val="28"/>
          <w:szCs w:val="28"/>
        </w:rPr>
        <w:t>公顷以上的斑块占总面积的7</w:t>
      </w:r>
      <w:r>
        <w:rPr>
          <w:rFonts w:ascii="仿宋" w:hAnsi="仿宋" w:eastAsia="仿宋" w:cs="Times New Roman"/>
          <w:sz w:val="28"/>
          <w:szCs w:val="28"/>
        </w:rPr>
        <w:t>9.46</w:t>
      </w:r>
      <w:r>
        <w:rPr>
          <w:rFonts w:hint="eastAsia" w:ascii="仿宋" w:hAnsi="仿宋" w:eastAsia="仿宋" w:cs="Times New Roman"/>
          <w:sz w:val="28"/>
          <w:szCs w:val="28"/>
        </w:rPr>
        <w:t>%，面积</w:t>
      </w:r>
      <w:r>
        <w:rPr>
          <w:rFonts w:ascii="仿宋" w:hAnsi="仿宋" w:eastAsia="仿宋" w:cs="Times New Roman"/>
          <w:sz w:val="28"/>
          <w:szCs w:val="28"/>
        </w:rPr>
        <w:t>60</w:t>
      </w:r>
      <w:r>
        <w:rPr>
          <w:rFonts w:hint="eastAsia" w:ascii="仿宋" w:hAnsi="仿宋" w:eastAsia="仿宋" w:cs="Times New Roman"/>
          <w:sz w:val="28"/>
          <w:szCs w:val="28"/>
        </w:rPr>
        <w:t xml:space="preserve">公顷以上的斑块占总面积的64.51%。 </w:t>
      </w:r>
      <w:bookmarkStart w:id="126" w:name="_Toc530648965"/>
    </w:p>
    <w:p>
      <w:pPr>
        <w:ind w:firstLine="480" w:firstLineChars="200"/>
        <w:rPr>
          <w:rFonts w:ascii="仿宋" w:hAnsi="仿宋" w:eastAsia="仿宋" w:cs="Times New Roman"/>
          <w:sz w:val="24"/>
          <w:szCs w:val="24"/>
        </w:rPr>
      </w:pPr>
    </w:p>
    <w:tbl>
      <w:tblPr>
        <w:tblStyle w:val="28"/>
        <w:tblW w:w="5006" w:type="pct"/>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04"/>
        <w:gridCol w:w="2132"/>
        <w:gridCol w:w="2308"/>
        <w:gridCol w:w="21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05" w:type="pct"/>
            <w:vAlign w:val="bottom"/>
          </w:tcPr>
          <w:p>
            <w:pPr>
              <w:jc w:val="center"/>
              <w:rPr>
                <w:rFonts w:ascii="仿宋" w:hAnsi="仿宋" w:eastAsia="仿宋" w:cs="Times New Roman"/>
                <w:sz w:val="16"/>
                <w:szCs w:val="24"/>
              </w:rPr>
            </w:pPr>
            <w:r>
              <w:rPr>
                <w:rFonts w:ascii="仿宋" w:hAnsi="仿宋" w:eastAsia="仿宋" w:cs="Times New Roman"/>
                <w:sz w:val="16"/>
                <w:szCs w:val="24"/>
              </w:rPr>
              <w:t>2009</w:t>
            </w:r>
            <w:r>
              <w:rPr>
                <w:rFonts w:hint="eastAsia" w:ascii="仿宋" w:hAnsi="仿宋" w:eastAsia="仿宋" w:cs="Times New Roman"/>
                <w:sz w:val="16"/>
                <w:szCs w:val="24"/>
              </w:rPr>
              <w:t>年</w:t>
            </w:r>
          </w:p>
        </w:tc>
        <w:tc>
          <w:tcPr>
            <w:tcW w:w="1221" w:type="pct"/>
            <w:vAlign w:val="bottom"/>
          </w:tcPr>
          <w:p>
            <w:pPr>
              <w:jc w:val="center"/>
              <w:rPr>
                <w:rFonts w:ascii="仿宋" w:hAnsi="仿宋" w:eastAsia="仿宋" w:cs="Times New Roman"/>
                <w:sz w:val="16"/>
                <w:szCs w:val="24"/>
              </w:rPr>
            </w:pPr>
            <w:r>
              <w:rPr>
                <w:rFonts w:ascii="仿宋" w:hAnsi="仿宋" w:eastAsia="仿宋" w:cs="Times New Roman"/>
                <w:sz w:val="16"/>
                <w:szCs w:val="24"/>
              </w:rPr>
              <w:t>2014</w:t>
            </w:r>
            <w:r>
              <w:rPr>
                <w:rFonts w:hint="eastAsia" w:ascii="仿宋" w:hAnsi="仿宋" w:eastAsia="仿宋" w:cs="Times New Roman"/>
                <w:sz w:val="16"/>
                <w:szCs w:val="24"/>
              </w:rPr>
              <w:t>年</w:t>
            </w:r>
          </w:p>
        </w:tc>
        <w:tc>
          <w:tcPr>
            <w:tcW w:w="1322" w:type="pct"/>
            <w:vAlign w:val="bottom"/>
          </w:tcPr>
          <w:p>
            <w:pPr>
              <w:jc w:val="center"/>
              <w:rPr>
                <w:rFonts w:ascii="仿宋" w:hAnsi="仿宋" w:eastAsia="仿宋" w:cs="Times New Roman"/>
                <w:sz w:val="24"/>
                <w:szCs w:val="24"/>
              </w:rPr>
            </w:pPr>
            <w:r>
              <w:rPr>
                <w:rFonts w:ascii="仿宋" w:hAnsi="仿宋" w:eastAsia="仿宋" w:cs="Times New Roman"/>
                <w:sz w:val="16"/>
                <w:szCs w:val="24"/>
              </w:rPr>
              <w:t>2009</w:t>
            </w:r>
            <w:r>
              <w:rPr>
                <w:rFonts w:hint="eastAsia" w:ascii="仿宋" w:hAnsi="仿宋" w:eastAsia="仿宋" w:cs="Times New Roman"/>
                <w:sz w:val="16"/>
                <w:szCs w:val="24"/>
              </w:rPr>
              <w:t>年</w:t>
            </w:r>
          </w:p>
        </w:tc>
        <w:tc>
          <w:tcPr>
            <w:tcW w:w="1252" w:type="pct"/>
            <w:vAlign w:val="bottom"/>
          </w:tcPr>
          <w:p>
            <w:pPr>
              <w:jc w:val="center"/>
              <w:rPr>
                <w:rFonts w:ascii="仿宋" w:hAnsi="仿宋" w:eastAsia="仿宋" w:cs="Times New Roman"/>
                <w:sz w:val="24"/>
                <w:szCs w:val="24"/>
              </w:rPr>
            </w:pPr>
            <w:r>
              <w:rPr>
                <w:rFonts w:ascii="仿宋" w:hAnsi="仿宋" w:eastAsia="仿宋" w:cs="Times New Roman"/>
                <w:sz w:val="16"/>
                <w:szCs w:val="24"/>
              </w:rPr>
              <w:t>2014</w:t>
            </w:r>
            <w:r>
              <w:rPr>
                <w:rFonts w:hint="eastAsia" w:ascii="仿宋" w:hAnsi="仿宋" w:eastAsia="仿宋" w:cs="Times New Roman"/>
                <w:sz w:val="16"/>
                <w:szCs w:val="24"/>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05" w:type="pct"/>
          </w:tcPr>
          <w:p>
            <w:pPr>
              <w:rPr>
                <w:rFonts w:ascii="仿宋" w:hAnsi="仿宋" w:eastAsia="仿宋" w:cs="Times New Roman"/>
                <w:sz w:val="24"/>
                <w:szCs w:val="24"/>
              </w:rPr>
            </w:pPr>
            <w:r>
              <w:rPr>
                <w:rFonts w:ascii="仿宋" w:hAnsi="仿宋" w:eastAsia="仿宋" w:cs="Times New Roman"/>
                <w:sz w:val="24"/>
                <w:szCs w:val="24"/>
              </w:rPr>
              <w:drawing>
                <wp:inline distT="0" distB="0" distL="0" distR="0">
                  <wp:extent cx="1163320" cy="901065"/>
                  <wp:effectExtent l="0" t="0" r="0" b="0"/>
                  <wp:docPr id="95272" name="图片 9527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272" name="图片 95272"/>
                          <pic:cNvPicPr>
                            <a:picLocks noChangeAspect="true" noChangeArrowheads="true"/>
                          </pic:cNvPicPr>
                        </pic:nvPicPr>
                        <pic:blipFill>
                          <a:blip r:embed="rId24" cstate="print"/>
                          <a:srcRect/>
                          <a:stretch>
                            <a:fillRect/>
                          </a:stretch>
                        </pic:blipFill>
                        <pic:spPr>
                          <a:xfrm>
                            <a:off x="0" y="0"/>
                            <a:ext cx="1183348" cy="916817"/>
                          </a:xfrm>
                          <a:prstGeom prst="rect">
                            <a:avLst/>
                          </a:prstGeom>
                          <a:noFill/>
                          <a:ln>
                            <a:noFill/>
                          </a:ln>
                        </pic:spPr>
                      </pic:pic>
                    </a:graphicData>
                  </a:graphic>
                </wp:inline>
              </w:drawing>
            </w:r>
          </w:p>
        </w:tc>
        <w:tc>
          <w:tcPr>
            <w:tcW w:w="1221" w:type="pct"/>
          </w:tcPr>
          <w:p>
            <w:pPr>
              <w:rPr>
                <w:rFonts w:ascii="仿宋" w:hAnsi="仿宋" w:eastAsia="仿宋" w:cs="Times New Roman"/>
                <w:sz w:val="24"/>
                <w:szCs w:val="24"/>
              </w:rPr>
            </w:pPr>
            <w:r>
              <w:rPr>
                <w:rFonts w:ascii="仿宋" w:hAnsi="仿宋" w:eastAsia="仿宋" w:cs="Times New Roman"/>
                <w:sz w:val="24"/>
                <w:szCs w:val="24"/>
              </w:rPr>
              <w:drawing>
                <wp:inline distT="0" distB="0" distL="0" distR="0">
                  <wp:extent cx="1175385" cy="906780"/>
                  <wp:effectExtent l="0" t="0" r="5715" b="7620"/>
                  <wp:docPr id="95273" name="图片 9527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273" name="图片 95273"/>
                          <pic:cNvPicPr>
                            <a:picLocks noChangeAspect="true" noChangeArrowheads="true"/>
                          </pic:cNvPicPr>
                        </pic:nvPicPr>
                        <pic:blipFill>
                          <a:blip r:embed="rId25"/>
                          <a:srcRect/>
                          <a:stretch>
                            <a:fillRect/>
                          </a:stretch>
                        </pic:blipFill>
                        <pic:spPr>
                          <a:xfrm>
                            <a:off x="0" y="0"/>
                            <a:ext cx="1197705" cy="923961"/>
                          </a:xfrm>
                          <a:prstGeom prst="rect">
                            <a:avLst/>
                          </a:prstGeom>
                          <a:noFill/>
                          <a:ln>
                            <a:noFill/>
                          </a:ln>
                        </pic:spPr>
                      </pic:pic>
                    </a:graphicData>
                  </a:graphic>
                </wp:inline>
              </w:drawing>
            </w:r>
          </w:p>
        </w:tc>
        <w:tc>
          <w:tcPr>
            <w:tcW w:w="1322" w:type="pct"/>
          </w:tcPr>
          <w:p>
            <w:pPr>
              <w:rPr>
                <w:rFonts w:ascii="仿宋" w:hAnsi="仿宋" w:eastAsia="仿宋" w:cs="Times New Roman"/>
                <w:sz w:val="24"/>
                <w:szCs w:val="24"/>
              </w:rPr>
            </w:pPr>
            <w:r>
              <w:rPr>
                <w:rFonts w:ascii="仿宋" w:hAnsi="仿宋" w:eastAsia="仿宋" w:cs="Times New Roman"/>
                <w:sz w:val="24"/>
                <w:szCs w:val="24"/>
              </w:rPr>
              <w:drawing>
                <wp:anchor distT="0" distB="0" distL="114300" distR="114300" simplePos="0" relativeHeight="251648000" behindDoc="0" locked="0" layoutInCell="1" allowOverlap="1">
                  <wp:simplePos x="0" y="0"/>
                  <wp:positionH relativeFrom="column">
                    <wp:posOffset>118110</wp:posOffset>
                  </wp:positionH>
                  <wp:positionV relativeFrom="paragraph">
                    <wp:posOffset>65405</wp:posOffset>
                  </wp:positionV>
                  <wp:extent cx="1116330" cy="864870"/>
                  <wp:effectExtent l="0" t="0" r="8255" b="0"/>
                  <wp:wrapNone/>
                  <wp:docPr id="95274" name="图片 9527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274" name="图片 95274"/>
                          <pic:cNvPicPr>
                            <a:picLocks noChangeAspect="true" noChangeArrowheads="true"/>
                          </pic:cNvPicPr>
                        </pic:nvPicPr>
                        <pic:blipFill>
                          <a:blip r:embed="rId26" cstate="print">
                            <a:extLst>
                              <a:ext uri="{28A0092B-C50C-407E-A947-70E740481C1C}">
                                <a14:useLocalDpi xmlns:a14="http://schemas.microsoft.com/office/drawing/2010/main" val="false"/>
                              </a:ext>
                            </a:extLst>
                          </a:blip>
                          <a:srcRect/>
                          <a:stretch>
                            <a:fillRect/>
                          </a:stretch>
                        </pic:blipFill>
                        <pic:spPr>
                          <a:xfrm>
                            <a:off x="0" y="0"/>
                            <a:ext cx="1116280" cy="864854"/>
                          </a:xfrm>
                          <a:prstGeom prst="rect">
                            <a:avLst/>
                          </a:prstGeom>
                          <a:noFill/>
                          <a:ln>
                            <a:noFill/>
                          </a:ln>
                        </pic:spPr>
                      </pic:pic>
                    </a:graphicData>
                  </a:graphic>
                </wp:anchor>
              </w:drawing>
            </w:r>
          </w:p>
        </w:tc>
        <w:tc>
          <w:tcPr>
            <w:tcW w:w="1252" w:type="pct"/>
          </w:tcPr>
          <w:p>
            <w:pPr>
              <w:rPr>
                <w:rFonts w:ascii="仿宋" w:hAnsi="仿宋" w:eastAsia="仿宋" w:cs="Times New Roman"/>
                <w:sz w:val="24"/>
                <w:szCs w:val="24"/>
              </w:rPr>
            </w:pPr>
            <w:r>
              <w:rPr>
                <w:rFonts w:ascii="仿宋" w:hAnsi="仿宋" w:eastAsia="仿宋" w:cs="Times New Roman"/>
                <w:sz w:val="24"/>
                <w:szCs w:val="24"/>
              </w:rPr>
              <w:drawing>
                <wp:inline distT="0" distB="0" distL="0" distR="0">
                  <wp:extent cx="1104265" cy="855345"/>
                  <wp:effectExtent l="0" t="0" r="635" b="1905"/>
                  <wp:docPr id="95275" name="图片 9527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275" name="图片 95275"/>
                          <pic:cNvPicPr>
                            <a:picLocks noChangeAspect="true" noChangeArrowheads="true"/>
                          </pic:cNvPicPr>
                        </pic:nvPicPr>
                        <pic:blipFill>
                          <a:blip r:embed="rId27"/>
                          <a:srcRect/>
                          <a:stretch>
                            <a:fillRect/>
                          </a:stretch>
                        </pic:blipFill>
                        <pic:spPr>
                          <a:xfrm>
                            <a:off x="0" y="0"/>
                            <a:ext cx="1116383" cy="8649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26" w:type="pct"/>
            <w:gridSpan w:val="2"/>
          </w:tcPr>
          <w:p>
            <w:pPr>
              <w:ind w:firstLine="420" w:firstLineChars="200"/>
              <w:jc w:val="center"/>
              <w:rPr>
                <w:rFonts w:ascii="仿宋" w:hAnsi="仿宋" w:eastAsia="仿宋"/>
                <w:b/>
                <w:lang w:val="zh-CN"/>
              </w:rPr>
            </w:pPr>
            <w:r>
              <w:rPr>
                <w:rFonts w:hint="eastAsia" w:ascii="仿宋" w:hAnsi="仿宋" w:eastAsia="仿宋"/>
                <w:b/>
                <w:lang w:val="zh-CN"/>
              </w:rPr>
              <w:t>图4-17</w:t>
            </w:r>
            <w:r>
              <w:rPr>
                <w:rFonts w:ascii="仿宋" w:hAnsi="仿宋" w:eastAsia="仿宋"/>
                <w:b/>
                <w:lang w:val="zh-CN"/>
              </w:rPr>
              <w:t xml:space="preserve"> </w:t>
            </w:r>
            <w:r>
              <w:rPr>
                <w:rFonts w:hint="eastAsia" w:ascii="仿宋" w:hAnsi="仿宋" w:eastAsia="仿宋"/>
                <w:b/>
                <w:lang w:val="zh-CN"/>
              </w:rPr>
              <w:t>不同等级森林斑块</w:t>
            </w:r>
          </w:p>
          <w:p>
            <w:pPr>
              <w:ind w:firstLine="420" w:firstLineChars="200"/>
              <w:jc w:val="center"/>
              <w:rPr>
                <w:rFonts w:ascii="仿宋" w:hAnsi="仿宋" w:eastAsia="仿宋" w:cs="Times New Roman"/>
                <w:sz w:val="24"/>
                <w:szCs w:val="24"/>
              </w:rPr>
            </w:pPr>
            <w:r>
              <w:rPr>
                <w:rFonts w:hint="eastAsia" w:ascii="仿宋" w:hAnsi="仿宋" w:eastAsia="仿宋"/>
                <w:b/>
                <w:lang w:val="zh-CN"/>
              </w:rPr>
              <w:t>数量占比情况</w:t>
            </w:r>
          </w:p>
        </w:tc>
        <w:tc>
          <w:tcPr>
            <w:tcW w:w="2574" w:type="pct"/>
            <w:gridSpan w:val="2"/>
          </w:tcPr>
          <w:p>
            <w:pPr>
              <w:ind w:firstLine="630" w:firstLineChars="300"/>
              <w:jc w:val="center"/>
              <w:rPr>
                <w:rFonts w:ascii="仿宋" w:hAnsi="仿宋" w:eastAsia="仿宋"/>
                <w:b/>
                <w:lang w:val="zh-CN"/>
              </w:rPr>
            </w:pPr>
            <w:r>
              <w:rPr>
                <w:rFonts w:hint="eastAsia" w:ascii="仿宋" w:hAnsi="仿宋" w:eastAsia="仿宋"/>
                <w:b/>
                <w:lang w:val="zh-CN"/>
              </w:rPr>
              <w:t>图4-18不同等级森林斑块</w:t>
            </w:r>
          </w:p>
          <w:p>
            <w:pPr>
              <w:ind w:firstLine="630" w:firstLineChars="300"/>
              <w:jc w:val="center"/>
              <w:rPr>
                <w:rFonts w:ascii="仿宋" w:hAnsi="仿宋" w:eastAsia="仿宋" w:cs="Times New Roman"/>
                <w:sz w:val="24"/>
                <w:szCs w:val="24"/>
              </w:rPr>
            </w:pPr>
            <w:r>
              <w:rPr>
                <w:rFonts w:hint="eastAsia" w:ascii="仿宋" w:hAnsi="仿宋" w:eastAsia="仿宋"/>
                <w:b/>
                <w:lang w:val="zh-CN"/>
              </w:rPr>
              <w:t>面积占比情况</w:t>
            </w:r>
          </w:p>
        </w:tc>
      </w:tr>
    </w:tbl>
    <w:p>
      <w:pPr>
        <w:ind w:firstLine="420" w:firstLineChars="200"/>
        <w:rPr>
          <w:rFonts w:ascii="仿宋" w:hAnsi="仿宋" w:eastAsia="仿宋" w:cs="Times New Roman"/>
        </w:rPr>
      </w:pPr>
    </w:p>
    <w:p>
      <w:pPr>
        <w:pStyle w:val="5"/>
        <w:spacing w:before="0" w:after="0" w:line="240" w:lineRule="auto"/>
        <w:rPr>
          <w:rFonts w:ascii="仿宋" w:hAnsi="仿宋" w:eastAsia="仿宋"/>
        </w:rPr>
      </w:pPr>
      <w:r>
        <w:rPr>
          <w:rFonts w:hint="eastAsia" w:ascii="仿宋" w:hAnsi="仿宋" w:eastAsia="仿宋"/>
        </w:rPr>
        <w:t>3.斑块分布</w:t>
      </w:r>
      <w:bookmarkEnd w:id="126"/>
    </w:p>
    <w:p>
      <w:pPr>
        <w:ind w:firstLine="560" w:firstLineChars="200"/>
        <w:rPr>
          <w:rFonts w:ascii="仿宋" w:hAnsi="仿宋" w:eastAsia="仿宋" w:cs="Times New Roman"/>
          <w:sz w:val="28"/>
          <w:szCs w:val="28"/>
        </w:rPr>
      </w:pPr>
      <w:bookmarkStart w:id="127" w:name="_Toc529001394"/>
      <w:bookmarkStart w:id="128" w:name="_Toc528968779"/>
      <w:bookmarkStart w:id="129" w:name="_Toc530648968"/>
      <w:r>
        <w:rPr>
          <w:rFonts w:hint="eastAsia" w:ascii="仿宋" w:hAnsi="仿宋" w:eastAsia="仿宋" w:cs="Times New Roman"/>
          <w:sz w:val="28"/>
          <w:szCs w:val="28"/>
        </w:rPr>
        <w:t>从森林斑块的空间分布来看，北京平原中部地区以小尺度斑块为主，边缘以大尺度斑块为主，平原区外围已形成初步的大尺度巨斑块聚合区。</w:t>
      </w:r>
    </w:p>
    <w:p>
      <w:pPr>
        <w:ind w:firstLine="560" w:firstLineChars="200"/>
        <w:rPr>
          <w:rFonts w:ascii="仿宋" w:hAnsi="仿宋" w:eastAsia="仿宋" w:cs="Times New Roman"/>
          <w:sz w:val="28"/>
          <w:szCs w:val="28"/>
        </w:rPr>
      </w:pP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48"/>
        <w:gridCol w:w="42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7" w:hRule="atLeast"/>
        </w:trPr>
        <w:tc>
          <w:tcPr>
            <w:tcW w:w="4248" w:type="dxa"/>
          </w:tcPr>
          <w:p>
            <w:pPr>
              <w:rPr>
                <w:rFonts w:ascii="仿宋" w:hAnsi="仿宋" w:eastAsia="仿宋" w:cs="Times New Roman"/>
                <w:sz w:val="24"/>
                <w:szCs w:val="24"/>
              </w:rPr>
            </w:pPr>
            <w:r>
              <w:rPr>
                <w:rFonts w:ascii="仿宋" w:hAnsi="仿宋" w:eastAsia="仿宋" w:cs="Times New Roman"/>
                <w:sz w:val="24"/>
                <w:szCs w:val="24"/>
              </w:rPr>
              <w:drawing>
                <wp:anchor distT="0" distB="0" distL="114300" distR="114300" simplePos="0" relativeHeight="251604992" behindDoc="0" locked="0" layoutInCell="1" allowOverlap="1">
                  <wp:simplePos x="0" y="0"/>
                  <wp:positionH relativeFrom="margin">
                    <wp:posOffset>0</wp:posOffset>
                  </wp:positionH>
                  <wp:positionV relativeFrom="paragraph">
                    <wp:posOffset>4445</wp:posOffset>
                  </wp:positionV>
                  <wp:extent cx="2676525" cy="1483995"/>
                  <wp:effectExtent l="0" t="0" r="9525" b="1905"/>
                  <wp:wrapNone/>
                  <wp:docPr id="95276" name="图片 9527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276" name="图片 95276"/>
                          <pic:cNvPicPr>
                            <a:picLocks noChangeAspect="true" noChangeArrowheads="true"/>
                          </pic:cNvPicPr>
                        </pic:nvPicPr>
                        <pic:blipFill>
                          <a:blip r:embed="rId28" cstate="print">
                            <a:extLst>
                              <a:ext uri="{28A0092B-C50C-407E-A947-70E740481C1C}">
                                <a14:useLocalDpi xmlns:a14="http://schemas.microsoft.com/office/drawing/2010/main" val="false"/>
                              </a:ext>
                            </a:extLst>
                          </a:blip>
                          <a:srcRect l="2299" r="2777"/>
                          <a:stretch>
                            <a:fillRect/>
                          </a:stretch>
                        </pic:blipFill>
                        <pic:spPr>
                          <a:xfrm>
                            <a:off x="0" y="0"/>
                            <a:ext cx="2676525" cy="1483995"/>
                          </a:xfrm>
                          <a:prstGeom prst="rect">
                            <a:avLst/>
                          </a:prstGeom>
                          <a:noFill/>
                          <a:ln>
                            <a:noFill/>
                          </a:ln>
                        </pic:spPr>
                      </pic:pic>
                    </a:graphicData>
                  </a:graphic>
                </wp:anchor>
              </w:drawing>
            </w:r>
          </w:p>
        </w:tc>
        <w:tc>
          <w:tcPr>
            <w:tcW w:w="4246" w:type="dxa"/>
          </w:tcPr>
          <w:p>
            <w:pPr>
              <w:rPr>
                <w:rFonts w:ascii="仿宋" w:hAnsi="仿宋" w:eastAsia="仿宋" w:cs="Times New Roman"/>
                <w:sz w:val="24"/>
                <w:szCs w:val="24"/>
              </w:rPr>
            </w:pPr>
            <w:r>
              <w:rPr>
                <w:rFonts w:ascii="仿宋" w:hAnsi="仿宋" w:eastAsia="仿宋" w:cs="Times New Roman"/>
                <w:sz w:val="24"/>
                <w:szCs w:val="24"/>
              </w:rPr>
              <w:drawing>
                <wp:anchor distT="0" distB="0" distL="114300" distR="114300" simplePos="0" relativeHeight="251611136" behindDoc="0" locked="0" layoutInCell="1" allowOverlap="1">
                  <wp:simplePos x="0" y="0"/>
                  <wp:positionH relativeFrom="margin">
                    <wp:posOffset>-1905</wp:posOffset>
                  </wp:positionH>
                  <wp:positionV relativeFrom="paragraph">
                    <wp:posOffset>4445</wp:posOffset>
                  </wp:positionV>
                  <wp:extent cx="2688590" cy="1483360"/>
                  <wp:effectExtent l="0" t="0" r="0" b="2540"/>
                  <wp:wrapNone/>
                  <wp:docPr id="95277" name="图片 9527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277" name="图片 95277"/>
                          <pic:cNvPicPr>
                            <a:picLocks noChangeAspect="true" noChangeArrowheads="true"/>
                          </pic:cNvPicPr>
                        </pic:nvPicPr>
                        <pic:blipFill>
                          <a:blip r:embed="rId29" cstate="print">
                            <a:extLst>
                              <a:ext uri="{28A0092B-C50C-407E-A947-70E740481C1C}">
                                <a14:useLocalDpi xmlns:a14="http://schemas.microsoft.com/office/drawing/2010/main" val="false"/>
                              </a:ext>
                            </a:extLst>
                          </a:blip>
                          <a:srcRect l="2287" r="2609"/>
                          <a:stretch>
                            <a:fillRect/>
                          </a:stretch>
                        </pic:blipFill>
                        <pic:spPr>
                          <a:xfrm>
                            <a:off x="0" y="0"/>
                            <a:ext cx="2688590" cy="14833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48" w:type="dxa"/>
          </w:tcPr>
          <w:p>
            <w:pPr>
              <w:jc w:val="center"/>
              <w:rPr>
                <w:rFonts w:ascii="仿宋" w:hAnsi="仿宋" w:eastAsia="仿宋"/>
                <w:b/>
                <w:lang w:val="zh-CN"/>
              </w:rPr>
            </w:pPr>
            <w:r>
              <w:rPr>
                <w:rFonts w:hint="eastAsia" w:ascii="仿宋" w:hAnsi="仿宋" w:eastAsia="仿宋"/>
                <w:b/>
                <w:lang w:val="zh-CN"/>
              </w:rPr>
              <w:t>图4-19</w:t>
            </w:r>
            <w:r>
              <w:rPr>
                <w:rFonts w:ascii="仿宋" w:hAnsi="仿宋" w:eastAsia="仿宋"/>
                <w:b/>
                <w:lang w:val="zh-CN"/>
              </w:rPr>
              <w:t xml:space="preserve"> </w:t>
            </w:r>
            <w:r>
              <w:rPr>
                <w:rFonts w:hint="eastAsia" w:ascii="仿宋" w:hAnsi="仿宋" w:eastAsia="仿宋"/>
                <w:b/>
                <w:lang w:val="zh-CN"/>
              </w:rPr>
              <w:t>平原区不同等级的森林斑块</w:t>
            </w:r>
          </w:p>
          <w:p>
            <w:pPr>
              <w:jc w:val="center"/>
              <w:rPr>
                <w:rFonts w:ascii="仿宋" w:hAnsi="仿宋" w:eastAsia="仿宋" w:cs="Times New Roman"/>
                <w:sz w:val="24"/>
                <w:szCs w:val="24"/>
              </w:rPr>
            </w:pPr>
            <w:r>
              <w:rPr>
                <w:rFonts w:hint="eastAsia" w:ascii="仿宋" w:hAnsi="仿宋" w:eastAsia="仿宋"/>
                <w:b/>
                <w:lang w:val="zh-CN"/>
              </w:rPr>
              <w:t>分布对比图</w:t>
            </w:r>
          </w:p>
        </w:tc>
        <w:tc>
          <w:tcPr>
            <w:tcW w:w="4246" w:type="dxa"/>
          </w:tcPr>
          <w:p>
            <w:pPr>
              <w:jc w:val="center"/>
              <w:rPr>
                <w:rFonts w:ascii="仿宋" w:hAnsi="仿宋" w:eastAsia="仿宋" w:cs="Times New Roman"/>
                <w:sz w:val="24"/>
                <w:szCs w:val="24"/>
              </w:rPr>
            </w:pPr>
            <w:r>
              <w:rPr>
                <w:rFonts w:hint="eastAsia" w:ascii="仿宋" w:hAnsi="仿宋" w:eastAsia="仿宋"/>
                <w:b/>
                <w:lang w:val="zh-CN"/>
              </w:rPr>
              <w:t>图4-20</w:t>
            </w:r>
            <w:r>
              <w:rPr>
                <w:rFonts w:ascii="仿宋" w:hAnsi="仿宋" w:eastAsia="仿宋"/>
                <w:b/>
                <w:lang w:val="zh-CN"/>
              </w:rPr>
              <w:t xml:space="preserve"> </w:t>
            </w:r>
            <w:r>
              <w:rPr>
                <w:rFonts w:hint="eastAsia" w:ascii="仿宋" w:hAnsi="仿宋" w:eastAsia="仿宋"/>
                <w:b/>
                <w:lang w:val="zh-CN"/>
              </w:rPr>
              <w:t>平原区中心城区不同等级的森林斑块分布对比图</w:t>
            </w:r>
          </w:p>
        </w:tc>
      </w:tr>
    </w:tbl>
    <w:p>
      <w:pPr>
        <w:ind w:firstLine="480" w:firstLineChars="200"/>
        <w:rPr>
          <w:rFonts w:ascii="仿宋" w:hAnsi="仿宋" w:eastAsia="仿宋" w:cs="Times New Roman"/>
          <w:sz w:val="24"/>
          <w:szCs w:val="24"/>
        </w:rPr>
      </w:pP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在平原区、中心城区，小斑块主要分布在核心区，中斑块、中大斑块、大斑块主要分布在外围区。</w:t>
      </w:r>
    </w:p>
    <w:p>
      <w:pPr>
        <w:pStyle w:val="4"/>
        <w:spacing w:before="217" w:after="217" w:line="240" w:lineRule="auto"/>
        <w:rPr>
          <w:rFonts w:ascii="仿宋" w:hAnsi="仿宋" w:eastAsia="仿宋" w:cs="Times New Roman"/>
          <w:spacing w:val="20"/>
        </w:rPr>
      </w:pPr>
      <w:bookmarkStart w:id="130" w:name="_Toc27389899"/>
      <w:r>
        <w:rPr>
          <w:rFonts w:hint="eastAsia" w:ascii="仿宋" w:hAnsi="仿宋" w:eastAsia="仿宋" w:cs="Times New Roman"/>
          <w:spacing w:val="20"/>
        </w:rPr>
        <w:t>（四）建设市域</w:t>
      </w:r>
      <w:r>
        <w:rPr>
          <w:rFonts w:ascii="仿宋" w:hAnsi="仿宋" w:eastAsia="仿宋" w:cs="Times New Roman"/>
          <w:spacing w:val="20"/>
        </w:rPr>
        <w:t>生态廊道</w:t>
      </w:r>
      <w:bookmarkEnd w:id="127"/>
      <w:bookmarkEnd w:id="128"/>
      <w:bookmarkEnd w:id="129"/>
      <w:bookmarkEnd w:id="130"/>
    </w:p>
    <w:p>
      <w:pPr>
        <w:pStyle w:val="5"/>
        <w:spacing w:before="0" w:after="0" w:line="240" w:lineRule="auto"/>
        <w:rPr>
          <w:rFonts w:ascii="仿宋" w:hAnsi="仿宋" w:eastAsia="仿宋"/>
        </w:rPr>
      </w:pPr>
      <w:bookmarkStart w:id="131" w:name="_Toc529001396"/>
      <w:bookmarkStart w:id="132" w:name="_Toc530648969"/>
      <w:r>
        <w:rPr>
          <w:rFonts w:hint="eastAsia" w:ascii="仿宋" w:hAnsi="仿宋" w:eastAsia="仿宋"/>
        </w:rPr>
        <w:t>1.生态廊道</w:t>
      </w:r>
      <w:bookmarkEnd w:id="131"/>
      <w:r>
        <w:rPr>
          <w:rFonts w:hint="eastAsia" w:ascii="仿宋" w:hAnsi="仿宋" w:eastAsia="仿宋"/>
        </w:rPr>
        <w:t>分布</w:t>
      </w:r>
      <w:bookmarkEnd w:id="132"/>
    </w:p>
    <w:p>
      <w:pPr>
        <w:ind w:firstLine="560" w:firstLineChars="200"/>
        <w:rPr>
          <w:rFonts w:ascii="仿宋" w:hAnsi="仿宋" w:eastAsia="仿宋" w:cs="Times New Roman"/>
          <w:b/>
          <w:sz w:val="28"/>
          <w:szCs w:val="24"/>
        </w:rPr>
      </w:pPr>
      <w:r>
        <w:rPr>
          <w:rFonts w:hint="eastAsia" w:ascii="仿宋" w:hAnsi="仿宋" w:eastAsia="仿宋" w:cs="Times New Roman"/>
          <w:sz w:val="28"/>
          <w:szCs w:val="28"/>
        </w:rPr>
        <w:t>北京市已基本形成覆盖平原区的生态廊道网络，</w:t>
      </w:r>
      <w:r>
        <w:rPr>
          <w:rFonts w:hint="eastAsia" w:ascii="仿宋" w:hAnsi="仿宋" w:eastAsia="仿宋"/>
          <w:sz w:val="28"/>
          <w:szCs w:val="28"/>
        </w:rPr>
        <w:t>各区内已基本实现外围新城与中心城区之间保有至少1条生态廊道，平原区的大尺度森林斑块之间也均有相应的生态廊道连通。</w:t>
      </w:r>
      <w:bookmarkStart w:id="133" w:name="_Toc529001397"/>
      <w:bookmarkStart w:id="134" w:name="_Toc530648970"/>
    </w:p>
    <w:p>
      <w:pPr>
        <w:pStyle w:val="5"/>
        <w:spacing w:before="0" w:after="0" w:line="240" w:lineRule="auto"/>
        <w:rPr>
          <w:rFonts w:ascii="仿宋" w:hAnsi="仿宋" w:eastAsia="仿宋"/>
        </w:rPr>
      </w:pPr>
      <w:r>
        <w:rPr>
          <w:rFonts w:hint="eastAsia" w:ascii="仿宋" w:hAnsi="仿宋" w:eastAsia="仿宋"/>
        </w:rPr>
        <w:t>2.生态廊道连通性</w:t>
      </w:r>
      <w:bookmarkEnd w:id="133"/>
      <w:bookmarkEnd w:id="134"/>
    </w:p>
    <w:p>
      <w:pPr>
        <w:ind w:firstLine="560" w:firstLineChars="200"/>
        <w:rPr>
          <w:rFonts w:ascii="仿宋" w:hAnsi="仿宋" w:eastAsia="仿宋"/>
          <w:b/>
          <w:lang w:val="zh-CN"/>
        </w:rPr>
      </w:pPr>
      <w:r>
        <w:rPr>
          <w:rFonts w:hint="eastAsia" w:ascii="仿宋" w:hAnsi="仿宋" w:eastAsia="仿宋" w:cs="Times New Roman"/>
          <w:sz w:val="28"/>
          <w:szCs w:val="28"/>
        </w:rPr>
        <w:t>大多数生态廊道两侧100米范围内的连通性较好。</w:t>
      </w:r>
      <w:r>
        <w:rPr>
          <w:rFonts w:hint="eastAsia" w:ascii="仿宋" w:hAnsi="仿宋" w:eastAsia="仿宋"/>
          <w:sz w:val="28"/>
          <w:szCs w:val="28"/>
        </w:rPr>
        <w:t xml:space="preserve">京沈高速、京承高速、六环路、大秦铁路、S2线、安四路-立汤路-安立路、昌金路、顺平路、京平高速、中干渠路-山丁路等生态廊道100米缓冲区内，以及永定河两侧500米缓冲区内的绿化覆盖面积比例均已达到50%以上。 </w:t>
      </w:r>
      <w:r>
        <w:rPr>
          <w:rFonts w:ascii="仿宋" w:hAnsi="仿宋" w:eastAsia="仿宋"/>
          <w:sz w:val="24"/>
          <w:szCs w:val="24"/>
        </w:rPr>
        <w:t xml:space="preserve">              </w:t>
      </w:r>
      <w:r>
        <w:rPr>
          <w:rFonts w:hint="eastAsia" w:ascii="仿宋" w:hAnsi="仿宋" w:eastAsia="仿宋"/>
          <w:b/>
          <w:lang w:val="zh-CN"/>
        </w:rPr>
        <w:t xml:space="preserve"> </w:t>
      </w:r>
      <w:r>
        <w:rPr>
          <w:rFonts w:ascii="仿宋" w:hAnsi="仿宋" w:eastAsia="仿宋"/>
          <w:b/>
          <w:lang w:val="zh-CN"/>
        </w:rPr>
        <w:t xml:space="preserve">    </w:t>
      </w:r>
    </w:p>
    <w:p>
      <w:pPr>
        <w:ind w:firstLine="480" w:firstLineChars="200"/>
        <w:rPr>
          <w:rFonts w:ascii="仿宋" w:hAnsi="仿宋" w:eastAsia="仿宋"/>
          <w:sz w:val="24"/>
          <w:szCs w:val="24"/>
        </w:rPr>
      </w:pPr>
    </w:p>
    <w:p>
      <w:pPr>
        <w:ind w:firstLine="409" w:firstLineChars="195"/>
        <w:jc w:val="center"/>
        <w:rPr>
          <w:rFonts w:ascii="仿宋" w:hAnsi="仿宋" w:eastAsia="仿宋"/>
          <w:b/>
          <w:lang w:val="zh-CN"/>
        </w:rPr>
      </w:pPr>
      <w:r>
        <w:rPr>
          <w:rFonts w:hint="eastAsia" w:ascii="仿宋" w:hAnsi="仿宋" w:eastAsia="仿宋"/>
          <w:b/>
          <w:lang w:val="zh-CN"/>
        </w:rPr>
        <w:t>表4</w:t>
      </w:r>
      <w:r>
        <w:rPr>
          <w:rFonts w:ascii="仿宋" w:hAnsi="仿宋" w:eastAsia="仿宋"/>
          <w:b/>
          <w:lang w:val="zh-CN"/>
        </w:rPr>
        <w:t xml:space="preserve">-4 </w:t>
      </w:r>
      <w:r>
        <w:rPr>
          <w:rFonts w:hint="eastAsia" w:ascii="仿宋" w:hAnsi="仿宋" w:eastAsia="仿宋"/>
          <w:b/>
          <w:lang w:val="zh-CN"/>
        </w:rPr>
        <w:t>“五河十路”不同缓冲区内绿化覆盖比例统计表（单位：</w:t>
      </w:r>
      <w:r>
        <w:rPr>
          <w:rFonts w:ascii="仿宋" w:hAnsi="仿宋" w:eastAsia="仿宋"/>
          <w:b/>
          <w:lang w:val="zh-CN"/>
        </w:rPr>
        <w:t>%</w:t>
      </w:r>
      <w:r>
        <w:rPr>
          <w:rFonts w:hint="eastAsia" w:ascii="仿宋" w:hAnsi="仿宋" w:eastAsia="仿宋"/>
          <w:b/>
          <w:lang w:val="zh-CN"/>
        </w:rPr>
        <w:t>）</w:t>
      </w:r>
    </w:p>
    <w:tbl>
      <w:tblPr>
        <w:tblStyle w:val="94"/>
        <w:tblW w:w="0" w:type="auto"/>
        <w:tblInd w:w="0" w:type="dxa"/>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Layout w:type="autofit"/>
        <w:tblCellMar>
          <w:top w:w="0" w:type="dxa"/>
          <w:left w:w="108" w:type="dxa"/>
          <w:bottom w:w="0" w:type="dxa"/>
          <w:right w:w="108" w:type="dxa"/>
        </w:tblCellMar>
      </w:tblPr>
      <w:tblGrid>
        <w:gridCol w:w="1413"/>
        <w:gridCol w:w="1134"/>
        <w:gridCol w:w="1134"/>
        <w:gridCol w:w="1276"/>
        <w:gridCol w:w="1134"/>
        <w:gridCol w:w="1134"/>
        <w:gridCol w:w="1071"/>
      </w:tblGrid>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385" w:hRule="atLeast"/>
          <w:tblHeader/>
        </w:trPr>
        <w:tc>
          <w:tcPr>
            <w:tcW w:w="1413" w:type="dxa"/>
            <w:tcBorders>
              <w:bottom w:val="nil"/>
              <w:right w:val="nil"/>
            </w:tcBorders>
            <w:shd w:val="clear" w:color="auto" w:fill="9BBB59" w:themeFill="accent3"/>
          </w:tcPr>
          <w:p>
            <w:pPr>
              <w:jc w:val="center"/>
              <w:rPr>
                <w:rFonts w:ascii="仿宋" w:hAnsi="仿宋" w:eastAsia="仿宋" w:cs="Times New Roman"/>
                <w:b w:val="0"/>
                <w:bCs/>
                <w:color w:val="auto"/>
                <w:szCs w:val="21"/>
              </w:rPr>
            </w:pPr>
            <w:r>
              <w:rPr>
                <w:rFonts w:ascii="仿宋" w:hAnsi="仿宋" w:eastAsia="仿宋" w:cs="Times New Roman"/>
                <w:b w:val="0"/>
                <w:bCs/>
                <w:color w:val="auto"/>
                <w:szCs w:val="21"/>
              </w:rPr>
              <w:t>廊道名称</w:t>
            </w:r>
          </w:p>
        </w:tc>
        <w:tc>
          <w:tcPr>
            <w:tcW w:w="1134" w:type="dxa"/>
            <w:shd w:val="clear" w:color="auto" w:fill="9BBB59" w:themeFill="accent3"/>
          </w:tcPr>
          <w:p>
            <w:pPr>
              <w:jc w:val="center"/>
              <w:rPr>
                <w:rFonts w:ascii="仿宋" w:hAnsi="仿宋" w:eastAsia="仿宋" w:cs="Times New Roman"/>
                <w:b w:val="0"/>
                <w:bCs/>
                <w:color w:val="auto"/>
                <w:szCs w:val="21"/>
              </w:rPr>
            </w:pPr>
            <w:r>
              <w:rPr>
                <w:rFonts w:ascii="仿宋" w:hAnsi="仿宋" w:eastAsia="仿宋" w:cs="Times New Roman"/>
                <w:b w:val="0"/>
                <w:bCs/>
                <w:color w:val="auto"/>
                <w:szCs w:val="21"/>
              </w:rPr>
              <w:t>30米</w:t>
            </w:r>
          </w:p>
        </w:tc>
        <w:tc>
          <w:tcPr>
            <w:tcW w:w="1134" w:type="dxa"/>
            <w:shd w:val="clear" w:color="auto" w:fill="9BBB59" w:themeFill="accent3"/>
          </w:tcPr>
          <w:p>
            <w:pPr>
              <w:jc w:val="center"/>
              <w:rPr>
                <w:rFonts w:ascii="仿宋" w:hAnsi="仿宋" w:eastAsia="仿宋" w:cs="Times New Roman"/>
                <w:b w:val="0"/>
                <w:bCs/>
                <w:color w:val="auto"/>
                <w:szCs w:val="21"/>
              </w:rPr>
            </w:pPr>
            <w:r>
              <w:rPr>
                <w:rFonts w:ascii="仿宋" w:hAnsi="仿宋" w:eastAsia="仿宋" w:cs="Times New Roman"/>
                <w:b w:val="0"/>
                <w:bCs/>
                <w:color w:val="auto"/>
                <w:szCs w:val="21"/>
              </w:rPr>
              <w:t>50米</w:t>
            </w:r>
          </w:p>
        </w:tc>
        <w:tc>
          <w:tcPr>
            <w:tcW w:w="1276" w:type="dxa"/>
            <w:shd w:val="clear" w:color="auto" w:fill="9BBB59" w:themeFill="accent3"/>
          </w:tcPr>
          <w:p>
            <w:pPr>
              <w:jc w:val="center"/>
              <w:rPr>
                <w:rFonts w:ascii="仿宋" w:hAnsi="仿宋" w:eastAsia="仿宋" w:cs="Times New Roman"/>
                <w:b w:val="0"/>
                <w:bCs/>
                <w:color w:val="auto"/>
                <w:szCs w:val="21"/>
              </w:rPr>
            </w:pPr>
            <w:r>
              <w:rPr>
                <w:rFonts w:ascii="仿宋" w:hAnsi="仿宋" w:eastAsia="仿宋" w:cs="Times New Roman"/>
                <w:b w:val="0"/>
                <w:bCs/>
                <w:color w:val="auto"/>
                <w:szCs w:val="21"/>
              </w:rPr>
              <w:t>100米</w:t>
            </w:r>
          </w:p>
        </w:tc>
        <w:tc>
          <w:tcPr>
            <w:tcW w:w="1134" w:type="dxa"/>
            <w:shd w:val="clear" w:color="auto" w:fill="9BBB59" w:themeFill="accent3"/>
          </w:tcPr>
          <w:p>
            <w:pPr>
              <w:jc w:val="center"/>
              <w:rPr>
                <w:rFonts w:ascii="仿宋" w:hAnsi="仿宋" w:eastAsia="仿宋" w:cs="Times New Roman"/>
                <w:b w:val="0"/>
                <w:bCs/>
                <w:color w:val="auto"/>
                <w:szCs w:val="21"/>
              </w:rPr>
            </w:pPr>
            <w:r>
              <w:rPr>
                <w:rFonts w:ascii="仿宋" w:hAnsi="仿宋" w:eastAsia="仿宋" w:cs="Times New Roman"/>
                <w:b w:val="0"/>
                <w:bCs/>
                <w:color w:val="auto"/>
                <w:szCs w:val="21"/>
              </w:rPr>
              <w:t>200米</w:t>
            </w:r>
          </w:p>
        </w:tc>
        <w:tc>
          <w:tcPr>
            <w:tcW w:w="1134" w:type="dxa"/>
            <w:shd w:val="clear" w:color="auto" w:fill="9BBB59" w:themeFill="accent3"/>
          </w:tcPr>
          <w:p>
            <w:pPr>
              <w:jc w:val="center"/>
              <w:rPr>
                <w:rFonts w:ascii="仿宋" w:hAnsi="仿宋" w:eastAsia="仿宋" w:cs="Times New Roman"/>
                <w:b w:val="0"/>
                <w:bCs/>
                <w:color w:val="auto"/>
                <w:szCs w:val="21"/>
              </w:rPr>
            </w:pPr>
            <w:r>
              <w:rPr>
                <w:rFonts w:ascii="仿宋" w:hAnsi="仿宋" w:eastAsia="仿宋" w:cs="Times New Roman"/>
                <w:b w:val="0"/>
                <w:bCs/>
                <w:color w:val="auto"/>
                <w:szCs w:val="21"/>
              </w:rPr>
              <w:t>300米</w:t>
            </w:r>
          </w:p>
        </w:tc>
        <w:tc>
          <w:tcPr>
            <w:tcW w:w="1071" w:type="dxa"/>
            <w:shd w:val="clear" w:color="auto" w:fill="9BBB59" w:themeFill="accent3"/>
          </w:tcPr>
          <w:p>
            <w:pPr>
              <w:jc w:val="center"/>
              <w:rPr>
                <w:rFonts w:ascii="仿宋" w:hAnsi="仿宋" w:eastAsia="仿宋" w:cs="Times New Roman"/>
                <w:b w:val="0"/>
                <w:bCs/>
                <w:color w:val="auto"/>
                <w:szCs w:val="21"/>
              </w:rPr>
            </w:pPr>
            <w:r>
              <w:rPr>
                <w:rFonts w:ascii="仿宋" w:hAnsi="仿宋" w:eastAsia="仿宋" w:cs="Times New Roman"/>
                <w:b w:val="0"/>
                <w:bCs/>
                <w:color w:val="auto"/>
                <w:szCs w:val="21"/>
              </w:rPr>
              <w:t>500米</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413" w:type="dxa"/>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widowControl/>
              <w:jc w:val="left"/>
              <w:rPr>
                <w:rFonts w:ascii="仿宋" w:hAnsi="仿宋" w:eastAsia="仿宋" w:cs="Times New Roman"/>
                <w:b/>
                <w:bCs/>
                <w:color w:val="000000"/>
                <w:szCs w:val="21"/>
              </w:rPr>
            </w:pPr>
            <w:r>
              <w:rPr>
                <w:rFonts w:ascii="仿宋" w:hAnsi="仿宋" w:eastAsia="仿宋" w:cs="Times New Roman"/>
                <w:b/>
                <w:bCs/>
                <w:color w:val="000000"/>
                <w:szCs w:val="21"/>
              </w:rPr>
              <w:t>潮白河</w:t>
            </w:r>
          </w:p>
        </w:tc>
        <w:tc>
          <w:tcPr>
            <w:tcW w:w="1134" w:type="dxa"/>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cs="Times New Roman"/>
                <w:color w:val="000000"/>
                <w:szCs w:val="21"/>
              </w:rPr>
            </w:pPr>
            <w:r>
              <w:rPr>
                <w:rFonts w:ascii="仿宋" w:hAnsi="仿宋" w:eastAsia="仿宋" w:cs="Times New Roman"/>
                <w:color w:val="000000"/>
                <w:szCs w:val="21"/>
              </w:rPr>
              <w:t>18.97</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19.24</w:t>
            </w:r>
          </w:p>
        </w:tc>
        <w:tc>
          <w:tcPr>
            <w:tcW w:w="1276"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20.87</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25.97</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30.06</w:t>
            </w:r>
          </w:p>
        </w:tc>
        <w:tc>
          <w:tcPr>
            <w:tcW w:w="1071"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34.35</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413" w:type="dxa"/>
            <w:tcBorders>
              <w:right w:val="nil"/>
              <w:insideV w:val="nil"/>
            </w:tcBorders>
            <w:shd w:val="clear" w:color="auto" w:fill="FFFFFF" w:themeFill="background1"/>
          </w:tcPr>
          <w:p>
            <w:pPr>
              <w:rPr>
                <w:rFonts w:ascii="仿宋" w:hAnsi="仿宋" w:eastAsia="仿宋" w:cs="Times New Roman"/>
                <w:b/>
                <w:bCs/>
                <w:color w:val="000000"/>
                <w:szCs w:val="21"/>
              </w:rPr>
            </w:pPr>
            <w:r>
              <w:rPr>
                <w:rFonts w:ascii="仿宋" w:hAnsi="仿宋" w:eastAsia="仿宋" w:cs="Times New Roman"/>
                <w:b/>
                <w:bCs/>
                <w:color w:val="000000"/>
                <w:szCs w:val="21"/>
              </w:rPr>
              <w:t>北运河</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37.80</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37.02</w:t>
            </w:r>
          </w:p>
        </w:tc>
        <w:tc>
          <w:tcPr>
            <w:tcW w:w="1276" w:type="dxa"/>
          </w:tcPr>
          <w:p>
            <w:pPr>
              <w:jc w:val="center"/>
              <w:rPr>
                <w:rFonts w:ascii="仿宋" w:hAnsi="仿宋" w:eastAsia="仿宋" w:cs="Times New Roman"/>
                <w:color w:val="000000"/>
                <w:szCs w:val="21"/>
              </w:rPr>
            </w:pPr>
            <w:r>
              <w:rPr>
                <w:rFonts w:ascii="仿宋" w:hAnsi="仿宋" w:eastAsia="仿宋" w:cs="Times New Roman"/>
                <w:color w:val="000000"/>
                <w:szCs w:val="21"/>
              </w:rPr>
              <w:t>37.22</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42.29</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46.27</w:t>
            </w:r>
          </w:p>
        </w:tc>
        <w:tc>
          <w:tcPr>
            <w:tcW w:w="1071" w:type="dxa"/>
          </w:tcPr>
          <w:p>
            <w:pPr>
              <w:jc w:val="center"/>
              <w:rPr>
                <w:rFonts w:ascii="仿宋" w:hAnsi="仿宋" w:eastAsia="仿宋" w:cs="Times New Roman"/>
                <w:color w:val="000000"/>
                <w:szCs w:val="21"/>
              </w:rPr>
            </w:pPr>
            <w:r>
              <w:rPr>
                <w:rFonts w:ascii="仿宋" w:hAnsi="仿宋" w:eastAsia="仿宋" w:cs="Times New Roman"/>
                <w:color w:val="000000"/>
                <w:szCs w:val="21"/>
              </w:rPr>
              <w:t>47.00</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413" w:type="dxa"/>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rPr>
                <w:rFonts w:ascii="仿宋" w:hAnsi="仿宋" w:eastAsia="仿宋" w:cs="Times New Roman"/>
                <w:b w:val="0"/>
                <w:bCs/>
                <w:color w:val="000000"/>
                <w:szCs w:val="21"/>
              </w:rPr>
            </w:pPr>
            <w:r>
              <w:rPr>
                <w:rFonts w:ascii="仿宋" w:hAnsi="仿宋" w:eastAsia="仿宋" w:cs="Times New Roman"/>
                <w:b w:val="0"/>
                <w:bCs/>
                <w:color w:val="000000"/>
                <w:szCs w:val="21"/>
              </w:rPr>
              <w:t>永定河</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35.78</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36.25</w:t>
            </w:r>
          </w:p>
        </w:tc>
        <w:tc>
          <w:tcPr>
            <w:tcW w:w="1276"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37.90</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42.14</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47.08</w:t>
            </w:r>
          </w:p>
        </w:tc>
        <w:tc>
          <w:tcPr>
            <w:tcW w:w="1071"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b/>
                <w:color w:val="000000"/>
                <w:szCs w:val="21"/>
              </w:rPr>
            </w:pPr>
            <w:r>
              <w:rPr>
                <w:rFonts w:ascii="仿宋" w:hAnsi="仿宋" w:eastAsia="仿宋" w:cs="Times New Roman"/>
                <w:b/>
                <w:color w:val="000000"/>
                <w:szCs w:val="21"/>
              </w:rPr>
              <w:t>51.88</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413" w:type="dxa"/>
            <w:tcBorders>
              <w:right w:val="nil"/>
              <w:insideV w:val="nil"/>
            </w:tcBorders>
            <w:shd w:val="clear" w:color="auto" w:fill="FFFFFF" w:themeFill="background1"/>
          </w:tcPr>
          <w:p>
            <w:pPr>
              <w:rPr>
                <w:rFonts w:ascii="仿宋" w:hAnsi="仿宋" w:eastAsia="仿宋" w:cs="Times New Roman"/>
                <w:b/>
                <w:bCs/>
                <w:color w:val="000000"/>
                <w:szCs w:val="21"/>
              </w:rPr>
            </w:pPr>
            <w:r>
              <w:rPr>
                <w:rFonts w:ascii="仿宋" w:hAnsi="仿宋" w:eastAsia="仿宋" w:cs="Times New Roman"/>
                <w:b/>
                <w:bCs/>
                <w:color w:val="000000"/>
                <w:szCs w:val="21"/>
              </w:rPr>
              <w:t>沙河</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12.11</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14.39</w:t>
            </w:r>
          </w:p>
        </w:tc>
        <w:tc>
          <w:tcPr>
            <w:tcW w:w="1276" w:type="dxa"/>
          </w:tcPr>
          <w:p>
            <w:pPr>
              <w:jc w:val="center"/>
              <w:rPr>
                <w:rFonts w:ascii="仿宋" w:hAnsi="仿宋" w:eastAsia="仿宋" w:cs="Times New Roman"/>
                <w:color w:val="000000"/>
                <w:szCs w:val="21"/>
              </w:rPr>
            </w:pPr>
            <w:r>
              <w:rPr>
                <w:rFonts w:ascii="仿宋" w:hAnsi="仿宋" w:eastAsia="仿宋" w:cs="Times New Roman"/>
                <w:color w:val="000000"/>
                <w:szCs w:val="21"/>
              </w:rPr>
              <w:t>23.63</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37.34</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43.47</w:t>
            </w:r>
          </w:p>
        </w:tc>
        <w:tc>
          <w:tcPr>
            <w:tcW w:w="1071" w:type="dxa"/>
          </w:tcPr>
          <w:p>
            <w:pPr>
              <w:jc w:val="center"/>
              <w:rPr>
                <w:rFonts w:ascii="仿宋" w:hAnsi="仿宋" w:eastAsia="仿宋" w:cs="Times New Roman"/>
                <w:color w:val="000000"/>
                <w:szCs w:val="21"/>
              </w:rPr>
            </w:pPr>
            <w:r>
              <w:rPr>
                <w:rFonts w:ascii="仿宋" w:hAnsi="仿宋" w:eastAsia="仿宋" w:cs="Times New Roman"/>
                <w:color w:val="000000"/>
                <w:szCs w:val="21"/>
              </w:rPr>
              <w:t>48.00</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413" w:type="dxa"/>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rPr>
                <w:rFonts w:ascii="仿宋" w:hAnsi="仿宋" w:eastAsia="仿宋" w:cs="Times New Roman"/>
                <w:b/>
                <w:bCs/>
                <w:color w:val="000000"/>
                <w:szCs w:val="21"/>
              </w:rPr>
            </w:pPr>
            <w:r>
              <w:rPr>
                <w:rFonts w:ascii="仿宋" w:hAnsi="仿宋" w:eastAsia="仿宋" w:cs="Times New Roman"/>
                <w:b/>
                <w:bCs/>
                <w:color w:val="000000"/>
                <w:szCs w:val="21"/>
              </w:rPr>
              <w:t>温榆河</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33.28</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34.40</w:t>
            </w:r>
          </w:p>
        </w:tc>
        <w:tc>
          <w:tcPr>
            <w:tcW w:w="1276"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39.38</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47.33</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48.69</w:t>
            </w:r>
          </w:p>
        </w:tc>
        <w:tc>
          <w:tcPr>
            <w:tcW w:w="1071"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46.96</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413" w:type="dxa"/>
            <w:tcBorders>
              <w:right w:val="nil"/>
              <w:insideV w:val="nil"/>
            </w:tcBorders>
            <w:shd w:val="clear" w:color="auto" w:fill="FFFFFF" w:themeFill="background1"/>
          </w:tcPr>
          <w:p>
            <w:pPr>
              <w:rPr>
                <w:rFonts w:ascii="仿宋" w:hAnsi="仿宋" w:eastAsia="仿宋" w:cs="Times New Roman"/>
                <w:b/>
                <w:bCs/>
                <w:color w:val="000000"/>
                <w:szCs w:val="21"/>
              </w:rPr>
            </w:pPr>
            <w:r>
              <w:rPr>
                <w:rFonts w:ascii="仿宋" w:hAnsi="仿宋" w:eastAsia="仿宋" w:cs="Times New Roman"/>
                <w:b/>
                <w:bCs/>
                <w:color w:val="000000"/>
                <w:szCs w:val="21"/>
              </w:rPr>
              <w:t>京石高速</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19.32</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35.64</w:t>
            </w:r>
          </w:p>
        </w:tc>
        <w:tc>
          <w:tcPr>
            <w:tcW w:w="1276" w:type="dxa"/>
          </w:tcPr>
          <w:p>
            <w:pPr>
              <w:jc w:val="center"/>
              <w:rPr>
                <w:rFonts w:ascii="仿宋" w:hAnsi="仿宋" w:eastAsia="仿宋" w:cs="Times New Roman"/>
                <w:color w:val="000000"/>
                <w:szCs w:val="21"/>
              </w:rPr>
            </w:pPr>
            <w:r>
              <w:rPr>
                <w:rFonts w:ascii="仿宋" w:hAnsi="仿宋" w:eastAsia="仿宋" w:cs="Times New Roman"/>
                <w:color w:val="000000"/>
                <w:szCs w:val="21"/>
              </w:rPr>
              <w:t>41.57</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36.53</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30.27</w:t>
            </w:r>
          </w:p>
        </w:tc>
        <w:tc>
          <w:tcPr>
            <w:tcW w:w="1071" w:type="dxa"/>
          </w:tcPr>
          <w:p>
            <w:pPr>
              <w:jc w:val="center"/>
              <w:rPr>
                <w:rFonts w:ascii="仿宋" w:hAnsi="仿宋" w:eastAsia="仿宋" w:cs="Times New Roman"/>
                <w:color w:val="000000"/>
                <w:szCs w:val="21"/>
              </w:rPr>
            </w:pPr>
            <w:r>
              <w:rPr>
                <w:rFonts w:ascii="仿宋" w:hAnsi="仿宋" w:eastAsia="仿宋" w:cs="Times New Roman"/>
                <w:color w:val="000000"/>
                <w:szCs w:val="21"/>
              </w:rPr>
              <w:t>23.51</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413" w:type="dxa"/>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rPr>
                <w:rFonts w:ascii="仿宋" w:hAnsi="仿宋" w:eastAsia="仿宋" w:cs="Times New Roman"/>
                <w:b/>
                <w:bCs/>
                <w:color w:val="000000"/>
                <w:szCs w:val="21"/>
              </w:rPr>
            </w:pPr>
            <w:r>
              <w:rPr>
                <w:rFonts w:ascii="仿宋" w:hAnsi="仿宋" w:eastAsia="仿宋" w:cs="Times New Roman"/>
                <w:b/>
                <w:bCs/>
                <w:color w:val="000000"/>
                <w:szCs w:val="21"/>
              </w:rPr>
              <w:t>京开高速</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8.88</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24.58</w:t>
            </w:r>
          </w:p>
        </w:tc>
        <w:tc>
          <w:tcPr>
            <w:tcW w:w="1276"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30.68</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26.54</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22.64</w:t>
            </w:r>
          </w:p>
        </w:tc>
        <w:tc>
          <w:tcPr>
            <w:tcW w:w="1071"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18.50</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413" w:type="dxa"/>
            <w:tcBorders>
              <w:right w:val="nil"/>
              <w:insideV w:val="nil"/>
            </w:tcBorders>
            <w:shd w:val="clear" w:color="auto" w:fill="FFFFFF" w:themeFill="background1"/>
          </w:tcPr>
          <w:p>
            <w:pPr>
              <w:rPr>
                <w:rFonts w:ascii="仿宋" w:hAnsi="仿宋" w:eastAsia="仿宋" w:cs="Times New Roman"/>
                <w:b/>
                <w:bCs/>
                <w:color w:val="000000"/>
                <w:szCs w:val="21"/>
              </w:rPr>
            </w:pPr>
            <w:r>
              <w:rPr>
                <w:rFonts w:ascii="仿宋" w:hAnsi="仿宋" w:eastAsia="仿宋" w:cs="Times New Roman"/>
                <w:b/>
                <w:bCs/>
                <w:color w:val="000000"/>
                <w:szCs w:val="21"/>
              </w:rPr>
              <w:t>京津塘高速</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26.88</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43.20</w:t>
            </w:r>
          </w:p>
        </w:tc>
        <w:tc>
          <w:tcPr>
            <w:tcW w:w="1276" w:type="dxa"/>
          </w:tcPr>
          <w:p>
            <w:pPr>
              <w:jc w:val="center"/>
              <w:rPr>
                <w:rFonts w:ascii="仿宋" w:hAnsi="仿宋" w:eastAsia="仿宋" w:cs="Times New Roman"/>
                <w:color w:val="000000"/>
                <w:szCs w:val="21"/>
              </w:rPr>
            </w:pPr>
            <w:r>
              <w:rPr>
                <w:rFonts w:ascii="仿宋" w:hAnsi="仿宋" w:eastAsia="仿宋" w:cs="Times New Roman"/>
                <w:color w:val="000000"/>
                <w:szCs w:val="21"/>
              </w:rPr>
              <w:t>46.66</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42.11</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38.25</w:t>
            </w:r>
          </w:p>
        </w:tc>
        <w:tc>
          <w:tcPr>
            <w:tcW w:w="1071" w:type="dxa"/>
          </w:tcPr>
          <w:p>
            <w:pPr>
              <w:jc w:val="center"/>
              <w:rPr>
                <w:rFonts w:ascii="仿宋" w:hAnsi="仿宋" w:eastAsia="仿宋" w:cs="Times New Roman"/>
                <w:color w:val="000000"/>
                <w:szCs w:val="21"/>
              </w:rPr>
            </w:pPr>
            <w:r>
              <w:rPr>
                <w:rFonts w:ascii="仿宋" w:hAnsi="仿宋" w:eastAsia="仿宋" w:cs="Times New Roman"/>
                <w:color w:val="000000"/>
                <w:szCs w:val="21"/>
              </w:rPr>
              <w:t>32.34</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413" w:type="dxa"/>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rPr>
                <w:rFonts w:ascii="仿宋" w:hAnsi="仿宋" w:eastAsia="仿宋" w:cs="Times New Roman"/>
                <w:b w:val="0"/>
                <w:bCs/>
                <w:color w:val="000000"/>
                <w:szCs w:val="21"/>
              </w:rPr>
            </w:pPr>
            <w:r>
              <w:rPr>
                <w:rFonts w:ascii="仿宋" w:hAnsi="仿宋" w:eastAsia="仿宋" w:cs="Times New Roman"/>
                <w:b w:val="0"/>
                <w:bCs/>
                <w:color w:val="000000"/>
                <w:szCs w:val="21"/>
              </w:rPr>
              <w:t>京沈高速</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26.70</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47.03</w:t>
            </w:r>
          </w:p>
        </w:tc>
        <w:tc>
          <w:tcPr>
            <w:tcW w:w="1276"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b/>
                <w:bCs/>
                <w:color w:val="000000"/>
                <w:szCs w:val="21"/>
              </w:rPr>
            </w:pPr>
            <w:r>
              <w:rPr>
                <w:rFonts w:ascii="仿宋" w:hAnsi="仿宋" w:eastAsia="仿宋" w:cs="Times New Roman"/>
                <w:b/>
                <w:bCs/>
                <w:color w:val="000000"/>
                <w:szCs w:val="21"/>
              </w:rPr>
              <w:t>57.04</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b/>
                <w:bCs/>
                <w:color w:val="000000"/>
                <w:szCs w:val="21"/>
              </w:rPr>
            </w:pPr>
            <w:r>
              <w:rPr>
                <w:rFonts w:ascii="仿宋" w:hAnsi="仿宋" w:eastAsia="仿宋" w:cs="Times New Roman"/>
                <w:b/>
                <w:bCs/>
                <w:color w:val="000000"/>
                <w:szCs w:val="21"/>
              </w:rPr>
              <w:t>51.86</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45.70</w:t>
            </w:r>
          </w:p>
        </w:tc>
        <w:tc>
          <w:tcPr>
            <w:tcW w:w="1071"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36.90</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413" w:type="dxa"/>
            <w:tcBorders>
              <w:right w:val="nil"/>
              <w:insideV w:val="nil"/>
            </w:tcBorders>
            <w:shd w:val="clear" w:color="auto" w:fill="FFFFFF" w:themeFill="background1"/>
          </w:tcPr>
          <w:p>
            <w:pPr>
              <w:rPr>
                <w:rFonts w:ascii="仿宋" w:hAnsi="仿宋" w:eastAsia="仿宋" w:cs="Times New Roman"/>
                <w:b w:val="0"/>
                <w:bCs/>
                <w:color w:val="000000"/>
                <w:szCs w:val="21"/>
              </w:rPr>
            </w:pPr>
            <w:r>
              <w:rPr>
                <w:rFonts w:ascii="仿宋" w:hAnsi="仿宋" w:eastAsia="仿宋" w:cs="Times New Roman"/>
                <w:b w:val="0"/>
                <w:bCs/>
                <w:color w:val="000000"/>
                <w:szCs w:val="21"/>
              </w:rPr>
              <w:t>京承高速</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23.53</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42.53</w:t>
            </w:r>
          </w:p>
        </w:tc>
        <w:tc>
          <w:tcPr>
            <w:tcW w:w="1276" w:type="dxa"/>
          </w:tcPr>
          <w:p>
            <w:pPr>
              <w:jc w:val="center"/>
              <w:rPr>
                <w:rFonts w:ascii="仿宋" w:hAnsi="仿宋" w:eastAsia="仿宋" w:cs="Times New Roman"/>
                <w:b/>
                <w:bCs/>
                <w:color w:val="000000"/>
                <w:szCs w:val="21"/>
              </w:rPr>
            </w:pPr>
            <w:r>
              <w:rPr>
                <w:rFonts w:ascii="仿宋" w:hAnsi="仿宋" w:eastAsia="仿宋" w:cs="Times New Roman"/>
                <w:b/>
                <w:bCs/>
                <w:color w:val="000000"/>
                <w:szCs w:val="21"/>
              </w:rPr>
              <w:t>55.26</w:t>
            </w:r>
          </w:p>
        </w:tc>
        <w:tc>
          <w:tcPr>
            <w:tcW w:w="1134" w:type="dxa"/>
          </w:tcPr>
          <w:p>
            <w:pPr>
              <w:jc w:val="center"/>
              <w:rPr>
                <w:rFonts w:ascii="仿宋" w:hAnsi="仿宋" w:eastAsia="仿宋" w:cs="Times New Roman"/>
                <w:b/>
                <w:bCs/>
                <w:color w:val="000000"/>
                <w:szCs w:val="21"/>
              </w:rPr>
            </w:pPr>
            <w:r>
              <w:rPr>
                <w:rFonts w:ascii="仿宋" w:hAnsi="仿宋" w:eastAsia="仿宋" w:cs="Times New Roman"/>
                <w:b/>
                <w:bCs/>
                <w:color w:val="000000"/>
                <w:szCs w:val="21"/>
              </w:rPr>
              <w:t>51.79</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46.42</w:t>
            </w:r>
          </w:p>
        </w:tc>
        <w:tc>
          <w:tcPr>
            <w:tcW w:w="1071" w:type="dxa"/>
          </w:tcPr>
          <w:p>
            <w:pPr>
              <w:jc w:val="center"/>
              <w:rPr>
                <w:rFonts w:ascii="仿宋" w:hAnsi="仿宋" w:eastAsia="仿宋" w:cs="Times New Roman"/>
                <w:color w:val="000000"/>
                <w:szCs w:val="21"/>
              </w:rPr>
            </w:pPr>
            <w:r>
              <w:rPr>
                <w:rFonts w:ascii="仿宋" w:hAnsi="仿宋" w:eastAsia="仿宋" w:cs="Times New Roman"/>
                <w:color w:val="000000"/>
                <w:szCs w:val="21"/>
              </w:rPr>
              <w:t>40.19</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413" w:type="dxa"/>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rPr>
                <w:rFonts w:ascii="仿宋" w:hAnsi="仿宋" w:eastAsia="仿宋" w:cs="Times New Roman"/>
                <w:b w:val="0"/>
                <w:bCs/>
                <w:color w:val="000000"/>
                <w:szCs w:val="21"/>
              </w:rPr>
            </w:pPr>
            <w:r>
              <w:rPr>
                <w:rFonts w:ascii="仿宋" w:hAnsi="仿宋" w:eastAsia="仿宋" w:cs="Times New Roman"/>
                <w:b w:val="0"/>
                <w:bCs/>
                <w:color w:val="000000"/>
                <w:szCs w:val="21"/>
              </w:rPr>
              <w:t>六环路</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26.85</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43.02</w:t>
            </w:r>
          </w:p>
        </w:tc>
        <w:tc>
          <w:tcPr>
            <w:tcW w:w="1276"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b/>
                <w:bCs/>
                <w:color w:val="000000"/>
                <w:szCs w:val="21"/>
              </w:rPr>
            </w:pPr>
            <w:r>
              <w:rPr>
                <w:rFonts w:ascii="仿宋" w:hAnsi="仿宋" w:eastAsia="仿宋" w:cs="Times New Roman"/>
                <w:b/>
                <w:bCs/>
                <w:color w:val="000000"/>
                <w:szCs w:val="21"/>
              </w:rPr>
              <w:t>50.85</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47.58</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44.52</w:t>
            </w:r>
          </w:p>
        </w:tc>
        <w:tc>
          <w:tcPr>
            <w:tcW w:w="1071"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39.29</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413" w:type="dxa"/>
            <w:tcBorders>
              <w:right w:val="nil"/>
              <w:insideV w:val="nil"/>
            </w:tcBorders>
            <w:shd w:val="clear" w:color="auto" w:fill="FFFFFF" w:themeFill="background1"/>
          </w:tcPr>
          <w:p>
            <w:pPr>
              <w:rPr>
                <w:rFonts w:ascii="仿宋" w:hAnsi="仿宋" w:eastAsia="仿宋" w:cs="Times New Roman"/>
                <w:b/>
                <w:bCs/>
                <w:color w:val="000000"/>
                <w:szCs w:val="21"/>
              </w:rPr>
            </w:pPr>
            <w:r>
              <w:rPr>
                <w:rFonts w:ascii="仿宋" w:hAnsi="仿宋" w:eastAsia="仿宋" w:cs="Times New Roman"/>
                <w:b/>
                <w:bCs/>
                <w:color w:val="000000"/>
                <w:szCs w:val="21"/>
              </w:rPr>
              <w:t>五环路</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17.76</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31.81</w:t>
            </w:r>
          </w:p>
        </w:tc>
        <w:tc>
          <w:tcPr>
            <w:tcW w:w="1276" w:type="dxa"/>
          </w:tcPr>
          <w:p>
            <w:pPr>
              <w:jc w:val="center"/>
              <w:rPr>
                <w:rFonts w:ascii="仿宋" w:hAnsi="仿宋" w:eastAsia="仿宋" w:cs="Times New Roman"/>
                <w:color w:val="000000"/>
                <w:szCs w:val="21"/>
              </w:rPr>
            </w:pPr>
            <w:r>
              <w:rPr>
                <w:rFonts w:ascii="仿宋" w:hAnsi="仿宋" w:eastAsia="仿宋" w:cs="Times New Roman"/>
                <w:color w:val="000000"/>
                <w:szCs w:val="21"/>
              </w:rPr>
              <w:t>38.22</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33.09</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29.78</w:t>
            </w:r>
          </w:p>
        </w:tc>
        <w:tc>
          <w:tcPr>
            <w:tcW w:w="1071" w:type="dxa"/>
          </w:tcPr>
          <w:p>
            <w:pPr>
              <w:jc w:val="center"/>
              <w:rPr>
                <w:rFonts w:ascii="仿宋" w:hAnsi="仿宋" w:eastAsia="仿宋" w:cs="Times New Roman"/>
                <w:color w:val="000000"/>
                <w:szCs w:val="21"/>
              </w:rPr>
            </w:pPr>
            <w:r>
              <w:rPr>
                <w:rFonts w:ascii="仿宋" w:hAnsi="仿宋" w:eastAsia="仿宋" w:cs="Times New Roman"/>
                <w:color w:val="000000"/>
                <w:szCs w:val="21"/>
              </w:rPr>
              <w:t>26.17</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413" w:type="dxa"/>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rPr>
                <w:rFonts w:ascii="仿宋" w:hAnsi="仿宋" w:eastAsia="仿宋" w:cs="Times New Roman"/>
                <w:b w:val="0"/>
                <w:bCs/>
                <w:color w:val="000000"/>
                <w:szCs w:val="21"/>
              </w:rPr>
            </w:pPr>
            <w:r>
              <w:rPr>
                <w:rFonts w:ascii="仿宋" w:hAnsi="仿宋" w:eastAsia="仿宋" w:cs="Times New Roman"/>
                <w:b w:val="0"/>
                <w:bCs/>
                <w:color w:val="000000"/>
                <w:szCs w:val="21"/>
              </w:rPr>
              <w:t>顺平路</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27.36</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43.83</w:t>
            </w:r>
          </w:p>
        </w:tc>
        <w:tc>
          <w:tcPr>
            <w:tcW w:w="1276"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b/>
                <w:bCs/>
                <w:color w:val="000000"/>
                <w:szCs w:val="21"/>
              </w:rPr>
            </w:pPr>
            <w:r>
              <w:rPr>
                <w:rFonts w:ascii="仿宋" w:hAnsi="仿宋" w:eastAsia="仿宋" w:cs="Times New Roman"/>
                <w:b/>
                <w:bCs/>
                <w:color w:val="000000"/>
                <w:szCs w:val="21"/>
              </w:rPr>
              <w:t>51.73</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48.88</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46.22</w:t>
            </w:r>
          </w:p>
        </w:tc>
        <w:tc>
          <w:tcPr>
            <w:tcW w:w="1071"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color w:val="000000"/>
                <w:szCs w:val="21"/>
              </w:rPr>
            </w:pPr>
            <w:r>
              <w:rPr>
                <w:rFonts w:ascii="仿宋" w:hAnsi="仿宋" w:eastAsia="仿宋" w:cs="Times New Roman"/>
                <w:color w:val="000000"/>
                <w:szCs w:val="21"/>
              </w:rPr>
              <w:t>42.61</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413" w:type="dxa"/>
            <w:tcBorders>
              <w:right w:val="nil"/>
              <w:insideV w:val="nil"/>
            </w:tcBorders>
            <w:shd w:val="clear" w:color="auto" w:fill="FFFFFF" w:themeFill="background1"/>
          </w:tcPr>
          <w:p>
            <w:pPr>
              <w:rPr>
                <w:rFonts w:ascii="仿宋" w:hAnsi="仿宋" w:eastAsia="仿宋" w:cs="Times New Roman"/>
                <w:b/>
                <w:bCs/>
                <w:color w:val="000000"/>
                <w:szCs w:val="21"/>
              </w:rPr>
            </w:pPr>
            <w:r>
              <w:rPr>
                <w:rFonts w:ascii="仿宋" w:hAnsi="仿宋" w:eastAsia="仿宋" w:cs="Times New Roman"/>
                <w:b/>
                <w:bCs/>
                <w:color w:val="000000"/>
                <w:szCs w:val="21"/>
              </w:rPr>
              <w:t>八达岭高速</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26.16</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37.36</w:t>
            </w:r>
          </w:p>
        </w:tc>
        <w:tc>
          <w:tcPr>
            <w:tcW w:w="1276" w:type="dxa"/>
          </w:tcPr>
          <w:p>
            <w:pPr>
              <w:jc w:val="center"/>
              <w:rPr>
                <w:rFonts w:ascii="仿宋" w:hAnsi="仿宋" w:eastAsia="仿宋" w:cs="Times New Roman"/>
                <w:color w:val="000000"/>
                <w:szCs w:val="21"/>
              </w:rPr>
            </w:pPr>
            <w:r>
              <w:rPr>
                <w:rFonts w:ascii="仿宋" w:hAnsi="仿宋" w:eastAsia="仿宋" w:cs="Times New Roman"/>
                <w:color w:val="000000"/>
                <w:szCs w:val="21"/>
              </w:rPr>
              <w:t>45.68</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43.97</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41.96</w:t>
            </w:r>
          </w:p>
        </w:tc>
        <w:tc>
          <w:tcPr>
            <w:tcW w:w="1071" w:type="dxa"/>
          </w:tcPr>
          <w:p>
            <w:pPr>
              <w:jc w:val="center"/>
              <w:rPr>
                <w:rFonts w:ascii="仿宋" w:hAnsi="仿宋" w:eastAsia="仿宋" w:cs="Times New Roman"/>
                <w:color w:val="000000"/>
                <w:szCs w:val="21"/>
              </w:rPr>
            </w:pPr>
            <w:r>
              <w:rPr>
                <w:rFonts w:ascii="仿宋" w:hAnsi="仿宋" w:eastAsia="仿宋" w:cs="Times New Roman"/>
                <w:color w:val="000000"/>
                <w:szCs w:val="21"/>
              </w:rPr>
              <w:t>39.82</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413" w:type="dxa"/>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rPr>
                <w:rFonts w:ascii="仿宋" w:hAnsi="仿宋" w:eastAsia="仿宋" w:cs="Times New Roman"/>
                <w:b w:val="0"/>
                <w:bCs/>
                <w:color w:val="000000"/>
                <w:szCs w:val="21"/>
              </w:rPr>
            </w:pPr>
            <w:r>
              <w:rPr>
                <w:rFonts w:ascii="仿宋" w:hAnsi="仿宋" w:eastAsia="仿宋" w:cs="Times New Roman"/>
                <w:b w:val="0"/>
                <w:bCs/>
                <w:color w:val="000000"/>
                <w:szCs w:val="21"/>
              </w:rPr>
              <w:t>大秦铁路</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b/>
                <w:bCs/>
                <w:color w:val="000000"/>
                <w:szCs w:val="21"/>
              </w:rPr>
            </w:pPr>
            <w:r>
              <w:rPr>
                <w:rFonts w:ascii="仿宋" w:hAnsi="仿宋" w:eastAsia="仿宋" w:cs="Times New Roman"/>
                <w:b/>
                <w:bCs/>
                <w:color w:val="000000"/>
                <w:szCs w:val="21"/>
              </w:rPr>
              <w:t>68.21</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b/>
                <w:bCs/>
                <w:color w:val="000000"/>
                <w:szCs w:val="21"/>
              </w:rPr>
            </w:pPr>
            <w:r>
              <w:rPr>
                <w:rFonts w:ascii="仿宋" w:hAnsi="仿宋" w:eastAsia="仿宋" w:cs="Times New Roman"/>
                <w:b/>
                <w:bCs/>
                <w:color w:val="000000"/>
                <w:szCs w:val="21"/>
              </w:rPr>
              <w:t>72.27</w:t>
            </w:r>
          </w:p>
        </w:tc>
        <w:tc>
          <w:tcPr>
            <w:tcW w:w="1276"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b/>
                <w:bCs/>
                <w:color w:val="000000"/>
                <w:szCs w:val="21"/>
              </w:rPr>
            </w:pPr>
            <w:r>
              <w:rPr>
                <w:rFonts w:ascii="仿宋" w:hAnsi="仿宋" w:eastAsia="仿宋" w:cs="Times New Roman"/>
                <w:b/>
                <w:bCs/>
                <w:color w:val="000000"/>
                <w:szCs w:val="21"/>
              </w:rPr>
              <w:t>72.23</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b/>
                <w:bCs/>
                <w:color w:val="000000"/>
                <w:szCs w:val="21"/>
              </w:rPr>
            </w:pPr>
            <w:r>
              <w:rPr>
                <w:rFonts w:ascii="仿宋" w:hAnsi="仿宋" w:eastAsia="仿宋" w:cs="Times New Roman"/>
                <w:b/>
                <w:bCs/>
                <w:color w:val="000000"/>
                <w:szCs w:val="21"/>
              </w:rPr>
              <w:t>69.55</w:t>
            </w:r>
          </w:p>
        </w:tc>
        <w:tc>
          <w:tcPr>
            <w:tcW w:w="113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b/>
                <w:bCs/>
                <w:color w:val="000000"/>
                <w:szCs w:val="21"/>
              </w:rPr>
            </w:pPr>
            <w:r>
              <w:rPr>
                <w:rFonts w:ascii="仿宋" w:hAnsi="仿宋" w:eastAsia="仿宋" w:cs="Times New Roman"/>
                <w:b/>
                <w:bCs/>
                <w:color w:val="000000"/>
                <w:szCs w:val="21"/>
              </w:rPr>
              <w:t>66.06</w:t>
            </w:r>
          </w:p>
        </w:tc>
        <w:tc>
          <w:tcPr>
            <w:tcW w:w="1071"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b/>
                <w:bCs/>
                <w:color w:val="000000"/>
                <w:szCs w:val="21"/>
              </w:rPr>
            </w:pPr>
            <w:r>
              <w:rPr>
                <w:rFonts w:ascii="仿宋" w:hAnsi="仿宋" w:eastAsia="仿宋" w:cs="Times New Roman"/>
                <w:b/>
                <w:bCs/>
                <w:color w:val="000000"/>
                <w:szCs w:val="21"/>
              </w:rPr>
              <w:t>62.23</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413" w:type="dxa"/>
            <w:tcBorders>
              <w:right w:val="nil"/>
              <w:insideV w:val="nil"/>
            </w:tcBorders>
            <w:shd w:val="clear" w:color="auto" w:fill="FFFFFF" w:themeFill="background1"/>
          </w:tcPr>
          <w:p>
            <w:pPr>
              <w:rPr>
                <w:rFonts w:ascii="仿宋" w:hAnsi="仿宋" w:eastAsia="仿宋" w:cs="Times New Roman"/>
                <w:b/>
                <w:bCs/>
                <w:color w:val="000000"/>
                <w:szCs w:val="21"/>
              </w:rPr>
            </w:pPr>
            <w:r>
              <w:rPr>
                <w:rFonts w:ascii="仿宋" w:hAnsi="仿宋" w:eastAsia="仿宋" w:cs="Times New Roman"/>
                <w:b/>
                <w:bCs/>
                <w:color w:val="000000"/>
                <w:szCs w:val="21"/>
              </w:rPr>
              <w:t>京九铁路</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44.36</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46.10</w:t>
            </w:r>
          </w:p>
        </w:tc>
        <w:tc>
          <w:tcPr>
            <w:tcW w:w="1276" w:type="dxa"/>
          </w:tcPr>
          <w:p>
            <w:pPr>
              <w:jc w:val="center"/>
              <w:rPr>
                <w:rFonts w:ascii="仿宋" w:hAnsi="仿宋" w:eastAsia="仿宋" w:cs="Times New Roman"/>
                <w:color w:val="000000"/>
                <w:szCs w:val="21"/>
              </w:rPr>
            </w:pPr>
            <w:r>
              <w:rPr>
                <w:rFonts w:ascii="仿宋" w:hAnsi="仿宋" w:eastAsia="仿宋" w:cs="Times New Roman"/>
                <w:color w:val="000000"/>
                <w:szCs w:val="21"/>
              </w:rPr>
              <w:t>38.19</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29.77</w:t>
            </w:r>
          </w:p>
        </w:tc>
        <w:tc>
          <w:tcPr>
            <w:tcW w:w="1134" w:type="dxa"/>
          </w:tcPr>
          <w:p>
            <w:pPr>
              <w:jc w:val="center"/>
              <w:rPr>
                <w:rFonts w:ascii="仿宋" w:hAnsi="仿宋" w:eastAsia="仿宋" w:cs="Times New Roman"/>
                <w:color w:val="000000"/>
                <w:szCs w:val="21"/>
              </w:rPr>
            </w:pPr>
            <w:r>
              <w:rPr>
                <w:rFonts w:ascii="仿宋" w:hAnsi="仿宋" w:eastAsia="仿宋" w:cs="Times New Roman"/>
                <w:color w:val="000000"/>
                <w:szCs w:val="21"/>
              </w:rPr>
              <w:t>25.68</w:t>
            </w:r>
          </w:p>
        </w:tc>
        <w:tc>
          <w:tcPr>
            <w:tcW w:w="1071" w:type="dxa"/>
          </w:tcPr>
          <w:p>
            <w:pPr>
              <w:jc w:val="center"/>
              <w:rPr>
                <w:rFonts w:ascii="仿宋" w:hAnsi="仿宋" w:eastAsia="仿宋" w:cs="Times New Roman"/>
                <w:color w:val="000000"/>
                <w:szCs w:val="21"/>
              </w:rPr>
            </w:pPr>
            <w:r>
              <w:rPr>
                <w:rFonts w:ascii="仿宋" w:hAnsi="仿宋" w:eastAsia="仿宋" w:cs="Times New Roman"/>
                <w:color w:val="000000"/>
                <w:szCs w:val="21"/>
              </w:rPr>
              <w:t>22.33</w:t>
            </w:r>
          </w:p>
        </w:tc>
      </w:tr>
    </w:tbl>
    <w:p>
      <w:pPr>
        <w:pStyle w:val="4"/>
        <w:spacing w:before="217" w:after="217" w:line="240" w:lineRule="auto"/>
        <w:rPr>
          <w:rFonts w:ascii="仿宋" w:hAnsi="仿宋" w:eastAsia="仿宋" w:cs="Times New Roman"/>
          <w:spacing w:val="20"/>
        </w:rPr>
      </w:pPr>
      <w:bookmarkStart w:id="135" w:name="_Toc530648972"/>
      <w:bookmarkStart w:id="136" w:name="_Toc27389900"/>
      <w:bookmarkStart w:id="137" w:name="_Toc528968793"/>
      <w:r>
        <w:rPr>
          <w:rFonts w:hint="eastAsia" w:ascii="仿宋" w:hAnsi="仿宋" w:eastAsia="仿宋" w:cs="Times New Roman"/>
          <w:spacing w:val="20"/>
        </w:rPr>
        <w:t>（五）落实绿隔地区</w:t>
      </w:r>
      <w:bookmarkEnd w:id="135"/>
      <w:r>
        <w:rPr>
          <w:rFonts w:hint="eastAsia" w:ascii="仿宋" w:hAnsi="仿宋" w:eastAsia="仿宋" w:cs="Times New Roman"/>
          <w:spacing w:val="20"/>
        </w:rPr>
        <w:t>规划</w:t>
      </w:r>
      <w:bookmarkEnd w:id="136"/>
    </w:p>
    <w:p>
      <w:pPr>
        <w:pStyle w:val="5"/>
        <w:spacing w:before="0" w:after="0" w:line="240" w:lineRule="auto"/>
        <w:rPr>
          <w:rFonts w:ascii="仿宋" w:hAnsi="仿宋" w:eastAsia="仿宋"/>
        </w:rPr>
      </w:pPr>
      <w:bookmarkStart w:id="138" w:name="_Toc530648973"/>
      <w:r>
        <w:rPr>
          <w:rFonts w:hint="eastAsia" w:ascii="仿宋" w:hAnsi="仿宋" w:eastAsia="仿宋"/>
        </w:rPr>
        <w:t>1.一道绿化隔离区</w:t>
      </w:r>
      <w:bookmarkEnd w:id="138"/>
    </w:p>
    <w:p>
      <w:pPr>
        <w:ind w:firstLine="420"/>
        <w:rPr>
          <w:rFonts w:ascii="仿宋" w:hAnsi="仿宋" w:eastAsia="仿宋"/>
          <w:sz w:val="28"/>
          <w:szCs w:val="28"/>
        </w:rPr>
      </w:pPr>
      <w:r>
        <w:rPr>
          <w:rFonts w:hint="eastAsia" w:ascii="仿宋" w:hAnsi="仿宋" w:eastAsia="仿宋"/>
          <w:sz w:val="28"/>
          <w:szCs w:val="28"/>
        </w:rPr>
        <w:t>一道绿化隔离区内</w:t>
      </w:r>
      <w:r>
        <w:rPr>
          <w:rFonts w:hint="eastAsia" w:ascii="仿宋" w:hAnsi="仿宋" w:eastAsia="仿宋"/>
          <w:sz w:val="22"/>
          <w:szCs w:val="24"/>
        </w:rPr>
        <w:t>林木树冠覆盖率过去15年间增加了22.6个百分点</w:t>
      </w:r>
      <w:r>
        <w:rPr>
          <w:rFonts w:hint="eastAsia" w:ascii="仿宋" w:hAnsi="仿宋" w:eastAsia="仿宋"/>
          <w:sz w:val="28"/>
          <w:szCs w:val="28"/>
        </w:rPr>
        <w:t>，从</w:t>
      </w:r>
      <w:r>
        <w:rPr>
          <w:rFonts w:hint="eastAsia" w:ascii="仿宋" w:hAnsi="仿宋" w:eastAsia="仿宋"/>
          <w:sz w:val="28"/>
          <w:szCs w:val="24"/>
        </w:rPr>
        <w:t>2002年的18.9%增加到了2017年的41.5%，</w:t>
      </w:r>
      <w:r>
        <w:rPr>
          <w:rFonts w:hint="eastAsia" w:ascii="仿宋" w:hAnsi="仿宋" w:eastAsia="仿宋"/>
          <w:sz w:val="28"/>
          <w:szCs w:val="28"/>
        </w:rPr>
        <w:t>其中北部增加相对南部较明显，呈现出连片成团的分布格局。</w:t>
      </w:r>
    </w:p>
    <w:p>
      <w:pPr>
        <w:ind w:firstLine="420"/>
        <w:rPr>
          <w:rFonts w:ascii="仿宋" w:hAnsi="仿宋" w:eastAsia="仿宋"/>
          <w:sz w:val="24"/>
          <w:szCs w:val="24"/>
        </w:rPr>
      </w:pP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47"/>
        <w:gridCol w:w="42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0" w:hRule="atLeast"/>
        </w:trPr>
        <w:tc>
          <w:tcPr>
            <w:tcW w:w="4247" w:type="dxa"/>
          </w:tcPr>
          <w:p>
            <w:pPr>
              <w:rPr>
                <w:rFonts w:ascii="仿宋" w:hAnsi="仿宋" w:eastAsia="仿宋" w:cs="Times New Roman"/>
              </w:rPr>
            </w:pPr>
            <w:r>
              <w:rPr>
                <w:rFonts w:hint="eastAsia" w:ascii="仿宋" w:hAnsi="仿宋" w:eastAsia="仿宋" w:cs="Times New Roman"/>
              </w:rPr>
              <w:drawing>
                <wp:anchor distT="0" distB="0" distL="114300" distR="114300" simplePos="0" relativeHeight="251623424" behindDoc="0" locked="0" layoutInCell="1" allowOverlap="1">
                  <wp:simplePos x="0" y="0"/>
                  <wp:positionH relativeFrom="column">
                    <wp:posOffset>2627630</wp:posOffset>
                  </wp:positionH>
                  <wp:positionV relativeFrom="paragraph">
                    <wp:posOffset>36195</wp:posOffset>
                  </wp:positionV>
                  <wp:extent cx="2721610" cy="1489075"/>
                  <wp:effectExtent l="0" t="0" r="2540" b="0"/>
                  <wp:wrapNone/>
                  <wp:docPr id="28734" name="图片 28734" descr="北京市二道绿化隔离区叠加新造林面积"/>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734" name="图片 28734" descr="北京市二道绿化隔离区叠加新造林面积"/>
                          <pic:cNvPicPr>
                            <a:picLocks noChangeAspect="true" noChangeArrowheads="true"/>
                          </pic:cNvPicPr>
                        </pic:nvPicPr>
                        <pic:blipFill>
                          <a:blip r:embed="rId30" cstate="hqprint">
                            <a:extLst>
                              <a:ext uri="{28A0092B-C50C-407E-A947-70E740481C1C}">
                                <a14:useLocalDpi xmlns:a14="http://schemas.microsoft.com/office/drawing/2010/main" val="false"/>
                              </a:ext>
                            </a:extLst>
                          </a:blip>
                          <a:srcRect/>
                          <a:stretch>
                            <a:fillRect/>
                          </a:stretch>
                        </pic:blipFill>
                        <pic:spPr>
                          <a:xfrm>
                            <a:off x="0" y="0"/>
                            <a:ext cx="2725090" cy="1491199"/>
                          </a:xfrm>
                          <a:prstGeom prst="rect">
                            <a:avLst/>
                          </a:prstGeom>
                          <a:noFill/>
                          <a:ln>
                            <a:noFill/>
                          </a:ln>
                        </pic:spPr>
                      </pic:pic>
                    </a:graphicData>
                  </a:graphic>
                </wp:anchor>
              </w:drawing>
            </w:r>
            <w:r>
              <w:rPr>
                <w:rFonts w:hint="eastAsia" w:ascii="仿宋" w:hAnsi="仿宋" w:eastAsia="仿宋"/>
                <w:b/>
                <w:bCs/>
                <w:szCs w:val="21"/>
              </w:rPr>
              <w:drawing>
                <wp:anchor distT="0" distB="0" distL="114300" distR="114300" simplePos="0" relativeHeight="251617280" behindDoc="0" locked="0" layoutInCell="1" allowOverlap="1">
                  <wp:simplePos x="0" y="0"/>
                  <wp:positionH relativeFrom="column">
                    <wp:posOffset>-67310</wp:posOffset>
                  </wp:positionH>
                  <wp:positionV relativeFrom="paragraph">
                    <wp:posOffset>7620</wp:posOffset>
                  </wp:positionV>
                  <wp:extent cx="2698115" cy="1541780"/>
                  <wp:effectExtent l="0" t="0" r="7620" b="1905"/>
                  <wp:wrapNone/>
                  <wp:docPr id="28735" name="图片 28735" descr="一道绿化隔离区新叠加新造林面积"/>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735" name="图片 28735" descr="一道绿化隔离区新叠加新造林面积"/>
                          <pic:cNvPicPr>
                            <a:picLocks noChangeAspect="true" noChangeArrowheads="true"/>
                          </pic:cNvPicPr>
                        </pic:nvPicPr>
                        <pic:blipFill>
                          <a:blip r:embed="rId31" cstate="print">
                            <a:extLst>
                              <a:ext uri="{28A0092B-C50C-407E-A947-70E740481C1C}">
                                <a14:useLocalDpi xmlns:a14="http://schemas.microsoft.com/office/drawing/2010/main" val="false"/>
                              </a:ext>
                            </a:extLst>
                          </a:blip>
                          <a:srcRect b="4746"/>
                          <a:stretch>
                            <a:fillRect/>
                          </a:stretch>
                        </pic:blipFill>
                        <pic:spPr>
                          <a:xfrm>
                            <a:off x="0" y="0"/>
                            <a:ext cx="2700954" cy="1543525"/>
                          </a:xfrm>
                          <a:prstGeom prst="rect">
                            <a:avLst/>
                          </a:prstGeom>
                          <a:noFill/>
                          <a:ln>
                            <a:noFill/>
                          </a:ln>
                        </pic:spPr>
                      </pic:pic>
                    </a:graphicData>
                  </a:graphic>
                </wp:anchor>
              </w:drawing>
            </w:r>
          </w:p>
        </w:tc>
        <w:tc>
          <w:tcPr>
            <w:tcW w:w="4247" w:type="dxa"/>
          </w:tcPr>
          <w:p>
            <w:pPr>
              <w:rPr>
                <w:rFonts w:ascii="仿宋" w:hAnsi="仿宋" w:eastAsia="仿宋"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47" w:type="dxa"/>
          </w:tcPr>
          <w:p>
            <w:pPr>
              <w:jc w:val="center"/>
              <w:rPr>
                <w:rFonts w:ascii="仿宋" w:hAnsi="仿宋" w:eastAsia="仿宋" w:cs="Times New Roman"/>
              </w:rPr>
            </w:pPr>
            <w:r>
              <w:rPr>
                <w:rFonts w:hint="eastAsia" w:ascii="仿宋" w:hAnsi="仿宋" w:eastAsia="仿宋"/>
                <w:b/>
                <w:lang w:val="zh-CN"/>
              </w:rPr>
              <w:t>图4-21一道隔离区地表覆盖空间分布图</w:t>
            </w:r>
          </w:p>
        </w:tc>
        <w:tc>
          <w:tcPr>
            <w:tcW w:w="4247" w:type="dxa"/>
          </w:tcPr>
          <w:p>
            <w:pPr>
              <w:jc w:val="center"/>
              <w:rPr>
                <w:rFonts w:ascii="仿宋" w:hAnsi="仿宋" w:eastAsia="仿宋" w:cs="Times New Roman"/>
              </w:rPr>
            </w:pPr>
            <w:r>
              <w:rPr>
                <w:rFonts w:hint="eastAsia" w:ascii="仿宋" w:hAnsi="仿宋" w:eastAsia="仿宋"/>
                <w:b/>
                <w:lang w:val="zh-CN"/>
              </w:rPr>
              <w:t>图4-22二道隔离区地表覆盖空间分布图</w:t>
            </w:r>
          </w:p>
        </w:tc>
      </w:tr>
    </w:tbl>
    <w:p>
      <w:pPr>
        <w:jc w:val="center"/>
        <w:rPr>
          <w:rFonts w:ascii="仿宋" w:hAnsi="仿宋" w:eastAsia="仿宋"/>
          <w:b/>
          <w:bCs/>
          <w:szCs w:val="21"/>
        </w:rPr>
      </w:pPr>
      <w:bookmarkStart w:id="139" w:name="_Toc530648974"/>
    </w:p>
    <w:p>
      <w:pPr>
        <w:pStyle w:val="5"/>
        <w:spacing w:before="0" w:after="0" w:line="240" w:lineRule="auto"/>
        <w:rPr>
          <w:rFonts w:ascii="仿宋" w:hAnsi="仿宋" w:eastAsia="仿宋"/>
        </w:rPr>
      </w:pPr>
      <w:r>
        <w:rPr>
          <w:rFonts w:hint="eastAsia" w:ascii="仿宋" w:hAnsi="仿宋" w:eastAsia="仿宋"/>
        </w:rPr>
        <w:t>2.二道绿化隔离区</w:t>
      </w:r>
      <w:bookmarkEnd w:id="139"/>
    </w:p>
    <w:p>
      <w:pPr>
        <w:ind w:firstLine="420"/>
        <w:rPr>
          <w:rFonts w:ascii="仿宋" w:hAnsi="仿宋" w:eastAsia="仿宋" w:cs="Times New Roman"/>
          <w:sz w:val="22"/>
          <w:szCs w:val="24"/>
        </w:rPr>
      </w:pPr>
      <w:r>
        <w:rPr>
          <w:rFonts w:hint="eastAsia" w:ascii="仿宋" w:hAnsi="仿宋" w:eastAsia="仿宋"/>
          <w:sz w:val="28"/>
          <w:szCs w:val="24"/>
        </w:rPr>
        <w:t>二道绿化隔离区林木树冠覆盖率过去15年间增加了24.7个百分点，从2002年的17.7%增加到了2017年的42.4%，西部的山地与永定河沿岸一带、东北部温榆河两岸区域林木树冠覆盖增加最显著。</w:t>
      </w:r>
    </w:p>
    <w:p>
      <w:pPr>
        <w:pStyle w:val="4"/>
        <w:spacing w:before="217" w:after="217" w:line="240" w:lineRule="auto"/>
        <w:rPr>
          <w:rFonts w:ascii="仿宋" w:hAnsi="仿宋" w:eastAsia="仿宋" w:cs="Times New Roman"/>
          <w:spacing w:val="20"/>
        </w:rPr>
      </w:pPr>
      <w:bookmarkStart w:id="140" w:name="_Toc530648976"/>
      <w:bookmarkStart w:id="141" w:name="_Toc27389901"/>
      <w:r>
        <w:rPr>
          <w:rFonts w:hint="eastAsia" w:ascii="仿宋" w:hAnsi="仿宋" w:eastAsia="仿宋" w:cs="Times New Roman"/>
          <w:spacing w:val="20"/>
        </w:rPr>
        <w:t>（六）提升乡村森林风貌</w:t>
      </w:r>
      <w:bookmarkEnd w:id="137"/>
      <w:bookmarkEnd w:id="140"/>
      <w:bookmarkEnd w:id="141"/>
    </w:p>
    <w:p>
      <w:pPr>
        <w:pStyle w:val="5"/>
        <w:spacing w:before="0" w:after="0" w:line="240" w:lineRule="auto"/>
        <w:rPr>
          <w:rFonts w:ascii="仿宋" w:hAnsi="仿宋" w:eastAsia="仿宋"/>
        </w:rPr>
      </w:pPr>
      <w:r>
        <w:rPr>
          <w:rFonts w:hint="eastAsia" w:ascii="仿宋" w:hAnsi="仿宋" w:eastAsia="仿宋"/>
        </w:rPr>
        <w:t>1.市域乡村树冠覆盖</w:t>
      </w:r>
    </w:p>
    <w:p>
      <w:pPr>
        <w:ind w:firstLine="482"/>
        <w:rPr>
          <w:rFonts w:ascii="仿宋" w:hAnsi="仿宋" w:eastAsia="仿宋"/>
          <w:sz w:val="28"/>
          <w:szCs w:val="28"/>
        </w:rPr>
      </w:pPr>
      <w:r>
        <w:rPr>
          <w:rFonts w:ascii="仿宋" w:hAnsi="仿宋" w:eastAsia="仿宋"/>
          <w:sz w:val="28"/>
          <w:szCs w:val="28"/>
        </w:rPr>
        <w:t>北京市</w:t>
      </w:r>
      <w:r>
        <w:rPr>
          <w:rFonts w:hint="eastAsia" w:ascii="仿宋" w:hAnsi="仿宋" w:eastAsia="仿宋"/>
          <w:sz w:val="28"/>
          <w:szCs w:val="28"/>
        </w:rPr>
        <w:t>近十年来</w:t>
      </w:r>
      <w:r>
        <w:rPr>
          <w:rFonts w:ascii="仿宋" w:hAnsi="仿宋" w:eastAsia="仿宋"/>
          <w:sz w:val="28"/>
          <w:szCs w:val="28"/>
        </w:rPr>
        <w:t>大力开展乡村</w:t>
      </w:r>
      <w:r>
        <w:rPr>
          <w:rFonts w:hint="eastAsia" w:ascii="仿宋" w:hAnsi="仿宋" w:eastAsia="仿宋"/>
          <w:sz w:val="28"/>
          <w:szCs w:val="28"/>
        </w:rPr>
        <w:t>绿化美化</w:t>
      </w:r>
      <w:r>
        <w:rPr>
          <w:rFonts w:ascii="仿宋" w:hAnsi="仿宋" w:eastAsia="仿宋"/>
          <w:sz w:val="28"/>
          <w:szCs w:val="28"/>
        </w:rPr>
        <w:t>建设，</w:t>
      </w:r>
      <w:r>
        <w:rPr>
          <w:rFonts w:hint="eastAsia" w:ascii="仿宋" w:hAnsi="仿宋" w:eastAsia="仿宋"/>
          <w:sz w:val="28"/>
          <w:szCs w:val="28"/>
        </w:rPr>
        <w:t>2</w:t>
      </w:r>
      <w:r>
        <w:rPr>
          <w:rFonts w:ascii="仿宋" w:hAnsi="仿宋" w:eastAsia="仿宋"/>
          <w:sz w:val="28"/>
          <w:szCs w:val="28"/>
        </w:rPr>
        <w:t>006</w:t>
      </w:r>
      <w:r>
        <w:rPr>
          <w:rFonts w:hint="eastAsia" w:ascii="仿宋" w:hAnsi="仿宋" w:eastAsia="仿宋"/>
          <w:sz w:val="28"/>
          <w:szCs w:val="28"/>
        </w:rPr>
        <w:t>年以来</w:t>
      </w:r>
      <w:r>
        <w:rPr>
          <w:rFonts w:ascii="仿宋" w:hAnsi="仿宋" w:eastAsia="仿宋"/>
          <w:sz w:val="28"/>
          <w:szCs w:val="28"/>
        </w:rPr>
        <w:t>，</w:t>
      </w:r>
      <w:r>
        <w:rPr>
          <w:rFonts w:hint="eastAsia" w:ascii="仿宋" w:hAnsi="仿宋" w:eastAsia="仿宋"/>
          <w:sz w:val="28"/>
          <w:szCs w:val="28"/>
        </w:rPr>
        <w:t>已建成首都绿色村庄</w:t>
      </w:r>
      <w:r>
        <w:rPr>
          <w:rFonts w:ascii="仿宋" w:hAnsi="仿宋" w:eastAsia="仿宋"/>
          <w:sz w:val="28"/>
          <w:szCs w:val="28"/>
        </w:rPr>
        <w:t>926个，建设200余处乡镇公园和村镇绿地</w:t>
      </w:r>
      <w:r>
        <w:rPr>
          <w:rFonts w:hint="eastAsia" w:ascii="仿宋" w:hAnsi="仿宋" w:eastAsia="仿宋"/>
          <w:sz w:val="28"/>
          <w:szCs w:val="28"/>
        </w:rPr>
        <w:t>。对北京13区155个典型代表乡村树冠覆盖解译分析表明，北京乡村居住区的树冠覆盖率平均为13.78%，但乡村之间的差异很大。</w:t>
      </w:r>
    </w:p>
    <w:p>
      <w:pPr>
        <w:ind w:firstLine="482"/>
        <w:jc w:val="center"/>
        <w:rPr>
          <w:rFonts w:ascii="仿宋" w:hAnsi="仿宋" w:eastAsia="仿宋"/>
          <w:b/>
          <w:bCs/>
          <w:sz w:val="24"/>
          <w:szCs w:val="24"/>
        </w:rPr>
      </w:pPr>
      <w:r>
        <w:rPr>
          <w:rFonts w:hint="eastAsia" w:ascii="仿宋" w:hAnsi="仿宋" w:eastAsia="仿宋"/>
          <w:b/>
          <w:bCs/>
          <w:lang w:val="zh-CN"/>
        </w:rPr>
        <w:t>表4-5</w:t>
      </w:r>
      <w:r>
        <w:rPr>
          <w:rFonts w:ascii="仿宋" w:hAnsi="仿宋" w:eastAsia="仿宋"/>
          <w:b/>
          <w:bCs/>
          <w:lang w:val="zh-CN"/>
        </w:rPr>
        <w:t xml:space="preserve"> </w:t>
      </w:r>
      <w:r>
        <w:rPr>
          <w:rFonts w:hint="eastAsia" w:ascii="仿宋" w:hAnsi="仿宋" w:eastAsia="仿宋"/>
          <w:b/>
          <w:bCs/>
          <w:lang w:val="zh-CN"/>
        </w:rPr>
        <w:t>北京市各区乡村树冠覆盖概况统计表</w:t>
      </w:r>
    </w:p>
    <w:tbl>
      <w:tblPr>
        <w:tblStyle w:val="98"/>
        <w:tblW w:w="5000" w:type="pct"/>
        <w:tblInd w:w="0" w:type="dxa"/>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Layout w:type="autofit"/>
        <w:tblCellMar>
          <w:top w:w="0" w:type="dxa"/>
          <w:left w:w="108" w:type="dxa"/>
          <w:bottom w:w="0" w:type="dxa"/>
          <w:right w:w="108" w:type="dxa"/>
        </w:tblCellMar>
      </w:tblPr>
      <w:tblGrid>
        <w:gridCol w:w="2007"/>
        <w:gridCol w:w="2688"/>
        <w:gridCol w:w="1536"/>
        <w:gridCol w:w="2489"/>
      </w:tblGrid>
      <w:tr>
        <w:tblPrEx>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Ex>
        <w:trPr>
          <w:trHeight w:val="285" w:hRule="atLeast"/>
        </w:trPr>
        <w:tc>
          <w:tcPr>
            <w:tcW w:w="1151" w:type="pct"/>
            <w:tcBorders>
              <w:top w:val="single" w:color="9BBB59" w:themeColor="accent3" w:sz="4" w:space="0"/>
              <w:left w:val="single" w:color="9BBB59" w:themeColor="accent3" w:sz="4" w:space="0"/>
              <w:bottom w:val="single" w:color="9BBB59" w:themeColor="accent3" w:sz="4" w:space="0"/>
              <w:right w:val="nil"/>
              <w:insideH w:val="single" w:sz="4" w:space="0"/>
              <w:insideV w:val="nil"/>
            </w:tcBorders>
            <w:shd w:val="clear" w:color="auto" w:fill="C2D69B" w:themeFill="accent3" w:themeFillTint="99"/>
            <w:noWrap/>
          </w:tcPr>
          <w:p>
            <w:pPr>
              <w:widowControl/>
              <w:jc w:val="center"/>
              <w:rPr>
                <w:rFonts w:ascii="仿宋" w:hAnsi="仿宋" w:eastAsia="仿宋" w:cs="宋体"/>
                <w:b/>
                <w:bCs/>
                <w:color w:val="FFFFFF" w:themeColor="background1"/>
                <w:kern w:val="0"/>
                <w:szCs w:val="21"/>
                <w14:textFill>
                  <w14:solidFill>
                    <w14:schemeClr w14:val="bg1"/>
                  </w14:solidFill>
                </w14:textFill>
              </w:rPr>
            </w:pPr>
            <w:r>
              <w:rPr>
                <w:rFonts w:hint="eastAsia" w:ascii="仿宋" w:hAnsi="仿宋" w:eastAsia="仿宋" w:cs="宋体"/>
                <w:b/>
                <w:bCs/>
                <w:color w:val="auto"/>
                <w:kern w:val="0"/>
                <w:szCs w:val="21"/>
              </w:rPr>
              <w:t>统计单位</w:t>
            </w:r>
          </w:p>
        </w:tc>
        <w:tc>
          <w:tcPr>
            <w:tcW w:w="1541" w:type="pct"/>
            <w:tcBorders>
              <w:top w:val="single" w:color="9BBB59" w:themeColor="accent3" w:sz="4" w:space="0"/>
              <w:bottom w:val="single" w:color="9BBB59" w:themeColor="accent3" w:sz="4" w:space="0"/>
              <w:right w:val="nil"/>
              <w:insideH w:val="single" w:sz="4" w:space="0"/>
              <w:insideV w:val="nil"/>
            </w:tcBorders>
            <w:shd w:val="clear" w:color="auto" w:fill="C2D69B" w:themeFill="accent3" w:themeFillTint="99"/>
            <w:noWrap/>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村庄UTC均值</w:t>
            </w:r>
          </w:p>
        </w:tc>
        <w:tc>
          <w:tcPr>
            <w:tcW w:w="881" w:type="pct"/>
            <w:tcBorders>
              <w:top w:val="single" w:color="9BBB59" w:themeColor="accent3" w:sz="4" w:space="0"/>
              <w:bottom w:val="single" w:color="9BBB59" w:themeColor="accent3" w:sz="4" w:space="0"/>
              <w:right w:val="nil"/>
              <w:insideH w:val="single" w:sz="4" w:space="0"/>
              <w:insideV w:val="nil"/>
            </w:tcBorders>
            <w:shd w:val="clear" w:color="auto" w:fill="C2D69B" w:themeFill="accent3" w:themeFillTint="99"/>
            <w:noWrap/>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最大值</w:t>
            </w:r>
          </w:p>
        </w:tc>
        <w:tc>
          <w:tcPr>
            <w:tcW w:w="1427" w:type="pct"/>
            <w:tcBorders>
              <w:top w:val="single" w:color="9BBB59" w:themeColor="accent3" w:sz="4" w:space="0"/>
              <w:bottom w:val="single" w:color="9BBB59" w:themeColor="accent3" w:sz="4" w:space="0"/>
              <w:right w:val="single" w:color="9BBB59" w:themeColor="accent3" w:sz="4" w:space="0"/>
              <w:insideH w:val="single" w:sz="4" w:space="0"/>
              <w:insideV w:val="nil"/>
            </w:tcBorders>
            <w:shd w:val="clear" w:color="auto" w:fill="C2D69B" w:themeFill="accent3" w:themeFillTint="99"/>
            <w:noWrap/>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最小值</w:t>
            </w:r>
          </w:p>
        </w:tc>
      </w:tr>
      <w:tr>
        <w:tblPrEx>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Ex>
        <w:trPr>
          <w:trHeight w:val="285" w:hRule="atLeast"/>
        </w:trPr>
        <w:tc>
          <w:tcPr>
            <w:tcW w:w="1151" w:type="pct"/>
            <w:shd w:val="clear" w:color="auto" w:fill="auto"/>
            <w:noWrap/>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丰台区</w:t>
            </w:r>
          </w:p>
        </w:tc>
        <w:tc>
          <w:tcPr>
            <w:tcW w:w="154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30.17</w:t>
            </w:r>
          </w:p>
        </w:tc>
        <w:tc>
          <w:tcPr>
            <w:tcW w:w="88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41.03</w:t>
            </w:r>
          </w:p>
        </w:tc>
        <w:tc>
          <w:tcPr>
            <w:tcW w:w="1427"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20.49</w:t>
            </w:r>
          </w:p>
        </w:tc>
      </w:tr>
      <w:tr>
        <w:tblPrEx>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Ex>
        <w:trPr>
          <w:trHeight w:val="285" w:hRule="atLeast"/>
        </w:trPr>
        <w:tc>
          <w:tcPr>
            <w:tcW w:w="1151" w:type="pct"/>
            <w:shd w:val="clear" w:color="auto" w:fill="auto"/>
            <w:noWrap/>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房山区</w:t>
            </w:r>
          </w:p>
        </w:tc>
        <w:tc>
          <w:tcPr>
            <w:tcW w:w="154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24.48</w:t>
            </w:r>
          </w:p>
        </w:tc>
        <w:tc>
          <w:tcPr>
            <w:tcW w:w="88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63.93</w:t>
            </w:r>
          </w:p>
        </w:tc>
        <w:tc>
          <w:tcPr>
            <w:tcW w:w="1427"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3.12</w:t>
            </w:r>
          </w:p>
        </w:tc>
      </w:tr>
      <w:tr>
        <w:tblPrEx>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Ex>
        <w:trPr>
          <w:trHeight w:val="285" w:hRule="atLeast"/>
        </w:trPr>
        <w:tc>
          <w:tcPr>
            <w:tcW w:w="1151" w:type="pct"/>
            <w:shd w:val="clear" w:color="auto" w:fill="auto"/>
            <w:noWrap/>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平谷区</w:t>
            </w:r>
          </w:p>
        </w:tc>
        <w:tc>
          <w:tcPr>
            <w:tcW w:w="154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17.56</w:t>
            </w:r>
          </w:p>
        </w:tc>
        <w:tc>
          <w:tcPr>
            <w:tcW w:w="88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38.30</w:t>
            </w:r>
          </w:p>
        </w:tc>
        <w:tc>
          <w:tcPr>
            <w:tcW w:w="1427"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9.23</w:t>
            </w:r>
          </w:p>
        </w:tc>
      </w:tr>
      <w:tr>
        <w:tblPrEx>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Ex>
        <w:trPr>
          <w:trHeight w:val="285" w:hRule="atLeast"/>
        </w:trPr>
        <w:tc>
          <w:tcPr>
            <w:tcW w:w="1151" w:type="pct"/>
            <w:shd w:val="clear" w:color="auto" w:fill="auto"/>
            <w:noWrap/>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海淀区</w:t>
            </w:r>
          </w:p>
        </w:tc>
        <w:tc>
          <w:tcPr>
            <w:tcW w:w="154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15.24</w:t>
            </w:r>
          </w:p>
        </w:tc>
        <w:tc>
          <w:tcPr>
            <w:tcW w:w="88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24.32</w:t>
            </w:r>
          </w:p>
        </w:tc>
        <w:tc>
          <w:tcPr>
            <w:tcW w:w="1427"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0.45</w:t>
            </w:r>
          </w:p>
        </w:tc>
      </w:tr>
      <w:tr>
        <w:tblPrEx>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Ex>
        <w:trPr>
          <w:trHeight w:val="285" w:hRule="atLeast"/>
        </w:trPr>
        <w:tc>
          <w:tcPr>
            <w:tcW w:w="1151" w:type="pct"/>
            <w:shd w:val="clear" w:color="auto" w:fill="auto"/>
            <w:noWrap/>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朝阳区</w:t>
            </w:r>
          </w:p>
        </w:tc>
        <w:tc>
          <w:tcPr>
            <w:tcW w:w="154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14.27</w:t>
            </w:r>
          </w:p>
        </w:tc>
        <w:tc>
          <w:tcPr>
            <w:tcW w:w="88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30.14</w:t>
            </w:r>
          </w:p>
        </w:tc>
        <w:tc>
          <w:tcPr>
            <w:tcW w:w="1427"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0.15</w:t>
            </w:r>
          </w:p>
        </w:tc>
      </w:tr>
      <w:tr>
        <w:tblPrEx>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Ex>
        <w:trPr>
          <w:trHeight w:val="285" w:hRule="atLeast"/>
        </w:trPr>
        <w:tc>
          <w:tcPr>
            <w:tcW w:w="1151" w:type="pct"/>
            <w:shd w:val="clear" w:color="auto" w:fill="auto"/>
            <w:noWrap/>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顺义区</w:t>
            </w:r>
          </w:p>
        </w:tc>
        <w:tc>
          <w:tcPr>
            <w:tcW w:w="154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13.80</w:t>
            </w:r>
          </w:p>
        </w:tc>
        <w:tc>
          <w:tcPr>
            <w:tcW w:w="88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25.99</w:t>
            </w:r>
          </w:p>
        </w:tc>
        <w:tc>
          <w:tcPr>
            <w:tcW w:w="1427"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7.32</w:t>
            </w:r>
          </w:p>
        </w:tc>
      </w:tr>
      <w:tr>
        <w:tblPrEx>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Ex>
        <w:trPr>
          <w:trHeight w:val="285" w:hRule="atLeast"/>
        </w:trPr>
        <w:tc>
          <w:tcPr>
            <w:tcW w:w="1151" w:type="pct"/>
            <w:shd w:val="clear" w:color="auto" w:fill="auto"/>
            <w:noWrap/>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密云区</w:t>
            </w:r>
          </w:p>
        </w:tc>
        <w:tc>
          <w:tcPr>
            <w:tcW w:w="154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11.45</w:t>
            </w:r>
          </w:p>
        </w:tc>
        <w:tc>
          <w:tcPr>
            <w:tcW w:w="88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52.18</w:t>
            </w:r>
          </w:p>
        </w:tc>
        <w:tc>
          <w:tcPr>
            <w:tcW w:w="1427"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3.15</w:t>
            </w:r>
          </w:p>
        </w:tc>
      </w:tr>
      <w:tr>
        <w:tblPrEx>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Ex>
        <w:trPr>
          <w:trHeight w:val="285" w:hRule="atLeast"/>
        </w:trPr>
        <w:tc>
          <w:tcPr>
            <w:tcW w:w="1151" w:type="pct"/>
            <w:shd w:val="clear" w:color="auto" w:fill="auto"/>
            <w:noWrap/>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延庆区</w:t>
            </w:r>
          </w:p>
        </w:tc>
        <w:tc>
          <w:tcPr>
            <w:tcW w:w="154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10.83</w:t>
            </w:r>
          </w:p>
        </w:tc>
        <w:tc>
          <w:tcPr>
            <w:tcW w:w="88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23.02</w:t>
            </w:r>
          </w:p>
        </w:tc>
        <w:tc>
          <w:tcPr>
            <w:tcW w:w="1427"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3.59</w:t>
            </w:r>
          </w:p>
        </w:tc>
      </w:tr>
      <w:tr>
        <w:tblPrEx>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Ex>
        <w:trPr>
          <w:trHeight w:val="285" w:hRule="atLeast"/>
        </w:trPr>
        <w:tc>
          <w:tcPr>
            <w:tcW w:w="1151" w:type="pct"/>
            <w:shd w:val="clear" w:color="auto" w:fill="auto"/>
            <w:noWrap/>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怀柔区</w:t>
            </w:r>
          </w:p>
        </w:tc>
        <w:tc>
          <w:tcPr>
            <w:tcW w:w="154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10.58</w:t>
            </w:r>
          </w:p>
        </w:tc>
        <w:tc>
          <w:tcPr>
            <w:tcW w:w="88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18.59</w:t>
            </w:r>
          </w:p>
        </w:tc>
        <w:tc>
          <w:tcPr>
            <w:tcW w:w="1427"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4.36</w:t>
            </w:r>
          </w:p>
        </w:tc>
      </w:tr>
      <w:tr>
        <w:tblPrEx>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Ex>
        <w:trPr>
          <w:trHeight w:val="285" w:hRule="atLeast"/>
        </w:trPr>
        <w:tc>
          <w:tcPr>
            <w:tcW w:w="1151" w:type="pct"/>
            <w:shd w:val="clear" w:color="auto" w:fill="auto"/>
            <w:noWrap/>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昌平区</w:t>
            </w:r>
          </w:p>
        </w:tc>
        <w:tc>
          <w:tcPr>
            <w:tcW w:w="154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9.02</w:t>
            </w:r>
          </w:p>
        </w:tc>
        <w:tc>
          <w:tcPr>
            <w:tcW w:w="88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17.73</w:t>
            </w:r>
          </w:p>
        </w:tc>
        <w:tc>
          <w:tcPr>
            <w:tcW w:w="1427"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2.85</w:t>
            </w:r>
          </w:p>
        </w:tc>
      </w:tr>
      <w:tr>
        <w:tblPrEx>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Ex>
        <w:trPr>
          <w:trHeight w:val="285" w:hRule="atLeast"/>
        </w:trPr>
        <w:tc>
          <w:tcPr>
            <w:tcW w:w="1151" w:type="pct"/>
            <w:shd w:val="clear" w:color="auto" w:fill="auto"/>
            <w:noWrap/>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通州区</w:t>
            </w:r>
          </w:p>
        </w:tc>
        <w:tc>
          <w:tcPr>
            <w:tcW w:w="154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7.96</w:t>
            </w:r>
          </w:p>
        </w:tc>
        <w:tc>
          <w:tcPr>
            <w:tcW w:w="88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13.34</w:t>
            </w:r>
          </w:p>
        </w:tc>
        <w:tc>
          <w:tcPr>
            <w:tcW w:w="1427"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2.19</w:t>
            </w:r>
          </w:p>
        </w:tc>
      </w:tr>
      <w:tr>
        <w:tblPrEx>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Ex>
        <w:trPr>
          <w:trHeight w:val="285" w:hRule="atLeast"/>
        </w:trPr>
        <w:tc>
          <w:tcPr>
            <w:tcW w:w="1151" w:type="pct"/>
            <w:shd w:val="clear" w:color="auto" w:fill="auto"/>
            <w:noWrap/>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门头沟区</w:t>
            </w:r>
          </w:p>
        </w:tc>
        <w:tc>
          <w:tcPr>
            <w:tcW w:w="154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7.12</w:t>
            </w:r>
          </w:p>
        </w:tc>
        <w:tc>
          <w:tcPr>
            <w:tcW w:w="88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12.63</w:t>
            </w:r>
          </w:p>
        </w:tc>
        <w:tc>
          <w:tcPr>
            <w:tcW w:w="1427"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5.35</w:t>
            </w:r>
          </w:p>
        </w:tc>
      </w:tr>
      <w:tr>
        <w:tblPrEx>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Ex>
        <w:trPr>
          <w:trHeight w:val="285" w:hRule="atLeast"/>
        </w:trPr>
        <w:tc>
          <w:tcPr>
            <w:tcW w:w="1151" w:type="pct"/>
            <w:shd w:val="clear" w:color="auto" w:fill="auto"/>
            <w:noWrap/>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大兴区</w:t>
            </w:r>
          </w:p>
        </w:tc>
        <w:tc>
          <w:tcPr>
            <w:tcW w:w="154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6.66</w:t>
            </w:r>
          </w:p>
        </w:tc>
        <w:tc>
          <w:tcPr>
            <w:tcW w:w="881"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14.63</w:t>
            </w:r>
          </w:p>
        </w:tc>
        <w:tc>
          <w:tcPr>
            <w:tcW w:w="1427" w:type="pct"/>
            <w:shd w:val="clear" w:color="auto" w:fill="auto"/>
            <w:noWrap/>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1.67</w:t>
            </w:r>
          </w:p>
        </w:tc>
      </w:tr>
    </w:tbl>
    <w:p>
      <w:pPr>
        <w:ind w:firstLine="482"/>
        <w:rPr>
          <w:rFonts w:ascii="仿宋" w:hAnsi="仿宋" w:eastAsia="仿宋"/>
          <w:sz w:val="24"/>
          <w:szCs w:val="24"/>
        </w:rPr>
      </w:pPr>
    </w:p>
    <w:p>
      <w:pPr>
        <w:pStyle w:val="5"/>
        <w:spacing w:before="0" w:after="0" w:line="240" w:lineRule="auto"/>
        <w:rPr>
          <w:rFonts w:ascii="仿宋" w:hAnsi="仿宋" w:eastAsia="仿宋"/>
        </w:rPr>
      </w:pPr>
      <w:bookmarkStart w:id="142" w:name="_Toc528968795"/>
      <w:bookmarkStart w:id="143" w:name="_Toc530648977"/>
      <w:r>
        <w:rPr>
          <w:rFonts w:hint="eastAsia" w:ascii="仿宋" w:hAnsi="仿宋" w:eastAsia="仿宋"/>
        </w:rPr>
        <w:t>2.</w:t>
      </w:r>
      <w:bookmarkEnd w:id="142"/>
      <w:r>
        <w:rPr>
          <w:rFonts w:hint="eastAsia" w:ascii="仿宋" w:hAnsi="仿宋" w:eastAsia="仿宋"/>
        </w:rPr>
        <w:t>乡村</w:t>
      </w:r>
      <w:bookmarkEnd w:id="143"/>
      <w:r>
        <w:rPr>
          <w:rFonts w:hint="eastAsia" w:ascii="仿宋" w:hAnsi="仿宋" w:eastAsia="仿宋"/>
        </w:rPr>
        <w:t>森林风貌概况</w:t>
      </w:r>
    </w:p>
    <w:p>
      <w:pPr>
        <w:ind w:firstLine="480"/>
        <w:rPr>
          <w:rFonts w:ascii="仿宋" w:hAnsi="仿宋" w:eastAsia="仿宋"/>
          <w:sz w:val="28"/>
          <w:szCs w:val="28"/>
        </w:rPr>
      </w:pPr>
      <w:r>
        <w:rPr>
          <w:rFonts w:hint="eastAsia" w:ascii="仿宋" w:hAnsi="仿宋" w:eastAsia="仿宋"/>
          <w:sz w:val="28"/>
          <w:szCs w:val="28"/>
        </w:rPr>
        <w:t>北京市共有乡镇182个，行政村3930个，乡村常住人口达294.1万人。北京市具有“大城市小农业”、“大京郊小城区”的特点，分布于山区的乡村风景秀丽，自然资源丰富多样，传统风貌保存较好；分布于平原地区的乡村森林资源相对较少，但休闲采摘、农林观光等生态旅游比较发达。随着城市化进程发展，许多乡村面临传统风貌丧失的问题，有待更好地传承乡村景观风貌，提升农村绿化水平，营造宜人、和谐、美丽的乡村氛围。</w:t>
      </w:r>
    </w:p>
    <w:p>
      <w:pPr>
        <w:pStyle w:val="4"/>
        <w:spacing w:before="217" w:after="217" w:line="240" w:lineRule="auto"/>
        <w:rPr>
          <w:rFonts w:ascii="仿宋" w:hAnsi="仿宋" w:eastAsia="仿宋" w:cs="Times New Roman"/>
          <w:spacing w:val="20"/>
        </w:rPr>
      </w:pPr>
      <w:r>
        <w:rPr>
          <w:rFonts w:ascii="仿宋" w:hAnsi="仿宋" w:eastAsia="仿宋" w:cs="Times New Roman"/>
          <w:spacing w:val="20"/>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仿宋" w:hAnsi="仿宋" w:eastAsia="仿宋" w:cs="Times New Roman"/>
          <w:spacing w:val="20"/>
        </w:rPr>
        <w:instrText xml:space="preserve">ADDIN CNKISM.UserStyle</w:instrText>
      </w:r>
      <w:r>
        <w:rPr>
          <w:rFonts w:ascii="仿宋" w:hAnsi="仿宋" w:eastAsia="仿宋" w:cs="Times New Roman"/>
          <w:spacing w:val="20"/>
        </w:rPr>
        <w:fldChar w:fldCharType="end"/>
      </w:r>
      <w:bookmarkStart w:id="144" w:name="_Toc530648980"/>
      <w:bookmarkStart w:id="145" w:name="_Toc27389902"/>
      <w:r>
        <w:rPr>
          <w:rFonts w:hint="eastAsia" w:ascii="仿宋" w:hAnsi="仿宋" w:eastAsia="仿宋" w:cs="Times New Roman"/>
          <w:spacing w:val="20"/>
        </w:rPr>
        <w:t>（七）完善生态休闲服务</w:t>
      </w:r>
      <w:bookmarkEnd w:id="144"/>
      <w:bookmarkEnd w:id="145"/>
    </w:p>
    <w:p>
      <w:pPr>
        <w:ind w:firstLine="560" w:firstLineChars="200"/>
      </w:pPr>
      <w:r>
        <w:rPr>
          <w:rFonts w:hint="eastAsia" w:ascii="仿宋" w:hAnsi="仿宋" w:eastAsia="仿宋"/>
          <w:sz w:val="28"/>
          <w:szCs w:val="24"/>
        </w:rPr>
        <w:t>北京市生态休闲游憩地资源丰富，拥有众多的郊野公园、森林公园、湿地公园和风景名胜区，据分析，生态休闲场所20</w:t>
      </w:r>
      <w:r>
        <w:rPr>
          <w:rFonts w:ascii="仿宋" w:hAnsi="仿宋" w:eastAsia="仿宋"/>
          <w:sz w:val="28"/>
          <w:szCs w:val="24"/>
        </w:rPr>
        <w:t>km</w:t>
      </w:r>
      <w:r>
        <w:rPr>
          <w:rFonts w:hint="eastAsia" w:ascii="仿宋" w:hAnsi="仿宋" w:eastAsia="仿宋"/>
          <w:sz w:val="28"/>
          <w:szCs w:val="24"/>
        </w:rPr>
        <w:t>服务半径覆盖市域面积达到97.26%，10km服务半径覆盖市域面积达到80.26%。</w:t>
      </w: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15"/>
        <w:gridCol w:w="45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3" w:hRule="atLeast"/>
        </w:trPr>
        <w:tc>
          <w:tcPr>
            <w:tcW w:w="2417" w:type="pct"/>
          </w:tcPr>
          <w:p>
            <w:pPr>
              <w:rPr>
                <w:rFonts w:ascii="仿宋" w:hAnsi="仿宋" w:eastAsia="仿宋"/>
                <w:sz w:val="24"/>
              </w:rPr>
            </w:pPr>
            <w:r>
              <w:rPr>
                <w:rFonts w:ascii="仿宋" w:hAnsi="仿宋" w:eastAsia="仿宋"/>
                <w:sz w:val="24"/>
              </w:rPr>
              <w:drawing>
                <wp:anchor distT="0" distB="0" distL="114300" distR="114300" simplePos="0" relativeHeight="251721728" behindDoc="0" locked="0" layoutInCell="1" allowOverlap="1">
                  <wp:simplePos x="0" y="0"/>
                  <wp:positionH relativeFrom="column">
                    <wp:posOffset>139065</wp:posOffset>
                  </wp:positionH>
                  <wp:positionV relativeFrom="paragraph">
                    <wp:posOffset>18415</wp:posOffset>
                  </wp:positionV>
                  <wp:extent cx="2342515" cy="2072640"/>
                  <wp:effectExtent l="0" t="0" r="1270" b="3810"/>
                  <wp:wrapNone/>
                  <wp:docPr id="19" name="图片 19" descr="D:\20180920\导出图\成图\游憩地服务半径.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D:\20180920\导出图\成图\游憩地服务半径.jpg"/>
                          <pic:cNvPicPr>
                            <a:picLocks noChangeAspect="true" noChangeArrowheads="true"/>
                          </pic:cNvPicPr>
                        </pic:nvPicPr>
                        <pic:blipFill>
                          <a:blip r:embed="rId32" cstate="print"/>
                          <a:srcRect/>
                          <a:stretch>
                            <a:fillRect/>
                          </a:stretch>
                        </pic:blipFill>
                        <pic:spPr>
                          <a:xfrm>
                            <a:off x="0" y="0"/>
                            <a:ext cx="2342369" cy="2072640"/>
                          </a:xfrm>
                          <a:prstGeom prst="rect">
                            <a:avLst/>
                          </a:prstGeom>
                          <a:noFill/>
                          <a:ln>
                            <a:noFill/>
                          </a:ln>
                        </pic:spPr>
                      </pic:pic>
                    </a:graphicData>
                  </a:graphic>
                </wp:anchor>
              </w:drawing>
            </w:r>
          </w:p>
        </w:tc>
        <w:tc>
          <w:tcPr>
            <w:tcW w:w="2583" w:type="pct"/>
          </w:tcPr>
          <w:p>
            <w:pPr>
              <w:rPr>
                <w:rFonts w:ascii="仿宋" w:hAnsi="仿宋" w:eastAsia="仿宋"/>
                <w:sz w:val="24"/>
              </w:rPr>
            </w:pPr>
            <w:r>
              <w:rPr>
                <w:rFonts w:ascii="仿宋" w:hAnsi="仿宋" w:eastAsia="仿宋"/>
                <w:b/>
                <w:sz w:val="24"/>
              </w:rPr>
              <w:drawing>
                <wp:anchor distT="0" distB="0" distL="114300" distR="114300" simplePos="0" relativeHeight="251727872" behindDoc="0" locked="0" layoutInCell="1" allowOverlap="1">
                  <wp:simplePos x="0" y="0"/>
                  <wp:positionH relativeFrom="column">
                    <wp:posOffset>63500</wp:posOffset>
                  </wp:positionH>
                  <wp:positionV relativeFrom="paragraph">
                    <wp:posOffset>18415</wp:posOffset>
                  </wp:positionV>
                  <wp:extent cx="2418080" cy="2139950"/>
                  <wp:effectExtent l="0" t="0" r="1270" b="0"/>
                  <wp:wrapNone/>
                  <wp:docPr id="21" name="图片 21" descr="D:\北京森林城市发展规划\导出图\成图\游憩地.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D:\北京森林城市发展规划\导出图\成图\游憩地.jpg"/>
                          <pic:cNvPicPr>
                            <a:picLocks noChangeAspect="true" noChangeArrowheads="true"/>
                          </pic:cNvPicPr>
                        </pic:nvPicPr>
                        <pic:blipFill>
                          <a:blip r:embed="rId33" cstate="print"/>
                          <a:srcRect/>
                          <a:stretch>
                            <a:fillRect/>
                          </a:stretch>
                        </pic:blipFill>
                        <pic:spPr>
                          <a:xfrm>
                            <a:off x="0" y="0"/>
                            <a:ext cx="2418080" cy="2139634"/>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2417" w:type="pct"/>
          </w:tcPr>
          <w:p>
            <w:pPr>
              <w:jc w:val="center"/>
              <w:rPr>
                <w:rFonts w:ascii="仿宋" w:hAnsi="仿宋" w:eastAsia="仿宋"/>
                <w:sz w:val="24"/>
              </w:rPr>
            </w:pPr>
            <w:r>
              <w:rPr>
                <w:rFonts w:hint="eastAsia" w:ascii="仿宋" w:hAnsi="仿宋" w:eastAsia="仿宋"/>
                <w:b/>
                <w:lang w:val="zh-CN"/>
              </w:rPr>
              <w:t>图4-23休闲游憩地20</w:t>
            </w:r>
            <w:r>
              <w:rPr>
                <w:rFonts w:ascii="仿宋" w:hAnsi="仿宋" w:eastAsia="仿宋"/>
                <w:b/>
                <w:lang w:val="zh-CN"/>
              </w:rPr>
              <w:t>km</w:t>
            </w:r>
            <w:r>
              <w:rPr>
                <w:rFonts w:hint="eastAsia" w:ascii="仿宋" w:hAnsi="仿宋" w:eastAsia="仿宋"/>
                <w:b/>
                <w:lang w:val="zh-CN"/>
              </w:rPr>
              <w:t>服务半径覆盖</w:t>
            </w:r>
          </w:p>
        </w:tc>
        <w:tc>
          <w:tcPr>
            <w:tcW w:w="2583" w:type="pct"/>
          </w:tcPr>
          <w:p>
            <w:pPr>
              <w:jc w:val="center"/>
              <w:rPr>
                <w:rFonts w:ascii="仿宋" w:hAnsi="仿宋" w:eastAsia="仿宋"/>
                <w:b/>
                <w:sz w:val="24"/>
              </w:rPr>
            </w:pPr>
            <w:r>
              <w:rPr>
                <w:rFonts w:hint="eastAsia" w:ascii="仿宋" w:hAnsi="仿宋" w:eastAsia="仿宋"/>
                <w:b/>
                <w:lang w:val="zh-CN"/>
              </w:rPr>
              <w:t>图4-24休闲游憩地10</w:t>
            </w:r>
            <w:r>
              <w:rPr>
                <w:rFonts w:ascii="仿宋" w:hAnsi="仿宋" w:eastAsia="仿宋"/>
                <w:b/>
                <w:lang w:val="zh-CN"/>
              </w:rPr>
              <w:t>km</w:t>
            </w:r>
            <w:r>
              <w:rPr>
                <w:rFonts w:hint="eastAsia" w:ascii="仿宋" w:hAnsi="仿宋" w:eastAsia="仿宋"/>
                <w:b/>
                <w:lang w:val="zh-CN"/>
              </w:rPr>
              <w:t>服务半径覆盖</w:t>
            </w:r>
          </w:p>
        </w:tc>
      </w:tr>
    </w:tbl>
    <w:p>
      <w:pPr>
        <w:pStyle w:val="4"/>
        <w:spacing w:before="217" w:after="217" w:line="240" w:lineRule="auto"/>
        <w:rPr>
          <w:rFonts w:ascii="仿宋" w:hAnsi="仿宋" w:eastAsia="仿宋" w:cs="Times New Roman"/>
          <w:spacing w:val="20"/>
        </w:rPr>
      </w:pPr>
      <w:bookmarkStart w:id="146" w:name="_Toc528968818"/>
      <w:bookmarkStart w:id="147" w:name="_Toc27389903"/>
      <w:bookmarkStart w:id="148" w:name="_Toc530648984"/>
      <w:r>
        <w:rPr>
          <w:rFonts w:hint="eastAsia" w:ascii="仿宋" w:hAnsi="仿宋" w:eastAsia="仿宋" w:cs="Times New Roman"/>
          <w:spacing w:val="20"/>
        </w:rPr>
        <w:t>（八）传承城市生态文化</w:t>
      </w:r>
      <w:bookmarkEnd w:id="146"/>
      <w:bookmarkEnd w:id="147"/>
      <w:bookmarkEnd w:id="148"/>
    </w:p>
    <w:p>
      <w:pPr>
        <w:pStyle w:val="46"/>
        <w:ind w:firstLine="560"/>
        <w:rPr>
          <w:rFonts w:ascii="仿宋" w:hAnsi="仿宋" w:eastAsia="仿宋"/>
          <w:sz w:val="28"/>
          <w:szCs w:val="28"/>
        </w:rPr>
      </w:pPr>
      <w:r>
        <w:rPr>
          <w:rFonts w:hint="eastAsia" w:ascii="仿宋" w:hAnsi="仿宋" w:eastAsia="仿宋"/>
          <w:sz w:val="28"/>
          <w:szCs w:val="28"/>
        </w:rPr>
        <w:t>北京是五朝古都，人文底蕴深厚，生态文化资源更是得天独厚，从皇家园林、名胜古迹，到古树名木、名人名苑、民俗风物，其间的山、水、草、木无不承载着丰富的生态文化内涵。城市生态环境建设有序推进，全市建设了一批森林公园、湿地公园、滨河公园、休闲绿地等现代园林，为首都市民营造了更多可游、可赏的生态文化基地，也为生态文明建设提供了着力点。但目前对生态文化资源还存在利用不充分，开发理念不到位、展示形式不丰富等问题。</w:t>
      </w:r>
    </w:p>
    <w:p>
      <w:pPr>
        <w:pStyle w:val="5"/>
        <w:spacing w:before="0" w:after="0" w:line="240" w:lineRule="auto"/>
        <w:rPr>
          <w:rFonts w:ascii="仿宋" w:hAnsi="仿宋" w:eastAsia="仿宋"/>
        </w:rPr>
      </w:pPr>
      <w:r>
        <w:rPr>
          <w:rFonts w:hint="eastAsia" w:ascii="仿宋" w:hAnsi="仿宋" w:eastAsia="仿宋"/>
        </w:rPr>
        <w:t>1.历史生态文化资源</w:t>
      </w:r>
    </w:p>
    <w:p>
      <w:pPr>
        <w:pStyle w:val="46"/>
        <w:ind w:firstLine="560"/>
        <w:rPr>
          <w:rFonts w:ascii="仿宋" w:hAnsi="仿宋" w:eastAsia="仿宋"/>
          <w:sz w:val="28"/>
          <w:szCs w:val="28"/>
        </w:rPr>
      </w:pPr>
      <w:r>
        <w:rPr>
          <w:rFonts w:hint="eastAsia" w:ascii="仿宋" w:hAnsi="仿宋" w:eastAsia="仿宋"/>
          <w:sz w:val="28"/>
          <w:szCs w:val="28"/>
        </w:rPr>
        <w:t>北京的特色生态文化资源包括古典园林、古树名木、民居聚落等。北京是有着千年历史的国家历史文化名城，保留下为数众多的皇家园林、寺庙园林、私家园林，如颐和园、圆明园、北海、恭王府花园、明十三陵、潭柘寺等。除古典园林外，全市还保留古树名木40721株，其中一级古树6122株，二级古树33286株，名木1313株，是全世界保存古树名木最多的城市。此外，北京城区四合院民居与郊区传统村落也是城市的宝贵精神财富。对于这些承载着丰富的人文内涵和生态文化内涵的历史资源，一直以来相关部门更侧重人文历史知识的普及，而对古人利用自然、改善生态环境和乡土植物文化等知识的展示相对薄弱，有待深入挖掘并展示给世人。</w:t>
      </w: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60"/>
        <w:gridCol w:w="43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1" w:hRule="atLeast"/>
        </w:trPr>
        <w:tc>
          <w:tcPr>
            <w:tcW w:w="2500" w:type="pct"/>
          </w:tcPr>
          <w:p>
            <w:pPr>
              <w:pStyle w:val="46"/>
              <w:ind w:firstLine="0" w:firstLineChars="0"/>
              <w:rPr>
                <w:rFonts w:ascii="仿宋" w:hAnsi="仿宋" w:eastAsia="仿宋"/>
                <w:sz w:val="24"/>
                <w:szCs w:val="24"/>
              </w:rPr>
            </w:pPr>
            <w:r>
              <w:rPr>
                <w:rFonts w:ascii="仿宋" w:hAnsi="仿宋" w:eastAsia="仿宋"/>
              </w:rPr>
              <w:drawing>
                <wp:anchor distT="0" distB="0" distL="114300" distR="114300" simplePos="0" relativeHeight="251660288" behindDoc="0" locked="0" layoutInCell="1" allowOverlap="1">
                  <wp:simplePos x="0" y="0"/>
                  <wp:positionH relativeFrom="margin">
                    <wp:posOffset>257810</wp:posOffset>
                  </wp:positionH>
                  <wp:positionV relativeFrom="paragraph">
                    <wp:posOffset>58420</wp:posOffset>
                  </wp:positionV>
                  <wp:extent cx="2104390" cy="1509395"/>
                  <wp:effectExtent l="19050" t="19050" r="10160" b="15240"/>
                  <wp:wrapNone/>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noChangeArrowheads="true"/>
                          </pic:cNvPicPr>
                        </pic:nvPicPr>
                        <pic:blipFill>
                          <a:blip r:embed="rId34" cstate="hqprint"/>
                          <a:srcRect/>
                          <a:stretch>
                            <a:fillRect/>
                          </a:stretch>
                        </pic:blipFill>
                        <pic:spPr>
                          <a:xfrm>
                            <a:off x="0" y="0"/>
                            <a:ext cx="2104485" cy="1509168"/>
                          </a:xfrm>
                          <a:prstGeom prst="rect">
                            <a:avLst/>
                          </a:prstGeom>
                          <a:noFill/>
                          <a:ln>
                            <a:solidFill>
                              <a:schemeClr val="bg1">
                                <a:lumMod val="50000"/>
                              </a:schemeClr>
                            </a:solidFill>
                          </a:ln>
                        </pic:spPr>
                      </pic:pic>
                    </a:graphicData>
                  </a:graphic>
                </wp:anchor>
              </w:drawing>
            </w:r>
          </w:p>
        </w:tc>
        <w:tc>
          <w:tcPr>
            <w:tcW w:w="2500" w:type="pct"/>
          </w:tcPr>
          <w:p>
            <w:pPr>
              <w:pStyle w:val="46"/>
              <w:ind w:firstLine="0" w:firstLineChars="0"/>
              <w:rPr>
                <w:rFonts w:ascii="仿宋" w:hAnsi="仿宋" w:eastAsia="仿宋"/>
                <w:sz w:val="24"/>
                <w:szCs w:val="24"/>
              </w:rPr>
            </w:pPr>
            <w:r>
              <w:rPr>
                <w:rFonts w:hint="eastAsia" w:ascii="仿宋" w:hAnsi="仿宋" w:eastAsia="仿宋"/>
                <w:sz w:val="24"/>
                <w:szCs w:val="24"/>
              </w:rPr>
              <w:drawing>
                <wp:anchor distT="0" distB="0" distL="114300" distR="114300" simplePos="0" relativeHeight="251666432" behindDoc="0" locked="0" layoutInCell="1" allowOverlap="1">
                  <wp:simplePos x="0" y="0"/>
                  <wp:positionH relativeFrom="column">
                    <wp:posOffset>109220</wp:posOffset>
                  </wp:positionH>
                  <wp:positionV relativeFrom="paragraph">
                    <wp:posOffset>37465</wp:posOffset>
                  </wp:positionV>
                  <wp:extent cx="2238375" cy="1534160"/>
                  <wp:effectExtent l="0" t="0" r="0" b="0"/>
                  <wp:wrapNone/>
                  <wp:docPr id="23"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true"/>
                          </pic:cNvPicPr>
                        </pic:nvPicPr>
                        <pic:blipFill>
                          <a:blip r:embed="rId35" cstate="hqprint"/>
                          <a:srcRect/>
                          <a:stretch>
                            <a:fillRect/>
                          </a:stretch>
                        </pic:blipFill>
                        <pic:spPr>
                          <a:xfrm>
                            <a:off x="0" y="0"/>
                            <a:ext cx="2238233" cy="1533854"/>
                          </a:xfrm>
                          <a:prstGeom prst="rect">
                            <a:avLst/>
                          </a:prstGeom>
                          <a:ln w="9525" cap="flat" cmpd="sng" algn="ctr">
                            <a:noFill/>
                            <a:prstDash val="solid"/>
                            <a:round/>
                            <a:headEnd type="none" w="med" len="med"/>
                            <a:tailEnd type="none" w="med" len="med"/>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Pr>
          <w:p>
            <w:pPr>
              <w:ind w:firstLine="409" w:firstLineChars="195"/>
              <w:jc w:val="center"/>
              <w:rPr>
                <w:rFonts w:ascii="仿宋" w:hAnsi="仿宋" w:eastAsia="仿宋"/>
                <w:b/>
                <w:lang w:val="zh-CN"/>
              </w:rPr>
            </w:pPr>
            <w:r>
              <w:rPr>
                <w:rFonts w:hint="eastAsia" w:ascii="仿宋" w:hAnsi="仿宋" w:eastAsia="仿宋"/>
                <w:b/>
                <w:lang w:val="zh-CN"/>
              </w:rPr>
              <w:t>图4-25北京市古树分布图</w:t>
            </w:r>
          </w:p>
        </w:tc>
        <w:tc>
          <w:tcPr>
            <w:tcW w:w="2500" w:type="pct"/>
          </w:tcPr>
          <w:p>
            <w:pPr>
              <w:ind w:firstLine="420" w:firstLineChars="200"/>
              <w:jc w:val="left"/>
              <w:rPr>
                <w:rFonts w:ascii="仿宋" w:hAnsi="仿宋" w:eastAsia="仿宋"/>
                <w:b/>
                <w:lang w:val="zh-CN"/>
              </w:rPr>
            </w:pPr>
            <w:r>
              <w:rPr>
                <w:rFonts w:hint="eastAsia" w:ascii="仿宋" w:hAnsi="仿宋" w:eastAsia="仿宋"/>
                <w:b/>
                <w:lang w:val="zh-CN"/>
              </w:rPr>
              <w:t>图4-26</w:t>
            </w:r>
            <w:r>
              <w:rPr>
                <w:rFonts w:ascii="仿宋" w:hAnsi="仿宋" w:eastAsia="仿宋"/>
                <w:b/>
                <w:lang w:val="zh-CN"/>
              </w:rPr>
              <w:t xml:space="preserve"> </w:t>
            </w:r>
            <w:r>
              <w:rPr>
                <w:rFonts w:hint="eastAsia" w:ascii="仿宋" w:hAnsi="仿宋" w:eastAsia="仿宋"/>
                <w:b/>
                <w:lang w:val="zh-CN"/>
              </w:rPr>
              <w:t>北京重点纪念林分布图</w:t>
            </w:r>
          </w:p>
        </w:tc>
      </w:tr>
    </w:tbl>
    <w:p>
      <w:pPr>
        <w:pStyle w:val="5"/>
        <w:spacing w:before="0" w:after="0" w:line="240" w:lineRule="auto"/>
        <w:rPr>
          <w:rFonts w:ascii="仿宋" w:hAnsi="仿宋" w:eastAsia="仿宋"/>
        </w:rPr>
      </w:pPr>
      <w:r>
        <w:rPr>
          <w:rFonts w:hint="eastAsia" w:ascii="仿宋" w:hAnsi="仿宋" w:eastAsia="仿宋"/>
        </w:rPr>
        <w:t>2.生态文化活动</w:t>
      </w:r>
    </w:p>
    <w:p>
      <w:pPr>
        <w:pStyle w:val="46"/>
        <w:ind w:firstLine="560"/>
        <w:rPr>
          <w:rFonts w:ascii="仿宋" w:hAnsi="仿宋" w:eastAsia="仿宋"/>
          <w:b/>
          <w:sz w:val="28"/>
          <w:szCs w:val="28"/>
        </w:rPr>
      </w:pPr>
      <w:r>
        <w:rPr>
          <w:rFonts w:hint="eastAsia" w:ascii="仿宋" w:hAnsi="仿宋" w:eastAsia="仿宋"/>
          <w:sz w:val="28"/>
          <w:szCs w:val="28"/>
        </w:rPr>
        <w:t>北京是全民义务植树活动的起源地，目前拥有重点纪念林119处，主要分布在13个区、70家单位，其自然、生态和文化价值正在被越来越多的人所关注，对生态文明理念的传播具有重要作用。除义务植树外，北京市全年还广泛开展各类生态文化活动，如永定河文化节、奥林匹克森林公园徒步活动、北京平谷金秋金果观光采摘节等。活动类型相对丰富，参与群众广泛，但是不少生态环境保护类活动还存在内容形式化、联系实际不紧密等问题，公众难以通过参加活动提升环境保护能力和意识，没有真正使环境保护深入人心，生态文化活动的设计和组织水平亟待提升。</w:t>
      </w:r>
    </w:p>
    <w:p>
      <w:pPr>
        <w:pStyle w:val="5"/>
        <w:spacing w:before="0" w:after="0" w:line="240" w:lineRule="auto"/>
        <w:rPr>
          <w:rFonts w:ascii="仿宋" w:hAnsi="仿宋" w:eastAsia="仿宋"/>
        </w:rPr>
      </w:pPr>
      <w:r>
        <w:rPr>
          <w:rFonts w:hint="eastAsia" w:ascii="仿宋" w:hAnsi="仿宋" w:eastAsia="仿宋"/>
        </w:rPr>
        <w:t>3.生态科普场所</w:t>
      </w:r>
    </w:p>
    <w:p>
      <w:pPr>
        <w:pStyle w:val="46"/>
        <w:ind w:firstLine="560"/>
        <w:rPr>
          <w:rFonts w:ascii="仿宋" w:hAnsi="仿宋" w:eastAsia="仿宋"/>
          <w:sz w:val="28"/>
          <w:szCs w:val="28"/>
        </w:rPr>
      </w:pPr>
      <w:r>
        <w:rPr>
          <w:rFonts w:hint="eastAsia" w:ascii="仿宋" w:hAnsi="仿宋" w:eastAsia="仿宋"/>
          <w:sz w:val="28"/>
          <w:szCs w:val="28"/>
        </w:rPr>
        <w:t>北京市城市公园、风景名胜区、森林公园、湿地公园数量众多，有大小公园300余个，国家级森林公园15家，国家湿地公园1处，但全市420家市级科普基地（市科委与市科协共同命名）中，以公园、植物园、动物园、湿地等户外场所为主体的基地仅有三十余家，其他生态科普类场所多以博物馆、展馆或单位等室内空间为主。开展环境教育是生态文明建设发展到一定阶段的必然趋势，它倡导在自然环境中教学，其目标是丰富人们的环境知识，增强环境意识，提高环境素质和环境保护能力。北京市户外生态文化载体众多，但建设成为可开展自然教育等生态文化活动的生态科普基地比例极低，户外绿色休闲在环境教育方面建设的潜力和公众需求都是巨大的。另外，由于缺少环境解说专项规划和专门建设，公园、绿地设置的环境教育设施数量少、展示理念落后、形式单一，对公众缺乏吸引力，科普解说设施的建设水平有待提高。</w:t>
      </w:r>
    </w:p>
    <w:p>
      <w:pPr>
        <w:pStyle w:val="46"/>
        <w:ind w:firstLine="480"/>
        <w:rPr>
          <w:rFonts w:ascii="仿宋" w:hAnsi="仿宋" w:eastAsia="仿宋"/>
          <w:sz w:val="24"/>
          <w:szCs w:val="24"/>
        </w:rPr>
      </w:pPr>
    </w:p>
    <w:p>
      <w:pPr>
        <w:ind w:firstLine="409" w:firstLineChars="195"/>
        <w:jc w:val="center"/>
        <w:rPr>
          <w:rFonts w:ascii="仿宋" w:hAnsi="仿宋" w:eastAsia="仿宋"/>
          <w:b/>
          <w:lang w:val="zh-CN"/>
        </w:rPr>
      </w:pPr>
      <w:r>
        <w:rPr>
          <w:rFonts w:hint="eastAsia" w:ascii="仿宋" w:hAnsi="仿宋" w:eastAsia="仿宋"/>
          <w:b/>
          <w:lang w:val="zh-CN"/>
        </w:rPr>
        <w:t>表4-6</w:t>
      </w:r>
      <w:r>
        <w:rPr>
          <w:rFonts w:ascii="仿宋" w:hAnsi="仿宋" w:eastAsia="仿宋"/>
          <w:b/>
          <w:lang w:val="zh-CN"/>
        </w:rPr>
        <w:t xml:space="preserve"> </w:t>
      </w:r>
      <w:r>
        <w:rPr>
          <w:rFonts w:hint="eastAsia" w:ascii="仿宋" w:hAnsi="仿宋" w:eastAsia="仿宋"/>
          <w:b/>
          <w:lang w:val="zh-CN"/>
        </w:rPr>
        <w:t>北京市级科普教育基地（户外生态科普类场所）</w:t>
      </w:r>
    </w:p>
    <w:tbl>
      <w:tblPr>
        <w:tblStyle w:val="94"/>
        <w:tblW w:w="5000" w:type="pct"/>
        <w:jc w:val="center"/>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Layout w:type="autofit"/>
        <w:tblCellMar>
          <w:top w:w="0" w:type="dxa"/>
          <w:left w:w="108" w:type="dxa"/>
          <w:bottom w:w="0" w:type="dxa"/>
          <w:right w:w="108" w:type="dxa"/>
        </w:tblCellMar>
      </w:tblPr>
      <w:tblGrid>
        <w:gridCol w:w="443"/>
        <w:gridCol w:w="3336"/>
        <w:gridCol w:w="874"/>
        <w:gridCol w:w="439"/>
        <w:gridCol w:w="2300"/>
        <w:gridCol w:w="1328"/>
      </w:tblGrid>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jc w:val="center"/>
        </w:trPr>
        <w:tc>
          <w:tcPr>
            <w:tcW w:w="254" w:type="pct"/>
            <w:tcBorders>
              <w:top w:val="single" w:color="9BBB59" w:themeColor="accent3" w:sz="4" w:space="0"/>
              <w:bottom w:val="single" w:color="9BBB59" w:themeColor="accent3" w:sz="4" w:space="0"/>
              <w:right w:val="nil"/>
            </w:tcBorders>
            <w:shd w:val="clear" w:color="auto" w:fill="9BBB59" w:themeFill="accent3"/>
            <w:vAlign w:val="center"/>
          </w:tcPr>
          <w:p>
            <w:pPr>
              <w:jc w:val="center"/>
              <w:rPr>
                <w:rFonts w:ascii="仿宋" w:hAnsi="仿宋" w:eastAsia="仿宋"/>
                <w:b/>
                <w:bCs w:val="0"/>
                <w:color w:val="FFFFFF" w:themeColor="background1"/>
                <w:szCs w:val="21"/>
                <w14:textFill>
                  <w14:solidFill>
                    <w14:schemeClr w14:val="bg1"/>
                  </w14:solidFill>
                </w14:textFill>
              </w:rPr>
            </w:pPr>
            <w:r>
              <w:rPr>
                <w:rFonts w:hint="eastAsia" w:ascii="仿宋" w:hAnsi="仿宋" w:eastAsia="仿宋"/>
                <w:b/>
                <w:bCs w:val="0"/>
                <w:color w:val="auto"/>
                <w:szCs w:val="21"/>
              </w:rPr>
              <w:t>序号</w:t>
            </w:r>
          </w:p>
        </w:tc>
        <w:tc>
          <w:tcPr>
            <w:tcW w:w="1913" w:type="pct"/>
            <w:tcBorders>
              <w:top w:val="single" w:color="9BBB59" w:themeColor="accent3" w:sz="4" w:space="0"/>
              <w:bottom w:val="single" w:color="9BBB59" w:themeColor="accent3" w:sz="4" w:space="0"/>
            </w:tcBorders>
            <w:shd w:val="clear" w:color="auto" w:fill="9BBB59" w:themeFill="accent3"/>
            <w:vAlign w:val="center"/>
          </w:tcPr>
          <w:p>
            <w:pPr>
              <w:jc w:val="center"/>
              <w:rPr>
                <w:rFonts w:ascii="仿宋" w:hAnsi="仿宋" w:eastAsia="仿宋"/>
                <w:b w:val="0"/>
                <w:bCs w:val="0"/>
                <w:color w:val="auto"/>
                <w:szCs w:val="21"/>
              </w:rPr>
            </w:pPr>
            <w:r>
              <w:rPr>
                <w:rFonts w:hint="eastAsia" w:ascii="仿宋" w:hAnsi="仿宋" w:eastAsia="仿宋"/>
                <w:b w:val="0"/>
                <w:bCs w:val="0"/>
                <w:color w:val="auto"/>
                <w:szCs w:val="21"/>
              </w:rPr>
              <w:t>名称</w:t>
            </w:r>
          </w:p>
        </w:tc>
        <w:tc>
          <w:tcPr>
            <w:tcW w:w="501" w:type="pct"/>
            <w:tcBorders>
              <w:top w:val="single" w:color="9BBB59" w:themeColor="accent3" w:sz="4" w:space="0"/>
              <w:bottom w:val="single" w:color="9BBB59" w:themeColor="accent3" w:sz="4" w:space="0"/>
              <w:right w:val="single" w:color="9BBB59" w:themeColor="accent3" w:sz="4" w:space="0"/>
            </w:tcBorders>
            <w:shd w:val="clear" w:color="auto" w:fill="9BBB59" w:themeFill="accent3"/>
            <w:vAlign w:val="center"/>
          </w:tcPr>
          <w:p>
            <w:pPr>
              <w:jc w:val="center"/>
              <w:rPr>
                <w:rFonts w:ascii="仿宋" w:hAnsi="仿宋" w:eastAsia="仿宋"/>
                <w:b w:val="0"/>
                <w:bCs w:val="0"/>
                <w:color w:val="FFFFFF" w:themeColor="background1"/>
                <w:szCs w:val="21"/>
                <w14:textFill>
                  <w14:solidFill>
                    <w14:schemeClr w14:val="bg1"/>
                  </w14:solidFill>
                </w14:textFill>
              </w:rPr>
            </w:pPr>
            <w:r>
              <w:rPr>
                <w:rFonts w:hint="eastAsia" w:ascii="仿宋" w:hAnsi="仿宋" w:eastAsia="仿宋"/>
                <w:b w:val="0"/>
                <w:bCs w:val="0"/>
                <w:color w:val="auto"/>
                <w:szCs w:val="21"/>
              </w:rPr>
              <w:t>行政区</w:t>
            </w:r>
          </w:p>
        </w:tc>
        <w:tc>
          <w:tcPr>
            <w:tcW w:w="252" w:type="pct"/>
            <w:tcBorders>
              <w:left w:val="single" w:color="9BBB59" w:themeColor="accent3" w:sz="4" w:space="0"/>
            </w:tcBorders>
            <w:shd w:val="clear" w:color="auto" w:fill="9BBB59" w:themeFill="accent3"/>
            <w:vAlign w:val="center"/>
          </w:tcPr>
          <w:p>
            <w:pPr>
              <w:jc w:val="center"/>
              <w:rPr>
                <w:rFonts w:ascii="仿宋" w:hAnsi="仿宋" w:eastAsia="仿宋"/>
                <w:b w:val="0"/>
                <w:bCs w:val="0"/>
                <w:color w:val="FFFFFF" w:themeColor="background1"/>
                <w:szCs w:val="21"/>
                <w14:textFill>
                  <w14:solidFill>
                    <w14:schemeClr w14:val="bg1"/>
                  </w14:solidFill>
                </w14:textFill>
              </w:rPr>
            </w:pPr>
            <w:r>
              <w:rPr>
                <w:rFonts w:hint="eastAsia" w:ascii="仿宋" w:hAnsi="仿宋" w:eastAsia="仿宋"/>
                <w:b/>
                <w:bCs w:val="0"/>
                <w:color w:val="auto"/>
                <w:szCs w:val="21"/>
              </w:rPr>
              <w:t>序号</w:t>
            </w:r>
          </w:p>
        </w:tc>
        <w:tc>
          <w:tcPr>
            <w:tcW w:w="1319" w:type="pct"/>
            <w:shd w:val="clear" w:color="auto" w:fill="9BBB59" w:themeFill="accent3"/>
            <w:vAlign w:val="center"/>
          </w:tcPr>
          <w:p>
            <w:pPr>
              <w:jc w:val="center"/>
              <w:rPr>
                <w:rFonts w:ascii="仿宋" w:hAnsi="仿宋" w:eastAsia="仿宋"/>
                <w:b w:val="0"/>
                <w:bCs w:val="0"/>
                <w:color w:val="FFFFFF" w:themeColor="background1"/>
                <w:szCs w:val="21"/>
                <w14:textFill>
                  <w14:solidFill>
                    <w14:schemeClr w14:val="bg1"/>
                  </w14:solidFill>
                </w14:textFill>
              </w:rPr>
            </w:pPr>
            <w:r>
              <w:rPr>
                <w:rFonts w:hint="eastAsia" w:ascii="仿宋" w:hAnsi="仿宋" w:eastAsia="仿宋"/>
                <w:b w:val="0"/>
                <w:bCs w:val="0"/>
                <w:color w:val="auto"/>
                <w:szCs w:val="21"/>
              </w:rPr>
              <w:t>名称</w:t>
            </w:r>
          </w:p>
        </w:tc>
        <w:tc>
          <w:tcPr>
            <w:tcW w:w="761" w:type="pct"/>
            <w:shd w:val="clear" w:color="auto" w:fill="9BBB59" w:themeFill="accent3"/>
            <w:vAlign w:val="center"/>
          </w:tcPr>
          <w:p>
            <w:pPr>
              <w:jc w:val="center"/>
              <w:rPr>
                <w:rFonts w:ascii="仿宋" w:hAnsi="仿宋" w:eastAsia="仿宋"/>
                <w:b w:val="0"/>
                <w:bCs w:val="0"/>
                <w:color w:val="auto"/>
                <w:szCs w:val="21"/>
              </w:rPr>
            </w:pPr>
            <w:r>
              <w:rPr>
                <w:rFonts w:hint="eastAsia" w:ascii="仿宋" w:hAnsi="仿宋" w:eastAsia="仿宋"/>
                <w:b w:val="0"/>
                <w:bCs w:val="0"/>
                <w:color w:val="auto"/>
                <w:szCs w:val="21"/>
              </w:rPr>
              <w:t>行政区</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jc w:val="center"/>
        </w:trPr>
        <w:tc>
          <w:tcPr>
            <w:tcW w:w="254"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vAlign w:val="center"/>
          </w:tcPr>
          <w:p>
            <w:pPr>
              <w:pStyle w:val="46"/>
              <w:numPr>
                <w:ilvl w:val="0"/>
                <w:numId w:val="8"/>
              </w:numPr>
              <w:ind w:firstLineChars="0"/>
              <w:rPr>
                <w:rFonts w:ascii="仿宋" w:hAnsi="仿宋" w:eastAsia="仿宋"/>
                <w:b w:val="0"/>
                <w:bCs/>
                <w:szCs w:val="21"/>
              </w:rPr>
            </w:pPr>
          </w:p>
        </w:tc>
        <w:tc>
          <w:tcPr>
            <w:tcW w:w="1913"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szCs w:val="21"/>
              </w:rPr>
            </w:pPr>
            <w:r>
              <w:rPr>
                <w:rFonts w:hint="eastAsia" w:ascii="仿宋" w:hAnsi="仿宋" w:eastAsia="仿宋"/>
                <w:szCs w:val="21"/>
              </w:rPr>
              <w:t>天坛公园</w:t>
            </w:r>
          </w:p>
        </w:tc>
        <w:tc>
          <w:tcPr>
            <w:tcW w:w="501" w:type="pct"/>
            <w:tcBorders>
              <w:top w:val="single" w:color="9BBB59" w:themeColor="accent3" w:sz="4" w:space="0"/>
              <w:bottom w:val="single" w:color="9BBB59" w:themeColor="accent3" w:sz="4" w:space="0"/>
              <w:right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bCs/>
                <w:szCs w:val="21"/>
              </w:rPr>
              <w:t>东城区</w:t>
            </w:r>
          </w:p>
        </w:tc>
        <w:tc>
          <w:tcPr>
            <w:tcW w:w="252" w:type="pct"/>
            <w:tcBorders>
              <w:top w:val="single" w:color="9BBB59" w:themeColor="accent3" w:sz="4" w:space="0"/>
              <w:left w:val="single" w:color="9BBB59" w:themeColor="accent3" w:sz="4" w:space="0"/>
              <w:bottom w:val="single" w:color="9BBB59" w:themeColor="accent3" w:sz="4" w:space="0"/>
              <w:insideH w:val="single" w:sz="4" w:space="0"/>
            </w:tcBorders>
            <w:vAlign w:val="center"/>
          </w:tcPr>
          <w:p>
            <w:pPr>
              <w:rPr>
                <w:rFonts w:ascii="仿宋" w:hAnsi="仿宋" w:eastAsia="仿宋"/>
                <w:bCs/>
                <w:szCs w:val="21"/>
              </w:rPr>
            </w:pPr>
            <w:r>
              <w:rPr>
                <w:rFonts w:hint="eastAsia" w:ascii="仿宋" w:hAnsi="仿宋" w:eastAsia="仿宋"/>
                <w:bCs/>
                <w:szCs w:val="21"/>
              </w:rPr>
              <w:t>16</w:t>
            </w:r>
          </w:p>
        </w:tc>
        <w:tc>
          <w:tcPr>
            <w:tcW w:w="1319"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bCs/>
                <w:szCs w:val="21"/>
              </w:rPr>
              <w:t>“垃圾的归宿”环保科普公园</w:t>
            </w:r>
          </w:p>
        </w:tc>
        <w:tc>
          <w:tcPr>
            <w:tcW w:w="761"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bCs/>
                <w:szCs w:val="21"/>
              </w:rPr>
              <w:t>朝阳区</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jc w:val="center"/>
        </w:trPr>
        <w:tc>
          <w:tcPr>
            <w:tcW w:w="254" w:type="pct"/>
            <w:tcBorders>
              <w:top w:val="single" w:color="9BBB59" w:themeColor="accent3" w:sz="4" w:space="0"/>
              <w:bottom w:val="single" w:color="9BBB59" w:themeColor="accent3" w:sz="4" w:space="0"/>
              <w:right w:val="nil"/>
              <w:insideV w:val="nil"/>
            </w:tcBorders>
            <w:shd w:val="clear" w:color="auto" w:fill="FFFFFF" w:themeFill="background1"/>
            <w:vAlign w:val="center"/>
          </w:tcPr>
          <w:p>
            <w:pPr>
              <w:pStyle w:val="46"/>
              <w:numPr>
                <w:ilvl w:val="0"/>
                <w:numId w:val="8"/>
              </w:numPr>
              <w:ind w:firstLineChars="0"/>
              <w:rPr>
                <w:rFonts w:ascii="仿宋" w:hAnsi="仿宋" w:eastAsia="仿宋"/>
                <w:b w:val="0"/>
                <w:bCs/>
                <w:szCs w:val="21"/>
              </w:rPr>
            </w:pPr>
          </w:p>
        </w:tc>
        <w:tc>
          <w:tcPr>
            <w:tcW w:w="1913" w:type="pct"/>
            <w:tcBorders>
              <w:top w:val="single" w:color="9BBB59" w:themeColor="accent3" w:sz="4" w:space="0"/>
              <w:bottom w:val="single" w:color="9BBB59" w:themeColor="accent3" w:sz="4" w:space="0"/>
            </w:tcBorders>
            <w:vAlign w:val="center"/>
          </w:tcPr>
          <w:p>
            <w:pPr>
              <w:jc w:val="center"/>
              <w:rPr>
                <w:rFonts w:ascii="仿宋" w:hAnsi="仿宋" w:eastAsia="仿宋"/>
                <w:szCs w:val="21"/>
              </w:rPr>
            </w:pPr>
            <w:r>
              <w:rPr>
                <w:rFonts w:hint="eastAsia" w:ascii="仿宋" w:hAnsi="仿宋" w:eastAsia="仿宋"/>
                <w:szCs w:val="21"/>
              </w:rPr>
              <w:t>颐和园</w:t>
            </w:r>
          </w:p>
        </w:tc>
        <w:tc>
          <w:tcPr>
            <w:tcW w:w="501" w:type="pct"/>
            <w:tcBorders>
              <w:top w:val="single" w:color="9BBB59" w:themeColor="accent3" w:sz="4" w:space="0"/>
              <w:bottom w:val="single" w:color="9BBB59" w:themeColor="accent3" w:sz="4" w:space="0"/>
              <w:right w:val="single" w:color="9BBB59" w:themeColor="accent3" w:sz="4" w:space="0"/>
            </w:tcBorders>
            <w:vAlign w:val="center"/>
          </w:tcPr>
          <w:p>
            <w:pPr>
              <w:jc w:val="center"/>
              <w:rPr>
                <w:rFonts w:ascii="仿宋" w:hAnsi="仿宋" w:eastAsia="仿宋"/>
                <w:bCs/>
                <w:szCs w:val="21"/>
              </w:rPr>
            </w:pPr>
            <w:r>
              <w:rPr>
                <w:rFonts w:hint="eastAsia" w:ascii="仿宋" w:hAnsi="仿宋" w:eastAsia="仿宋"/>
                <w:bCs/>
                <w:szCs w:val="21"/>
              </w:rPr>
              <w:t>海淀区</w:t>
            </w:r>
          </w:p>
        </w:tc>
        <w:tc>
          <w:tcPr>
            <w:tcW w:w="252" w:type="pct"/>
            <w:tcBorders>
              <w:left w:val="single" w:color="9BBB59" w:themeColor="accent3" w:sz="4" w:space="0"/>
            </w:tcBorders>
            <w:vAlign w:val="center"/>
          </w:tcPr>
          <w:p>
            <w:pPr>
              <w:rPr>
                <w:rFonts w:ascii="仿宋" w:hAnsi="仿宋" w:eastAsia="仿宋"/>
                <w:bCs/>
                <w:szCs w:val="21"/>
              </w:rPr>
            </w:pPr>
            <w:r>
              <w:rPr>
                <w:rFonts w:hint="eastAsia" w:ascii="仿宋" w:hAnsi="仿宋" w:eastAsia="仿宋"/>
                <w:bCs/>
                <w:szCs w:val="21"/>
              </w:rPr>
              <w:t>17</w:t>
            </w:r>
          </w:p>
        </w:tc>
        <w:tc>
          <w:tcPr>
            <w:tcW w:w="1319" w:type="pct"/>
            <w:vAlign w:val="center"/>
          </w:tcPr>
          <w:p>
            <w:pPr>
              <w:jc w:val="center"/>
              <w:rPr>
                <w:rFonts w:ascii="仿宋" w:hAnsi="仿宋" w:eastAsia="仿宋"/>
                <w:bCs/>
                <w:szCs w:val="21"/>
              </w:rPr>
            </w:pPr>
            <w:r>
              <w:rPr>
                <w:rFonts w:hint="eastAsia" w:ascii="仿宋" w:hAnsi="仿宋" w:eastAsia="仿宋"/>
                <w:szCs w:val="21"/>
              </w:rPr>
              <w:t>北京园博园</w:t>
            </w:r>
          </w:p>
        </w:tc>
        <w:tc>
          <w:tcPr>
            <w:tcW w:w="761" w:type="pct"/>
            <w:vAlign w:val="center"/>
          </w:tcPr>
          <w:p>
            <w:pPr>
              <w:jc w:val="center"/>
              <w:rPr>
                <w:rFonts w:ascii="仿宋" w:hAnsi="仿宋" w:eastAsia="仿宋"/>
                <w:bCs/>
                <w:szCs w:val="21"/>
              </w:rPr>
            </w:pPr>
            <w:r>
              <w:rPr>
                <w:rFonts w:hint="eastAsia" w:ascii="仿宋" w:hAnsi="仿宋" w:eastAsia="仿宋"/>
                <w:szCs w:val="21"/>
              </w:rPr>
              <w:t>丰台区</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PrEx>
        <w:trPr>
          <w:jc w:val="center"/>
        </w:trPr>
        <w:tc>
          <w:tcPr>
            <w:tcW w:w="254"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vAlign w:val="center"/>
          </w:tcPr>
          <w:p>
            <w:pPr>
              <w:pStyle w:val="46"/>
              <w:numPr>
                <w:ilvl w:val="0"/>
                <w:numId w:val="8"/>
              </w:numPr>
              <w:ind w:firstLineChars="0"/>
              <w:rPr>
                <w:rFonts w:ascii="仿宋" w:hAnsi="仿宋" w:eastAsia="仿宋"/>
                <w:b w:val="0"/>
                <w:bCs/>
                <w:szCs w:val="21"/>
              </w:rPr>
            </w:pPr>
          </w:p>
        </w:tc>
        <w:tc>
          <w:tcPr>
            <w:tcW w:w="1913"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szCs w:val="21"/>
              </w:rPr>
            </w:pPr>
            <w:r>
              <w:rPr>
                <w:rFonts w:hint="eastAsia" w:ascii="仿宋" w:hAnsi="仿宋" w:eastAsia="仿宋"/>
                <w:szCs w:val="21"/>
              </w:rPr>
              <w:t>中山公园</w:t>
            </w:r>
          </w:p>
        </w:tc>
        <w:tc>
          <w:tcPr>
            <w:tcW w:w="501" w:type="pct"/>
            <w:tcBorders>
              <w:top w:val="single" w:color="9BBB59" w:themeColor="accent3" w:sz="4" w:space="0"/>
              <w:bottom w:val="single" w:color="9BBB59" w:themeColor="accent3" w:sz="4" w:space="0"/>
              <w:right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bCs/>
                <w:szCs w:val="21"/>
              </w:rPr>
              <w:t>东城区</w:t>
            </w:r>
          </w:p>
        </w:tc>
        <w:tc>
          <w:tcPr>
            <w:tcW w:w="252" w:type="pct"/>
            <w:tcBorders>
              <w:top w:val="single" w:color="9BBB59" w:themeColor="accent3" w:sz="4" w:space="0"/>
              <w:left w:val="single" w:color="9BBB59" w:themeColor="accent3" w:sz="4" w:space="0"/>
              <w:bottom w:val="single" w:color="9BBB59" w:themeColor="accent3" w:sz="4" w:space="0"/>
              <w:insideH w:val="single" w:sz="4" w:space="0"/>
            </w:tcBorders>
            <w:vAlign w:val="center"/>
          </w:tcPr>
          <w:p>
            <w:pPr>
              <w:rPr>
                <w:rFonts w:ascii="仿宋" w:hAnsi="仿宋" w:eastAsia="仿宋"/>
                <w:bCs/>
                <w:szCs w:val="21"/>
              </w:rPr>
            </w:pPr>
            <w:r>
              <w:rPr>
                <w:rFonts w:hint="eastAsia" w:ascii="仿宋" w:hAnsi="仿宋" w:eastAsia="仿宋"/>
                <w:bCs/>
                <w:szCs w:val="21"/>
              </w:rPr>
              <w:t>18</w:t>
            </w:r>
          </w:p>
        </w:tc>
        <w:tc>
          <w:tcPr>
            <w:tcW w:w="1319"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szCs w:val="21"/>
              </w:rPr>
              <w:t>曙光防灾教育公园</w:t>
            </w:r>
          </w:p>
        </w:tc>
        <w:tc>
          <w:tcPr>
            <w:tcW w:w="761"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szCs w:val="21"/>
              </w:rPr>
              <w:t>海淀区</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jc w:val="center"/>
        </w:trPr>
        <w:tc>
          <w:tcPr>
            <w:tcW w:w="254" w:type="pct"/>
            <w:tcBorders>
              <w:top w:val="single" w:color="9BBB59" w:themeColor="accent3" w:sz="4" w:space="0"/>
              <w:bottom w:val="single" w:color="9BBB59" w:themeColor="accent3" w:sz="4" w:space="0"/>
              <w:right w:val="nil"/>
              <w:insideV w:val="nil"/>
            </w:tcBorders>
            <w:shd w:val="clear" w:color="auto" w:fill="FFFFFF" w:themeFill="background1"/>
            <w:vAlign w:val="center"/>
          </w:tcPr>
          <w:p>
            <w:pPr>
              <w:pStyle w:val="46"/>
              <w:numPr>
                <w:ilvl w:val="0"/>
                <w:numId w:val="8"/>
              </w:numPr>
              <w:ind w:firstLineChars="0"/>
              <w:rPr>
                <w:rFonts w:ascii="仿宋" w:hAnsi="仿宋" w:eastAsia="仿宋"/>
                <w:b w:val="0"/>
                <w:bCs/>
                <w:szCs w:val="21"/>
              </w:rPr>
            </w:pPr>
          </w:p>
        </w:tc>
        <w:tc>
          <w:tcPr>
            <w:tcW w:w="1913" w:type="pct"/>
            <w:tcBorders>
              <w:top w:val="single" w:color="9BBB59" w:themeColor="accent3" w:sz="4" w:space="0"/>
              <w:bottom w:val="single" w:color="9BBB59" w:themeColor="accent3" w:sz="4" w:space="0"/>
            </w:tcBorders>
            <w:vAlign w:val="center"/>
          </w:tcPr>
          <w:p>
            <w:pPr>
              <w:jc w:val="center"/>
              <w:rPr>
                <w:rFonts w:ascii="仿宋" w:hAnsi="仿宋" w:eastAsia="仿宋"/>
                <w:szCs w:val="21"/>
              </w:rPr>
            </w:pPr>
            <w:r>
              <w:rPr>
                <w:rFonts w:hint="eastAsia" w:ascii="仿宋" w:hAnsi="仿宋" w:eastAsia="仿宋"/>
                <w:szCs w:val="21"/>
              </w:rPr>
              <w:t>南馆公园</w:t>
            </w:r>
          </w:p>
        </w:tc>
        <w:tc>
          <w:tcPr>
            <w:tcW w:w="501" w:type="pct"/>
            <w:tcBorders>
              <w:top w:val="single" w:color="9BBB59" w:themeColor="accent3" w:sz="4" w:space="0"/>
              <w:bottom w:val="single" w:color="9BBB59" w:themeColor="accent3" w:sz="4" w:space="0"/>
              <w:right w:val="single" w:color="9BBB59" w:themeColor="accent3" w:sz="4" w:space="0"/>
            </w:tcBorders>
            <w:vAlign w:val="center"/>
          </w:tcPr>
          <w:p>
            <w:pPr>
              <w:jc w:val="center"/>
              <w:rPr>
                <w:rFonts w:ascii="仿宋" w:hAnsi="仿宋" w:eastAsia="仿宋"/>
                <w:szCs w:val="21"/>
              </w:rPr>
            </w:pPr>
            <w:r>
              <w:rPr>
                <w:rFonts w:hint="eastAsia" w:ascii="仿宋" w:hAnsi="仿宋" w:eastAsia="仿宋"/>
                <w:szCs w:val="21"/>
              </w:rPr>
              <w:t>东城区</w:t>
            </w:r>
          </w:p>
        </w:tc>
        <w:tc>
          <w:tcPr>
            <w:tcW w:w="252" w:type="pct"/>
            <w:tcBorders>
              <w:left w:val="single" w:color="9BBB59" w:themeColor="accent3" w:sz="4" w:space="0"/>
            </w:tcBorders>
            <w:vAlign w:val="center"/>
          </w:tcPr>
          <w:p>
            <w:pPr>
              <w:rPr>
                <w:rFonts w:ascii="仿宋" w:hAnsi="仿宋" w:eastAsia="仿宋"/>
                <w:szCs w:val="21"/>
              </w:rPr>
            </w:pPr>
            <w:r>
              <w:rPr>
                <w:rFonts w:hint="eastAsia" w:ascii="仿宋" w:hAnsi="仿宋" w:eastAsia="仿宋"/>
                <w:szCs w:val="21"/>
              </w:rPr>
              <w:t>19</w:t>
            </w:r>
          </w:p>
        </w:tc>
        <w:tc>
          <w:tcPr>
            <w:tcW w:w="1319" w:type="pct"/>
            <w:vAlign w:val="center"/>
          </w:tcPr>
          <w:p>
            <w:pPr>
              <w:jc w:val="center"/>
              <w:rPr>
                <w:rFonts w:ascii="仿宋" w:hAnsi="仿宋" w:eastAsia="仿宋"/>
                <w:szCs w:val="21"/>
              </w:rPr>
            </w:pPr>
            <w:r>
              <w:rPr>
                <w:rFonts w:hint="eastAsia" w:ascii="仿宋" w:hAnsi="仿宋" w:eastAsia="仿宋"/>
                <w:szCs w:val="21"/>
              </w:rPr>
              <w:t>奥林匹克森林公园</w:t>
            </w:r>
          </w:p>
        </w:tc>
        <w:tc>
          <w:tcPr>
            <w:tcW w:w="761" w:type="pct"/>
            <w:vAlign w:val="center"/>
          </w:tcPr>
          <w:p>
            <w:pPr>
              <w:jc w:val="center"/>
              <w:rPr>
                <w:rFonts w:ascii="仿宋" w:hAnsi="仿宋" w:eastAsia="仿宋"/>
                <w:bCs/>
                <w:szCs w:val="21"/>
              </w:rPr>
            </w:pPr>
            <w:r>
              <w:rPr>
                <w:rFonts w:hint="eastAsia" w:ascii="仿宋" w:hAnsi="仿宋" w:eastAsia="仿宋"/>
                <w:szCs w:val="21"/>
              </w:rPr>
              <w:t>朝阳区</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jc w:val="center"/>
        </w:trPr>
        <w:tc>
          <w:tcPr>
            <w:tcW w:w="254"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vAlign w:val="center"/>
          </w:tcPr>
          <w:p>
            <w:pPr>
              <w:pStyle w:val="46"/>
              <w:numPr>
                <w:ilvl w:val="0"/>
                <w:numId w:val="8"/>
              </w:numPr>
              <w:ind w:firstLineChars="0"/>
              <w:rPr>
                <w:rFonts w:ascii="仿宋" w:hAnsi="仿宋" w:eastAsia="仿宋"/>
                <w:b w:val="0"/>
                <w:bCs/>
                <w:szCs w:val="21"/>
              </w:rPr>
            </w:pPr>
          </w:p>
        </w:tc>
        <w:tc>
          <w:tcPr>
            <w:tcW w:w="1913"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szCs w:val="21"/>
              </w:rPr>
            </w:pPr>
            <w:r>
              <w:rPr>
                <w:rFonts w:hint="eastAsia" w:ascii="仿宋" w:hAnsi="仿宋" w:eastAsia="仿宋"/>
                <w:szCs w:val="21"/>
              </w:rPr>
              <w:t>北海公园</w:t>
            </w:r>
          </w:p>
        </w:tc>
        <w:tc>
          <w:tcPr>
            <w:tcW w:w="501" w:type="pct"/>
            <w:tcBorders>
              <w:top w:val="single" w:color="9BBB59" w:themeColor="accent3" w:sz="4" w:space="0"/>
              <w:bottom w:val="single" w:color="9BBB59" w:themeColor="accent3" w:sz="4" w:space="0"/>
              <w:right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bCs/>
                <w:szCs w:val="21"/>
              </w:rPr>
              <w:t>西城区</w:t>
            </w:r>
          </w:p>
        </w:tc>
        <w:tc>
          <w:tcPr>
            <w:tcW w:w="252" w:type="pct"/>
            <w:tcBorders>
              <w:top w:val="single" w:color="9BBB59" w:themeColor="accent3" w:sz="4" w:space="0"/>
              <w:left w:val="single" w:color="9BBB59" w:themeColor="accent3" w:sz="4" w:space="0"/>
              <w:bottom w:val="single" w:color="9BBB59" w:themeColor="accent3" w:sz="4" w:space="0"/>
              <w:insideH w:val="single" w:sz="4" w:space="0"/>
            </w:tcBorders>
            <w:vAlign w:val="center"/>
          </w:tcPr>
          <w:p>
            <w:pPr>
              <w:rPr>
                <w:rFonts w:ascii="仿宋" w:hAnsi="仿宋" w:eastAsia="仿宋"/>
                <w:bCs/>
                <w:szCs w:val="21"/>
              </w:rPr>
            </w:pPr>
            <w:r>
              <w:rPr>
                <w:rFonts w:hint="eastAsia" w:ascii="仿宋" w:hAnsi="仿宋" w:eastAsia="仿宋"/>
                <w:bCs/>
                <w:szCs w:val="21"/>
              </w:rPr>
              <w:t>20</w:t>
            </w:r>
          </w:p>
        </w:tc>
        <w:tc>
          <w:tcPr>
            <w:tcW w:w="1319"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szCs w:val="21"/>
              </w:rPr>
              <w:t>西山国家森林公园</w:t>
            </w:r>
          </w:p>
        </w:tc>
        <w:tc>
          <w:tcPr>
            <w:tcW w:w="761"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szCs w:val="21"/>
              </w:rPr>
              <w:t>海淀区</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jc w:val="center"/>
        </w:trPr>
        <w:tc>
          <w:tcPr>
            <w:tcW w:w="254" w:type="pct"/>
            <w:tcBorders>
              <w:top w:val="single" w:color="9BBB59" w:themeColor="accent3" w:sz="4" w:space="0"/>
              <w:bottom w:val="single" w:color="9BBB59" w:themeColor="accent3" w:sz="4" w:space="0"/>
              <w:right w:val="nil"/>
              <w:insideV w:val="nil"/>
            </w:tcBorders>
            <w:shd w:val="clear" w:color="auto" w:fill="FFFFFF" w:themeFill="background1"/>
            <w:vAlign w:val="center"/>
          </w:tcPr>
          <w:p>
            <w:pPr>
              <w:pStyle w:val="46"/>
              <w:numPr>
                <w:ilvl w:val="0"/>
                <w:numId w:val="8"/>
              </w:numPr>
              <w:ind w:firstLineChars="0"/>
              <w:rPr>
                <w:rFonts w:ascii="仿宋" w:hAnsi="仿宋" w:eastAsia="仿宋"/>
                <w:b w:val="0"/>
                <w:bCs/>
                <w:szCs w:val="21"/>
              </w:rPr>
            </w:pPr>
          </w:p>
        </w:tc>
        <w:tc>
          <w:tcPr>
            <w:tcW w:w="1913" w:type="pct"/>
            <w:tcBorders>
              <w:top w:val="single" w:color="9BBB59" w:themeColor="accent3" w:sz="4" w:space="0"/>
              <w:bottom w:val="single" w:color="9BBB59" w:themeColor="accent3" w:sz="4" w:space="0"/>
            </w:tcBorders>
            <w:vAlign w:val="center"/>
          </w:tcPr>
          <w:p>
            <w:pPr>
              <w:jc w:val="center"/>
              <w:rPr>
                <w:rFonts w:ascii="仿宋" w:hAnsi="仿宋" w:eastAsia="仿宋"/>
                <w:szCs w:val="21"/>
              </w:rPr>
            </w:pPr>
            <w:r>
              <w:rPr>
                <w:rFonts w:hint="eastAsia" w:ascii="仿宋" w:hAnsi="仿宋" w:eastAsia="仿宋"/>
                <w:szCs w:val="21"/>
              </w:rPr>
              <w:t>景山公园</w:t>
            </w:r>
          </w:p>
        </w:tc>
        <w:tc>
          <w:tcPr>
            <w:tcW w:w="501" w:type="pct"/>
            <w:tcBorders>
              <w:top w:val="single" w:color="9BBB59" w:themeColor="accent3" w:sz="4" w:space="0"/>
              <w:bottom w:val="single" w:color="9BBB59" w:themeColor="accent3" w:sz="4" w:space="0"/>
              <w:right w:val="single" w:color="9BBB59" w:themeColor="accent3" w:sz="4" w:space="0"/>
            </w:tcBorders>
            <w:vAlign w:val="center"/>
          </w:tcPr>
          <w:p>
            <w:pPr>
              <w:jc w:val="center"/>
              <w:rPr>
                <w:rFonts w:ascii="仿宋" w:hAnsi="仿宋" w:eastAsia="仿宋"/>
                <w:bCs/>
                <w:szCs w:val="21"/>
              </w:rPr>
            </w:pPr>
            <w:r>
              <w:rPr>
                <w:rFonts w:hint="eastAsia" w:ascii="仿宋" w:hAnsi="仿宋" w:eastAsia="仿宋"/>
                <w:bCs/>
                <w:szCs w:val="21"/>
              </w:rPr>
              <w:t>西城区</w:t>
            </w:r>
          </w:p>
        </w:tc>
        <w:tc>
          <w:tcPr>
            <w:tcW w:w="252" w:type="pct"/>
            <w:tcBorders>
              <w:left w:val="single" w:color="9BBB59" w:themeColor="accent3" w:sz="4" w:space="0"/>
            </w:tcBorders>
            <w:vAlign w:val="center"/>
          </w:tcPr>
          <w:p>
            <w:pPr>
              <w:rPr>
                <w:rFonts w:ascii="仿宋" w:hAnsi="仿宋" w:eastAsia="仿宋"/>
                <w:bCs/>
                <w:szCs w:val="21"/>
              </w:rPr>
            </w:pPr>
            <w:r>
              <w:rPr>
                <w:rFonts w:hint="eastAsia" w:ascii="仿宋" w:hAnsi="仿宋" w:eastAsia="仿宋"/>
                <w:bCs/>
                <w:szCs w:val="21"/>
              </w:rPr>
              <w:t>21</w:t>
            </w:r>
          </w:p>
        </w:tc>
        <w:tc>
          <w:tcPr>
            <w:tcW w:w="1319" w:type="pct"/>
            <w:vAlign w:val="center"/>
          </w:tcPr>
          <w:p>
            <w:pPr>
              <w:jc w:val="center"/>
              <w:rPr>
                <w:rFonts w:ascii="仿宋" w:hAnsi="仿宋" w:eastAsia="仿宋"/>
                <w:bCs/>
                <w:szCs w:val="21"/>
              </w:rPr>
            </w:pPr>
            <w:r>
              <w:rPr>
                <w:rFonts w:hint="eastAsia" w:ascii="仿宋" w:hAnsi="仿宋" w:eastAsia="仿宋"/>
                <w:szCs w:val="21"/>
              </w:rPr>
              <w:t>百望山森林公园</w:t>
            </w:r>
          </w:p>
        </w:tc>
        <w:tc>
          <w:tcPr>
            <w:tcW w:w="761" w:type="pct"/>
            <w:vAlign w:val="center"/>
          </w:tcPr>
          <w:p>
            <w:pPr>
              <w:jc w:val="center"/>
              <w:rPr>
                <w:rFonts w:ascii="仿宋" w:hAnsi="仿宋" w:eastAsia="仿宋"/>
                <w:bCs/>
                <w:szCs w:val="21"/>
              </w:rPr>
            </w:pPr>
            <w:r>
              <w:rPr>
                <w:rFonts w:hint="eastAsia" w:ascii="仿宋" w:hAnsi="仿宋" w:eastAsia="仿宋"/>
                <w:szCs w:val="21"/>
              </w:rPr>
              <w:t>海淀区</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PrEx>
        <w:trPr>
          <w:jc w:val="center"/>
        </w:trPr>
        <w:tc>
          <w:tcPr>
            <w:tcW w:w="254"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vAlign w:val="center"/>
          </w:tcPr>
          <w:p>
            <w:pPr>
              <w:pStyle w:val="46"/>
              <w:numPr>
                <w:ilvl w:val="0"/>
                <w:numId w:val="8"/>
              </w:numPr>
              <w:ind w:firstLineChars="0"/>
              <w:rPr>
                <w:rFonts w:ascii="仿宋" w:hAnsi="仿宋" w:eastAsia="仿宋"/>
                <w:b w:val="0"/>
                <w:bCs/>
                <w:szCs w:val="21"/>
              </w:rPr>
            </w:pPr>
          </w:p>
        </w:tc>
        <w:tc>
          <w:tcPr>
            <w:tcW w:w="1913"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szCs w:val="21"/>
              </w:rPr>
            </w:pPr>
            <w:r>
              <w:rPr>
                <w:rFonts w:hint="eastAsia" w:ascii="仿宋" w:hAnsi="仿宋" w:eastAsia="仿宋"/>
                <w:szCs w:val="21"/>
              </w:rPr>
              <w:t>陶然亭公园</w:t>
            </w:r>
          </w:p>
        </w:tc>
        <w:tc>
          <w:tcPr>
            <w:tcW w:w="501" w:type="pct"/>
            <w:tcBorders>
              <w:top w:val="single" w:color="9BBB59" w:themeColor="accent3" w:sz="4" w:space="0"/>
              <w:bottom w:val="single" w:color="9BBB59" w:themeColor="accent3" w:sz="4" w:space="0"/>
              <w:right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bCs/>
                <w:szCs w:val="21"/>
              </w:rPr>
              <w:t>西城区</w:t>
            </w:r>
          </w:p>
        </w:tc>
        <w:tc>
          <w:tcPr>
            <w:tcW w:w="252" w:type="pct"/>
            <w:tcBorders>
              <w:top w:val="single" w:color="9BBB59" w:themeColor="accent3" w:sz="4" w:space="0"/>
              <w:left w:val="single" w:color="9BBB59" w:themeColor="accent3" w:sz="4" w:space="0"/>
              <w:bottom w:val="single" w:color="9BBB59" w:themeColor="accent3" w:sz="4" w:space="0"/>
              <w:insideH w:val="single" w:sz="4" w:space="0"/>
            </w:tcBorders>
            <w:vAlign w:val="center"/>
          </w:tcPr>
          <w:p>
            <w:pPr>
              <w:rPr>
                <w:rFonts w:ascii="仿宋" w:hAnsi="仿宋" w:eastAsia="仿宋"/>
                <w:bCs/>
                <w:szCs w:val="21"/>
              </w:rPr>
            </w:pPr>
            <w:r>
              <w:rPr>
                <w:rFonts w:hint="eastAsia" w:ascii="仿宋" w:hAnsi="仿宋" w:eastAsia="仿宋"/>
                <w:bCs/>
                <w:szCs w:val="21"/>
              </w:rPr>
              <w:t>22</w:t>
            </w:r>
          </w:p>
        </w:tc>
        <w:tc>
          <w:tcPr>
            <w:tcW w:w="1319"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szCs w:val="21"/>
              </w:rPr>
              <w:t>小龙门国家森林公园</w:t>
            </w:r>
          </w:p>
        </w:tc>
        <w:tc>
          <w:tcPr>
            <w:tcW w:w="761"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szCs w:val="21"/>
              </w:rPr>
              <w:t>门头沟区</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jc w:val="center"/>
        </w:trPr>
        <w:tc>
          <w:tcPr>
            <w:tcW w:w="254" w:type="pct"/>
            <w:tcBorders>
              <w:top w:val="single" w:color="9BBB59" w:themeColor="accent3" w:sz="4" w:space="0"/>
              <w:bottom w:val="single" w:color="9BBB59" w:themeColor="accent3" w:sz="4" w:space="0"/>
              <w:right w:val="nil"/>
              <w:insideV w:val="nil"/>
            </w:tcBorders>
            <w:shd w:val="clear" w:color="auto" w:fill="FFFFFF" w:themeFill="background1"/>
            <w:vAlign w:val="center"/>
          </w:tcPr>
          <w:p>
            <w:pPr>
              <w:pStyle w:val="46"/>
              <w:numPr>
                <w:ilvl w:val="0"/>
                <w:numId w:val="8"/>
              </w:numPr>
              <w:ind w:firstLineChars="0"/>
              <w:rPr>
                <w:rFonts w:ascii="仿宋" w:hAnsi="仿宋" w:eastAsia="仿宋"/>
                <w:b w:val="0"/>
                <w:bCs/>
                <w:szCs w:val="21"/>
              </w:rPr>
            </w:pPr>
          </w:p>
        </w:tc>
        <w:tc>
          <w:tcPr>
            <w:tcW w:w="1913" w:type="pct"/>
            <w:tcBorders>
              <w:top w:val="single" w:color="9BBB59" w:themeColor="accent3" w:sz="4" w:space="0"/>
              <w:bottom w:val="single" w:color="9BBB59" w:themeColor="accent3" w:sz="4" w:space="0"/>
            </w:tcBorders>
            <w:vAlign w:val="center"/>
          </w:tcPr>
          <w:p>
            <w:pPr>
              <w:jc w:val="center"/>
              <w:rPr>
                <w:rFonts w:ascii="仿宋" w:hAnsi="仿宋" w:eastAsia="仿宋"/>
                <w:szCs w:val="21"/>
              </w:rPr>
            </w:pPr>
            <w:r>
              <w:rPr>
                <w:rFonts w:hint="eastAsia" w:ascii="仿宋" w:hAnsi="仿宋" w:eastAsia="仿宋"/>
                <w:szCs w:val="21"/>
              </w:rPr>
              <w:t>玉渊潭公园</w:t>
            </w:r>
          </w:p>
        </w:tc>
        <w:tc>
          <w:tcPr>
            <w:tcW w:w="501" w:type="pct"/>
            <w:tcBorders>
              <w:top w:val="single" w:color="9BBB59" w:themeColor="accent3" w:sz="4" w:space="0"/>
              <w:bottom w:val="single" w:color="9BBB59" w:themeColor="accent3" w:sz="4" w:space="0"/>
              <w:right w:val="single" w:color="9BBB59" w:themeColor="accent3" w:sz="4" w:space="0"/>
            </w:tcBorders>
            <w:vAlign w:val="center"/>
          </w:tcPr>
          <w:p>
            <w:pPr>
              <w:jc w:val="center"/>
              <w:rPr>
                <w:rFonts w:ascii="仿宋" w:hAnsi="仿宋" w:eastAsia="仿宋"/>
                <w:bCs/>
                <w:szCs w:val="21"/>
              </w:rPr>
            </w:pPr>
            <w:r>
              <w:rPr>
                <w:rFonts w:hint="eastAsia" w:ascii="仿宋" w:hAnsi="仿宋" w:eastAsia="仿宋"/>
                <w:bCs/>
                <w:szCs w:val="21"/>
              </w:rPr>
              <w:t>海淀区</w:t>
            </w:r>
          </w:p>
        </w:tc>
        <w:tc>
          <w:tcPr>
            <w:tcW w:w="252" w:type="pct"/>
            <w:tcBorders>
              <w:left w:val="single" w:color="9BBB59" w:themeColor="accent3" w:sz="4" w:space="0"/>
            </w:tcBorders>
            <w:vAlign w:val="center"/>
          </w:tcPr>
          <w:p>
            <w:pPr>
              <w:rPr>
                <w:rFonts w:ascii="仿宋" w:hAnsi="仿宋" w:eastAsia="仿宋"/>
                <w:bCs/>
                <w:szCs w:val="21"/>
              </w:rPr>
            </w:pPr>
            <w:r>
              <w:rPr>
                <w:rFonts w:hint="eastAsia" w:ascii="仿宋" w:hAnsi="仿宋" w:eastAsia="仿宋"/>
                <w:bCs/>
                <w:szCs w:val="21"/>
              </w:rPr>
              <w:t>23</w:t>
            </w:r>
          </w:p>
        </w:tc>
        <w:tc>
          <w:tcPr>
            <w:tcW w:w="1319" w:type="pct"/>
            <w:vAlign w:val="center"/>
          </w:tcPr>
          <w:p>
            <w:pPr>
              <w:jc w:val="center"/>
              <w:rPr>
                <w:rFonts w:ascii="仿宋" w:hAnsi="仿宋" w:eastAsia="仿宋"/>
                <w:bCs/>
                <w:szCs w:val="21"/>
              </w:rPr>
            </w:pPr>
            <w:r>
              <w:rPr>
                <w:rFonts w:hint="eastAsia" w:ascii="仿宋" w:hAnsi="仿宋" w:eastAsia="仿宋"/>
                <w:szCs w:val="21"/>
              </w:rPr>
              <w:t>上方山国家森林公园</w:t>
            </w:r>
          </w:p>
        </w:tc>
        <w:tc>
          <w:tcPr>
            <w:tcW w:w="761" w:type="pct"/>
            <w:vAlign w:val="center"/>
          </w:tcPr>
          <w:p>
            <w:pPr>
              <w:jc w:val="center"/>
              <w:rPr>
                <w:rFonts w:ascii="仿宋" w:hAnsi="仿宋" w:eastAsia="仿宋"/>
                <w:bCs/>
                <w:szCs w:val="21"/>
              </w:rPr>
            </w:pPr>
            <w:r>
              <w:rPr>
                <w:rFonts w:hint="eastAsia" w:ascii="仿宋" w:hAnsi="仿宋" w:eastAsia="仿宋"/>
                <w:szCs w:val="21"/>
              </w:rPr>
              <w:t>房山区</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jc w:val="center"/>
        </w:trPr>
        <w:tc>
          <w:tcPr>
            <w:tcW w:w="254"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vAlign w:val="center"/>
          </w:tcPr>
          <w:p>
            <w:pPr>
              <w:pStyle w:val="46"/>
              <w:numPr>
                <w:ilvl w:val="0"/>
                <w:numId w:val="8"/>
              </w:numPr>
              <w:ind w:firstLineChars="0"/>
              <w:rPr>
                <w:rFonts w:ascii="仿宋" w:hAnsi="仿宋" w:eastAsia="仿宋"/>
                <w:b w:val="0"/>
                <w:bCs/>
                <w:szCs w:val="21"/>
              </w:rPr>
            </w:pPr>
          </w:p>
        </w:tc>
        <w:tc>
          <w:tcPr>
            <w:tcW w:w="1913"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szCs w:val="21"/>
              </w:rPr>
            </w:pPr>
            <w:r>
              <w:rPr>
                <w:rFonts w:hint="eastAsia" w:ascii="仿宋" w:hAnsi="仿宋" w:eastAsia="仿宋"/>
                <w:szCs w:val="21"/>
              </w:rPr>
              <w:t>紫竹院公园</w:t>
            </w:r>
          </w:p>
        </w:tc>
        <w:tc>
          <w:tcPr>
            <w:tcW w:w="501" w:type="pct"/>
            <w:tcBorders>
              <w:top w:val="single" w:color="9BBB59" w:themeColor="accent3" w:sz="4" w:space="0"/>
              <w:bottom w:val="single" w:color="9BBB59" w:themeColor="accent3" w:sz="4" w:space="0"/>
              <w:right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bCs/>
                <w:szCs w:val="21"/>
              </w:rPr>
              <w:t>海淀区</w:t>
            </w:r>
          </w:p>
        </w:tc>
        <w:tc>
          <w:tcPr>
            <w:tcW w:w="252" w:type="pct"/>
            <w:tcBorders>
              <w:top w:val="single" w:color="9BBB59" w:themeColor="accent3" w:sz="4" w:space="0"/>
              <w:left w:val="single" w:color="9BBB59" w:themeColor="accent3" w:sz="4" w:space="0"/>
              <w:bottom w:val="single" w:color="9BBB59" w:themeColor="accent3" w:sz="4" w:space="0"/>
              <w:insideH w:val="single" w:sz="4" w:space="0"/>
            </w:tcBorders>
            <w:vAlign w:val="center"/>
          </w:tcPr>
          <w:p>
            <w:pPr>
              <w:rPr>
                <w:rFonts w:ascii="仿宋" w:hAnsi="仿宋" w:eastAsia="仿宋"/>
                <w:bCs/>
                <w:szCs w:val="21"/>
              </w:rPr>
            </w:pPr>
            <w:r>
              <w:rPr>
                <w:rFonts w:hint="eastAsia" w:ascii="仿宋" w:hAnsi="仿宋" w:eastAsia="仿宋"/>
                <w:bCs/>
                <w:szCs w:val="21"/>
              </w:rPr>
              <w:t>24</w:t>
            </w:r>
          </w:p>
        </w:tc>
        <w:tc>
          <w:tcPr>
            <w:tcW w:w="1319"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szCs w:val="21"/>
              </w:rPr>
              <w:t>八达岭森林公园</w:t>
            </w:r>
          </w:p>
        </w:tc>
        <w:tc>
          <w:tcPr>
            <w:tcW w:w="761"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szCs w:val="21"/>
              </w:rPr>
              <w:t>延庆区</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jc w:val="center"/>
        </w:trPr>
        <w:tc>
          <w:tcPr>
            <w:tcW w:w="254" w:type="pct"/>
            <w:tcBorders>
              <w:top w:val="single" w:color="9BBB59" w:themeColor="accent3" w:sz="4" w:space="0"/>
              <w:bottom w:val="single" w:color="9BBB59" w:themeColor="accent3" w:sz="4" w:space="0"/>
              <w:right w:val="nil"/>
              <w:insideV w:val="nil"/>
            </w:tcBorders>
            <w:shd w:val="clear" w:color="auto" w:fill="FFFFFF" w:themeFill="background1"/>
            <w:vAlign w:val="center"/>
          </w:tcPr>
          <w:p>
            <w:pPr>
              <w:pStyle w:val="46"/>
              <w:numPr>
                <w:ilvl w:val="0"/>
                <w:numId w:val="8"/>
              </w:numPr>
              <w:ind w:firstLineChars="0"/>
              <w:rPr>
                <w:rFonts w:ascii="仿宋" w:hAnsi="仿宋" w:eastAsia="仿宋"/>
                <w:b w:val="0"/>
                <w:bCs/>
                <w:szCs w:val="21"/>
              </w:rPr>
            </w:pPr>
          </w:p>
        </w:tc>
        <w:tc>
          <w:tcPr>
            <w:tcW w:w="1913" w:type="pct"/>
            <w:tcBorders>
              <w:top w:val="single" w:color="9BBB59" w:themeColor="accent3" w:sz="4" w:space="0"/>
              <w:bottom w:val="single" w:color="9BBB59" w:themeColor="accent3" w:sz="4" w:space="0"/>
            </w:tcBorders>
            <w:vAlign w:val="center"/>
          </w:tcPr>
          <w:p>
            <w:pPr>
              <w:jc w:val="center"/>
              <w:rPr>
                <w:rFonts w:ascii="仿宋" w:hAnsi="仿宋" w:eastAsia="仿宋"/>
                <w:szCs w:val="21"/>
              </w:rPr>
            </w:pPr>
            <w:r>
              <w:rPr>
                <w:rFonts w:hint="eastAsia" w:ascii="仿宋" w:hAnsi="仿宋" w:eastAsia="仿宋"/>
                <w:szCs w:val="21"/>
              </w:rPr>
              <w:t>香山公园</w:t>
            </w:r>
          </w:p>
        </w:tc>
        <w:tc>
          <w:tcPr>
            <w:tcW w:w="501" w:type="pct"/>
            <w:tcBorders>
              <w:top w:val="single" w:color="9BBB59" w:themeColor="accent3" w:sz="4" w:space="0"/>
              <w:bottom w:val="single" w:color="9BBB59" w:themeColor="accent3" w:sz="4" w:space="0"/>
              <w:right w:val="single" w:color="9BBB59" w:themeColor="accent3" w:sz="4" w:space="0"/>
            </w:tcBorders>
            <w:vAlign w:val="center"/>
          </w:tcPr>
          <w:p>
            <w:pPr>
              <w:jc w:val="center"/>
              <w:rPr>
                <w:rFonts w:ascii="仿宋" w:hAnsi="仿宋" w:eastAsia="仿宋"/>
                <w:bCs/>
                <w:szCs w:val="21"/>
              </w:rPr>
            </w:pPr>
            <w:r>
              <w:rPr>
                <w:rFonts w:hint="eastAsia" w:ascii="仿宋" w:hAnsi="仿宋" w:eastAsia="仿宋"/>
                <w:bCs/>
                <w:szCs w:val="21"/>
              </w:rPr>
              <w:t>海淀区</w:t>
            </w:r>
          </w:p>
        </w:tc>
        <w:tc>
          <w:tcPr>
            <w:tcW w:w="252" w:type="pct"/>
            <w:tcBorders>
              <w:left w:val="single" w:color="9BBB59" w:themeColor="accent3" w:sz="4" w:space="0"/>
            </w:tcBorders>
            <w:vAlign w:val="center"/>
          </w:tcPr>
          <w:p>
            <w:pPr>
              <w:rPr>
                <w:rFonts w:ascii="仿宋" w:hAnsi="仿宋" w:eastAsia="仿宋"/>
                <w:bCs/>
                <w:szCs w:val="21"/>
              </w:rPr>
            </w:pPr>
            <w:r>
              <w:rPr>
                <w:rFonts w:hint="eastAsia" w:ascii="仿宋" w:hAnsi="仿宋" w:eastAsia="仿宋"/>
                <w:bCs/>
                <w:szCs w:val="21"/>
              </w:rPr>
              <w:t>25</w:t>
            </w:r>
          </w:p>
        </w:tc>
        <w:tc>
          <w:tcPr>
            <w:tcW w:w="1319" w:type="pct"/>
            <w:vAlign w:val="center"/>
          </w:tcPr>
          <w:p>
            <w:pPr>
              <w:jc w:val="center"/>
              <w:rPr>
                <w:rFonts w:ascii="仿宋" w:hAnsi="仿宋" w:eastAsia="仿宋"/>
                <w:bCs/>
                <w:szCs w:val="21"/>
              </w:rPr>
            </w:pPr>
            <w:r>
              <w:rPr>
                <w:rFonts w:hint="eastAsia" w:ascii="仿宋" w:hAnsi="仿宋" w:eastAsia="仿宋"/>
                <w:szCs w:val="21"/>
              </w:rPr>
              <w:t>北京教学植物园</w:t>
            </w:r>
          </w:p>
        </w:tc>
        <w:tc>
          <w:tcPr>
            <w:tcW w:w="761" w:type="pct"/>
            <w:vAlign w:val="center"/>
          </w:tcPr>
          <w:p>
            <w:pPr>
              <w:jc w:val="center"/>
              <w:rPr>
                <w:rFonts w:ascii="仿宋" w:hAnsi="仿宋" w:eastAsia="仿宋"/>
                <w:bCs/>
                <w:szCs w:val="21"/>
              </w:rPr>
            </w:pPr>
            <w:r>
              <w:rPr>
                <w:rFonts w:hint="eastAsia" w:ascii="仿宋" w:hAnsi="仿宋" w:eastAsia="仿宋"/>
                <w:szCs w:val="21"/>
              </w:rPr>
              <w:t>东城区</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PrEx>
        <w:trPr>
          <w:jc w:val="center"/>
        </w:trPr>
        <w:tc>
          <w:tcPr>
            <w:tcW w:w="254"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vAlign w:val="center"/>
          </w:tcPr>
          <w:p>
            <w:pPr>
              <w:pStyle w:val="46"/>
              <w:numPr>
                <w:ilvl w:val="0"/>
                <w:numId w:val="8"/>
              </w:numPr>
              <w:ind w:firstLineChars="0"/>
              <w:rPr>
                <w:rFonts w:ascii="仿宋" w:hAnsi="仿宋" w:eastAsia="仿宋"/>
                <w:b w:val="0"/>
                <w:bCs/>
                <w:szCs w:val="21"/>
              </w:rPr>
            </w:pPr>
          </w:p>
        </w:tc>
        <w:tc>
          <w:tcPr>
            <w:tcW w:w="1913"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szCs w:val="21"/>
              </w:rPr>
            </w:pPr>
            <w:r>
              <w:rPr>
                <w:rFonts w:hint="eastAsia" w:ascii="仿宋" w:hAnsi="仿宋" w:eastAsia="仿宋"/>
                <w:szCs w:val="21"/>
              </w:rPr>
              <w:t>中国房山世界地质公园</w:t>
            </w:r>
          </w:p>
        </w:tc>
        <w:tc>
          <w:tcPr>
            <w:tcW w:w="501" w:type="pct"/>
            <w:tcBorders>
              <w:top w:val="single" w:color="9BBB59" w:themeColor="accent3" w:sz="4" w:space="0"/>
              <w:bottom w:val="single" w:color="9BBB59" w:themeColor="accent3" w:sz="4" w:space="0"/>
              <w:right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bCs/>
                <w:szCs w:val="21"/>
              </w:rPr>
              <w:t>房山区</w:t>
            </w:r>
          </w:p>
        </w:tc>
        <w:tc>
          <w:tcPr>
            <w:tcW w:w="252" w:type="pct"/>
            <w:tcBorders>
              <w:top w:val="single" w:color="9BBB59" w:themeColor="accent3" w:sz="4" w:space="0"/>
              <w:left w:val="single" w:color="9BBB59" w:themeColor="accent3" w:sz="4" w:space="0"/>
              <w:bottom w:val="single" w:color="9BBB59" w:themeColor="accent3" w:sz="4" w:space="0"/>
              <w:insideH w:val="single" w:sz="4" w:space="0"/>
            </w:tcBorders>
            <w:vAlign w:val="center"/>
          </w:tcPr>
          <w:p>
            <w:pPr>
              <w:rPr>
                <w:rFonts w:ascii="仿宋" w:hAnsi="仿宋" w:eastAsia="仿宋"/>
                <w:bCs/>
                <w:szCs w:val="21"/>
              </w:rPr>
            </w:pPr>
            <w:r>
              <w:rPr>
                <w:rFonts w:hint="eastAsia" w:ascii="仿宋" w:hAnsi="仿宋" w:eastAsia="仿宋"/>
                <w:bCs/>
                <w:szCs w:val="21"/>
              </w:rPr>
              <w:t>26</w:t>
            </w:r>
          </w:p>
        </w:tc>
        <w:tc>
          <w:tcPr>
            <w:tcW w:w="1319"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szCs w:val="21"/>
              </w:rPr>
              <w:t>北京植物园</w:t>
            </w:r>
          </w:p>
        </w:tc>
        <w:tc>
          <w:tcPr>
            <w:tcW w:w="761"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szCs w:val="21"/>
              </w:rPr>
              <w:t>海淀区</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jc w:val="center"/>
        </w:trPr>
        <w:tc>
          <w:tcPr>
            <w:tcW w:w="254" w:type="pct"/>
            <w:tcBorders>
              <w:top w:val="single" w:color="9BBB59" w:themeColor="accent3" w:sz="4" w:space="0"/>
              <w:bottom w:val="single" w:color="9BBB59" w:themeColor="accent3" w:sz="4" w:space="0"/>
              <w:right w:val="nil"/>
              <w:insideV w:val="nil"/>
            </w:tcBorders>
            <w:shd w:val="clear" w:color="auto" w:fill="FFFFFF" w:themeFill="background1"/>
            <w:vAlign w:val="center"/>
          </w:tcPr>
          <w:p>
            <w:pPr>
              <w:pStyle w:val="46"/>
              <w:numPr>
                <w:ilvl w:val="0"/>
                <w:numId w:val="8"/>
              </w:numPr>
              <w:ind w:firstLineChars="0"/>
              <w:rPr>
                <w:rFonts w:ascii="仿宋" w:hAnsi="仿宋" w:eastAsia="仿宋"/>
                <w:b w:val="0"/>
                <w:bCs/>
                <w:szCs w:val="21"/>
              </w:rPr>
            </w:pPr>
          </w:p>
        </w:tc>
        <w:tc>
          <w:tcPr>
            <w:tcW w:w="1913" w:type="pct"/>
            <w:tcBorders>
              <w:top w:val="single" w:color="9BBB59" w:themeColor="accent3" w:sz="4" w:space="0"/>
              <w:bottom w:val="single" w:color="9BBB59" w:themeColor="accent3" w:sz="4" w:space="0"/>
            </w:tcBorders>
            <w:vAlign w:val="center"/>
          </w:tcPr>
          <w:p>
            <w:pPr>
              <w:jc w:val="center"/>
              <w:rPr>
                <w:rFonts w:ascii="仿宋" w:hAnsi="仿宋" w:eastAsia="仿宋"/>
                <w:szCs w:val="21"/>
              </w:rPr>
            </w:pPr>
            <w:r>
              <w:rPr>
                <w:rFonts w:hint="eastAsia" w:ascii="仿宋" w:hAnsi="仿宋" w:eastAsia="仿宋"/>
                <w:szCs w:val="21"/>
              </w:rPr>
              <w:t>北京延庆硅化木国家地质公园</w:t>
            </w:r>
          </w:p>
        </w:tc>
        <w:tc>
          <w:tcPr>
            <w:tcW w:w="501" w:type="pct"/>
            <w:tcBorders>
              <w:top w:val="single" w:color="9BBB59" w:themeColor="accent3" w:sz="4" w:space="0"/>
              <w:bottom w:val="single" w:color="9BBB59" w:themeColor="accent3" w:sz="4" w:space="0"/>
              <w:right w:val="single" w:color="9BBB59" w:themeColor="accent3" w:sz="4" w:space="0"/>
            </w:tcBorders>
            <w:vAlign w:val="center"/>
          </w:tcPr>
          <w:p>
            <w:pPr>
              <w:jc w:val="center"/>
              <w:rPr>
                <w:rFonts w:ascii="仿宋" w:hAnsi="仿宋" w:eastAsia="仿宋"/>
                <w:bCs/>
                <w:szCs w:val="21"/>
              </w:rPr>
            </w:pPr>
            <w:r>
              <w:rPr>
                <w:rFonts w:hint="eastAsia" w:ascii="仿宋" w:hAnsi="仿宋" w:eastAsia="仿宋"/>
                <w:bCs/>
                <w:szCs w:val="21"/>
              </w:rPr>
              <w:t>延庆区</w:t>
            </w:r>
          </w:p>
        </w:tc>
        <w:tc>
          <w:tcPr>
            <w:tcW w:w="252" w:type="pct"/>
            <w:tcBorders>
              <w:left w:val="single" w:color="9BBB59" w:themeColor="accent3" w:sz="4" w:space="0"/>
            </w:tcBorders>
            <w:vAlign w:val="center"/>
          </w:tcPr>
          <w:p>
            <w:pPr>
              <w:rPr>
                <w:rFonts w:ascii="仿宋" w:hAnsi="仿宋" w:eastAsia="仿宋"/>
                <w:bCs/>
                <w:szCs w:val="21"/>
              </w:rPr>
            </w:pPr>
            <w:r>
              <w:rPr>
                <w:rFonts w:hint="eastAsia" w:ascii="仿宋" w:hAnsi="仿宋" w:eastAsia="仿宋"/>
                <w:bCs/>
                <w:szCs w:val="21"/>
              </w:rPr>
              <w:t>27</w:t>
            </w:r>
          </w:p>
        </w:tc>
        <w:tc>
          <w:tcPr>
            <w:tcW w:w="1319" w:type="pct"/>
            <w:vAlign w:val="center"/>
          </w:tcPr>
          <w:p>
            <w:pPr>
              <w:jc w:val="center"/>
              <w:rPr>
                <w:rFonts w:ascii="仿宋" w:hAnsi="仿宋" w:eastAsia="仿宋"/>
                <w:bCs/>
                <w:szCs w:val="21"/>
              </w:rPr>
            </w:pPr>
            <w:r>
              <w:rPr>
                <w:rFonts w:hint="eastAsia" w:ascii="仿宋" w:hAnsi="仿宋" w:eastAsia="仿宋"/>
                <w:szCs w:val="21"/>
              </w:rPr>
              <w:t>北京动物园</w:t>
            </w:r>
          </w:p>
        </w:tc>
        <w:tc>
          <w:tcPr>
            <w:tcW w:w="761" w:type="pct"/>
            <w:vAlign w:val="center"/>
          </w:tcPr>
          <w:p>
            <w:pPr>
              <w:jc w:val="center"/>
              <w:rPr>
                <w:rFonts w:ascii="仿宋" w:hAnsi="仿宋" w:eastAsia="仿宋"/>
                <w:bCs/>
                <w:szCs w:val="21"/>
              </w:rPr>
            </w:pPr>
            <w:r>
              <w:rPr>
                <w:rFonts w:hint="eastAsia" w:ascii="仿宋" w:hAnsi="仿宋" w:eastAsia="仿宋"/>
                <w:szCs w:val="21"/>
              </w:rPr>
              <w:t>西城区</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jc w:val="center"/>
        </w:trPr>
        <w:tc>
          <w:tcPr>
            <w:tcW w:w="254"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vAlign w:val="center"/>
          </w:tcPr>
          <w:p>
            <w:pPr>
              <w:pStyle w:val="46"/>
              <w:numPr>
                <w:ilvl w:val="0"/>
                <w:numId w:val="8"/>
              </w:numPr>
              <w:ind w:firstLineChars="0"/>
              <w:rPr>
                <w:rFonts w:ascii="仿宋" w:hAnsi="仿宋" w:eastAsia="仿宋"/>
                <w:b w:val="0"/>
                <w:bCs/>
                <w:szCs w:val="21"/>
              </w:rPr>
            </w:pPr>
          </w:p>
        </w:tc>
        <w:tc>
          <w:tcPr>
            <w:tcW w:w="1913"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szCs w:val="21"/>
              </w:rPr>
            </w:pPr>
            <w:r>
              <w:rPr>
                <w:rFonts w:hint="eastAsia" w:ascii="仿宋" w:hAnsi="仿宋" w:eastAsia="仿宋"/>
                <w:szCs w:val="21"/>
              </w:rPr>
              <w:t>中国科学院植物研究所植物园</w:t>
            </w:r>
          </w:p>
        </w:tc>
        <w:tc>
          <w:tcPr>
            <w:tcW w:w="501" w:type="pct"/>
            <w:tcBorders>
              <w:top w:val="single" w:color="9BBB59" w:themeColor="accent3" w:sz="4" w:space="0"/>
              <w:bottom w:val="single" w:color="9BBB59" w:themeColor="accent3" w:sz="4" w:space="0"/>
              <w:right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bCs/>
                <w:szCs w:val="21"/>
              </w:rPr>
              <w:t>海淀区</w:t>
            </w:r>
          </w:p>
        </w:tc>
        <w:tc>
          <w:tcPr>
            <w:tcW w:w="252" w:type="pct"/>
            <w:tcBorders>
              <w:top w:val="single" w:color="9BBB59" w:themeColor="accent3" w:sz="4" w:space="0"/>
              <w:left w:val="single" w:color="9BBB59" w:themeColor="accent3" w:sz="4" w:space="0"/>
              <w:bottom w:val="single" w:color="9BBB59" w:themeColor="accent3" w:sz="4" w:space="0"/>
              <w:insideH w:val="single" w:sz="4" w:space="0"/>
            </w:tcBorders>
            <w:vAlign w:val="center"/>
          </w:tcPr>
          <w:p>
            <w:pPr>
              <w:rPr>
                <w:rFonts w:ascii="仿宋" w:hAnsi="仿宋" w:eastAsia="仿宋"/>
                <w:bCs/>
                <w:szCs w:val="21"/>
              </w:rPr>
            </w:pPr>
            <w:r>
              <w:rPr>
                <w:rFonts w:hint="eastAsia" w:ascii="仿宋" w:hAnsi="仿宋" w:eastAsia="仿宋"/>
                <w:bCs/>
                <w:szCs w:val="21"/>
              </w:rPr>
              <w:t>28</w:t>
            </w:r>
          </w:p>
        </w:tc>
        <w:tc>
          <w:tcPr>
            <w:tcW w:w="1319"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szCs w:val="21"/>
              </w:rPr>
              <w:t>北京药用植物园</w:t>
            </w:r>
          </w:p>
        </w:tc>
        <w:tc>
          <w:tcPr>
            <w:tcW w:w="761"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szCs w:val="21"/>
              </w:rPr>
              <w:t>海淀区</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jc w:val="center"/>
        </w:trPr>
        <w:tc>
          <w:tcPr>
            <w:tcW w:w="254" w:type="pct"/>
            <w:tcBorders>
              <w:top w:val="single" w:color="9BBB59" w:themeColor="accent3" w:sz="4" w:space="0"/>
              <w:bottom w:val="single" w:color="9BBB59" w:themeColor="accent3" w:sz="4" w:space="0"/>
              <w:right w:val="nil"/>
              <w:insideV w:val="nil"/>
            </w:tcBorders>
            <w:shd w:val="clear" w:color="auto" w:fill="FFFFFF" w:themeFill="background1"/>
            <w:vAlign w:val="center"/>
          </w:tcPr>
          <w:p>
            <w:pPr>
              <w:pStyle w:val="46"/>
              <w:numPr>
                <w:ilvl w:val="0"/>
                <w:numId w:val="8"/>
              </w:numPr>
              <w:ind w:firstLineChars="0"/>
              <w:rPr>
                <w:rFonts w:ascii="仿宋" w:hAnsi="仿宋" w:eastAsia="仿宋"/>
                <w:b w:val="0"/>
                <w:bCs/>
                <w:szCs w:val="21"/>
              </w:rPr>
            </w:pPr>
          </w:p>
        </w:tc>
        <w:tc>
          <w:tcPr>
            <w:tcW w:w="1913" w:type="pct"/>
            <w:tcBorders>
              <w:top w:val="single" w:color="9BBB59" w:themeColor="accent3" w:sz="4" w:space="0"/>
              <w:bottom w:val="single" w:color="9BBB59" w:themeColor="accent3" w:sz="4" w:space="0"/>
            </w:tcBorders>
            <w:vAlign w:val="center"/>
          </w:tcPr>
          <w:p>
            <w:pPr>
              <w:jc w:val="center"/>
              <w:rPr>
                <w:rFonts w:ascii="仿宋" w:hAnsi="仿宋" w:eastAsia="仿宋"/>
                <w:szCs w:val="21"/>
              </w:rPr>
            </w:pPr>
            <w:r>
              <w:rPr>
                <w:rFonts w:hint="eastAsia" w:ascii="仿宋" w:hAnsi="仿宋" w:eastAsia="仿宋"/>
                <w:szCs w:val="21"/>
              </w:rPr>
              <w:t>北京野生动物园</w:t>
            </w:r>
          </w:p>
        </w:tc>
        <w:tc>
          <w:tcPr>
            <w:tcW w:w="501" w:type="pct"/>
            <w:tcBorders>
              <w:top w:val="single" w:color="9BBB59" w:themeColor="accent3" w:sz="4" w:space="0"/>
              <w:bottom w:val="single" w:color="9BBB59" w:themeColor="accent3" w:sz="4" w:space="0"/>
              <w:right w:val="single" w:color="9BBB59" w:themeColor="accent3" w:sz="4" w:space="0"/>
            </w:tcBorders>
            <w:vAlign w:val="center"/>
          </w:tcPr>
          <w:p>
            <w:pPr>
              <w:jc w:val="center"/>
              <w:rPr>
                <w:rFonts w:ascii="仿宋" w:hAnsi="仿宋" w:eastAsia="仿宋"/>
                <w:bCs/>
                <w:szCs w:val="21"/>
              </w:rPr>
            </w:pPr>
            <w:r>
              <w:rPr>
                <w:rFonts w:hint="eastAsia" w:ascii="仿宋" w:hAnsi="仿宋" w:eastAsia="仿宋"/>
                <w:bCs/>
                <w:szCs w:val="21"/>
              </w:rPr>
              <w:t>大兴区</w:t>
            </w:r>
          </w:p>
        </w:tc>
        <w:tc>
          <w:tcPr>
            <w:tcW w:w="252" w:type="pct"/>
            <w:tcBorders>
              <w:left w:val="single" w:color="9BBB59" w:themeColor="accent3" w:sz="4" w:space="0"/>
            </w:tcBorders>
            <w:vAlign w:val="center"/>
          </w:tcPr>
          <w:p>
            <w:pPr>
              <w:rPr>
                <w:rFonts w:ascii="仿宋" w:hAnsi="仿宋" w:eastAsia="仿宋"/>
                <w:bCs/>
                <w:szCs w:val="21"/>
              </w:rPr>
            </w:pPr>
            <w:r>
              <w:rPr>
                <w:rFonts w:hint="eastAsia" w:ascii="仿宋" w:hAnsi="仿宋" w:eastAsia="仿宋"/>
                <w:bCs/>
                <w:szCs w:val="21"/>
              </w:rPr>
              <w:t>29</w:t>
            </w:r>
          </w:p>
        </w:tc>
        <w:tc>
          <w:tcPr>
            <w:tcW w:w="1319" w:type="pct"/>
            <w:vAlign w:val="center"/>
          </w:tcPr>
          <w:p>
            <w:pPr>
              <w:jc w:val="center"/>
              <w:rPr>
                <w:rFonts w:ascii="仿宋" w:hAnsi="仿宋" w:eastAsia="仿宋"/>
                <w:bCs/>
                <w:szCs w:val="21"/>
              </w:rPr>
            </w:pPr>
            <w:r>
              <w:rPr>
                <w:rFonts w:hint="eastAsia" w:ascii="仿宋" w:hAnsi="仿宋" w:eastAsia="仿宋"/>
                <w:szCs w:val="21"/>
              </w:rPr>
              <w:t>北京松山国家级自然保护区</w:t>
            </w:r>
          </w:p>
        </w:tc>
        <w:tc>
          <w:tcPr>
            <w:tcW w:w="761" w:type="pct"/>
            <w:vAlign w:val="center"/>
          </w:tcPr>
          <w:p>
            <w:pPr>
              <w:jc w:val="center"/>
              <w:rPr>
                <w:rFonts w:ascii="仿宋" w:hAnsi="仿宋" w:eastAsia="仿宋"/>
                <w:bCs/>
                <w:szCs w:val="21"/>
              </w:rPr>
            </w:pPr>
            <w:r>
              <w:rPr>
                <w:rFonts w:hint="eastAsia" w:ascii="仿宋" w:hAnsi="仿宋" w:eastAsia="仿宋"/>
                <w:szCs w:val="21"/>
              </w:rPr>
              <w:t>延庆区</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PrEx>
        <w:trPr>
          <w:jc w:val="center"/>
        </w:trPr>
        <w:tc>
          <w:tcPr>
            <w:tcW w:w="254"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vAlign w:val="center"/>
          </w:tcPr>
          <w:p>
            <w:pPr>
              <w:pStyle w:val="46"/>
              <w:numPr>
                <w:ilvl w:val="0"/>
                <w:numId w:val="8"/>
              </w:numPr>
              <w:ind w:firstLineChars="0"/>
              <w:rPr>
                <w:rFonts w:ascii="仿宋" w:hAnsi="仿宋" w:eastAsia="仿宋"/>
                <w:b w:val="0"/>
                <w:bCs/>
                <w:szCs w:val="21"/>
              </w:rPr>
            </w:pPr>
          </w:p>
        </w:tc>
        <w:tc>
          <w:tcPr>
            <w:tcW w:w="1913"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szCs w:val="21"/>
              </w:rPr>
            </w:pPr>
            <w:r>
              <w:rPr>
                <w:rFonts w:hint="eastAsia" w:ascii="仿宋" w:hAnsi="仿宋" w:eastAsia="仿宋"/>
                <w:szCs w:val="21"/>
              </w:rPr>
              <w:t>北京延庆野鸭湖湿地自然保护区</w:t>
            </w:r>
          </w:p>
        </w:tc>
        <w:tc>
          <w:tcPr>
            <w:tcW w:w="501" w:type="pct"/>
            <w:tcBorders>
              <w:top w:val="single" w:color="9BBB59" w:themeColor="accent3" w:sz="4" w:space="0"/>
              <w:bottom w:val="single" w:color="9BBB59" w:themeColor="accent3" w:sz="4" w:space="0"/>
              <w:right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bCs/>
                <w:szCs w:val="21"/>
              </w:rPr>
              <w:t>延庆区</w:t>
            </w:r>
          </w:p>
        </w:tc>
        <w:tc>
          <w:tcPr>
            <w:tcW w:w="252" w:type="pct"/>
            <w:tcBorders>
              <w:top w:val="single" w:color="9BBB59" w:themeColor="accent3" w:sz="4" w:space="0"/>
              <w:left w:val="single" w:color="9BBB59" w:themeColor="accent3" w:sz="4" w:space="0"/>
              <w:bottom w:val="single" w:color="9BBB59" w:themeColor="accent3" w:sz="4" w:space="0"/>
              <w:insideH w:val="single" w:sz="4" w:space="0"/>
            </w:tcBorders>
            <w:vAlign w:val="center"/>
          </w:tcPr>
          <w:p>
            <w:pPr>
              <w:rPr>
                <w:rFonts w:ascii="仿宋" w:hAnsi="仿宋" w:eastAsia="仿宋"/>
                <w:bCs/>
                <w:szCs w:val="21"/>
              </w:rPr>
            </w:pPr>
            <w:r>
              <w:rPr>
                <w:rFonts w:hint="eastAsia" w:ascii="仿宋" w:hAnsi="仿宋" w:eastAsia="仿宋"/>
                <w:bCs/>
                <w:szCs w:val="21"/>
              </w:rPr>
              <w:t>30</w:t>
            </w:r>
          </w:p>
        </w:tc>
        <w:tc>
          <w:tcPr>
            <w:tcW w:w="1319"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szCs w:val="21"/>
              </w:rPr>
              <w:t>汉石桥湿地</w:t>
            </w:r>
          </w:p>
        </w:tc>
        <w:tc>
          <w:tcPr>
            <w:tcW w:w="761" w:type="pct"/>
            <w:tcBorders>
              <w:top w:val="single" w:color="9BBB59" w:themeColor="accent3" w:sz="4" w:space="0"/>
              <w:bottom w:val="single" w:color="9BBB59" w:themeColor="accent3" w:sz="4" w:space="0"/>
              <w:insideH w:val="single" w:sz="4" w:space="0"/>
            </w:tcBorders>
            <w:vAlign w:val="center"/>
          </w:tcPr>
          <w:p>
            <w:pPr>
              <w:jc w:val="center"/>
              <w:rPr>
                <w:rFonts w:ascii="仿宋" w:hAnsi="仿宋" w:eastAsia="仿宋"/>
                <w:bCs/>
                <w:szCs w:val="21"/>
              </w:rPr>
            </w:pPr>
            <w:r>
              <w:rPr>
                <w:rFonts w:hint="eastAsia" w:ascii="仿宋" w:hAnsi="仿宋" w:eastAsia="仿宋"/>
                <w:szCs w:val="21"/>
              </w:rPr>
              <w:t>顺义区</w:t>
            </w:r>
          </w:p>
        </w:tc>
      </w:tr>
    </w:tbl>
    <w:p>
      <w:pPr>
        <w:pStyle w:val="46"/>
        <w:spacing w:line="360" w:lineRule="auto"/>
        <w:rPr>
          <w:rFonts w:ascii="黑体" w:hAnsi="黑体" w:eastAsia="黑体"/>
        </w:rPr>
      </w:pPr>
      <w:bookmarkStart w:id="149" w:name="_Toc533863051"/>
      <w:bookmarkStart w:id="150" w:name="_Toc530648971"/>
      <w:bookmarkStart w:id="151" w:name="_Toc528968797"/>
      <w:bookmarkStart w:id="152" w:name="_Toc530648979"/>
      <w:bookmarkStart w:id="153" w:name="_Toc530648987"/>
      <w:bookmarkStart w:id="154" w:name="_Toc529001398"/>
    </w:p>
    <w:p>
      <w:pPr>
        <w:pStyle w:val="3"/>
        <w:spacing w:before="217" w:after="217"/>
        <w:jc w:val="left"/>
        <w:rPr>
          <w:rFonts w:ascii="黑体" w:hAnsi="黑体" w:eastAsia="黑体" w:cs="Times New Roman"/>
          <w:b w:val="0"/>
          <w:bCs w:val="0"/>
        </w:rPr>
      </w:pPr>
      <w:bookmarkStart w:id="155" w:name="_Toc27389904"/>
      <w:r>
        <w:rPr>
          <w:rFonts w:hint="eastAsia" w:ascii="黑体" w:hAnsi="黑体" w:eastAsia="黑体" w:cs="Times New Roman"/>
          <w:b w:val="0"/>
          <w:bCs w:val="0"/>
        </w:rPr>
        <w:t>三、存在问题与应对策略</w:t>
      </w:r>
      <w:bookmarkEnd w:id="149"/>
      <w:bookmarkEnd w:id="155"/>
    </w:p>
    <w:p>
      <w:pPr>
        <w:pStyle w:val="46"/>
        <w:spacing w:line="276" w:lineRule="auto"/>
        <w:ind w:firstLine="560"/>
        <w:rPr>
          <w:rFonts w:ascii="仿宋" w:hAnsi="仿宋" w:eastAsia="仿宋"/>
          <w:sz w:val="28"/>
          <w:szCs w:val="28"/>
        </w:rPr>
        <w:sectPr>
          <w:pgSz w:w="11906" w:h="16838"/>
          <w:pgMar w:top="1418" w:right="1701" w:bottom="1418" w:left="1701" w:header="851" w:footer="992" w:gutter="0"/>
          <w:cols w:space="425" w:num="1"/>
          <w:docGrid w:type="linesAndChars" w:linePitch="312" w:charSpace="0"/>
        </w:sectPr>
      </w:pPr>
      <w:r>
        <w:rPr>
          <w:rFonts w:hint="eastAsia" w:ascii="仿宋" w:hAnsi="仿宋" w:eastAsia="仿宋"/>
          <w:sz w:val="28"/>
          <w:szCs w:val="28"/>
        </w:rPr>
        <w:t>在上述分析的基础上，从19个方面梳理汇总了北京森林、湿地、绿地生态资源本底存在的问题，以及与森林城市相关的生态建设需求，提出了北京森林城市建设的26条具体对策。</w:t>
      </w:r>
    </w:p>
    <w:bookmarkEnd w:id="150"/>
    <w:bookmarkEnd w:id="151"/>
    <w:bookmarkEnd w:id="152"/>
    <w:bookmarkEnd w:id="153"/>
    <w:bookmarkEnd w:id="154"/>
    <w:p>
      <w:pPr>
        <w:spacing w:line="360" w:lineRule="auto"/>
        <w:jc w:val="center"/>
        <w:rPr>
          <w:rFonts w:ascii="Times New Roman" w:hAnsi="Times New Roman"/>
          <w:color w:val="E46C0A" w:themeColor="accent6" w:themeShade="BF"/>
          <w:sz w:val="24"/>
        </w:rPr>
      </w:pPr>
      <w:r>
        <w:rPr>
          <w:rFonts w:ascii="Times New Roman" w:hAnsi="Times New Roman"/>
          <w:color w:val="E46C0A" w:themeColor="accent6" w:themeShade="BF"/>
          <w:sz w:val="24"/>
        </w:rPr>
        <w:drawing>
          <wp:inline distT="0" distB="0" distL="0" distR="0">
            <wp:extent cx="7701915" cy="5321935"/>
            <wp:effectExtent l="0" t="0" r="0" b="0"/>
            <wp:docPr id="24"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true"/>
                    </pic:cNvPicPr>
                  </pic:nvPicPr>
                  <pic:blipFill>
                    <a:blip r:embed="rId36" cstate="hqprint"/>
                    <a:srcRect/>
                    <a:stretch>
                      <a:fillRect/>
                    </a:stretch>
                  </pic:blipFill>
                  <pic:spPr>
                    <a:xfrm>
                      <a:off x="0" y="0"/>
                      <a:ext cx="7702643" cy="5322332"/>
                    </a:xfrm>
                    <a:prstGeom prst="rect">
                      <a:avLst/>
                    </a:prstGeom>
                    <a:ln>
                      <a:noFill/>
                    </a:ln>
                  </pic:spPr>
                </pic:pic>
              </a:graphicData>
            </a:graphic>
          </wp:inline>
        </w:drawing>
      </w:r>
    </w:p>
    <w:p>
      <w:pPr>
        <w:spacing w:line="360" w:lineRule="auto"/>
        <w:ind w:firstLine="480" w:firstLineChars="200"/>
        <w:jc w:val="center"/>
        <w:rPr>
          <w:rFonts w:ascii="Times New Roman" w:hAnsi="Times New Roman"/>
          <w:color w:val="E46C0A" w:themeColor="accent6" w:themeShade="BF"/>
          <w:sz w:val="24"/>
        </w:rPr>
        <w:sectPr>
          <w:pgSz w:w="16838" w:h="11906" w:orient="landscape"/>
          <w:pgMar w:top="1701" w:right="1418" w:bottom="1701" w:left="1418" w:header="851" w:footer="992" w:gutter="0"/>
          <w:cols w:space="425" w:num="1"/>
          <w:docGrid w:type="linesAndChars" w:linePitch="312" w:charSpace="0"/>
        </w:sectPr>
      </w:pPr>
    </w:p>
    <w:p>
      <w:pPr>
        <w:pStyle w:val="2"/>
        <w:keepLines w:val="0"/>
        <w:widowControl/>
        <w:spacing w:before="0" w:after="435" w:line="276" w:lineRule="auto"/>
        <w:jc w:val="center"/>
        <w:rPr>
          <w:rFonts w:ascii="黑体" w:hAnsi="黑体" w:eastAsia="黑体" w:cs="宋体"/>
          <w:spacing w:val="4"/>
          <w:kern w:val="36"/>
          <w:sz w:val="40"/>
          <w:szCs w:val="40"/>
        </w:rPr>
      </w:pPr>
      <w:bookmarkStart w:id="156" w:name="_Toc27389905"/>
      <w:bookmarkStart w:id="157" w:name="_Toc528968845"/>
      <w:bookmarkStart w:id="158" w:name="_Toc530648991"/>
      <w:r>
        <w:rPr>
          <w:rFonts w:ascii="黑体" w:hAnsi="黑体" w:eastAsia="黑体" w:cs="宋体"/>
          <w:spacing w:val="4"/>
          <w:kern w:val="36"/>
          <w:sz w:val="40"/>
          <w:szCs w:val="40"/>
        </w:rPr>
        <w:t>第</w:t>
      </w:r>
      <w:r>
        <w:rPr>
          <w:rFonts w:hint="eastAsia" w:ascii="黑体" w:hAnsi="黑体" w:eastAsia="黑体" w:cs="宋体"/>
          <w:spacing w:val="4"/>
          <w:kern w:val="36"/>
          <w:sz w:val="40"/>
          <w:szCs w:val="40"/>
        </w:rPr>
        <w:t>五</w:t>
      </w:r>
      <w:r>
        <w:rPr>
          <w:rFonts w:ascii="黑体" w:hAnsi="黑体" w:eastAsia="黑体" w:cs="宋体"/>
          <w:spacing w:val="4"/>
          <w:kern w:val="36"/>
          <w:sz w:val="40"/>
          <w:szCs w:val="40"/>
        </w:rPr>
        <w:t xml:space="preserve">篇 </w:t>
      </w:r>
      <w:r>
        <w:rPr>
          <w:rFonts w:hint="eastAsia" w:ascii="黑体" w:hAnsi="黑体" w:eastAsia="黑体" w:cs="宋体"/>
          <w:spacing w:val="4"/>
          <w:kern w:val="36"/>
          <w:sz w:val="40"/>
          <w:szCs w:val="40"/>
        </w:rPr>
        <w:t>森林城市建设的主要</w:t>
      </w:r>
      <w:r>
        <w:rPr>
          <w:rFonts w:ascii="黑体" w:hAnsi="黑体" w:eastAsia="黑体" w:cs="宋体"/>
          <w:spacing w:val="4"/>
          <w:kern w:val="36"/>
          <w:sz w:val="40"/>
          <w:szCs w:val="40"/>
        </w:rPr>
        <w:t>指标</w:t>
      </w:r>
      <w:bookmarkEnd w:id="156"/>
      <w:bookmarkEnd w:id="157"/>
      <w:bookmarkEnd w:id="158"/>
    </w:p>
    <w:p>
      <w:pPr>
        <w:pStyle w:val="3"/>
        <w:spacing w:before="217" w:after="217"/>
        <w:jc w:val="left"/>
        <w:rPr>
          <w:rFonts w:ascii="黑体" w:hAnsi="黑体" w:eastAsia="黑体" w:cs="Times New Roman"/>
          <w:b w:val="0"/>
          <w:bCs w:val="0"/>
        </w:rPr>
      </w:pPr>
      <w:bookmarkStart w:id="159" w:name="_Toc535910090"/>
      <w:bookmarkStart w:id="160" w:name="_Toc27389906"/>
      <w:bookmarkStart w:id="161" w:name="_Toc530648992"/>
      <w:bookmarkStart w:id="162" w:name="_Toc528968850"/>
      <w:r>
        <w:rPr>
          <w:rFonts w:hint="eastAsia" w:ascii="黑体" w:hAnsi="黑体" w:eastAsia="黑体" w:cs="Times New Roman"/>
          <w:b w:val="0"/>
          <w:bCs w:val="0"/>
        </w:rPr>
        <w:t>一</w:t>
      </w:r>
      <w:r>
        <w:rPr>
          <w:rFonts w:ascii="黑体" w:hAnsi="黑体" w:eastAsia="黑体" w:cs="Times New Roman"/>
          <w:b w:val="0"/>
          <w:bCs w:val="0"/>
        </w:rPr>
        <w:t>、</w:t>
      </w:r>
      <w:r>
        <w:rPr>
          <w:rFonts w:hint="eastAsia" w:ascii="黑体" w:hAnsi="黑体" w:eastAsia="黑体" w:cs="Times New Roman"/>
          <w:b w:val="0"/>
          <w:bCs w:val="0"/>
        </w:rPr>
        <w:t>指标体系</w:t>
      </w:r>
      <w:bookmarkEnd w:id="159"/>
      <w:bookmarkEnd w:id="160"/>
    </w:p>
    <w:p>
      <w:pPr>
        <w:spacing w:line="276" w:lineRule="auto"/>
        <w:ind w:firstLine="480"/>
        <w:rPr>
          <w:rFonts w:ascii="仿宋" w:hAnsi="仿宋" w:eastAsia="仿宋" w:cs="Times New Roman"/>
          <w:sz w:val="28"/>
          <w:szCs w:val="28"/>
        </w:rPr>
      </w:pPr>
      <w:bookmarkStart w:id="163" w:name="_Hlk534205795"/>
      <w:r>
        <w:rPr>
          <w:rFonts w:hint="eastAsia" w:ascii="仿宋" w:hAnsi="仿宋" w:eastAsia="仿宋" w:cs="Times New Roman"/>
          <w:sz w:val="28"/>
          <w:szCs w:val="28"/>
        </w:rPr>
        <w:t>北京森林城市建设指标体系（7大类4</w:t>
      </w:r>
      <w:r>
        <w:rPr>
          <w:rFonts w:ascii="仿宋" w:hAnsi="仿宋" w:eastAsia="仿宋" w:cs="Times New Roman"/>
          <w:sz w:val="28"/>
          <w:szCs w:val="28"/>
        </w:rPr>
        <w:t>3</w:t>
      </w:r>
      <w:r>
        <w:rPr>
          <w:rFonts w:hint="eastAsia" w:ascii="仿宋" w:hAnsi="仿宋" w:eastAsia="仿宋" w:cs="Times New Roman"/>
          <w:sz w:val="28"/>
          <w:szCs w:val="28"/>
        </w:rPr>
        <w:t>项指标）的制定，突出了落地性、前瞻性和引领性，主要基于以下三方面因素。</w:t>
      </w:r>
      <w:bookmarkEnd w:id="163"/>
    </w:p>
    <w:p>
      <w:pPr>
        <w:pStyle w:val="5"/>
        <w:spacing w:before="0" w:after="0" w:line="276" w:lineRule="auto"/>
        <w:rPr>
          <w:rFonts w:ascii="仿宋" w:hAnsi="仿宋" w:eastAsia="仿宋"/>
        </w:rPr>
      </w:pPr>
      <w:r>
        <w:rPr>
          <w:rFonts w:hint="eastAsia" w:ascii="仿宋" w:hAnsi="仿宋" w:eastAsia="仿宋"/>
        </w:rPr>
        <w:t>1.根据国际城市生态建设趋势制定引领性指标</w:t>
      </w:r>
    </w:p>
    <w:p>
      <w:pPr>
        <w:spacing w:line="276" w:lineRule="auto"/>
        <w:ind w:firstLine="480"/>
        <w:rPr>
          <w:rFonts w:ascii="仿宋" w:hAnsi="仿宋" w:eastAsia="仿宋" w:cs="Times New Roman"/>
          <w:sz w:val="28"/>
          <w:szCs w:val="28"/>
        </w:rPr>
      </w:pPr>
      <w:r>
        <w:rPr>
          <w:rFonts w:hint="eastAsia" w:ascii="仿宋" w:hAnsi="仿宋" w:eastAsia="仿宋" w:cs="Times New Roman"/>
          <w:sz w:val="28"/>
          <w:szCs w:val="28"/>
        </w:rPr>
        <w:t>参照国外城市森林建设发展，对比北京森林城市建设发展需求，强调树冠覆盖率、地表有机覆盖、近自然河岸、动物栖息地、公众参与、自然科普教育、人均公园绿地等指标，指导北京构筑生态安全、创新、可持续、普惠的森林城市。</w:t>
      </w:r>
    </w:p>
    <w:p>
      <w:pPr>
        <w:pStyle w:val="5"/>
        <w:spacing w:before="0" w:after="0" w:line="276" w:lineRule="auto"/>
        <w:rPr>
          <w:rFonts w:ascii="仿宋" w:hAnsi="仿宋" w:eastAsia="仿宋"/>
        </w:rPr>
      </w:pPr>
      <w:r>
        <w:rPr>
          <w:rFonts w:ascii="仿宋" w:hAnsi="仿宋" w:eastAsia="仿宋"/>
        </w:rPr>
        <w:t>2</w:t>
      </w:r>
      <w:r>
        <w:rPr>
          <w:rFonts w:hint="eastAsia" w:ascii="仿宋" w:hAnsi="仿宋" w:eastAsia="仿宋"/>
        </w:rPr>
        <w:t>.对标国家森林城市评价指标制定基础性指标</w:t>
      </w:r>
    </w:p>
    <w:p>
      <w:pPr>
        <w:spacing w:line="276" w:lineRule="auto"/>
        <w:ind w:firstLine="480"/>
        <w:rPr>
          <w:rFonts w:ascii="仿宋" w:hAnsi="仿宋" w:eastAsia="仿宋" w:cs="Times New Roman"/>
          <w:sz w:val="28"/>
          <w:szCs w:val="28"/>
        </w:rPr>
      </w:pPr>
      <w:bookmarkStart w:id="164" w:name="_Hlk534207138"/>
      <w:r>
        <w:rPr>
          <w:rFonts w:hint="eastAsia" w:ascii="仿宋" w:hAnsi="仿宋" w:eastAsia="仿宋" w:cs="Times New Roman"/>
          <w:sz w:val="28"/>
          <w:szCs w:val="28"/>
        </w:rPr>
        <w:t>北京作为直辖市，虽然《国家森林城市评价指标》仅针对地级市和县级市国家森林城市建设要求，但是该指标体系对于北京森林城市建设发展有重要的指导意义，北京市所辖各区的国家森林城市建设都要围绕地级市《国家森林城市评价指标》开展。</w:t>
      </w:r>
      <w:bookmarkEnd w:id="164"/>
    </w:p>
    <w:p>
      <w:pPr>
        <w:spacing w:line="276" w:lineRule="auto"/>
        <w:ind w:firstLine="480"/>
        <w:rPr>
          <w:rFonts w:ascii="仿宋" w:hAnsi="仿宋" w:eastAsia="仿宋" w:cs="Times New Roman"/>
          <w:sz w:val="28"/>
          <w:szCs w:val="28"/>
        </w:rPr>
      </w:pPr>
      <w:bookmarkStart w:id="165" w:name="_Hlk534207340"/>
      <w:r>
        <w:rPr>
          <w:rFonts w:hint="eastAsia" w:ascii="仿宋" w:hAnsi="仿宋" w:eastAsia="仿宋" w:cs="Times New Roman"/>
          <w:sz w:val="28"/>
          <w:szCs w:val="28"/>
        </w:rPr>
        <w:t>目前，北京市年降水量在4</w:t>
      </w:r>
      <w:r>
        <w:rPr>
          <w:rFonts w:ascii="仿宋" w:hAnsi="仿宋" w:eastAsia="仿宋" w:cs="Times New Roman"/>
          <w:sz w:val="28"/>
          <w:szCs w:val="28"/>
        </w:rPr>
        <w:t>00</w:t>
      </w:r>
      <w:r>
        <w:rPr>
          <w:rFonts w:hint="eastAsia" w:ascii="仿宋" w:hAnsi="仿宋" w:eastAsia="仿宋" w:cs="Times New Roman"/>
          <w:sz w:val="28"/>
          <w:szCs w:val="28"/>
        </w:rPr>
        <w:t>~</w:t>
      </w:r>
      <w:r>
        <w:rPr>
          <w:rFonts w:ascii="仿宋" w:hAnsi="仿宋" w:eastAsia="仿宋" w:cs="Times New Roman"/>
          <w:sz w:val="28"/>
          <w:szCs w:val="28"/>
        </w:rPr>
        <w:t>800</w:t>
      </w:r>
      <w:r>
        <w:rPr>
          <w:rFonts w:hint="eastAsia" w:ascii="仿宋" w:hAnsi="仿宋" w:eastAsia="仿宋" w:cs="Times New Roman"/>
          <w:sz w:val="28"/>
          <w:szCs w:val="28"/>
        </w:rPr>
        <w:t>毫米之间，各个区的湿地率均未超过区国土面积的1</w:t>
      </w:r>
      <w:r>
        <w:rPr>
          <w:rFonts w:ascii="仿宋" w:hAnsi="仿宋" w:eastAsia="仿宋" w:cs="Times New Roman"/>
          <w:sz w:val="28"/>
          <w:szCs w:val="28"/>
        </w:rPr>
        <w:t>0</w:t>
      </w:r>
      <w:r>
        <w:rPr>
          <w:rFonts w:hint="eastAsia" w:ascii="仿宋" w:hAnsi="仿宋" w:eastAsia="仿宋" w:cs="Times New Roman"/>
          <w:sz w:val="28"/>
          <w:szCs w:val="28"/>
        </w:rPr>
        <w:t>%，因此每个区的林木覆盖率均须达3</w:t>
      </w:r>
      <w:r>
        <w:rPr>
          <w:rFonts w:ascii="仿宋" w:hAnsi="仿宋" w:eastAsia="仿宋" w:cs="Times New Roman"/>
          <w:sz w:val="28"/>
          <w:szCs w:val="28"/>
        </w:rPr>
        <w:t>0</w:t>
      </w:r>
      <w:r>
        <w:rPr>
          <w:rFonts w:hint="eastAsia" w:ascii="仿宋" w:hAnsi="仿宋" w:eastAsia="仿宋" w:cs="Times New Roman"/>
          <w:sz w:val="28"/>
          <w:szCs w:val="28"/>
        </w:rPr>
        <w:t>%以上才能成为国家森林城市。据2</w:t>
      </w:r>
      <w:r>
        <w:rPr>
          <w:rFonts w:ascii="仿宋" w:hAnsi="仿宋" w:eastAsia="仿宋" w:cs="Times New Roman"/>
          <w:sz w:val="28"/>
          <w:szCs w:val="28"/>
        </w:rPr>
        <w:t>017</w:t>
      </w:r>
      <w:r>
        <w:rPr>
          <w:rFonts w:hint="eastAsia" w:ascii="仿宋" w:hAnsi="仿宋" w:eastAsia="仿宋" w:cs="Times New Roman"/>
          <w:sz w:val="28"/>
          <w:szCs w:val="28"/>
        </w:rPr>
        <w:t>年北京市园林绿化年报统计，各个区森林覆盖率在2</w:t>
      </w:r>
      <w:r>
        <w:rPr>
          <w:rFonts w:ascii="仿宋" w:hAnsi="仿宋" w:eastAsia="仿宋" w:cs="Times New Roman"/>
          <w:sz w:val="28"/>
          <w:szCs w:val="28"/>
        </w:rPr>
        <w:t>5</w:t>
      </w:r>
      <w:r>
        <w:rPr>
          <w:rFonts w:hint="eastAsia" w:ascii="仿宋" w:hAnsi="仿宋" w:eastAsia="仿宋" w:cs="Times New Roman"/>
          <w:sz w:val="28"/>
          <w:szCs w:val="28"/>
        </w:rPr>
        <w:t>%以上、从大到小排序依次为平谷区（66.94%）、密云区（64.76%）、延庆区（58.70%）、怀柔区（57.04%）、昌平区（46.95%）、门头沟区（45.73%）、海淀区（35.61%）、房山区（34.07%）、顺义区（30.60%）、通州区（2</w:t>
      </w:r>
      <w:r>
        <w:rPr>
          <w:rFonts w:ascii="仿宋" w:hAnsi="仿宋" w:eastAsia="仿宋" w:cs="Times New Roman"/>
          <w:sz w:val="28"/>
          <w:szCs w:val="28"/>
        </w:rPr>
        <w:t>8.91</w:t>
      </w:r>
      <w:r>
        <w:rPr>
          <w:rFonts w:hint="eastAsia" w:ascii="仿宋" w:hAnsi="仿宋" w:eastAsia="仿宋" w:cs="Times New Roman"/>
          <w:sz w:val="28"/>
          <w:szCs w:val="28"/>
        </w:rPr>
        <w:t>%）、大兴区（2</w:t>
      </w:r>
      <w:r>
        <w:rPr>
          <w:rFonts w:ascii="仿宋" w:hAnsi="仿宋" w:eastAsia="仿宋" w:cs="Times New Roman"/>
          <w:sz w:val="28"/>
          <w:szCs w:val="28"/>
        </w:rPr>
        <w:t>8.9</w:t>
      </w:r>
      <w:r>
        <w:rPr>
          <w:rFonts w:hint="eastAsia" w:ascii="仿宋" w:hAnsi="仿宋" w:eastAsia="仿宋" w:cs="Times New Roman"/>
          <w:sz w:val="28"/>
          <w:szCs w:val="28"/>
        </w:rPr>
        <w:t>%）、石景山区（2</w:t>
      </w:r>
      <w:r>
        <w:rPr>
          <w:rFonts w:ascii="仿宋" w:hAnsi="仿宋" w:eastAsia="仿宋" w:cs="Times New Roman"/>
          <w:sz w:val="28"/>
          <w:szCs w:val="28"/>
        </w:rPr>
        <w:t>8.26</w:t>
      </w:r>
      <w:r>
        <w:rPr>
          <w:rFonts w:hint="eastAsia" w:ascii="仿宋" w:hAnsi="仿宋" w:eastAsia="仿宋" w:cs="Times New Roman"/>
          <w:sz w:val="28"/>
          <w:szCs w:val="28"/>
        </w:rPr>
        <w:t>%）、丰台区（2</w:t>
      </w:r>
      <w:r>
        <w:rPr>
          <w:rFonts w:ascii="仿宋" w:hAnsi="仿宋" w:eastAsia="仿宋" w:cs="Times New Roman"/>
          <w:sz w:val="28"/>
          <w:szCs w:val="28"/>
        </w:rPr>
        <w:t>7.16</w:t>
      </w:r>
      <w:r>
        <w:rPr>
          <w:rFonts w:hint="eastAsia" w:ascii="仿宋" w:hAnsi="仿宋" w:eastAsia="仿宋" w:cs="Times New Roman"/>
          <w:sz w:val="28"/>
          <w:szCs w:val="28"/>
        </w:rPr>
        <w:t>%）和朝阳区（2</w:t>
      </w:r>
      <w:r>
        <w:rPr>
          <w:rFonts w:ascii="仿宋" w:hAnsi="仿宋" w:eastAsia="仿宋" w:cs="Times New Roman"/>
          <w:sz w:val="28"/>
          <w:szCs w:val="28"/>
        </w:rPr>
        <w:t>1.94</w:t>
      </w:r>
      <w:r>
        <w:rPr>
          <w:rFonts w:hint="eastAsia" w:ascii="仿宋" w:hAnsi="仿宋" w:eastAsia="仿宋" w:cs="Times New Roman"/>
          <w:sz w:val="28"/>
          <w:szCs w:val="28"/>
        </w:rPr>
        <w:t>%），这些区具备条件可以创建国家森林城市。东城区和西城区森林覆盖率均未超过1</w:t>
      </w:r>
      <w:r>
        <w:rPr>
          <w:rFonts w:ascii="仿宋" w:hAnsi="仿宋" w:eastAsia="仿宋" w:cs="Times New Roman"/>
          <w:sz w:val="28"/>
          <w:szCs w:val="28"/>
        </w:rPr>
        <w:t>5</w:t>
      </w:r>
      <w:r>
        <w:rPr>
          <w:rFonts w:hint="eastAsia" w:ascii="仿宋" w:hAnsi="仿宋" w:eastAsia="仿宋" w:cs="Times New Roman"/>
          <w:sz w:val="28"/>
          <w:szCs w:val="28"/>
        </w:rPr>
        <w:t>%，暂时不具备条件创建国家森林城市。</w:t>
      </w:r>
      <w:bookmarkEnd w:id="165"/>
    </w:p>
    <w:p>
      <w:pPr>
        <w:pStyle w:val="5"/>
        <w:spacing w:before="0" w:after="0" w:line="276" w:lineRule="auto"/>
        <w:rPr>
          <w:rFonts w:ascii="仿宋" w:hAnsi="仿宋" w:eastAsia="仿宋"/>
        </w:rPr>
      </w:pPr>
      <w:r>
        <w:rPr>
          <w:rFonts w:hint="eastAsia" w:ascii="仿宋" w:hAnsi="仿宋" w:eastAsia="仿宋"/>
        </w:rPr>
        <w:t>3.针对北京城市森林发展需求制定特色性指标</w:t>
      </w:r>
    </w:p>
    <w:p>
      <w:pPr>
        <w:spacing w:line="276" w:lineRule="auto"/>
        <w:ind w:firstLine="480"/>
        <w:rPr>
          <w:rFonts w:ascii="仿宋" w:hAnsi="仿宋" w:eastAsia="仿宋" w:cs="Times New Roman"/>
          <w:sz w:val="28"/>
          <w:szCs w:val="28"/>
        </w:rPr>
      </w:pPr>
      <w:r>
        <w:rPr>
          <w:rFonts w:hint="eastAsia" w:ascii="仿宋" w:hAnsi="仿宋" w:eastAsia="仿宋" w:cs="Times New Roman"/>
          <w:sz w:val="28"/>
          <w:szCs w:val="28"/>
        </w:rPr>
        <w:t>北京城市森林建设经过多年的努力，已经迈入高质量发展阶段，正在</w:t>
      </w:r>
      <w:r>
        <w:rPr>
          <w:rFonts w:hint="eastAsia" w:ascii="仿宋" w:hAnsi="仿宋" w:eastAsia="仿宋" w:cs="Times New Roman"/>
          <w:b/>
          <w:sz w:val="28"/>
          <w:szCs w:val="28"/>
        </w:rPr>
        <w:t>从注重森林面积增加向生态系统结构优化转变，从注重提高树种丰富度向提高生物多样性转变，从注重树种空间配置向营造多种生物生境转变</w:t>
      </w:r>
      <w:r>
        <w:rPr>
          <w:rFonts w:hint="eastAsia" w:ascii="仿宋" w:hAnsi="仿宋" w:eastAsia="仿宋" w:cs="Times New Roman"/>
          <w:sz w:val="28"/>
          <w:szCs w:val="28"/>
        </w:rPr>
        <w:t>，大尺度造林与身边增绿相结合，让城乡居民有更多的获得感。这些方面的指标既能够反应北京城市森林发展的新特点，也可对京津冀地区城市森林建设发挥引领示范作用。</w:t>
      </w:r>
    </w:p>
    <w:p>
      <w:pPr>
        <w:spacing w:line="276" w:lineRule="auto"/>
        <w:ind w:firstLine="480"/>
        <w:rPr>
          <w:rFonts w:ascii="仿宋" w:hAnsi="仿宋" w:eastAsia="仿宋" w:cs="Times New Roman"/>
          <w:sz w:val="24"/>
          <w:szCs w:val="24"/>
        </w:rPr>
      </w:pPr>
    </w:p>
    <w:p>
      <w:pPr>
        <w:spacing w:line="276" w:lineRule="auto"/>
        <w:jc w:val="center"/>
        <w:rPr>
          <w:rFonts w:ascii="仿宋" w:hAnsi="仿宋" w:eastAsia="仿宋" w:cs="Times New Roman"/>
          <w:b/>
          <w:szCs w:val="21"/>
        </w:rPr>
      </w:pPr>
      <w:r>
        <w:rPr>
          <w:rFonts w:ascii="仿宋" w:hAnsi="仿宋" w:eastAsia="仿宋" w:cs="Times New Roman"/>
          <w:b/>
          <w:szCs w:val="21"/>
        </w:rPr>
        <w:t>表</w:t>
      </w:r>
      <w:r>
        <w:rPr>
          <w:rFonts w:hint="eastAsia" w:ascii="仿宋" w:hAnsi="仿宋" w:eastAsia="仿宋" w:cs="Times New Roman"/>
          <w:b/>
          <w:szCs w:val="21"/>
        </w:rPr>
        <w:t>5-1</w:t>
      </w:r>
      <w:r>
        <w:rPr>
          <w:rFonts w:ascii="仿宋" w:hAnsi="仿宋" w:eastAsia="仿宋" w:cs="Times New Roman"/>
          <w:b/>
          <w:szCs w:val="21"/>
        </w:rPr>
        <w:t xml:space="preserve"> 北京森林城市发展</w:t>
      </w:r>
      <w:r>
        <w:rPr>
          <w:rFonts w:hint="eastAsia" w:ascii="仿宋" w:hAnsi="仿宋" w:eastAsia="仿宋" w:cs="Times New Roman"/>
          <w:b/>
          <w:szCs w:val="21"/>
        </w:rPr>
        <w:t>的</w:t>
      </w:r>
      <w:r>
        <w:rPr>
          <w:rFonts w:ascii="仿宋" w:hAnsi="仿宋" w:eastAsia="仿宋" w:cs="Times New Roman"/>
          <w:b/>
          <w:szCs w:val="21"/>
        </w:rPr>
        <w:t>指标</w:t>
      </w:r>
      <w:r>
        <w:rPr>
          <w:rFonts w:hint="eastAsia" w:ascii="仿宋" w:hAnsi="仿宋" w:eastAsia="仿宋" w:cs="Times New Roman"/>
          <w:b/>
          <w:szCs w:val="21"/>
        </w:rPr>
        <w:t>体系</w:t>
      </w:r>
    </w:p>
    <w:tbl>
      <w:tblPr>
        <w:tblStyle w:val="34"/>
        <w:tblW w:w="4976" w:type="pct"/>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
      <w:tblGrid>
        <w:gridCol w:w="685"/>
        <w:gridCol w:w="417"/>
        <w:gridCol w:w="2084"/>
        <w:gridCol w:w="290"/>
        <w:gridCol w:w="1015"/>
        <w:gridCol w:w="705"/>
        <w:gridCol w:w="988"/>
        <w:gridCol w:w="876"/>
        <w:gridCol w:w="1618"/>
      </w:tblGrid>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506" w:hRule="atLeast"/>
          <w:tblHeader/>
        </w:trPr>
        <w:tc>
          <w:tcPr>
            <w:tcW w:w="395" w:type="pct"/>
            <w:tcBorders>
              <w:top w:val="single" w:color="auto" w:sz="4" w:space="0"/>
              <w:left w:val="single" w:color="auto" w:sz="4" w:space="0"/>
              <w:bottom w:val="nil"/>
              <w:right w:val="single" w:color="FFFFFF" w:themeColor="background1" w:sz="8" w:space="0"/>
              <w:insideH w:val="nil"/>
              <w:insideV w:val="single" w:sz="8" w:space="0"/>
            </w:tcBorders>
            <w:shd w:val="clear" w:color="auto" w:fill="4BACC6" w:themeFill="accent5"/>
            <w:noWrap/>
            <w:vAlign w:val="center"/>
          </w:tcPr>
          <w:p>
            <w:pPr>
              <w:widowControl/>
              <w:spacing w:line="276" w:lineRule="auto"/>
              <w:jc w:val="center"/>
              <w:rPr>
                <w:rFonts w:ascii="仿宋" w:hAnsi="仿宋" w:eastAsia="仿宋" w:cs="Times New Roman"/>
                <w:b/>
                <w:bCs/>
                <w:i w:val="0"/>
                <w:iCs w:val="0"/>
                <w:color w:val="000000"/>
                <w:kern w:val="0"/>
                <w:szCs w:val="21"/>
              </w:rPr>
            </w:pPr>
            <w:bookmarkStart w:id="166" w:name="_Hlk533694302"/>
            <w:r>
              <w:rPr>
                <w:rFonts w:ascii="仿宋" w:hAnsi="仿宋" w:eastAsia="仿宋" w:cs="Times New Roman"/>
                <w:b/>
                <w:bCs/>
                <w:i w:val="0"/>
                <w:iCs w:val="0"/>
                <w:color w:val="000000"/>
                <w:kern w:val="0"/>
                <w:szCs w:val="21"/>
              </w:rPr>
              <w:t>类别</w:t>
            </w:r>
          </w:p>
        </w:tc>
        <w:tc>
          <w:tcPr>
            <w:tcW w:w="240" w:type="pct"/>
            <w:tcBorders>
              <w:top w:val="single" w:color="FFFFFF" w:themeColor="background1" w:sz="8" w:space="0"/>
              <w:left w:val="single" w:color="auto" w:sz="4" w:space="0"/>
              <w:bottom w:val="single" w:color="FFFFFF" w:themeColor="background1" w:sz="24" w:space="0"/>
              <w:right w:val="single" w:color="FFFFFF" w:themeColor="background1" w:sz="8" w:space="0"/>
              <w:insideH w:val="single" w:sz="24" w:space="0"/>
              <w:insideV w:val="single" w:sz="8" w:space="0"/>
            </w:tcBorders>
            <w:shd w:val="clear" w:color="auto" w:fill="4BACC6" w:themeFill="accent5"/>
            <w:noWrap/>
            <w:vAlign w:val="center"/>
          </w:tcPr>
          <w:p>
            <w:pPr>
              <w:widowControl/>
              <w:spacing w:line="276" w:lineRule="auto"/>
              <w:jc w:val="center"/>
              <w:rPr>
                <w:rFonts w:ascii="仿宋" w:hAnsi="仿宋" w:eastAsia="仿宋" w:cs="Times New Roman"/>
                <w:b/>
                <w:bCs/>
                <w:i w:val="0"/>
                <w:iCs w:val="0"/>
                <w:color w:val="000000"/>
                <w:kern w:val="0"/>
                <w:szCs w:val="21"/>
              </w:rPr>
            </w:pPr>
            <w:r>
              <w:rPr>
                <w:rFonts w:ascii="仿宋" w:hAnsi="仿宋" w:eastAsia="仿宋" w:cs="Times New Roman"/>
                <w:b/>
                <w:bCs/>
                <w:i w:val="0"/>
                <w:iCs w:val="0"/>
                <w:color w:val="000000"/>
                <w:kern w:val="0"/>
                <w:szCs w:val="21"/>
              </w:rPr>
              <w:t>序号</w:t>
            </w:r>
          </w:p>
        </w:tc>
        <w:tc>
          <w:tcPr>
            <w:tcW w:w="1953" w:type="pct"/>
            <w:gridSpan w:val="3"/>
            <w:tcBorders>
              <w:top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4BACC6" w:themeFill="accent5"/>
            <w:noWrap/>
            <w:vAlign w:val="center"/>
          </w:tcPr>
          <w:p>
            <w:pPr>
              <w:widowControl/>
              <w:spacing w:line="276" w:lineRule="auto"/>
              <w:jc w:val="center"/>
              <w:rPr>
                <w:rFonts w:ascii="仿宋" w:hAnsi="仿宋" w:eastAsia="仿宋" w:cs="Times New Roman"/>
                <w:b/>
                <w:bCs/>
                <w:i w:val="0"/>
                <w:iCs w:val="0"/>
                <w:color w:val="000000"/>
                <w:kern w:val="0"/>
                <w:szCs w:val="21"/>
              </w:rPr>
            </w:pPr>
            <w:r>
              <w:rPr>
                <w:rFonts w:ascii="仿宋" w:hAnsi="仿宋" w:eastAsia="仿宋" w:cs="Times New Roman"/>
                <w:b/>
                <w:bCs/>
                <w:i w:val="0"/>
                <w:iCs w:val="0"/>
                <w:color w:val="000000"/>
                <w:kern w:val="0"/>
                <w:szCs w:val="21"/>
              </w:rPr>
              <w:t>指标内容</w:t>
            </w:r>
          </w:p>
        </w:tc>
        <w:tc>
          <w:tcPr>
            <w:tcW w:w="406" w:type="pct"/>
            <w:tcBorders>
              <w:top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4BACC6" w:themeFill="accent5"/>
            <w:noWrap/>
            <w:vAlign w:val="center"/>
          </w:tcPr>
          <w:p>
            <w:pPr>
              <w:widowControl/>
              <w:spacing w:line="276" w:lineRule="auto"/>
              <w:jc w:val="center"/>
              <w:rPr>
                <w:rFonts w:ascii="仿宋" w:hAnsi="仿宋" w:eastAsia="仿宋" w:cs="Times New Roman"/>
                <w:b/>
                <w:bCs/>
                <w:i w:val="0"/>
                <w:iCs w:val="0"/>
                <w:color w:val="000000"/>
                <w:kern w:val="0"/>
                <w:szCs w:val="21"/>
              </w:rPr>
            </w:pPr>
            <w:r>
              <w:rPr>
                <w:rFonts w:ascii="仿宋" w:hAnsi="仿宋" w:eastAsia="仿宋" w:cs="Times New Roman"/>
                <w:b/>
                <w:bCs/>
                <w:i w:val="0"/>
                <w:iCs w:val="0"/>
                <w:color w:val="000000"/>
                <w:kern w:val="0"/>
                <w:szCs w:val="21"/>
              </w:rPr>
              <w:t>单位</w:t>
            </w:r>
          </w:p>
        </w:tc>
        <w:tc>
          <w:tcPr>
            <w:tcW w:w="569" w:type="pct"/>
            <w:tcBorders>
              <w:top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4BACC6" w:themeFill="accent5"/>
            <w:noWrap/>
            <w:vAlign w:val="center"/>
          </w:tcPr>
          <w:p>
            <w:pPr>
              <w:widowControl/>
              <w:spacing w:line="276" w:lineRule="auto"/>
              <w:jc w:val="center"/>
              <w:rPr>
                <w:rFonts w:ascii="仿宋" w:hAnsi="仿宋" w:eastAsia="仿宋" w:cs="Times New Roman"/>
                <w:b/>
                <w:bCs/>
                <w:i w:val="0"/>
                <w:iCs w:val="0"/>
                <w:color w:val="000000"/>
                <w:kern w:val="0"/>
                <w:szCs w:val="21"/>
              </w:rPr>
            </w:pPr>
            <w:r>
              <w:rPr>
                <w:rFonts w:ascii="仿宋" w:hAnsi="仿宋" w:eastAsia="仿宋" w:cs="Times New Roman"/>
                <w:b/>
                <w:bCs/>
                <w:i w:val="0"/>
                <w:iCs w:val="0"/>
                <w:color w:val="000000"/>
                <w:kern w:val="0"/>
                <w:szCs w:val="21"/>
              </w:rPr>
              <w:t>2017年</w:t>
            </w:r>
          </w:p>
        </w:tc>
        <w:tc>
          <w:tcPr>
            <w:tcW w:w="505" w:type="pct"/>
            <w:tcBorders>
              <w:top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4BACC6" w:themeFill="accent5"/>
            <w:noWrap/>
            <w:vAlign w:val="center"/>
          </w:tcPr>
          <w:p>
            <w:pPr>
              <w:widowControl/>
              <w:spacing w:line="276" w:lineRule="auto"/>
              <w:jc w:val="center"/>
              <w:rPr>
                <w:rFonts w:ascii="仿宋" w:hAnsi="仿宋" w:eastAsia="仿宋" w:cs="Times New Roman"/>
                <w:b/>
                <w:bCs/>
                <w:i w:val="0"/>
                <w:iCs w:val="0"/>
                <w:color w:val="000000"/>
                <w:kern w:val="0"/>
                <w:szCs w:val="21"/>
              </w:rPr>
            </w:pPr>
            <w:r>
              <w:rPr>
                <w:rFonts w:ascii="仿宋" w:hAnsi="仿宋" w:eastAsia="仿宋" w:cs="Times New Roman"/>
                <w:b/>
                <w:bCs/>
                <w:i w:val="0"/>
                <w:iCs w:val="0"/>
                <w:color w:val="000000"/>
                <w:kern w:val="0"/>
                <w:szCs w:val="21"/>
              </w:rPr>
              <w:t>发展</w:t>
            </w:r>
          </w:p>
          <w:p>
            <w:pPr>
              <w:widowControl/>
              <w:spacing w:line="276" w:lineRule="auto"/>
              <w:jc w:val="center"/>
              <w:rPr>
                <w:rFonts w:ascii="仿宋" w:hAnsi="仿宋" w:eastAsia="仿宋" w:cs="Times New Roman"/>
                <w:b/>
                <w:bCs/>
                <w:i w:val="0"/>
                <w:iCs w:val="0"/>
                <w:color w:val="000000"/>
                <w:kern w:val="0"/>
                <w:szCs w:val="21"/>
              </w:rPr>
            </w:pPr>
            <w:r>
              <w:rPr>
                <w:rFonts w:ascii="仿宋" w:hAnsi="仿宋" w:eastAsia="仿宋" w:cs="Times New Roman"/>
                <w:b/>
                <w:bCs/>
                <w:i w:val="0"/>
                <w:iCs w:val="0"/>
                <w:color w:val="000000"/>
                <w:kern w:val="0"/>
                <w:szCs w:val="21"/>
              </w:rPr>
              <w:t>目标</w:t>
            </w:r>
          </w:p>
        </w:tc>
        <w:tc>
          <w:tcPr>
            <w:tcW w:w="932" w:type="pct"/>
            <w:tcBorders>
              <w:top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r>
              <w:rPr>
                <w:rFonts w:hint="eastAsia" w:ascii="仿宋" w:hAnsi="仿宋" w:eastAsia="仿宋" w:cs="Times New Roman"/>
                <w:b/>
                <w:bCs/>
                <w:i w:val="0"/>
                <w:iCs w:val="0"/>
                <w:color w:val="000000"/>
                <w:kern w:val="0"/>
                <w:szCs w:val="21"/>
              </w:rPr>
              <w:t>参考标准</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restart"/>
            <w:tcBorders>
              <w:top w:val="single" w:color="auto" w:sz="4" w:space="0"/>
              <w:left w:val="single" w:color="auto" w:sz="4" w:space="0"/>
              <w:bottom w:val="nil"/>
              <w:right w:val="single" w:color="FFFFFF" w:themeColor="background1" w:sz="8" w:space="0"/>
              <w:insideH w:val="nil"/>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r>
              <w:rPr>
                <w:rFonts w:ascii="仿宋" w:hAnsi="仿宋" w:eastAsia="仿宋" w:cs="Times New Roman"/>
                <w:b/>
                <w:bCs/>
                <w:i w:val="0"/>
                <w:iCs w:val="0"/>
                <w:color w:val="000000"/>
                <w:kern w:val="0"/>
                <w:szCs w:val="21"/>
              </w:rPr>
              <w:t>城区生态宜居指标</w:t>
            </w:r>
          </w:p>
        </w:tc>
        <w:tc>
          <w:tcPr>
            <w:tcW w:w="240" w:type="pct"/>
            <w:tcBorders>
              <w:top w:val="single" w:color="FFFFFF" w:themeColor="background1" w:sz="8" w:space="0"/>
              <w:left w:val="single" w:color="auto" w:sz="4"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城区绿化覆盖率</w:t>
            </w:r>
          </w:p>
        </w:tc>
        <w:tc>
          <w:tcPr>
            <w:tcW w:w="406"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w:t>
            </w:r>
          </w:p>
        </w:tc>
        <w:tc>
          <w:tcPr>
            <w:tcW w:w="569"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48.42</w:t>
            </w:r>
          </w:p>
        </w:tc>
        <w:tc>
          <w:tcPr>
            <w:tcW w:w="50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≥49</w:t>
            </w:r>
            <w:r>
              <w:rPr>
                <w:rFonts w:ascii="仿宋" w:hAnsi="仿宋" w:eastAsia="仿宋" w:cs="Times New Roman"/>
                <w:kern w:val="0"/>
                <w:szCs w:val="21"/>
              </w:rPr>
              <w:t>.0</w:t>
            </w:r>
          </w:p>
        </w:tc>
        <w:tc>
          <w:tcPr>
            <w:tcW w:w="932"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国家标准</w:t>
            </w:r>
            <w:r>
              <w:rPr>
                <w:rFonts w:ascii="仿宋" w:hAnsi="仿宋" w:eastAsia="仿宋" w:cs="Times New Roman"/>
                <w:kern w:val="0"/>
                <w:szCs w:val="21"/>
              </w:rPr>
              <w:t>40%</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auto" w:sz="4" w:space="0"/>
              <w:insideH w:val="nil"/>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left w:val="single" w:color="auto" w:sz="4" w:space="0"/>
            </w:tcBorders>
            <w:shd w:val="clear" w:color="auto" w:fill="D2EAF0" w:themeFill="accent5" w:themeFillTint="3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shd w:val="clear" w:color="auto" w:fill="D2EAF0" w:themeFill="accent5" w:themeFillTint="3F"/>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六环内城区树冠覆盖率</w:t>
            </w:r>
          </w:p>
        </w:tc>
        <w:tc>
          <w:tcPr>
            <w:tcW w:w="406"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w:t>
            </w:r>
          </w:p>
        </w:tc>
        <w:tc>
          <w:tcPr>
            <w:tcW w:w="569"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39.53</w:t>
            </w:r>
          </w:p>
        </w:tc>
        <w:tc>
          <w:tcPr>
            <w:tcW w:w="505" w:type="pct"/>
            <w:shd w:val="clear" w:color="auto" w:fill="D2EAF0" w:themeFill="accent5" w:themeFillTint="3F"/>
            <w:noWrap/>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w:t>
            </w:r>
            <w:r>
              <w:rPr>
                <w:rFonts w:ascii="仿宋" w:hAnsi="仿宋" w:eastAsia="仿宋" w:cs="Times New Roman"/>
                <w:kern w:val="0"/>
                <w:szCs w:val="21"/>
              </w:rPr>
              <w:t>40</w:t>
            </w:r>
          </w:p>
        </w:tc>
        <w:tc>
          <w:tcPr>
            <w:tcW w:w="932" w:type="pct"/>
            <w:shd w:val="clear" w:color="auto" w:fill="D2EAF0" w:themeFill="accent5" w:themeFillTint="3F"/>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美国15-50%</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FFFFFF" w:themeColor="background1" w:sz="8" w:space="0"/>
              <w:insideH w:val="nil"/>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top w:val="single" w:color="FFFFFF" w:themeColor="background1" w:sz="8" w:space="0"/>
              <w:left w:val="single" w:color="auto" w:sz="4"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城区人均公园绿地面积</w:t>
            </w:r>
          </w:p>
        </w:tc>
        <w:tc>
          <w:tcPr>
            <w:tcW w:w="406"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m</w:t>
            </w:r>
            <w:r>
              <w:rPr>
                <w:rFonts w:ascii="仿宋" w:hAnsi="仿宋" w:eastAsia="仿宋" w:cs="Times New Roman"/>
                <w:color w:val="000000"/>
                <w:kern w:val="0"/>
                <w:szCs w:val="21"/>
                <w:vertAlign w:val="superscript"/>
              </w:rPr>
              <w:t>2</w:t>
            </w:r>
          </w:p>
        </w:tc>
        <w:tc>
          <w:tcPr>
            <w:tcW w:w="569"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16.2</w:t>
            </w:r>
          </w:p>
        </w:tc>
        <w:tc>
          <w:tcPr>
            <w:tcW w:w="50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≥17</w:t>
            </w:r>
          </w:p>
        </w:tc>
        <w:tc>
          <w:tcPr>
            <w:tcW w:w="932"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国家标准</w:t>
            </w:r>
            <w:r>
              <w:rPr>
                <w:rFonts w:ascii="仿宋" w:hAnsi="仿宋" w:eastAsia="仿宋" w:cs="Times New Roman"/>
                <w:kern w:val="0"/>
                <w:szCs w:val="21"/>
              </w:rPr>
              <w:t>12</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auto" w:sz="4" w:space="0"/>
              <w:insideH w:val="nil"/>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left w:val="single" w:color="auto" w:sz="4" w:space="0"/>
            </w:tcBorders>
            <w:shd w:val="clear" w:color="auto" w:fill="D2EAF0" w:themeFill="accent5" w:themeFillTint="3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shd w:val="clear" w:color="auto" w:fill="D2EAF0" w:themeFill="accent5" w:themeFillTint="3F"/>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城区林荫道路率</w:t>
            </w:r>
          </w:p>
        </w:tc>
        <w:tc>
          <w:tcPr>
            <w:tcW w:w="406"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w:t>
            </w:r>
          </w:p>
        </w:tc>
        <w:tc>
          <w:tcPr>
            <w:tcW w:w="569"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w:t>
            </w:r>
          </w:p>
        </w:tc>
        <w:tc>
          <w:tcPr>
            <w:tcW w:w="505" w:type="pct"/>
            <w:shd w:val="clear" w:color="auto" w:fill="D2EAF0" w:themeFill="accent5" w:themeFillTint="3F"/>
            <w:noWrap/>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w:t>
            </w:r>
            <w:r>
              <w:rPr>
                <w:rFonts w:ascii="仿宋" w:hAnsi="仿宋" w:eastAsia="仿宋" w:cs="Times New Roman"/>
                <w:kern w:val="0"/>
                <w:szCs w:val="21"/>
              </w:rPr>
              <w:t>60</w:t>
            </w:r>
          </w:p>
        </w:tc>
        <w:tc>
          <w:tcPr>
            <w:tcW w:w="932" w:type="pct"/>
            <w:shd w:val="clear" w:color="auto" w:fill="D2EAF0" w:themeFill="accent5" w:themeFillTint="3F"/>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国家标准6</w:t>
            </w:r>
            <w:r>
              <w:rPr>
                <w:rFonts w:ascii="仿宋" w:hAnsi="仿宋" w:eastAsia="仿宋" w:cs="Times New Roman"/>
                <w:kern w:val="0"/>
                <w:szCs w:val="21"/>
              </w:rPr>
              <w:t>0</w:t>
            </w:r>
            <w:r>
              <w:rPr>
                <w:rFonts w:hint="eastAsia" w:ascii="仿宋" w:hAnsi="仿宋" w:eastAsia="仿宋" w:cs="Times New Roman"/>
                <w:kern w:val="0"/>
                <w:szCs w:val="21"/>
              </w:rPr>
              <w:t>%</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FFFFFF" w:themeColor="background1" w:sz="8" w:space="0"/>
              <w:insideH w:val="nil"/>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top w:val="single" w:color="FFFFFF" w:themeColor="background1" w:sz="8" w:space="0"/>
              <w:left w:val="single" w:color="auto" w:sz="4" w:space="0"/>
              <w:bottom w:val="single" w:color="FFFFFF" w:themeColor="background1" w:sz="4" w:space="0"/>
              <w:right w:val="single" w:color="FFFFFF" w:themeColor="background1" w:sz="8" w:space="0"/>
              <w:insideV w:val="single" w:sz="8" w:space="0"/>
            </w:tcBorders>
            <w:shd w:val="clear" w:color="auto" w:fill="A5D5E2" w:themeFill="accent5" w:themeFillTint="7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tcBorders>
              <w:top w:val="single" w:color="FFFFFF" w:themeColor="background1" w:sz="8" w:space="0"/>
              <w:bottom w:val="single" w:color="FFFFFF" w:themeColor="background1" w:sz="4" w:space="0"/>
              <w:right w:val="single" w:color="FFFFFF" w:themeColor="background1" w:sz="8" w:space="0"/>
              <w:insideV w:val="single" w:sz="8" w:space="0"/>
            </w:tcBorders>
            <w:shd w:val="clear" w:color="auto" w:fill="A5D5E2" w:themeFill="accent5" w:themeFillTint="7F"/>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建成区公园绿地服务覆盖率</w:t>
            </w:r>
          </w:p>
        </w:tc>
        <w:tc>
          <w:tcPr>
            <w:tcW w:w="406"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w:t>
            </w:r>
          </w:p>
        </w:tc>
        <w:tc>
          <w:tcPr>
            <w:tcW w:w="569"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7</w:t>
            </w:r>
            <w:r>
              <w:rPr>
                <w:rFonts w:ascii="仿宋" w:hAnsi="仿宋" w:eastAsia="仿宋" w:cs="Times New Roman"/>
                <w:color w:val="000000"/>
                <w:kern w:val="0"/>
                <w:szCs w:val="21"/>
              </w:rPr>
              <w:t>7</w:t>
            </w:r>
            <w:r>
              <w:rPr>
                <w:rFonts w:hint="eastAsia" w:ascii="仿宋" w:hAnsi="仿宋" w:eastAsia="仿宋" w:cs="Times New Roman"/>
                <w:color w:val="000000"/>
                <w:kern w:val="0"/>
                <w:szCs w:val="21"/>
              </w:rPr>
              <w:t>%</w:t>
            </w:r>
          </w:p>
        </w:tc>
        <w:tc>
          <w:tcPr>
            <w:tcW w:w="50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w:t>
            </w:r>
            <w:r>
              <w:rPr>
                <w:rFonts w:ascii="仿宋" w:hAnsi="仿宋" w:eastAsia="仿宋" w:cs="Times New Roman"/>
                <w:kern w:val="0"/>
                <w:szCs w:val="21"/>
              </w:rPr>
              <w:t>90</w:t>
            </w:r>
          </w:p>
        </w:tc>
        <w:tc>
          <w:tcPr>
            <w:tcW w:w="932"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北京特色指标</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auto" w:sz="4" w:space="0"/>
              <w:insideH w:val="nil"/>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top w:val="single" w:color="FFFFFF" w:themeColor="background1" w:sz="4" w:space="0"/>
              <w:left w:val="single" w:color="auto" w:sz="4" w:space="0"/>
            </w:tcBorders>
            <w:shd w:val="clear" w:color="auto" w:fill="D2EAF0" w:themeFill="accent5" w:themeFillTint="3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tcBorders>
              <w:top w:val="single" w:color="FFFFFF" w:themeColor="background1" w:sz="4" w:space="0"/>
              <w:bottom w:val="nil"/>
            </w:tcBorders>
            <w:shd w:val="clear" w:color="auto" w:fill="D2EAF0" w:themeFill="accent5" w:themeFillTint="3F"/>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居住区公园绿地服务覆盖率</w:t>
            </w:r>
          </w:p>
        </w:tc>
        <w:tc>
          <w:tcPr>
            <w:tcW w:w="406"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w:t>
            </w:r>
          </w:p>
        </w:tc>
        <w:tc>
          <w:tcPr>
            <w:tcW w:w="569"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6</w:t>
            </w:r>
            <w:r>
              <w:rPr>
                <w:rFonts w:ascii="仿宋" w:hAnsi="仿宋" w:eastAsia="仿宋" w:cs="Times New Roman"/>
                <w:color w:val="000000"/>
                <w:kern w:val="0"/>
                <w:szCs w:val="21"/>
              </w:rPr>
              <w:t>5.14</w:t>
            </w:r>
            <w:r>
              <w:rPr>
                <w:rFonts w:hint="eastAsia" w:ascii="仿宋" w:hAnsi="仿宋" w:eastAsia="仿宋" w:cs="Times New Roman"/>
                <w:color w:val="000000"/>
                <w:kern w:val="0"/>
                <w:szCs w:val="21"/>
              </w:rPr>
              <w:t>%</w:t>
            </w:r>
          </w:p>
        </w:tc>
        <w:tc>
          <w:tcPr>
            <w:tcW w:w="505" w:type="pct"/>
            <w:shd w:val="clear" w:color="auto" w:fill="D2EAF0" w:themeFill="accent5" w:themeFillTint="3F"/>
            <w:noWrap/>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w:t>
            </w:r>
            <w:r>
              <w:rPr>
                <w:rFonts w:ascii="仿宋" w:hAnsi="仿宋" w:eastAsia="仿宋" w:cs="Times New Roman"/>
                <w:kern w:val="0"/>
                <w:szCs w:val="21"/>
              </w:rPr>
              <w:t>80</w:t>
            </w:r>
          </w:p>
        </w:tc>
        <w:tc>
          <w:tcPr>
            <w:tcW w:w="932" w:type="pct"/>
            <w:shd w:val="clear" w:color="auto" w:fill="D2EAF0" w:themeFill="accent5" w:themeFillTint="3F"/>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国家标准</w:t>
            </w:r>
            <w:r>
              <w:rPr>
                <w:rFonts w:ascii="仿宋" w:hAnsi="仿宋" w:eastAsia="仿宋" w:cs="Times New Roman"/>
                <w:kern w:val="0"/>
                <w:szCs w:val="21"/>
              </w:rPr>
              <w:t>80</w:t>
            </w:r>
            <w:r>
              <w:rPr>
                <w:rFonts w:hint="eastAsia" w:ascii="仿宋" w:hAnsi="仿宋" w:eastAsia="仿宋" w:cs="Times New Roman"/>
                <w:kern w:val="0"/>
                <w:szCs w:val="21"/>
              </w:rPr>
              <w:t>%</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FFFFFF" w:themeColor="background1" w:sz="8" w:space="0"/>
              <w:insideH w:val="nil"/>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top w:val="single" w:color="FFFFFF" w:themeColor="background1" w:sz="8" w:space="0"/>
              <w:left w:val="single" w:color="auto" w:sz="4"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森林社区树冠覆盖率</w:t>
            </w:r>
          </w:p>
        </w:tc>
        <w:tc>
          <w:tcPr>
            <w:tcW w:w="406"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w:t>
            </w:r>
          </w:p>
        </w:tc>
        <w:tc>
          <w:tcPr>
            <w:tcW w:w="569"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w:t>
            </w:r>
          </w:p>
        </w:tc>
        <w:tc>
          <w:tcPr>
            <w:tcW w:w="50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≥3</w:t>
            </w:r>
            <w:r>
              <w:rPr>
                <w:rFonts w:ascii="仿宋" w:hAnsi="仿宋" w:eastAsia="仿宋" w:cs="Times New Roman"/>
                <w:kern w:val="0"/>
                <w:szCs w:val="21"/>
              </w:rPr>
              <w:t>0</w:t>
            </w:r>
          </w:p>
        </w:tc>
        <w:tc>
          <w:tcPr>
            <w:tcW w:w="932"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北京特色指标</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auto" w:sz="4" w:space="0"/>
              <w:insideH w:val="nil"/>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left w:val="single" w:color="auto" w:sz="4" w:space="0"/>
            </w:tcBorders>
            <w:shd w:val="clear" w:color="auto" w:fill="D2EAF0" w:themeFill="accent5" w:themeFillTint="3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shd w:val="clear" w:color="auto" w:fill="D2EAF0" w:themeFill="accent5" w:themeFillTint="3F"/>
            <w:vAlign w:val="center"/>
          </w:tcPr>
          <w:p>
            <w:pPr>
              <w:widowControl/>
              <w:spacing w:line="276" w:lineRule="auto"/>
              <w:rPr>
                <w:rFonts w:ascii="仿宋" w:hAnsi="仿宋" w:eastAsia="仿宋" w:cs="Times New Roman"/>
                <w:kern w:val="0"/>
                <w:szCs w:val="21"/>
              </w:rPr>
            </w:pPr>
            <w:r>
              <w:rPr>
                <w:rFonts w:hint="eastAsia" w:ascii="仿宋" w:hAnsi="仿宋" w:eastAsia="仿宋" w:cs="Times New Roman"/>
                <w:kern w:val="0"/>
                <w:szCs w:val="21"/>
              </w:rPr>
              <w:t>城区新建地面停车场乔木树冠覆盖率</w:t>
            </w:r>
          </w:p>
        </w:tc>
        <w:tc>
          <w:tcPr>
            <w:tcW w:w="406" w:type="pct"/>
            <w:shd w:val="clear" w:color="auto" w:fill="D2EAF0" w:themeFill="accent5" w:themeFillTint="3F"/>
            <w:noWrap/>
            <w:vAlign w:val="center"/>
          </w:tcPr>
          <w:p>
            <w:pPr>
              <w:widowControl/>
              <w:spacing w:line="276" w:lineRule="auto"/>
              <w:jc w:val="center"/>
              <w:rPr>
                <w:rFonts w:ascii="仿宋" w:hAnsi="仿宋" w:eastAsia="仿宋" w:cs="Times New Roman"/>
                <w:kern w:val="0"/>
                <w:szCs w:val="21"/>
              </w:rPr>
            </w:pPr>
            <w:r>
              <w:rPr>
                <w:rFonts w:ascii="仿宋" w:hAnsi="仿宋" w:eastAsia="仿宋" w:cs="Times New Roman"/>
                <w:kern w:val="0"/>
                <w:szCs w:val="21"/>
              </w:rPr>
              <w:t>%</w:t>
            </w:r>
          </w:p>
        </w:tc>
        <w:tc>
          <w:tcPr>
            <w:tcW w:w="569"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w:t>
            </w:r>
          </w:p>
        </w:tc>
        <w:tc>
          <w:tcPr>
            <w:tcW w:w="505" w:type="pct"/>
            <w:shd w:val="clear" w:color="auto" w:fill="D2EAF0" w:themeFill="accent5" w:themeFillTint="3F"/>
            <w:noWrap/>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w:t>
            </w:r>
            <w:r>
              <w:rPr>
                <w:rFonts w:ascii="仿宋" w:hAnsi="仿宋" w:eastAsia="仿宋" w:cs="Times New Roman"/>
                <w:kern w:val="0"/>
                <w:szCs w:val="21"/>
              </w:rPr>
              <w:t>30</w:t>
            </w:r>
          </w:p>
        </w:tc>
        <w:tc>
          <w:tcPr>
            <w:tcW w:w="932" w:type="pct"/>
            <w:shd w:val="clear" w:color="auto" w:fill="D2EAF0" w:themeFill="accent5" w:themeFillTint="3F"/>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国家标准3</w:t>
            </w:r>
            <w:r>
              <w:rPr>
                <w:rFonts w:ascii="仿宋" w:hAnsi="仿宋" w:eastAsia="仿宋" w:cs="Times New Roman"/>
                <w:kern w:val="0"/>
                <w:szCs w:val="21"/>
              </w:rPr>
              <w:t>0</w:t>
            </w:r>
            <w:r>
              <w:rPr>
                <w:rFonts w:hint="eastAsia" w:ascii="仿宋" w:hAnsi="仿宋" w:eastAsia="仿宋" w:cs="Times New Roman"/>
                <w:kern w:val="0"/>
                <w:szCs w:val="21"/>
              </w:rPr>
              <w:t>%</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restart"/>
            <w:tcBorders>
              <w:top w:val="single" w:color="auto" w:sz="4" w:space="0"/>
              <w:left w:val="single" w:color="auto" w:sz="4" w:space="0"/>
              <w:bottom w:val="nil"/>
              <w:right w:val="single" w:color="FFFFFF" w:themeColor="background1" w:sz="8" w:space="0"/>
              <w:insideH w:val="nil"/>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r>
              <w:rPr>
                <w:rFonts w:ascii="仿宋" w:hAnsi="仿宋" w:eastAsia="仿宋" w:cs="Times New Roman"/>
                <w:b/>
                <w:bCs/>
                <w:i w:val="0"/>
                <w:iCs w:val="0"/>
                <w:color w:val="000000"/>
                <w:kern w:val="0"/>
                <w:szCs w:val="21"/>
              </w:rPr>
              <w:t>市域蓝绿交织指标</w:t>
            </w:r>
          </w:p>
        </w:tc>
        <w:tc>
          <w:tcPr>
            <w:tcW w:w="240" w:type="pct"/>
            <w:vMerge w:val="restart"/>
            <w:tcBorders>
              <w:top w:val="single" w:color="FFFFFF" w:themeColor="background1" w:sz="8" w:space="0"/>
              <w:left w:val="single" w:color="auto" w:sz="4"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368" w:type="pct"/>
            <w:gridSpan w:val="2"/>
            <w:vMerge w:val="restar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森林覆盖率</w:t>
            </w:r>
          </w:p>
        </w:tc>
        <w:tc>
          <w:tcPr>
            <w:tcW w:w="58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市域</w:t>
            </w:r>
          </w:p>
        </w:tc>
        <w:tc>
          <w:tcPr>
            <w:tcW w:w="406"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w:t>
            </w:r>
          </w:p>
        </w:tc>
        <w:tc>
          <w:tcPr>
            <w:tcW w:w="569"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43</w:t>
            </w:r>
          </w:p>
        </w:tc>
        <w:tc>
          <w:tcPr>
            <w:tcW w:w="50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≥45</w:t>
            </w:r>
            <w:r>
              <w:rPr>
                <w:rFonts w:ascii="仿宋" w:hAnsi="仿宋" w:eastAsia="仿宋" w:cs="Times New Roman"/>
                <w:kern w:val="0"/>
                <w:szCs w:val="21"/>
              </w:rPr>
              <w:t>.0</w:t>
            </w:r>
          </w:p>
        </w:tc>
        <w:tc>
          <w:tcPr>
            <w:tcW w:w="932"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国家标准</w:t>
            </w:r>
            <w:r>
              <w:rPr>
                <w:rFonts w:ascii="仿宋" w:hAnsi="仿宋" w:eastAsia="仿宋" w:cs="Times New Roman"/>
                <w:kern w:val="0"/>
                <w:szCs w:val="21"/>
              </w:rPr>
              <w:t>30%</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auto" w:sz="4" w:space="0"/>
              <w:insideH w:val="nil"/>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vMerge w:val="continue"/>
            <w:tcBorders>
              <w:left w:val="single" w:color="auto" w:sz="4" w:space="0"/>
            </w:tcBorders>
            <w:shd w:val="clear" w:color="auto" w:fill="D2EAF0" w:themeFill="accent5" w:themeFillTint="3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368" w:type="pct"/>
            <w:gridSpan w:val="2"/>
            <w:vMerge w:val="continue"/>
            <w:shd w:val="clear" w:color="auto" w:fill="D2EAF0" w:themeFill="accent5" w:themeFillTint="3F"/>
            <w:vAlign w:val="center"/>
          </w:tcPr>
          <w:p>
            <w:pPr>
              <w:widowControl/>
              <w:spacing w:line="276" w:lineRule="auto"/>
              <w:rPr>
                <w:rFonts w:ascii="仿宋" w:hAnsi="仿宋" w:eastAsia="仿宋" w:cs="Times New Roman"/>
                <w:color w:val="000000"/>
                <w:kern w:val="0"/>
                <w:szCs w:val="21"/>
              </w:rPr>
            </w:pPr>
          </w:p>
        </w:tc>
        <w:tc>
          <w:tcPr>
            <w:tcW w:w="585" w:type="pct"/>
            <w:shd w:val="clear" w:color="auto" w:fill="D2EAF0" w:themeFill="accent5" w:themeFillTint="3F"/>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平原区</w:t>
            </w:r>
          </w:p>
        </w:tc>
        <w:tc>
          <w:tcPr>
            <w:tcW w:w="406"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w:t>
            </w:r>
          </w:p>
        </w:tc>
        <w:tc>
          <w:tcPr>
            <w:tcW w:w="569"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27.81</w:t>
            </w:r>
          </w:p>
        </w:tc>
        <w:tc>
          <w:tcPr>
            <w:tcW w:w="505" w:type="pct"/>
            <w:shd w:val="clear" w:color="auto" w:fill="D2EAF0" w:themeFill="accent5" w:themeFillTint="3F"/>
            <w:noWrap/>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w:t>
            </w:r>
            <w:r>
              <w:rPr>
                <w:rFonts w:ascii="仿宋" w:hAnsi="仿宋" w:eastAsia="仿宋" w:cs="Times New Roman"/>
                <w:kern w:val="0"/>
                <w:szCs w:val="21"/>
              </w:rPr>
              <w:t>33</w:t>
            </w:r>
          </w:p>
        </w:tc>
        <w:tc>
          <w:tcPr>
            <w:tcW w:w="932" w:type="pct"/>
            <w:shd w:val="clear" w:color="auto" w:fill="D2EAF0" w:themeFill="accent5" w:themeFillTint="3F"/>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北京特色指标</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FFFFFF" w:themeColor="background1" w:sz="8" w:space="0"/>
              <w:insideH w:val="nil"/>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vMerge w:val="continue"/>
            <w:tcBorders>
              <w:top w:val="single" w:color="FFFFFF" w:themeColor="background1" w:sz="8" w:space="0"/>
              <w:left w:val="single" w:color="auto" w:sz="4"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368" w:type="pct"/>
            <w:gridSpan w:val="2"/>
            <w:vMerge w:val="continue"/>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rPr>
                <w:rFonts w:ascii="仿宋" w:hAnsi="仿宋" w:eastAsia="仿宋" w:cs="Times New Roman"/>
                <w:color w:val="000000"/>
                <w:kern w:val="0"/>
                <w:szCs w:val="21"/>
              </w:rPr>
            </w:pPr>
          </w:p>
        </w:tc>
        <w:tc>
          <w:tcPr>
            <w:tcW w:w="58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山区</w:t>
            </w:r>
          </w:p>
        </w:tc>
        <w:tc>
          <w:tcPr>
            <w:tcW w:w="406"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w:t>
            </w:r>
          </w:p>
        </w:tc>
        <w:tc>
          <w:tcPr>
            <w:tcW w:w="569"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56.65</w:t>
            </w:r>
          </w:p>
        </w:tc>
        <w:tc>
          <w:tcPr>
            <w:tcW w:w="50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w:t>
            </w:r>
            <w:r>
              <w:rPr>
                <w:rFonts w:ascii="仿宋" w:hAnsi="仿宋" w:eastAsia="仿宋" w:cs="Times New Roman"/>
                <w:kern w:val="0"/>
                <w:szCs w:val="21"/>
              </w:rPr>
              <w:t>65</w:t>
            </w:r>
          </w:p>
        </w:tc>
        <w:tc>
          <w:tcPr>
            <w:tcW w:w="932"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北京特色指标</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auto" w:sz="4" w:space="0"/>
              <w:insideH w:val="nil"/>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left w:val="single" w:color="auto" w:sz="4" w:space="0"/>
            </w:tcBorders>
            <w:shd w:val="clear" w:color="auto" w:fill="D2EAF0" w:themeFill="accent5" w:themeFillTint="3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shd w:val="clear" w:color="auto" w:fill="D2EAF0" w:themeFill="accent5" w:themeFillTint="3F"/>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湿地覆盖率</w:t>
            </w:r>
          </w:p>
        </w:tc>
        <w:tc>
          <w:tcPr>
            <w:tcW w:w="406"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w:t>
            </w:r>
          </w:p>
        </w:tc>
        <w:tc>
          <w:tcPr>
            <w:tcW w:w="569"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3.13</w:t>
            </w:r>
          </w:p>
        </w:tc>
        <w:tc>
          <w:tcPr>
            <w:tcW w:w="505" w:type="pct"/>
            <w:shd w:val="clear" w:color="auto" w:fill="D2EAF0" w:themeFill="accent5" w:themeFillTint="3F"/>
            <w:noWrap/>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w:t>
            </w:r>
            <w:r>
              <w:rPr>
                <w:rFonts w:ascii="仿宋" w:hAnsi="仿宋" w:eastAsia="仿宋" w:cs="Times New Roman"/>
                <w:kern w:val="0"/>
                <w:szCs w:val="21"/>
              </w:rPr>
              <w:t>5</w:t>
            </w:r>
          </w:p>
        </w:tc>
        <w:tc>
          <w:tcPr>
            <w:tcW w:w="932" w:type="pct"/>
            <w:shd w:val="clear" w:color="auto" w:fill="D2EAF0" w:themeFill="accent5" w:themeFillTint="3F"/>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北京特色指标</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FFFFFF" w:themeColor="background1" w:sz="8" w:space="0"/>
              <w:insideH w:val="nil"/>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top w:val="single" w:color="FFFFFF" w:themeColor="background1" w:sz="8" w:space="0"/>
              <w:left w:val="single" w:color="auto" w:sz="4"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水体岸线自然化率</w:t>
            </w:r>
          </w:p>
        </w:tc>
        <w:tc>
          <w:tcPr>
            <w:tcW w:w="406"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w:t>
            </w:r>
          </w:p>
        </w:tc>
        <w:tc>
          <w:tcPr>
            <w:tcW w:w="569"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80</w:t>
            </w:r>
          </w:p>
        </w:tc>
        <w:tc>
          <w:tcPr>
            <w:tcW w:w="50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kern w:val="0"/>
                <w:szCs w:val="21"/>
              </w:rPr>
              <w:t>≥</w:t>
            </w:r>
            <w:r>
              <w:rPr>
                <w:rFonts w:ascii="仿宋" w:hAnsi="仿宋" w:eastAsia="仿宋" w:cs="Times New Roman"/>
                <w:color w:val="000000"/>
                <w:kern w:val="0"/>
                <w:szCs w:val="21"/>
              </w:rPr>
              <w:t>80</w:t>
            </w:r>
          </w:p>
        </w:tc>
        <w:tc>
          <w:tcPr>
            <w:tcW w:w="932"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国家标准8</w:t>
            </w:r>
            <w:r>
              <w:rPr>
                <w:rFonts w:ascii="仿宋" w:hAnsi="仿宋" w:eastAsia="仿宋" w:cs="Times New Roman"/>
                <w:color w:val="000000"/>
                <w:kern w:val="0"/>
                <w:szCs w:val="21"/>
              </w:rPr>
              <w:t>0</w:t>
            </w:r>
            <w:r>
              <w:rPr>
                <w:rFonts w:hint="eastAsia" w:ascii="仿宋" w:hAnsi="仿宋" w:eastAsia="仿宋" w:cs="Times New Roman"/>
                <w:color w:val="000000"/>
                <w:kern w:val="0"/>
                <w:szCs w:val="21"/>
              </w:rPr>
              <w:t>%</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auto" w:sz="4" w:space="0"/>
              <w:insideH w:val="nil"/>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left w:val="single" w:color="auto" w:sz="4" w:space="0"/>
            </w:tcBorders>
            <w:shd w:val="clear" w:color="auto" w:fill="D2EAF0" w:themeFill="accent5" w:themeFillTint="3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shd w:val="clear" w:color="auto" w:fill="D2EAF0" w:themeFill="accent5" w:themeFillTint="3F"/>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水岸绿化率</w:t>
            </w:r>
          </w:p>
        </w:tc>
        <w:tc>
          <w:tcPr>
            <w:tcW w:w="406"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w:t>
            </w:r>
          </w:p>
        </w:tc>
        <w:tc>
          <w:tcPr>
            <w:tcW w:w="569" w:type="pct"/>
            <w:shd w:val="clear" w:color="auto" w:fill="D2EAF0" w:themeFill="accent5" w:themeFillTint="3F"/>
            <w:noWrap/>
            <w:vAlign w:val="center"/>
          </w:tcPr>
          <w:p>
            <w:pPr>
              <w:widowControl/>
              <w:spacing w:line="276" w:lineRule="auto"/>
              <w:jc w:val="center"/>
              <w:rPr>
                <w:rFonts w:ascii="仿宋" w:hAnsi="仿宋" w:eastAsia="仿宋" w:cs="Times New Roman"/>
                <w:kern w:val="0"/>
                <w:szCs w:val="21"/>
              </w:rPr>
            </w:pPr>
            <w:r>
              <w:rPr>
                <w:rFonts w:ascii="仿宋" w:hAnsi="仿宋" w:eastAsia="仿宋" w:cs="Times New Roman"/>
                <w:kern w:val="0"/>
                <w:szCs w:val="21"/>
              </w:rPr>
              <w:t>90</w:t>
            </w:r>
          </w:p>
        </w:tc>
        <w:tc>
          <w:tcPr>
            <w:tcW w:w="505"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kern w:val="0"/>
                <w:szCs w:val="21"/>
              </w:rPr>
              <w:t>≥</w:t>
            </w:r>
            <w:r>
              <w:rPr>
                <w:rFonts w:ascii="仿宋" w:hAnsi="仿宋" w:eastAsia="仿宋" w:cs="Times New Roman"/>
                <w:color w:val="000000"/>
                <w:kern w:val="0"/>
                <w:szCs w:val="21"/>
              </w:rPr>
              <w:t>95</w:t>
            </w:r>
          </w:p>
        </w:tc>
        <w:tc>
          <w:tcPr>
            <w:tcW w:w="932" w:type="pct"/>
            <w:shd w:val="clear" w:color="auto" w:fill="D2EAF0" w:themeFill="accent5" w:themeFillTint="3F"/>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国家标准8</w:t>
            </w:r>
            <w:r>
              <w:rPr>
                <w:rFonts w:ascii="仿宋" w:hAnsi="仿宋" w:eastAsia="仿宋" w:cs="Times New Roman"/>
                <w:color w:val="000000"/>
                <w:kern w:val="0"/>
                <w:szCs w:val="21"/>
              </w:rPr>
              <w:t>0</w:t>
            </w:r>
            <w:r>
              <w:rPr>
                <w:rFonts w:hint="eastAsia" w:ascii="仿宋" w:hAnsi="仿宋" w:eastAsia="仿宋" w:cs="Times New Roman"/>
                <w:color w:val="000000"/>
                <w:kern w:val="0"/>
                <w:szCs w:val="21"/>
              </w:rPr>
              <w:t>%</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FFFFFF" w:themeColor="background1" w:sz="8" w:space="0"/>
              <w:insideH w:val="nil"/>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top w:val="single" w:color="FFFFFF" w:themeColor="background1" w:sz="8" w:space="0"/>
              <w:left w:val="single" w:color="auto" w:sz="4"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道路绿化率</w:t>
            </w:r>
          </w:p>
        </w:tc>
        <w:tc>
          <w:tcPr>
            <w:tcW w:w="406"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w:t>
            </w:r>
          </w:p>
        </w:tc>
        <w:tc>
          <w:tcPr>
            <w:tcW w:w="569"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kern w:val="0"/>
                <w:szCs w:val="21"/>
              </w:rPr>
            </w:pPr>
            <w:r>
              <w:rPr>
                <w:rFonts w:ascii="仿宋" w:hAnsi="仿宋" w:eastAsia="仿宋" w:cs="Times New Roman"/>
                <w:kern w:val="0"/>
                <w:szCs w:val="21"/>
              </w:rPr>
              <w:t>100</w:t>
            </w:r>
          </w:p>
        </w:tc>
        <w:tc>
          <w:tcPr>
            <w:tcW w:w="50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kern w:val="0"/>
                <w:szCs w:val="21"/>
              </w:rPr>
              <w:t>1</w:t>
            </w:r>
            <w:r>
              <w:rPr>
                <w:rFonts w:ascii="仿宋" w:hAnsi="仿宋" w:eastAsia="仿宋" w:cs="Times New Roman"/>
                <w:kern w:val="0"/>
                <w:szCs w:val="21"/>
              </w:rPr>
              <w:t>00</w:t>
            </w:r>
          </w:p>
        </w:tc>
        <w:tc>
          <w:tcPr>
            <w:tcW w:w="932"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国家标准8</w:t>
            </w:r>
            <w:r>
              <w:rPr>
                <w:rFonts w:ascii="仿宋" w:hAnsi="仿宋" w:eastAsia="仿宋" w:cs="Times New Roman"/>
                <w:color w:val="000000"/>
                <w:kern w:val="0"/>
                <w:szCs w:val="21"/>
              </w:rPr>
              <w:t>0</w:t>
            </w:r>
            <w:r>
              <w:rPr>
                <w:rFonts w:hint="eastAsia" w:ascii="仿宋" w:hAnsi="仿宋" w:eastAsia="仿宋" w:cs="Times New Roman"/>
                <w:color w:val="000000"/>
                <w:kern w:val="0"/>
                <w:szCs w:val="21"/>
              </w:rPr>
              <w:t>%</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auto" w:sz="4" w:space="0"/>
              <w:insideH w:val="nil"/>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left w:val="single" w:color="auto" w:sz="4" w:space="0"/>
            </w:tcBorders>
            <w:shd w:val="clear" w:color="auto" w:fill="D2EAF0" w:themeFill="accent5" w:themeFillTint="3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shd w:val="clear" w:color="auto" w:fill="D2EAF0" w:themeFill="accent5" w:themeFillTint="3F"/>
            <w:vAlign w:val="center"/>
          </w:tcPr>
          <w:p>
            <w:pPr>
              <w:widowControl/>
              <w:spacing w:line="276" w:lineRule="auto"/>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重要水源地森林覆盖率</w:t>
            </w:r>
          </w:p>
        </w:tc>
        <w:tc>
          <w:tcPr>
            <w:tcW w:w="406"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ascii="仿宋" w:hAnsi="仿宋" w:eastAsia="仿宋" w:cs="Times New Roman"/>
                <w:color w:val="000000" w:themeColor="text1"/>
                <w:kern w:val="0"/>
                <w:szCs w:val="21"/>
                <w14:textFill>
                  <w14:solidFill>
                    <w14:schemeClr w14:val="tx1"/>
                  </w14:solidFill>
                </w14:textFill>
              </w:rPr>
              <w:t>%</w:t>
            </w:r>
          </w:p>
        </w:tc>
        <w:tc>
          <w:tcPr>
            <w:tcW w:w="569"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ascii="仿宋" w:hAnsi="仿宋" w:eastAsia="仿宋" w:cs="Times New Roman"/>
                <w:color w:val="000000" w:themeColor="text1"/>
                <w:kern w:val="0"/>
                <w:szCs w:val="21"/>
                <w14:textFill>
                  <w14:solidFill>
                    <w14:schemeClr w14:val="tx1"/>
                  </w14:solidFill>
                </w14:textFill>
              </w:rPr>
              <w:t>82</w:t>
            </w:r>
          </w:p>
        </w:tc>
        <w:tc>
          <w:tcPr>
            <w:tcW w:w="505"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w:t>
            </w:r>
            <w:r>
              <w:rPr>
                <w:rFonts w:ascii="仿宋" w:hAnsi="仿宋" w:eastAsia="仿宋" w:cs="Times New Roman"/>
                <w:color w:val="000000" w:themeColor="text1"/>
                <w:kern w:val="0"/>
                <w:szCs w:val="21"/>
                <w14:textFill>
                  <w14:solidFill>
                    <w14:schemeClr w14:val="tx1"/>
                  </w14:solidFill>
                </w14:textFill>
              </w:rPr>
              <w:t>85</w:t>
            </w:r>
          </w:p>
        </w:tc>
        <w:tc>
          <w:tcPr>
            <w:tcW w:w="932" w:type="pct"/>
            <w:shd w:val="clear" w:color="auto" w:fill="D2EAF0" w:themeFill="accent5" w:themeFillTint="3F"/>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国家标准</w:t>
            </w:r>
            <w:r>
              <w:rPr>
                <w:rFonts w:ascii="仿宋" w:hAnsi="仿宋" w:eastAsia="仿宋" w:cs="Times New Roman"/>
                <w:color w:val="000000" w:themeColor="text1"/>
                <w:kern w:val="0"/>
                <w:szCs w:val="21"/>
                <w14:textFill>
                  <w14:solidFill>
                    <w14:schemeClr w14:val="tx1"/>
                  </w14:solidFill>
                </w14:textFill>
              </w:rPr>
              <w:t>70</w:t>
            </w:r>
            <w:r>
              <w:rPr>
                <w:rFonts w:hint="eastAsia" w:ascii="仿宋" w:hAnsi="仿宋" w:eastAsia="仿宋" w:cs="Times New Roman"/>
                <w:color w:val="000000" w:themeColor="text1"/>
                <w:kern w:val="0"/>
                <w:szCs w:val="21"/>
                <w14:textFill>
                  <w14:solidFill>
                    <w14:schemeClr w14:val="tx1"/>
                  </w14:solidFill>
                </w14:textFill>
              </w:rPr>
              <w:t>%</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FFFFFF" w:themeColor="background1" w:sz="8" w:space="0"/>
              <w:insideH w:val="nil"/>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top w:val="single" w:color="FFFFFF" w:themeColor="background1" w:sz="8" w:space="0"/>
              <w:left w:val="single" w:color="auto" w:sz="4"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20公顷以上森林</w:t>
            </w:r>
            <w:r>
              <w:rPr>
                <w:rFonts w:ascii="仿宋" w:hAnsi="仿宋" w:eastAsia="仿宋" w:cs="Times New Roman"/>
                <w:color w:val="000000" w:themeColor="text1"/>
                <w:kern w:val="0"/>
                <w:szCs w:val="21"/>
                <w14:textFill>
                  <w14:solidFill>
                    <w14:schemeClr w14:val="tx1"/>
                  </w14:solidFill>
                </w14:textFill>
              </w:rPr>
              <w:t>斑块</w:t>
            </w:r>
            <w:r>
              <w:rPr>
                <w:rFonts w:hint="eastAsia" w:ascii="仿宋" w:hAnsi="仿宋" w:eastAsia="仿宋" w:cs="Times New Roman"/>
                <w:color w:val="000000" w:themeColor="text1"/>
                <w:kern w:val="0"/>
                <w:szCs w:val="21"/>
                <w14:textFill>
                  <w14:solidFill>
                    <w14:schemeClr w14:val="tx1"/>
                  </w14:solidFill>
                </w14:textFill>
              </w:rPr>
              <w:t>面积比例</w:t>
            </w:r>
          </w:p>
        </w:tc>
        <w:tc>
          <w:tcPr>
            <w:tcW w:w="406"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ascii="仿宋" w:hAnsi="仿宋" w:eastAsia="仿宋" w:cs="Times New Roman"/>
                <w:color w:val="000000" w:themeColor="text1"/>
                <w:kern w:val="0"/>
                <w:szCs w:val="21"/>
                <w14:textFill>
                  <w14:solidFill>
                    <w14:schemeClr w14:val="tx1"/>
                  </w14:solidFill>
                </w14:textFill>
              </w:rPr>
              <w:t>%</w:t>
            </w:r>
          </w:p>
        </w:tc>
        <w:tc>
          <w:tcPr>
            <w:tcW w:w="569"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ascii="仿宋" w:hAnsi="仿宋" w:eastAsia="仿宋" w:cs="Times New Roman"/>
                <w:color w:val="000000" w:themeColor="text1"/>
                <w:kern w:val="0"/>
                <w:szCs w:val="21"/>
                <w14:textFill>
                  <w14:solidFill>
                    <w14:schemeClr w14:val="tx1"/>
                  </w14:solidFill>
                </w14:textFill>
              </w:rPr>
              <w:t>79.46</w:t>
            </w:r>
          </w:p>
        </w:tc>
        <w:tc>
          <w:tcPr>
            <w:tcW w:w="50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≥80</w:t>
            </w:r>
          </w:p>
        </w:tc>
        <w:tc>
          <w:tcPr>
            <w:tcW w:w="932"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北京特色指标</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auto" w:sz="4" w:space="0"/>
              <w:insideH w:val="nil"/>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left w:val="single" w:color="auto" w:sz="4" w:space="0"/>
            </w:tcBorders>
            <w:shd w:val="clear" w:color="auto" w:fill="D2EAF0" w:themeFill="accent5" w:themeFillTint="3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shd w:val="clear" w:color="auto" w:fill="D2EAF0" w:themeFill="accent5" w:themeFillTint="3F"/>
            <w:vAlign w:val="center"/>
          </w:tcPr>
          <w:p>
            <w:pPr>
              <w:widowControl/>
              <w:spacing w:line="276" w:lineRule="auto"/>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60公顷以上森林</w:t>
            </w:r>
            <w:r>
              <w:rPr>
                <w:rFonts w:ascii="仿宋" w:hAnsi="仿宋" w:eastAsia="仿宋" w:cs="Times New Roman"/>
                <w:color w:val="000000" w:themeColor="text1"/>
                <w:kern w:val="0"/>
                <w:szCs w:val="21"/>
                <w14:textFill>
                  <w14:solidFill>
                    <w14:schemeClr w14:val="tx1"/>
                  </w14:solidFill>
                </w14:textFill>
              </w:rPr>
              <w:t>斑块</w:t>
            </w:r>
            <w:r>
              <w:rPr>
                <w:rFonts w:hint="eastAsia" w:ascii="仿宋" w:hAnsi="仿宋" w:eastAsia="仿宋" w:cs="Times New Roman"/>
                <w:color w:val="000000" w:themeColor="text1"/>
                <w:kern w:val="0"/>
                <w:szCs w:val="21"/>
                <w14:textFill>
                  <w14:solidFill>
                    <w14:schemeClr w14:val="tx1"/>
                  </w14:solidFill>
                </w14:textFill>
              </w:rPr>
              <w:t>面积比例</w:t>
            </w:r>
          </w:p>
        </w:tc>
        <w:tc>
          <w:tcPr>
            <w:tcW w:w="406"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ascii="仿宋" w:hAnsi="仿宋" w:eastAsia="仿宋" w:cs="Times New Roman"/>
                <w:color w:val="000000" w:themeColor="text1"/>
                <w:kern w:val="0"/>
                <w:szCs w:val="21"/>
                <w14:textFill>
                  <w14:solidFill>
                    <w14:schemeClr w14:val="tx1"/>
                  </w14:solidFill>
                </w14:textFill>
              </w:rPr>
              <w:t>%</w:t>
            </w:r>
          </w:p>
        </w:tc>
        <w:tc>
          <w:tcPr>
            <w:tcW w:w="569"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ascii="仿宋" w:hAnsi="仿宋" w:eastAsia="仿宋" w:cs="Times New Roman"/>
                <w:color w:val="000000" w:themeColor="text1"/>
                <w:kern w:val="0"/>
                <w:szCs w:val="21"/>
                <w14:textFill>
                  <w14:solidFill>
                    <w14:schemeClr w14:val="tx1"/>
                  </w14:solidFill>
                </w14:textFill>
              </w:rPr>
              <w:t>64.51</w:t>
            </w:r>
          </w:p>
        </w:tc>
        <w:tc>
          <w:tcPr>
            <w:tcW w:w="505"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≥6</w:t>
            </w:r>
            <w:r>
              <w:rPr>
                <w:rFonts w:ascii="仿宋" w:hAnsi="仿宋" w:eastAsia="仿宋" w:cs="Times New Roman"/>
                <w:color w:val="000000" w:themeColor="text1"/>
                <w:kern w:val="0"/>
                <w:szCs w:val="21"/>
                <w14:textFill>
                  <w14:solidFill>
                    <w14:schemeClr w14:val="tx1"/>
                  </w14:solidFill>
                </w14:textFill>
              </w:rPr>
              <w:t>5</w:t>
            </w:r>
          </w:p>
        </w:tc>
        <w:tc>
          <w:tcPr>
            <w:tcW w:w="932" w:type="pct"/>
            <w:shd w:val="clear" w:color="auto" w:fill="D2EAF0" w:themeFill="accent5" w:themeFillTint="3F"/>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北京特色指标</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restart"/>
            <w:tcBorders>
              <w:top w:val="single" w:color="auto" w:sz="4" w:space="0"/>
              <w:left w:val="single" w:color="auto" w:sz="4" w:space="0"/>
              <w:bottom w:val="nil"/>
              <w:right w:val="single" w:color="FFFFFF" w:themeColor="background1" w:sz="8" w:space="0"/>
              <w:insideH w:val="nil"/>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r>
              <w:rPr>
                <w:rFonts w:hint="eastAsia" w:ascii="仿宋" w:hAnsi="仿宋" w:eastAsia="仿宋" w:cs="Times New Roman"/>
                <w:b/>
                <w:bCs/>
                <w:i w:val="0"/>
                <w:iCs w:val="0"/>
                <w:color w:val="000000"/>
                <w:kern w:val="0"/>
                <w:szCs w:val="21"/>
              </w:rPr>
              <w:t>生物多样性指标</w:t>
            </w:r>
          </w:p>
        </w:tc>
        <w:tc>
          <w:tcPr>
            <w:tcW w:w="240" w:type="pct"/>
            <w:tcBorders>
              <w:top w:val="single" w:color="FFFFFF" w:themeColor="background1" w:sz="8" w:space="0"/>
              <w:left w:val="single" w:color="auto" w:sz="4"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生态廊道</w:t>
            </w:r>
            <w:r>
              <w:rPr>
                <w:rFonts w:ascii="仿宋" w:hAnsi="仿宋" w:eastAsia="仿宋" w:cs="Times New Roman"/>
                <w:color w:val="000000" w:themeColor="text1"/>
                <w:kern w:val="0"/>
                <w:szCs w:val="21"/>
                <w14:textFill>
                  <w14:solidFill>
                    <w14:schemeClr w14:val="tx1"/>
                  </w14:solidFill>
                </w14:textFill>
              </w:rPr>
              <w:t>连通性</w:t>
            </w:r>
          </w:p>
        </w:tc>
        <w:tc>
          <w:tcPr>
            <w:tcW w:w="406"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ascii="仿宋" w:hAnsi="仿宋" w:eastAsia="仿宋" w:cs="Times New Roman"/>
                <w:color w:val="000000" w:themeColor="text1"/>
                <w:kern w:val="0"/>
                <w:szCs w:val="21"/>
                <w14:textFill>
                  <w14:solidFill>
                    <w14:schemeClr w14:val="tx1"/>
                  </w14:solidFill>
                </w14:textFill>
              </w:rPr>
              <w:t>%</w:t>
            </w:r>
          </w:p>
        </w:tc>
        <w:tc>
          <w:tcPr>
            <w:tcW w:w="569"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ascii="仿宋" w:hAnsi="仿宋" w:eastAsia="仿宋" w:cs="Times New Roman"/>
                <w:color w:val="000000" w:themeColor="text1"/>
                <w:kern w:val="0"/>
                <w:szCs w:val="21"/>
                <w14:textFill>
                  <w14:solidFill>
                    <w14:schemeClr w14:val="tx1"/>
                  </w14:solidFill>
                </w14:textFill>
              </w:rPr>
              <w:t>50</w:t>
            </w:r>
          </w:p>
        </w:tc>
        <w:tc>
          <w:tcPr>
            <w:tcW w:w="50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w:t>
            </w:r>
            <w:r>
              <w:rPr>
                <w:rFonts w:ascii="仿宋" w:hAnsi="仿宋" w:eastAsia="仿宋" w:cs="Times New Roman"/>
                <w:color w:val="000000" w:themeColor="text1"/>
                <w:kern w:val="0"/>
                <w:szCs w:val="21"/>
                <w14:textFill>
                  <w14:solidFill>
                    <w14:schemeClr w14:val="tx1"/>
                  </w14:solidFill>
                </w14:textFill>
              </w:rPr>
              <w:t>70</w:t>
            </w:r>
          </w:p>
        </w:tc>
        <w:tc>
          <w:tcPr>
            <w:tcW w:w="932"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北京特色指标</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left w:val="single" w:color="auto" w:sz="4" w:space="0"/>
              <w:bottom w:val="nil"/>
              <w:right w:val="single" w:color="auto" w:sz="4" w:space="0"/>
              <w:insideH w:val="nil"/>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left w:val="single" w:color="auto" w:sz="4" w:space="0"/>
            </w:tcBorders>
            <w:shd w:val="clear" w:color="auto" w:fill="D2EAF0" w:themeFill="accent5" w:themeFillTint="3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shd w:val="clear" w:color="auto" w:fill="D2EAF0" w:themeFill="accent5" w:themeFillTint="3F"/>
            <w:vAlign w:val="center"/>
          </w:tcPr>
          <w:p>
            <w:pPr>
              <w:widowControl/>
              <w:spacing w:line="276" w:lineRule="auto"/>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kern w:val="0"/>
                <w:szCs w:val="21"/>
              </w:rPr>
              <w:t>城区单一树种栽植数量比例</w:t>
            </w:r>
          </w:p>
        </w:tc>
        <w:tc>
          <w:tcPr>
            <w:tcW w:w="406"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ascii="仿宋" w:hAnsi="仿宋" w:eastAsia="仿宋" w:cs="Times New Roman"/>
                <w:color w:val="000000"/>
                <w:kern w:val="0"/>
                <w:szCs w:val="21"/>
              </w:rPr>
              <w:t>%</w:t>
            </w:r>
          </w:p>
        </w:tc>
        <w:tc>
          <w:tcPr>
            <w:tcW w:w="569"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ascii="仿宋" w:hAnsi="仿宋" w:eastAsia="仿宋" w:cs="Times New Roman"/>
                <w:kern w:val="0"/>
                <w:szCs w:val="21"/>
              </w:rPr>
              <w:t>19.22</w:t>
            </w:r>
          </w:p>
        </w:tc>
        <w:tc>
          <w:tcPr>
            <w:tcW w:w="505"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kern w:val="0"/>
                <w:szCs w:val="21"/>
              </w:rPr>
              <w:t>＜</w:t>
            </w:r>
            <w:r>
              <w:rPr>
                <w:rFonts w:ascii="仿宋" w:hAnsi="仿宋" w:eastAsia="仿宋" w:cs="Times New Roman"/>
                <w:kern w:val="0"/>
                <w:szCs w:val="21"/>
              </w:rPr>
              <w:t>19</w:t>
            </w:r>
          </w:p>
        </w:tc>
        <w:tc>
          <w:tcPr>
            <w:tcW w:w="932" w:type="pct"/>
            <w:shd w:val="clear" w:color="auto" w:fill="D2EAF0" w:themeFill="accent5" w:themeFillTint="3F"/>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kern w:val="0"/>
                <w:szCs w:val="21"/>
              </w:rPr>
              <w:t>国家标准2</w:t>
            </w:r>
            <w:r>
              <w:rPr>
                <w:rFonts w:ascii="仿宋" w:hAnsi="仿宋" w:eastAsia="仿宋" w:cs="Times New Roman"/>
                <w:kern w:val="0"/>
                <w:szCs w:val="21"/>
              </w:rPr>
              <w:t>0</w:t>
            </w:r>
            <w:r>
              <w:rPr>
                <w:rFonts w:hint="eastAsia" w:ascii="仿宋" w:hAnsi="仿宋" w:eastAsia="仿宋" w:cs="Times New Roman"/>
                <w:kern w:val="0"/>
                <w:szCs w:val="21"/>
              </w:rPr>
              <w:t>%</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FFFFFF" w:themeColor="background1" w:sz="8" w:space="0"/>
              <w:left w:val="single" w:color="auto" w:sz="4" w:space="0"/>
              <w:bottom w:val="nil"/>
              <w:right w:val="single" w:color="FFFFFF" w:themeColor="background1" w:sz="8" w:space="0"/>
              <w:insideH w:val="nil"/>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top w:val="single" w:color="FFFFFF" w:themeColor="background1" w:sz="8" w:space="0"/>
              <w:left w:val="single" w:color="auto" w:sz="4"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kern w:val="0"/>
                <w:szCs w:val="21"/>
              </w:rPr>
              <w:t>城区乡土树种使用率</w:t>
            </w:r>
          </w:p>
        </w:tc>
        <w:tc>
          <w:tcPr>
            <w:tcW w:w="406"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ascii="仿宋" w:hAnsi="仿宋" w:eastAsia="仿宋" w:cs="Times New Roman"/>
                <w:color w:val="000000"/>
                <w:kern w:val="0"/>
                <w:szCs w:val="21"/>
              </w:rPr>
              <w:t>%</w:t>
            </w:r>
          </w:p>
        </w:tc>
        <w:tc>
          <w:tcPr>
            <w:tcW w:w="569"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ascii="仿宋" w:hAnsi="仿宋" w:eastAsia="仿宋" w:cs="Times New Roman"/>
                <w:color w:val="000000"/>
                <w:kern w:val="0"/>
                <w:szCs w:val="21"/>
              </w:rPr>
              <w:t>86.5</w:t>
            </w:r>
          </w:p>
        </w:tc>
        <w:tc>
          <w:tcPr>
            <w:tcW w:w="50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kern w:val="0"/>
                <w:szCs w:val="21"/>
              </w:rPr>
              <w:t>≥</w:t>
            </w:r>
            <w:r>
              <w:rPr>
                <w:rFonts w:ascii="仿宋" w:hAnsi="仿宋" w:eastAsia="仿宋" w:cs="Times New Roman"/>
                <w:kern w:val="0"/>
                <w:szCs w:val="21"/>
              </w:rPr>
              <w:t>90</w:t>
            </w:r>
          </w:p>
        </w:tc>
        <w:tc>
          <w:tcPr>
            <w:tcW w:w="932"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kern w:val="0"/>
                <w:szCs w:val="21"/>
              </w:rPr>
              <w:t>国家标准8</w:t>
            </w:r>
            <w:r>
              <w:rPr>
                <w:rFonts w:ascii="仿宋" w:hAnsi="仿宋" w:eastAsia="仿宋" w:cs="Times New Roman"/>
                <w:kern w:val="0"/>
                <w:szCs w:val="21"/>
              </w:rPr>
              <w:t>0</w:t>
            </w:r>
            <w:r>
              <w:rPr>
                <w:rFonts w:hint="eastAsia" w:ascii="仿宋" w:hAnsi="仿宋" w:eastAsia="仿宋" w:cs="Times New Roman"/>
                <w:kern w:val="0"/>
                <w:szCs w:val="21"/>
              </w:rPr>
              <w:t>%</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left w:val="single" w:color="auto" w:sz="4" w:space="0"/>
              <w:bottom w:val="nil"/>
              <w:right w:val="single" w:color="auto" w:sz="4" w:space="0"/>
              <w:insideH w:val="nil"/>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left w:val="single" w:color="auto" w:sz="4" w:space="0"/>
            </w:tcBorders>
            <w:shd w:val="clear" w:color="auto" w:fill="D2EAF0" w:themeFill="accent5" w:themeFillTint="3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shd w:val="clear" w:color="auto" w:fill="D2EAF0" w:themeFill="accent5" w:themeFillTint="3F"/>
            <w:vAlign w:val="center"/>
          </w:tcPr>
          <w:p>
            <w:pPr>
              <w:widowControl/>
              <w:spacing w:line="276" w:lineRule="auto"/>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kern w:val="0"/>
                <w:szCs w:val="21"/>
              </w:rPr>
              <w:t>生境树种使用比例</w:t>
            </w:r>
          </w:p>
        </w:tc>
        <w:tc>
          <w:tcPr>
            <w:tcW w:w="406"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kern w:val="0"/>
                <w:szCs w:val="21"/>
              </w:rPr>
              <w:t>%</w:t>
            </w:r>
          </w:p>
        </w:tc>
        <w:tc>
          <w:tcPr>
            <w:tcW w:w="569"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w:t>
            </w:r>
          </w:p>
        </w:tc>
        <w:tc>
          <w:tcPr>
            <w:tcW w:w="505"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w:t>
            </w:r>
            <w:r>
              <w:rPr>
                <w:rFonts w:ascii="仿宋" w:hAnsi="仿宋" w:eastAsia="仿宋" w:cs="Times New Roman"/>
                <w:color w:val="000000" w:themeColor="text1"/>
                <w:kern w:val="0"/>
                <w:szCs w:val="21"/>
                <w14:textFill>
                  <w14:solidFill>
                    <w14:schemeClr w14:val="tx1"/>
                  </w14:solidFill>
                </w14:textFill>
              </w:rPr>
              <w:t>20</w:t>
            </w:r>
          </w:p>
        </w:tc>
        <w:tc>
          <w:tcPr>
            <w:tcW w:w="932" w:type="pct"/>
            <w:shd w:val="clear" w:color="auto" w:fill="D2EAF0" w:themeFill="accent5" w:themeFillTint="3F"/>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北京特色指标</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FFFFFF" w:themeColor="background1" w:sz="8" w:space="0"/>
              <w:left w:val="single" w:color="auto" w:sz="4" w:space="0"/>
              <w:bottom w:val="nil"/>
              <w:right w:val="single" w:color="FFFFFF" w:themeColor="background1" w:sz="8" w:space="0"/>
              <w:insideH w:val="nil"/>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top w:val="single" w:color="FFFFFF" w:themeColor="background1" w:sz="8" w:space="0"/>
              <w:left w:val="single" w:color="auto" w:sz="4"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kern w:val="0"/>
                <w:szCs w:val="21"/>
              </w:rPr>
              <w:t>平原自然片林数量</w:t>
            </w:r>
          </w:p>
        </w:tc>
        <w:tc>
          <w:tcPr>
            <w:tcW w:w="406"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kern w:val="0"/>
                <w:szCs w:val="21"/>
              </w:rPr>
              <w:t>%</w:t>
            </w:r>
          </w:p>
        </w:tc>
        <w:tc>
          <w:tcPr>
            <w:tcW w:w="569"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w:t>
            </w:r>
          </w:p>
        </w:tc>
        <w:tc>
          <w:tcPr>
            <w:tcW w:w="50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kern w:val="0"/>
                <w:szCs w:val="21"/>
              </w:rPr>
              <w:t>≥</w:t>
            </w:r>
            <w:r>
              <w:rPr>
                <w:rFonts w:ascii="仿宋" w:hAnsi="仿宋" w:eastAsia="仿宋" w:cs="Times New Roman"/>
                <w:kern w:val="0"/>
                <w:szCs w:val="21"/>
              </w:rPr>
              <w:t>3</w:t>
            </w:r>
            <w:r>
              <w:rPr>
                <w:rFonts w:hint="eastAsia" w:ascii="仿宋" w:hAnsi="仿宋" w:eastAsia="仿宋" w:cs="Times New Roman"/>
                <w:kern w:val="0"/>
                <w:szCs w:val="21"/>
              </w:rPr>
              <w:t>0</w:t>
            </w:r>
            <w:r>
              <w:rPr>
                <w:rFonts w:ascii="仿宋" w:hAnsi="仿宋" w:eastAsia="仿宋" w:cs="Times New Roman"/>
                <w:kern w:val="0"/>
                <w:szCs w:val="21"/>
              </w:rPr>
              <w:t>0</w:t>
            </w:r>
          </w:p>
        </w:tc>
        <w:tc>
          <w:tcPr>
            <w:tcW w:w="932"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北京特色指标</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restart"/>
            <w:tcBorders>
              <w:top w:val="single" w:color="auto" w:sz="4" w:space="0"/>
              <w:left w:val="single" w:color="auto" w:sz="4" w:space="0"/>
              <w:bottom w:val="nil"/>
              <w:right w:val="single" w:color="auto" w:sz="4" w:space="0"/>
              <w:insideH w:val="nil"/>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r>
              <w:rPr>
                <w:rFonts w:ascii="仿宋" w:hAnsi="仿宋" w:eastAsia="仿宋" w:cs="Times New Roman"/>
                <w:b/>
                <w:bCs/>
                <w:i w:val="0"/>
                <w:iCs w:val="0"/>
                <w:color w:val="000000"/>
                <w:kern w:val="0"/>
                <w:szCs w:val="21"/>
              </w:rPr>
              <w:t>美丽乡村</w:t>
            </w:r>
            <w:r>
              <w:rPr>
                <w:rFonts w:hint="eastAsia" w:ascii="仿宋" w:hAnsi="仿宋" w:eastAsia="仿宋" w:cs="Times New Roman"/>
                <w:b/>
                <w:bCs/>
                <w:i w:val="0"/>
                <w:iCs w:val="0"/>
                <w:color w:val="000000"/>
                <w:kern w:val="0"/>
                <w:szCs w:val="21"/>
              </w:rPr>
              <w:t>建设</w:t>
            </w:r>
            <w:r>
              <w:rPr>
                <w:rFonts w:ascii="仿宋" w:hAnsi="仿宋" w:eastAsia="仿宋" w:cs="Times New Roman"/>
                <w:b/>
                <w:bCs/>
                <w:i w:val="0"/>
                <w:iCs w:val="0"/>
                <w:color w:val="000000"/>
                <w:kern w:val="0"/>
                <w:szCs w:val="21"/>
              </w:rPr>
              <w:t>指标</w:t>
            </w:r>
          </w:p>
        </w:tc>
        <w:tc>
          <w:tcPr>
            <w:tcW w:w="240" w:type="pct"/>
            <w:tcBorders>
              <w:left w:val="single" w:color="auto" w:sz="4" w:space="0"/>
            </w:tcBorders>
            <w:shd w:val="clear" w:color="auto" w:fill="D2EAF0" w:themeFill="accent5" w:themeFillTint="3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shd w:val="clear" w:color="auto" w:fill="D2EAF0" w:themeFill="accent5" w:themeFillTint="3F"/>
            <w:vAlign w:val="center"/>
          </w:tcPr>
          <w:p>
            <w:pPr>
              <w:widowControl/>
              <w:spacing w:line="276" w:lineRule="auto"/>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乡镇林木绿化率</w:t>
            </w:r>
          </w:p>
        </w:tc>
        <w:tc>
          <w:tcPr>
            <w:tcW w:w="406"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ascii="仿宋" w:hAnsi="仿宋" w:eastAsia="仿宋" w:cs="Times New Roman"/>
                <w:color w:val="000000" w:themeColor="text1"/>
                <w:kern w:val="0"/>
                <w:szCs w:val="21"/>
                <w14:textFill>
                  <w14:solidFill>
                    <w14:schemeClr w14:val="tx1"/>
                  </w14:solidFill>
                </w14:textFill>
              </w:rPr>
              <w:t>%</w:t>
            </w:r>
          </w:p>
        </w:tc>
        <w:tc>
          <w:tcPr>
            <w:tcW w:w="569"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ascii="仿宋" w:hAnsi="仿宋" w:eastAsia="仿宋" w:cs="Times New Roman"/>
                <w:color w:val="000000" w:themeColor="text1"/>
                <w:kern w:val="0"/>
                <w:szCs w:val="21"/>
                <w14:textFill>
                  <w14:solidFill>
                    <w14:schemeClr w14:val="tx1"/>
                  </w14:solidFill>
                </w14:textFill>
              </w:rPr>
              <w:t>—</w:t>
            </w:r>
          </w:p>
        </w:tc>
        <w:tc>
          <w:tcPr>
            <w:tcW w:w="505"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w:t>
            </w:r>
            <w:r>
              <w:rPr>
                <w:rFonts w:ascii="仿宋" w:hAnsi="仿宋" w:eastAsia="仿宋" w:cs="Times New Roman"/>
                <w:color w:val="000000" w:themeColor="text1"/>
                <w:kern w:val="0"/>
                <w:szCs w:val="21"/>
                <w14:textFill>
                  <w14:solidFill>
                    <w14:schemeClr w14:val="tx1"/>
                  </w14:solidFill>
                </w14:textFill>
              </w:rPr>
              <w:t>30</w:t>
            </w:r>
          </w:p>
        </w:tc>
        <w:tc>
          <w:tcPr>
            <w:tcW w:w="932" w:type="pct"/>
            <w:shd w:val="clear" w:color="auto" w:fill="D2EAF0" w:themeFill="accent5" w:themeFillTint="3F"/>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国家标准</w:t>
            </w:r>
            <w:r>
              <w:rPr>
                <w:rFonts w:ascii="仿宋" w:hAnsi="仿宋" w:eastAsia="仿宋" w:cs="Times New Roman"/>
                <w:color w:val="000000" w:themeColor="text1"/>
                <w:kern w:val="0"/>
                <w:szCs w:val="21"/>
                <w14:textFill>
                  <w14:solidFill>
                    <w14:schemeClr w14:val="tx1"/>
                  </w14:solidFill>
                </w14:textFill>
              </w:rPr>
              <w:t>30</w:t>
            </w:r>
            <w:r>
              <w:rPr>
                <w:rFonts w:hint="eastAsia" w:ascii="仿宋" w:hAnsi="仿宋" w:eastAsia="仿宋" w:cs="Times New Roman"/>
                <w:color w:val="000000" w:themeColor="text1"/>
                <w:kern w:val="0"/>
                <w:szCs w:val="21"/>
                <w14:textFill>
                  <w14:solidFill>
                    <w14:schemeClr w14:val="tx1"/>
                  </w14:solidFill>
                </w14:textFill>
              </w:rPr>
              <w:t>%</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FFFFFF" w:themeColor="background1" w:sz="8" w:space="0"/>
              <w:insideH w:val="nil"/>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vMerge w:val="restart"/>
            <w:tcBorders>
              <w:top w:val="single" w:color="FFFFFF" w:themeColor="background1" w:sz="8" w:space="0"/>
              <w:left w:val="single" w:color="auto" w:sz="4"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201" w:type="pct"/>
            <w:vMerge w:val="restar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村庄林木绿化率</w:t>
            </w:r>
          </w:p>
        </w:tc>
        <w:tc>
          <w:tcPr>
            <w:tcW w:w="752" w:type="pct"/>
            <w:gridSpan w:val="2"/>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集中居住型</w:t>
            </w:r>
          </w:p>
        </w:tc>
        <w:tc>
          <w:tcPr>
            <w:tcW w:w="406"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w:t>
            </w:r>
          </w:p>
        </w:tc>
        <w:tc>
          <w:tcPr>
            <w:tcW w:w="569"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kern w:val="0"/>
                <w:szCs w:val="21"/>
              </w:rPr>
            </w:pPr>
            <w:r>
              <w:rPr>
                <w:rFonts w:ascii="仿宋" w:hAnsi="仿宋" w:eastAsia="仿宋" w:cs="Times New Roman"/>
                <w:kern w:val="0"/>
                <w:szCs w:val="21"/>
              </w:rPr>
              <w:t>—</w:t>
            </w:r>
          </w:p>
        </w:tc>
        <w:tc>
          <w:tcPr>
            <w:tcW w:w="50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kern w:val="0"/>
                <w:szCs w:val="21"/>
              </w:rPr>
              <w:t>≥</w:t>
            </w:r>
            <w:r>
              <w:rPr>
                <w:rFonts w:ascii="仿宋" w:hAnsi="仿宋" w:eastAsia="仿宋" w:cs="Times New Roman"/>
                <w:color w:val="000000"/>
                <w:kern w:val="0"/>
                <w:szCs w:val="21"/>
              </w:rPr>
              <w:t>30</w:t>
            </w:r>
          </w:p>
        </w:tc>
        <w:tc>
          <w:tcPr>
            <w:tcW w:w="932"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国家标准</w:t>
            </w:r>
            <w:r>
              <w:rPr>
                <w:rFonts w:ascii="仿宋" w:hAnsi="仿宋" w:eastAsia="仿宋" w:cs="Times New Roman"/>
                <w:color w:val="000000"/>
                <w:kern w:val="0"/>
                <w:szCs w:val="21"/>
              </w:rPr>
              <w:t>30</w:t>
            </w:r>
            <w:r>
              <w:rPr>
                <w:rFonts w:hint="eastAsia" w:ascii="仿宋" w:hAnsi="仿宋" w:eastAsia="仿宋" w:cs="Times New Roman"/>
                <w:color w:val="000000"/>
                <w:kern w:val="0"/>
                <w:szCs w:val="21"/>
              </w:rPr>
              <w:t>%</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auto" w:sz="4" w:space="0"/>
              <w:insideH w:val="nil"/>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vMerge w:val="continue"/>
            <w:tcBorders>
              <w:left w:val="single" w:color="auto" w:sz="4" w:space="0"/>
            </w:tcBorders>
            <w:shd w:val="clear" w:color="auto" w:fill="D2EAF0" w:themeFill="accent5" w:themeFillTint="3F"/>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201" w:type="pct"/>
            <w:vMerge w:val="continue"/>
            <w:shd w:val="clear" w:color="auto" w:fill="D2EAF0" w:themeFill="accent5" w:themeFillTint="3F"/>
            <w:vAlign w:val="center"/>
          </w:tcPr>
          <w:p>
            <w:pPr>
              <w:widowControl/>
              <w:spacing w:line="276" w:lineRule="auto"/>
              <w:rPr>
                <w:rFonts w:ascii="仿宋" w:hAnsi="仿宋" w:eastAsia="仿宋" w:cs="Times New Roman"/>
                <w:color w:val="000000"/>
                <w:kern w:val="0"/>
                <w:szCs w:val="21"/>
              </w:rPr>
            </w:pPr>
          </w:p>
        </w:tc>
        <w:tc>
          <w:tcPr>
            <w:tcW w:w="752" w:type="pct"/>
            <w:gridSpan w:val="2"/>
            <w:shd w:val="clear" w:color="auto" w:fill="D2EAF0" w:themeFill="accent5" w:themeFillTint="3F"/>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分散居住型</w:t>
            </w:r>
          </w:p>
        </w:tc>
        <w:tc>
          <w:tcPr>
            <w:tcW w:w="406"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w:t>
            </w:r>
          </w:p>
        </w:tc>
        <w:tc>
          <w:tcPr>
            <w:tcW w:w="569" w:type="pct"/>
            <w:shd w:val="clear" w:color="auto" w:fill="D2EAF0" w:themeFill="accent5" w:themeFillTint="3F"/>
            <w:noWrap/>
            <w:vAlign w:val="center"/>
          </w:tcPr>
          <w:p>
            <w:pPr>
              <w:widowControl/>
              <w:spacing w:line="276" w:lineRule="auto"/>
              <w:jc w:val="center"/>
              <w:rPr>
                <w:rFonts w:ascii="仿宋" w:hAnsi="仿宋" w:eastAsia="仿宋" w:cs="Times New Roman"/>
                <w:kern w:val="0"/>
                <w:szCs w:val="21"/>
              </w:rPr>
            </w:pPr>
            <w:r>
              <w:rPr>
                <w:rFonts w:ascii="仿宋" w:hAnsi="仿宋" w:eastAsia="仿宋" w:cs="Times New Roman"/>
                <w:kern w:val="0"/>
                <w:szCs w:val="21"/>
              </w:rPr>
              <w:t>—</w:t>
            </w:r>
          </w:p>
        </w:tc>
        <w:tc>
          <w:tcPr>
            <w:tcW w:w="505"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kern w:val="0"/>
                <w:szCs w:val="21"/>
              </w:rPr>
              <w:t>≥</w:t>
            </w:r>
            <w:r>
              <w:rPr>
                <w:rFonts w:ascii="仿宋" w:hAnsi="仿宋" w:eastAsia="仿宋" w:cs="Times New Roman"/>
                <w:color w:val="000000"/>
                <w:kern w:val="0"/>
                <w:szCs w:val="21"/>
              </w:rPr>
              <w:t>15</w:t>
            </w:r>
          </w:p>
        </w:tc>
        <w:tc>
          <w:tcPr>
            <w:tcW w:w="932" w:type="pct"/>
            <w:shd w:val="clear" w:color="auto" w:fill="D2EAF0" w:themeFill="accent5" w:themeFillTint="3F"/>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北京特色指标</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FFFFFF" w:themeColor="background1" w:sz="8" w:space="0"/>
              <w:insideH w:val="nil"/>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top w:val="single" w:color="FFFFFF" w:themeColor="background1" w:sz="8" w:space="0"/>
              <w:left w:val="single" w:color="auto" w:sz="4"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每个乡镇建设休闲公园</w:t>
            </w:r>
          </w:p>
        </w:tc>
        <w:tc>
          <w:tcPr>
            <w:tcW w:w="406"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处</w:t>
            </w:r>
          </w:p>
        </w:tc>
        <w:tc>
          <w:tcPr>
            <w:tcW w:w="569"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1</w:t>
            </w:r>
          </w:p>
        </w:tc>
        <w:tc>
          <w:tcPr>
            <w:tcW w:w="50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kern w:val="0"/>
                <w:szCs w:val="21"/>
              </w:rPr>
              <w:t>≥1</w:t>
            </w:r>
          </w:p>
        </w:tc>
        <w:tc>
          <w:tcPr>
            <w:tcW w:w="932"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国家标准</w:t>
            </w:r>
            <w:r>
              <w:rPr>
                <w:rFonts w:hint="eastAsia" w:ascii="仿宋" w:hAnsi="仿宋" w:eastAsia="仿宋" w:cs="Times New Roman"/>
                <w:kern w:val="0"/>
                <w:szCs w:val="21"/>
              </w:rPr>
              <w:t>≥1</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auto" w:sz="4" w:space="0"/>
              <w:insideH w:val="nil"/>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left w:val="single" w:color="auto" w:sz="4" w:space="0"/>
            </w:tcBorders>
            <w:shd w:val="clear" w:color="auto" w:fill="D2EAF0" w:themeFill="accent5" w:themeFillTint="3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shd w:val="clear" w:color="auto" w:fill="D2EAF0" w:themeFill="accent5" w:themeFillTint="3F"/>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每个村庄建设公共休闲绿地</w:t>
            </w:r>
          </w:p>
        </w:tc>
        <w:tc>
          <w:tcPr>
            <w:tcW w:w="406"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处</w:t>
            </w:r>
          </w:p>
        </w:tc>
        <w:tc>
          <w:tcPr>
            <w:tcW w:w="569"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1</w:t>
            </w:r>
          </w:p>
        </w:tc>
        <w:tc>
          <w:tcPr>
            <w:tcW w:w="505"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kern w:val="0"/>
                <w:szCs w:val="21"/>
              </w:rPr>
              <w:t>≥</w:t>
            </w:r>
            <w:r>
              <w:rPr>
                <w:rFonts w:ascii="仿宋" w:hAnsi="仿宋" w:eastAsia="仿宋" w:cs="Times New Roman"/>
                <w:color w:val="000000"/>
                <w:kern w:val="0"/>
                <w:szCs w:val="21"/>
              </w:rPr>
              <w:t>1</w:t>
            </w:r>
          </w:p>
        </w:tc>
        <w:tc>
          <w:tcPr>
            <w:tcW w:w="932" w:type="pct"/>
            <w:shd w:val="clear" w:color="auto" w:fill="D2EAF0" w:themeFill="accent5" w:themeFillTint="3F"/>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国家标准</w:t>
            </w:r>
            <w:r>
              <w:rPr>
                <w:rFonts w:hint="eastAsia" w:ascii="仿宋" w:hAnsi="仿宋" w:eastAsia="仿宋" w:cs="Times New Roman"/>
                <w:kern w:val="0"/>
                <w:szCs w:val="21"/>
              </w:rPr>
              <w:t>≥1</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restart"/>
            <w:tcBorders>
              <w:top w:val="single" w:color="auto" w:sz="4" w:space="0"/>
              <w:left w:val="single" w:color="auto" w:sz="4" w:space="0"/>
              <w:bottom w:val="nil"/>
              <w:right w:val="single" w:color="FFFFFF" w:themeColor="background1" w:sz="8" w:space="0"/>
              <w:insideH w:val="nil"/>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r>
              <w:rPr>
                <w:rFonts w:ascii="仿宋" w:hAnsi="仿宋" w:eastAsia="仿宋" w:cs="Times New Roman"/>
                <w:b/>
                <w:bCs/>
                <w:i w:val="0"/>
                <w:iCs w:val="0"/>
                <w:color w:val="000000"/>
                <w:kern w:val="0"/>
                <w:szCs w:val="21"/>
              </w:rPr>
              <w:t>生态福祉与文化指标</w:t>
            </w:r>
          </w:p>
        </w:tc>
        <w:tc>
          <w:tcPr>
            <w:tcW w:w="240" w:type="pct"/>
            <w:tcBorders>
              <w:top w:val="single" w:color="FFFFFF" w:themeColor="background1" w:sz="8" w:space="0"/>
              <w:left w:val="single" w:color="auto" w:sz="4"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城乡居民每万人拥有绿道长度</w:t>
            </w:r>
          </w:p>
        </w:tc>
        <w:tc>
          <w:tcPr>
            <w:tcW w:w="406"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k</w:t>
            </w:r>
            <w:r>
              <w:rPr>
                <w:rFonts w:ascii="仿宋" w:hAnsi="仿宋" w:eastAsia="仿宋" w:cs="Times New Roman"/>
                <w:color w:val="000000"/>
                <w:kern w:val="0"/>
                <w:szCs w:val="21"/>
              </w:rPr>
              <w:t>m</w:t>
            </w:r>
          </w:p>
        </w:tc>
        <w:tc>
          <w:tcPr>
            <w:tcW w:w="569"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0.33</w:t>
            </w:r>
          </w:p>
        </w:tc>
        <w:tc>
          <w:tcPr>
            <w:tcW w:w="50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kern w:val="0"/>
                <w:szCs w:val="21"/>
              </w:rPr>
              <w:t>≥</w:t>
            </w:r>
            <w:r>
              <w:rPr>
                <w:rFonts w:ascii="仿宋" w:hAnsi="仿宋" w:eastAsia="仿宋" w:cs="Times New Roman"/>
                <w:color w:val="000000"/>
                <w:kern w:val="0"/>
                <w:szCs w:val="21"/>
              </w:rPr>
              <w:t>0.60</w:t>
            </w:r>
          </w:p>
        </w:tc>
        <w:tc>
          <w:tcPr>
            <w:tcW w:w="932"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国家标准0</w:t>
            </w:r>
            <w:r>
              <w:rPr>
                <w:rFonts w:ascii="仿宋" w:hAnsi="仿宋" w:eastAsia="仿宋" w:cs="Times New Roman"/>
                <w:color w:val="000000"/>
                <w:kern w:val="0"/>
                <w:szCs w:val="21"/>
              </w:rPr>
              <w:t>.5</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auto" w:sz="4" w:space="0"/>
              <w:insideH w:val="nil"/>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left w:val="single" w:color="auto" w:sz="4" w:space="0"/>
            </w:tcBorders>
            <w:shd w:val="clear" w:color="auto" w:fill="D2EAF0" w:themeFill="accent5" w:themeFillTint="3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shd w:val="clear" w:color="auto" w:fill="D2EAF0" w:themeFill="accent5" w:themeFillTint="3F"/>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生态休闲场所服务覆盖率</w:t>
            </w:r>
          </w:p>
        </w:tc>
        <w:tc>
          <w:tcPr>
            <w:tcW w:w="406"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w:t>
            </w:r>
          </w:p>
        </w:tc>
        <w:tc>
          <w:tcPr>
            <w:tcW w:w="569"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8</w:t>
            </w:r>
            <w:r>
              <w:rPr>
                <w:rFonts w:ascii="仿宋" w:hAnsi="仿宋" w:eastAsia="仿宋" w:cs="Times New Roman"/>
                <w:color w:val="000000"/>
                <w:kern w:val="0"/>
                <w:szCs w:val="21"/>
              </w:rPr>
              <w:t>0.26</w:t>
            </w:r>
          </w:p>
        </w:tc>
        <w:tc>
          <w:tcPr>
            <w:tcW w:w="505" w:type="pct"/>
            <w:shd w:val="clear" w:color="auto" w:fill="D2EAF0" w:themeFill="accent5" w:themeFillTint="3F"/>
            <w:noWrap/>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color w:val="000000" w:themeColor="text1"/>
                <w:kern w:val="0"/>
                <w:szCs w:val="21"/>
                <w14:textFill>
                  <w14:solidFill>
                    <w14:schemeClr w14:val="tx1"/>
                  </w14:solidFill>
                </w14:textFill>
              </w:rPr>
              <w:t>≥</w:t>
            </w:r>
            <w:r>
              <w:rPr>
                <w:rFonts w:ascii="仿宋" w:hAnsi="仿宋" w:eastAsia="仿宋" w:cs="Times New Roman"/>
                <w:color w:val="000000" w:themeColor="text1"/>
                <w:kern w:val="0"/>
                <w:szCs w:val="21"/>
                <w14:textFill>
                  <w14:solidFill>
                    <w14:schemeClr w14:val="tx1"/>
                  </w14:solidFill>
                </w14:textFill>
              </w:rPr>
              <w:t>85</w:t>
            </w:r>
          </w:p>
        </w:tc>
        <w:tc>
          <w:tcPr>
            <w:tcW w:w="932" w:type="pct"/>
            <w:shd w:val="clear" w:color="auto" w:fill="D2EAF0" w:themeFill="accent5" w:themeFillTint="3F"/>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国家标准，</w:t>
            </w:r>
            <w:r>
              <w:rPr>
                <w:rFonts w:hint="eastAsia" w:ascii="仿宋" w:hAnsi="仿宋" w:eastAsia="仿宋" w:cs="Times New Roman"/>
                <w:color w:val="000000" w:themeColor="text1"/>
                <w:kern w:val="0"/>
                <w:szCs w:val="21"/>
                <w14:textFill>
                  <w14:solidFill>
                    <w14:schemeClr w14:val="tx1"/>
                  </w14:solidFill>
                </w14:textFill>
              </w:rPr>
              <w:t>8</w:t>
            </w:r>
            <w:r>
              <w:rPr>
                <w:rFonts w:ascii="仿宋" w:hAnsi="仿宋" w:eastAsia="仿宋" w:cs="Times New Roman"/>
                <w:color w:val="000000" w:themeColor="text1"/>
                <w:kern w:val="0"/>
                <w:szCs w:val="21"/>
                <w14:textFill>
                  <w14:solidFill>
                    <w14:schemeClr w14:val="tx1"/>
                  </w14:solidFill>
                </w14:textFill>
              </w:rPr>
              <w:t>0</w:t>
            </w:r>
            <w:r>
              <w:rPr>
                <w:rFonts w:hint="eastAsia" w:ascii="仿宋" w:hAnsi="仿宋" w:eastAsia="仿宋" w:cs="Times New Roman"/>
                <w:color w:val="000000" w:themeColor="text1"/>
                <w:kern w:val="0"/>
                <w:szCs w:val="21"/>
                <w14:textFill>
                  <w14:solidFill>
                    <w14:schemeClr w14:val="tx1"/>
                  </w14:solidFill>
                </w14:textFill>
              </w:rPr>
              <w:t>%</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FFFFFF" w:themeColor="background1" w:sz="8" w:space="0"/>
              <w:insideH w:val="nil"/>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top w:val="single" w:color="FFFFFF" w:themeColor="background1" w:sz="8" w:space="0"/>
              <w:left w:val="single" w:color="auto" w:sz="4"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rPr>
                <w:rFonts w:ascii="仿宋" w:hAnsi="仿宋" w:eastAsia="仿宋" w:cs="Times New Roman"/>
                <w:kern w:val="0"/>
                <w:szCs w:val="21"/>
              </w:rPr>
            </w:pPr>
            <w:r>
              <w:rPr>
                <w:rFonts w:ascii="仿宋" w:hAnsi="仿宋" w:eastAsia="仿宋" w:cs="Times New Roman"/>
                <w:kern w:val="0"/>
                <w:szCs w:val="21"/>
              </w:rPr>
              <w:t>每万人拥有</w:t>
            </w:r>
            <w:r>
              <w:rPr>
                <w:rFonts w:hint="eastAsia" w:ascii="仿宋" w:hAnsi="仿宋" w:eastAsia="仿宋" w:cs="Times New Roman"/>
                <w:kern w:val="0"/>
                <w:szCs w:val="21"/>
              </w:rPr>
              <w:t>生态</w:t>
            </w:r>
            <w:r>
              <w:rPr>
                <w:rFonts w:ascii="仿宋" w:hAnsi="仿宋" w:eastAsia="仿宋" w:cs="Times New Roman"/>
                <w:kern w:val="0"/>
                <w:szCs w:val="21"/>
              </w:rPr>
              <w:t>科普教育基地</w:t>
            </w:r>
          </w:p>
        </w:tc>
        <w:tc>
          <w:tcPr>
            <w:tcW w:w="406"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kern w:val="0"/>
                <w:szCs w:val="21"/>
              </w:rPr>
            </w:pPr>
            <w:r>
              <w:rPr>
                <w:rFonts w:ascii="仿宋" w:hAnsi="仿宋" w:eastAsia="仿宋" w:cs="Times New Roman"/>
                <w:kern w:val="0"/>
                <w:szCs w:val="21"/>
              </w:rPr>
              <w:t>处</w:t>
            </w:r>
          </w:p>
        </w:tc>
        <w:tc>
          <w:tcPr>
            <w:tcW w:w="569"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kern w:val="0"/>
                <w:szCs w:val="21"/>
              </w:rPr>
            </w:pPr>
            <w:r>
              <w:rPr>
                <w:rFonts w:ascii="仿宋" w:hAnsi="仿宋" w:eastAsia="仿宋" w:cs="Times New Roman"/>
                <w:kern w:val="0"/>
                <w:szCs w:val="21"/>
              </w:rPr>
              <w:t>0.01</w:t>
            </w:r>
          </w:p>
        </w:tc>
        <w:tc>
          <w:tcPr>
            <w:tcW w:w="50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w:t>
            </w:r>
            <w:r>
              <w:rPr>
                <w:rFonts w:ascii="仿宋" w:hAnsi="仿宋" w:eastAsia="仿宋" w:cs="Times New Roman"/>
                <w:kern w:val="0"/>
                <w:szCs w:val="21"/>
              </w:rPr>
              <w:t>0.1</w:t>
            </w:r>
          </w:p>
        </w:tc>
        <w:tc>
          <w:tcPr>
            <w:tcW w:w="932"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对标欧美，0.</w:t>
            </w:r>
            <w:r>
              <w:rPr>
                <w:rFonts w:ascii="仿宋" w:hAnsi="仿宋" w:eastAsia="仿宋" w:cs="Times New Roman"/>
                <w:kern w:val="0"/>
                <w:szCs w:val="21"/>
              </w:rPr>
              <w:t>1</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auto" w:sz="4" w:space="0"/>
              <w:insideH w:val="nil"/>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left w:val="single" w:color="auto" w:sz="4" w:space="0"/>
            </w:tcBorders>
            <w:shd w:val="clear" w:color="auto" w:fill="D2EAF0" w:themeFill="accent5" w:themeFillTint="3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shd w:val="clear" w:color="auto" w:fill="D2EAF0" w:themeFill="accent5" w:themeFillTint="3F"/>
            <w:vAlign w:val="center"/>
          </w:tcPr>
          <w:p>
            <w:pPr>
              <w:widowControl/>
              <w:spacing w:line="276" w:lineRule="auto"/>
              <w:rPr>
                <w:rFonts w:ascii="仿宋" w:hAnsi="仿宋" w:eastAsia="仿宋" w:cs="Times New Roman"/>
                <w:kern w:val="0"/>
                <w:szCs w:val="21"/>
              </w:rPr>
            </w:pPr>
            <w:r>
              <w:rPr>
                <w:rFonts w:hint="eastAsia" w:ascii="仿宋" w:hAnsi="仿宋" w:eastAsia="仿宋" w:cs="Times New Roman"/>
                <w:kern w:val="0"/>
                <w:szCs w:val="21"/>
              </w:rPr>
              <w:t>古树名木保护率</w:t>
            </w:r>
          </w:p>
        </w:tc>
        <w:tc>
          <w:tcPr>
            <w:tcW w:w="406" w:type="pct"/>
            <w:shd w:val="clear" w:color="auto" w:fill="D2EAF0" w:themeFill="accent5" w:themeFillTint="3F"/>
            <w:noWrap/>
            <w:vAlign w:val="center"/>
          </w:tcPr>
          <w:p>
            <w:pPr>
              <w:widowControl/>
              <w:spacing w:line="276" w:lineRule="auto"/>
              <w:jc w:val="center"/>
              <w:rPr>
                <w:rFonts w:ascii="仿宋" w:hAnsi="仿宋" w:eastAsia="仿宋" w:cs="Times New Roman"/>
                <w:kern w:val="0"/>
                <w:szCs w:val="21"/>
              </w:rPr>
            </w:pPr>
            <w:r>
              <w:rPr>
                <w:rFonts w:ascii="仿宋" w:hAnsi="仿宋" w:eastAsia="仿宋" w:cs="Times New Roman"/>
                <w:kern w:val="0"/>
                <w:szCs w:val="21"/>
              </w:rPr>
              <w:t>%</w:t>
            </w:r>
          </w:p>
        </w:tc>
        <w:tc>
          <w:tcPr>
            <w:tcW w:w="569" w:type="pct"/>
            <w:shd w:val="clear" w:color="auto" w:fill="D2EAF0" w:themeFill="accent5" w:themeFillTint="3F"/>
            <w:noWrap/>
            <w:vAlign w:val="center"/>
          </w:tcPr>
          <w:p>
            <w:pPr>
              <w:widowControl/>
              <w:spacing w:line="276" w:lineRule="auto"/>
              <w:jc w:val="center"/>
              <w:rPr>
                <w:rFonts w:ascii="仿宋" w:hAnsi="仿宋" w:eastAsia="仿宋" w:cs="Times New Roman"/>
                <w:kern w:val="0"/>
                <w:szCs w:val="21"/>
              </w:rPr>
            </w:pPr>
            <w:r>
              <w:rPr>
                <w:rFonts w:ascii="仿宋" w:hAnsi="仿宋" w:eastAsia="仿宋" w:cs="Times New Roman"/>
                <w:kern w:val="0"/>
                <w:szCs w:val="21"/>
              </w:rPr>
              <w:t>100</w:t>
            </w:r>
          </w:p>
        </w:tc>
        <w:tc>
          <w:tcPr>
            <w:tcW w:w="505" w:type="pct"/>
            <w:shd w:val="clear" w:color="auto" w:fill="D2EAF0" w:themeFill="accent5" w:themeFillTint="3F"/>
            <w:noWrap/>
            <w:vAlign w:val="center"/>
          </w:tcPr>
          <w:p>
            <w:pPr>
              <w:widowControl/>
              <w:spacing w:line="276" w:lineRule="auto"/>
              <w:jc w:val="center"/>
              <w:rPr>
                <w:rFonts w:ascii="仿宋" w:hAnsi="仿宋" w:eastAsia="仿宋" w:cs="Times New Roman"/>
                <w:kern w:val="0"/>
                <w:szCs w:val="21"/>
              </w:rPr>
            </w:pPr>
            <w:r>
              <w:rPr>
                <w:rFonts w:ascii="仿宋" w:hAnsi="仿宋" w:eastAsia="仿宋" w:cs="Times New Roman"/>
                <w:kern w:val="0"/>
                <w:szCs w:val="21"/>
              </w:rPr>
              <w:t>100</w:t>
            </w:r>
          </w:p>
        </w:tc>
        <w:tc>
          <w:tcPr>
            <w:tcW w:w="932" w:type="pct"/>
            <w:shd w:val="clear" w:color="auto" w:fill="D2EAF0" w:themeFill="accent5" w:themeFillTint="3F"/>
            <w:vAlign w:val="center"/>
          </w:tcPr>
          <w:p>
            <w:pPr>
              <w:widowControl/>
              <w:spacing w:line="276" w:lineRule="auto"/>
              <w:rPr>
                <w:rFonts w:ascii="仿宋" w:hAnsi="仿宋" w:eastAsia="仿宋" w:cs="Times New Roman"/>
                <w:kern w:val="0"/>
                <w:szCs w:val="21"/>
              </w:rPr>
            </w:pPr>
            <w:r>
              <w:rPr>
                <w:rFonts w:hint="eastAsia" w:ascii="仿宋" w:hAnsi="仿宋" w:eastAsia="仿宋" w:cs="Times New Roman"/>
                <w:color w:val="000000"/>
                <w:kern w:val="0"/>
                <w:szCs w:val="21"/>
              </w:rPr>
              <w:t>国家标准</w:t>
            </w:r>
            <w:r>
              <w:rPr>
                <w:rFonts w:ascii="仿宋" w:hAnsi="仿宋" w:eastAsia="仿宋" w:cs="Times New Roman"/>
                <w:color w:val="000000"/>
                <w:kern w:val="0"/>
                <w:szCs w:val="21"/>
              </w:rPr>
              <w:t>100</w:t>
            </w:r>
            <w:r>
              <w:rPr>
                <w:rFonts w:hint="eastAsia" w:ascii="仿宋" w:hAnsi="仿宋" w:eastAsia="仿宋" w:cs="Times New Roman"/>
                <w:color w:val="000000"/>
                <w:kern w:val="0"/>
                <w:szCs w:val="21"/>
              </w:rPr>
              <w:t>%</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FFFFFF" w:themeColor="background1" w:sz="8" w:space="0"/>
              <w:insideH w:val="nil"/>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top w:val="single" w:color="FFFFFF" w:themeColor="background1" w:sz="8" w:space="0"/>
              <w:left w:val="single" w:color="auto" w:sz="4"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rPr>
                <w:rFonts w:ascii="仿宋" w:hAnsi="仿宋" w:eastAsia="仿宋" w:cs="Times New Roman"/>
                <w:kern w:val="0"/>
                <w:szCs w:val="21"/>
              </w:rPr>
            </w:pPr>
            <w:r>
              <w:rPr>
                <w:rFonts w:hint="eastAsia" w:ascii="仿宋" w:hAnsi="仿宋" w:eastAsia="仿宋" w:cs="Times New Roman"/>
                <w:kern w:val="0"/>
                <w:szCs w:val="21"/>
              </w:rPr>
              <w:t>每年市级生态文化宣传活动</w:t>
            </w:r>
          </w:p>
        </w:tc>
        <w:tc>
          <w:tcPr>
            <w:tcW w:w="406"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kern w:val="0"/>
                <w:szCs w:val="21"/>
              </w:rPr>
            </w:pPr>
            <w:r>
              <w:rPr>
                <w:rFonts w:ascii="仿宋" w:hAnsi="仿宋" w:eastAsia="仿宋" w:cs="Times New Roman"/>
                <w:kern w:val="0"/>
                <w:szCs w:val="21"/>
              </w:rPr>
              <w:t>次</w:t>
            </w:r>
          </w:p>
        </w:tc>
        <w:tc>
          <w:tcPr>
            <w:tcW w:w="569"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150</w:t>
            </w:r>
          </w:p>
        </w:tc>
        <w:tc>
          <w:tcPr>
            <w:tcW w:w="50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1</w:t>
            </w:r>
            <w:r>
              <w:rPr>
                <w:rFonts w:ascii="仿宋" w:hAnsi="仿宋" w:eastAsia="仿宋" w:cs="Times New Roman"/>
                <w:kern w:val="0"/>
                <w:szCs w:val="21"/>
              </w:rPr>
              <w:t>70</w:t>
            </w:r>
          </w:p>
        </w:tc>
        <w:tc>
          <w:tcPr>
            <w:tcW w:w="932"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color w:val="000000"/>
                <w:kern w:val="0"/>
                <w:szCs w:val="21"/>
              </w:rPr>
              <w:t>国家标准5次</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auto" w:sz="4" w:space="0"/>
              <w:insideH w:val="nil"/>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left w:val="single" w:color="auto" w:sz="4" w:space="0"/>
            </w:tcBorders>
            <w:shd w:val="clear" w:color="auto" w:fill="D2EAF0" w:themeFill="accent5" w:themeFillTint="3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shd w:val="clear" w:color="auto" w:fill="D2EAF0" w:themeFill="accent5" w:themeFillTint="3F"/>
            <w:noWrap/>
            <w:vAlign w:val="center"/>
          </w:tcPr>
          <w:p>
            <w:pPr>
              <w:widowControl/>
              <w:spacing w:line="276" w:lineRule="auto"/>
              <w:rPr>
                <w:rFonts w:ascii="仿宋" w:hAnsi="仿宋" w:eastAsia="仿宋" w:cs="Times New Roman"/>
                <w:color w:val="000000"/>
                <w:kern w:val="0"/>
                <w:szCs w:val="21"/>
              </w:rPr>
            </w:pPr>
            <w:r>
              <w:rPr>
                <w:rFonts w:ascii="仿宋" w:hAnsi="仿宋" w:eastAsia="仿宋" w:cs="Times New Roman"/>
                <w:color w:val="000000"/>
                <w:kern w:val="0"/>
                <w:szCs w:val="21"/>
              </w:rPr>
              <w:t>全民义务植树尽责率</w:t>
            </w:r>
          </w:p>
        </w:tc>
        <w:tc>
          <w:tcPr>
            <w:tcW w:w="406"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w:t>
            </w:r>
          </w:p>
        </w:tc>
        <w:tc>
          <w:tcPr>
            <w:tcW w:w="569"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90</w:t>
            </w:r>
          </w:p>
        </w:tc>
        <w:tc>
          <w:tcPr>
            <w:tcW w:w="505" w:type="pct"/>
            <w:shd w:val="clear" w:color="auto" w:fill="D2EAF0" w:themeFill="accent5" w:themeFillTint="3F"/>
            <w:noWrap/>
            <w:vAlign w:val="center"/>
          </w:tcPr>
          <w:p>
            <w:pPr>
              <w:widowControl/>
              <w:spacing w:line="276" w:lineRule="auto"/>
              <w:jc w:val="center"/>
              <w:rPr>
                <w:rFonts w:ascii="仿宋" w:hAnsi="仿宋" w:eastAsia="仿宋" w:cs="Times New Roman"/>
                <w:kern w:val="0"/>
                <w:szCs w:val="21"/>
              </w:rPr>
            </w:pPr>
            <w:r>
              <w:rPr>
                <w:rFonts w:ascii="仿宋" w:hAnsi="仿宋" w:eastAsia="仿宋" w:cs="Times New Roman"/>
                <w:kern w:val="0"/>
                <w:szCs w:val="21"/>
              </w:rPr>
              <w:t>90</w:t>
            </w:r>
          </w:p>
        </w:tc>
        <w:tc>
          <w:tcPr>
            <w:tcW w:w="932" w:type="pct"/>
            <w:shd w:val="clear" w:color="auto" w:fill="D2EAF0" w:themeFill="accent5" w:themeFillTint="3F"/>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北京特色指标</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restart"/>
            <w:tcBorders>
              <w:top w:val="single" w:color="auto" w:sz="4" w:space="0"/>
              <w:left w:val="single" w:color="auto" w:sz="4" w:space="0"/>
              <w:bottom w:val="nil"/>
              <w:right w:val="single" w:color="FFFFFF" w:themeColor="background1" w:sz="8" w:space="0"/>
              <w:insideH w:val="nil"/>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r>
              <w:rPr>
                <w:rFonts w:hint="eastAsia" w:ascii="仿宋" w:hAnsi="仿宋" w:eastAsia="仿宋" w:cs="Times New Roman"/>
                <w:b/>
                <w:bCs/>
                <w:i w:val="0"/>
                <w:iCs w:val="0"/>
                <w:color w:val="000000"/>
                <w:kern w:val="0"/>
                <w:szCs w:val="21"/>
              </w:rPr>
              <w:t>高质量发展指标</w:t>
            </w:r>
          </w:p>
        </w:tc>
        <w:tc>
          <w:tcPr>
            <w:tcW w:w="240" w:type="pct"/>
            <w:tcBorders>
              <w:top w:val="single" w:color="FFFFFF" w:themeColor="background1" w:sz="8" w:space="0"/>
              <w:left w:val="single" w:color="auto" w:sz="4"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城区绿地有机覆盖率</w:t>
            </w:r>
          </w:p>
        </w:tc>
        <w:tc>
          <w:tcPr>
            <w:tcW w:w="406"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w:t>
            </w:r>
          </w:p>
        </w:tc>
        <w:tc>
          <w:tcPr>
            <w:tcW w:w="569"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55</w:t>
            </w:r>
          </w:p>
        </w:tc>
        <w:tc>
          <w:tcPr>
            <w:tcW w:w="50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w:t>
            </w:r>
            <w:r>
              <w:rPr>
                <w:rFonts w:ascii="仿宋" w:hAnsi="仿宋" w:eastAsia="仿宋" w:cs="Times New Roman"/>
                <w:kern w:val="0"/>
                <w:szCs w:val="21"/>
              </w:rPr>
              <w:t>60</w:t>
            </w:r>
          </w:p>
        </w:tc>
        <w:tc>
          <w:tcPr>
            <w:tcW w:w="932"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国家标准6</w:t>
            </w:r>
            <w:r>
              <w:rPr>
                <w:rFonts w:ascii="仿宋" w:hAnsi="仿宋" w:eastAsia="仿宋" w:cs="Times New Roman"/>
                <w:kern w:val="0"/>
                <w:szCs w:val="21"/>
              </w:rPr>
              <w:t>0</w:t>
            </w:r>
            <w:r>
              <w:rPr>
                <w:rFonts w:hint="eastAsia" w:ascii="仿宋" w:hAnsi="仿宋" w:eastAsia="仿宋" w:cs="Times New Roman"/>
                <w:kern w:val="0"/>
                <w:szCs w:val="21"/>
              </w:rPr>
              <w:t>%</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left w:val="single" w:color="auto" w:sz="4" w:space="0"/>
              <w:bottom w:val="nil"/>
              <w:right w:val="single" w:color="auto" w:sz="4" w:space="0"/>
              <w:insideH w:val="nil"/>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left w:val="single" w:color="auto" w:sz="4" w:space="0"/>
            </w:tcBorders>
            <w:shd w:val="clear" w:color="auto" w:fill="D2EAF0" w:themeFill="accent5" w:themeFillTint="3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shd w:val="clear" w:color="auto" w:fill="D2EAF0" w:themeFill="accent5" w:themeFillTint="3F"/>
            <w:noWrap/>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城市森林公园自然度</w:t>
            </w:r>
          </w:p>
        </w:tc>
        <w:tc>
          <w:tcPr>
            <w:tcW w:w="406"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w:t>
            </w:r>
          </w:p>
        </w:tc>
        <w:tc>
          <w:tcPr>
            <w:tcW w:w="569"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w:t>
            </w:r>
          </w:p>
        </w:tc>
        <w:tc>
          <w:tcPr>
            <w:tcW w:w="505" w:type="pct"/>
            <w:shd w:val="clear" w:color="auto" w:fill="D2EAF0" w:themeFill="accent5" w:themeFillTint="3F"/>
            <w:noWrap/>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≥3</w:t>
            </w:r>
            <w:r>
              <w:rPr>
                <w:rFonts w:ascii="仿宋" w:hAnsi="仿宋" w:eastAsia="仿宋" w:cs="Times New Roman"/>
                <w:kern w:val="0"/>
                <w:szCs w:val="21"/>
              </w:rPr>
              <w:t>0</w:t>
            </w:r>
          </w:p>
        </w:tc>
        <w:tc>
          <w:tcPr>
            <w:tcW w:w="932" w:type="pct"/>
            <w:shd w:val="clear" w:color="auto" w:fill="D2EAF0" w:themeFill="accent5" w:themeFillTint="3F"/>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北京特色指标</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FFFFFF" w:themeColor="background1" w:sz="8" w:space="0"/>
              <w:left w:val="single" w:color="auto" w:sz="4" w:space="0"/>
              <w:bottom w:val="nil"/>
              <w:right w:val="single" w:color="FFFFFF" w:themeColor="background1" w:sz="8" w:space="0"/>
              <w:insideH w:val="nil"/>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top w:val="single" w:color="FFFFFF" w:themeColor="background1" w:sz="8" w:space="0"/>
              <w:left w:val="single" w:color="auto" w:sz="4"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kern w:val="0"/>
                <w:szCs w:val="21"/>
              </w:rPr>
              <w:t>城区</w:t>
            </w:r>
            <w:r>
              <w:rPr>
                <w:rFonts w:ascii="仿宋" w:hAnsi="仿宋" w:eastAsia="仿宋" w:cs="Times New Roman"/>
                <w:kern w:val="0"/>
                <w:szCs w:val="21"/>
              </w:rPr>
              <w:t>街道绿视率</w:t>
            </w:r>
          </w:p>
        </w:tc>
        <w:tc>
          <w:tcPr>
            <w:tcW w:w="406"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kern w:val="0"/>
                <w:szCs w:val="21"/>
              </w:rPr>
              <w:t>%</w:t>
            </w:r>
          </w:p>
        </w:tc>
        <w:tc>
          <w:tcPr>
            <w:tcW w:w="569"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kern w:val="0"/>
                <w:szCs w:val="21"/>
              </w:rPr>
              <w:t>30.51</w:t>
            </w:r>
          </w:p>
        </w:tc>
        <w:tc>
          <w:tcPr>
            <w:tcW w:w="50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w:t>
            </w:r>
            <w:r>
              <w:rPr>
                <w:rFonts w:ascii="仿宋" w:hAnsi="仿宋" w:eastAsia="仿宋" w:cs="Times New Roman"/>
                <w:kern w:val="0"/>
                <w:szCs w:val="21"/>
              </w:rPr>
              <w:t>31.5</w:t>
            </w:r>
          </w:p>
        </w:tc>
        <w:tc>
          <w:tcPr>
            <w:tcW w:w="932"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北京特色指标</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left w:val="single" w:color="auto" w:sz="4" w:space="0"/>
              <w:bottom w:val="nil"/>
              <w:right w:val="single" w:color="auto" w:sz="4" w:space="0"/>
              <w:insideH w:val="nil"/>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left w:val="single" w:color="auto" w:sz="4" w:space="0"/>
            </w:tcBorders>
            <w:shd w:val="clear" w:color="auto" w:fill="D2EAF0" w:themeFill="accent5" w:themeFillTint="3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shd w:val="clear" w:color="auto" w:fill="D2EAF0" w:themeFill="accent5" w:themeFillTint="3F"/>
            <w:noWrap/>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kern w:val="0"/>
                <w:szCs w:val="21"/>
              </w:rPr>
              <w:t>平原森林培育密度</w:t>
            </w:r>
          </w:p>
        </w:tc>
        <w:tc>
          <w:tcPr>
            <w:tcW w:w="406"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株/亩</w:t>
            </w:r>
          </w:p>
        </w:tc>
        <w:tc>
          <w:tcPr>
            <w:tcW w:w="569"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hint="eastAsia" w:ascii="仿宋" w:hAnsi="仿宋" w:eastAsia="仿宋" w:cs="Times New Roman"/>
                <w:kern w:val="0"/>
                <w:szCs w:val="21"/>
              </w:rPr>
              <w:t>＞</w:t>
            </w:r>
            <w:r>
              <w:rPr>
                <w:rFonts w:ascii="仿宋" w:hAnsi="仿宋" w:eastAsia="仿宋" w:cs="Times New Roman"/>
                <w:kern w:val="0"/>
                <w:szCs w:val="21"/>
              </w:rPr>
              <w:t>150</w:t>
            </w:r>
          </w:p>
        </w:tc>
        <w:tc>
          <w:tcPr>
            <w:tcW w:w="505" w:type="pct"/>
            <w:shd w:val="clear" w:color="auto" w:fill="D2EAF0" w:themeFill="accent5" w:themeFillTint="3F"/>
            <w:noWrap/>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w:t>
            </w:r>
            <w:r>
              <w:rPr>
                <w:rFonts w:ascii="仿宋" w:hAnsi="仿宋" w:eastAsia="仿宋" w:cs="Times New Roman"/>
                <w:kern w:val="0"/>
                <w:szCs w:val="21"/>
              </w:rPr>
              <w:t>20</w:t>
            </w:r>
          </w:p>
        </w:tc>
        <w:tc>
          <w:tcPr>
            <w:tcW w:w="932" w:type="pct"/>
            <w:shd w:val="clear" w:color="auto" w:fill="D2EAF0" w:themeFill="accent5" w:themeFillTint="3F"/>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kern w:val="0"/>
                <w:szCs w:val="21"/>
              </w:rPr>
              <w:t>北京特色指标</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FFFFFF" w:themeColor="background1" w:sz="8" w:space="0"/>
              <w:left w:val="single" w:color="auto" w:sz="4" w:space="0"/>
              <w:bottom w:val="nil"/>
              <w:right w:val="single" w:color="FFFFFF" w:themeColor="background1" w:sz="8" w:space="0"/>
              <w:insideH w:val="nil"/>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top w:val="single" w:color="FFFFFF" w:themeColor="background1" w:sz="8" w:space="0"/>
              <w:left w:val="single" w:color="auto" w:sz="4"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themeColor="text1"/>
                <w:kern w:val="0"/>
                <w:szCs w:val="21"/>
                <w14:textFill>
                  <w14:solidFill>
                    <w14:schemeClr w14:val="tx1"/>
                  </w14:solidFill>
                </w14:textFill>
              </w:rPr>
              <w:t>原冠苗使用率</w:t>
            </w:r>
          </w:p>
        </w:tc>
        <w:tc>
          <w:tcPr>
            <w:tcW w:w="406"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themeColor="text1"/>
                <w:kern w:val="0"/>
                <w:szCs w:val="21"/>
                <w14:textFill>
                  <w14:solidFill>
                    <w14:schemeClr w14:val="tx1"/>
                  </w14:solidFill>
                </w14:textFill>
              </w:rPr>
              <w:t>%</w:t>
            </w:r>
          </w:p>
        </w:tc>
        <w:tc>
          <w:tcPr>
            <w:tcW w:w="569"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themeColor="text1"/>
                <w:kern w:val="0"/>
                <w:szCs w:val="21"/>
                <w14:textFill>
                  <w14:solidFill>
                    <w14:schemeClr w14:val="tx1"/>
                  </w14:solidFill>
                </w14:textFill>
              </w:rPr>
              <w:t>—</w:t>
            </w:r>
          </w:p>
        </w:tc>
        <w:tc>
          <w:tcPr>
            <w:tcW w:w="50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color w:val="000000" w:themeColor="text1"/>
                <w:kern w:val="0"/>
                <w:szCs w:val="21"/>
                <w14:textFill>
                  <w14:solidFill>
                    <w14:schemeClr w14:val="tx1"/>
                  </w14:solidFill>
                </w14:textFill>
              </w:rPr>
              <w:t>≥</w:t>
            </w:r>
            <w:r>
              <w:rPr>
                <w:rFonts w:ascii="仿宋" w:hAnsi="仿宋" w:eastAsia="仿宋" w:cs="Times New Roman"/>
                <w:color w:val="000000" w:themeColor="text1"/>
                <w:kern w:val="0"/>
                <w:szCs w:val="21"/>
                <w14:textFill>
                  <w14:solidFill>
                    <w14:schemeClr w14:val="tx1"/>
                  </w14:solidFill>
                </w14:textFill>
              </w:rPr>
              <w:t>60</w:t>
            </w:r>
          </w:p>
        </w:tc>
        <w:tc>
          <w:tcPr>
            <w:tcW w:w="932"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color w:val="000000" w:themeColor="text1"/>
                <w:kern w:val="0"/>
                <w:szCs w:val="21"/>
                <w14:textFill>
                  <w14:solidFill>
                    <w14:schemeClr w14:val="tx1"/>
                  </w14:solidFill>
                </w14:textFill>
              </w:rPr>
              <w:t>北京特色指标</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left w:val="single" w:color="auto" w:sz="4" w:space="0"/>
              <w:bottom w:val="nil"/>
              <w:right w:val="single" w:color="auto" w:sz="4" w:space="0"/>
              <w:insideH w:val="nil"/>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left w:val="single" w:color="auto" w:sz="4" w:space="0"/>
            </w:tcBorders>
            <w:shd w:val="clear" w:color="auto" w:fill="D2EAF0" w:themeFill="accent5" w:themeFillTint="3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shd w:val="clear" w:color="auto" w:fill="D2EAF0" w:themeFill="accent5" w:themeFillTint="3F"/>
            <w:noWrap/>
            <w:vAlign w:val="center"/>
          </w:tcPr>
          <w:p>
            <w:pPr>
              <w:widowControl/>
              <w:spacing w:line="276" w:lineRule="auto"/>
              <w:rPr>
                <w:rFonts w:ascii="仿宋" w:hAnsi="仿宋" w:eastAsia="仿宋" w:cs="Times New Roman"/>
                <w:color w:val="000000"/>
                <w:kern w:val="0"/>
                <w:szCs w:val="21"/>
              </w:rPr>
            </w:pPr>
            <w:r>
              <w:rPr>
                <w:rFonts w:ascii="仿宋" w:hAnsi="仿宋" w:eastAsia="仿宋" w:cs="Times New Roman"/>
                <w:color w:val="000000" w:themeColor="text1"/>
                <w:kern w:val="0"/>
                <w:szCs w:val="21"/>
                <w14:textFill>
                  <w14:solidFill>
                    <w14:schemeClr w14:val="tx1"/>
                  </w14:solidFill>
                </w14:textFill>
              </w:rPr>
              <w:t>长寿树种使用比例</w:t>
            </w:r>
          </w:p>
        </w:tc>
        <w:tc>
          <w:tcPr>
            <w:tcW w:w="406"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themeColor="text1"/>
                <w:kern w:val="0"/>
                <w:szCs w:val="21"/>
                <w14:textFill>
                  <w14:solidFill>
                    <w14:schemeClr w14:val="tx1"/>
                  </w14:solidFill>
                </w14:textFill>
              </w:rPr>
              <w:t>%</w:t>
            </w:r>
          </w:p>
        </w:tc>
        <w:tc>
          <w:tcPr>
            <w:tcW w:w="569" w:type="pct"/>
            <w:shd w:val="clear" w:color="auto" w:fill="D2EAF0" w:themeFill="accent5" w:themeFillTint="3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themeColor="text1"/>
                <w:kern w:val="0"/>
                <w:szCs w:val="21"/>
                <w14:textFill>
                  <w14:solidFill>
                    <w14:schemeClr w14:val="tx1"/>
                  </w14:solidFill>
                </w14:textFill>
              </w:rPr>
              <w:t>66.7</w:t>
            </w:r>
          </w:p>
        </w:tc>
        <w:tc>
          <w:tcPr>
            <w:tcW w:w="505" w:type="pct"/>
            <w:shd w:val="clear" w:color="auto" w:fill="D2EAF0" w:themeFill="accent5" w:themeFillTint="3F"/>
            <w:noWrap/>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color w:val="000000" w:themeColor="text1"/>
                <w:kern w:val="0"/>
                <w:szCs w:val="21"/>
                <w14:textFill>
                  <w14:solidFill>
                    <w14:schemeClr w14:val="tx1"/>
                  </w14:solidFill>
                </w14:textFill>
              </w:rPr>
              <w:t>≥</w:t>
            </w:r>
            <w:r>
              <w:rPr>
                <w:rFonts w:ascii="仿宋" w:hAnsi="仿宋" w:eastAsia="仿宋" w:cs="Times New Roman"/>
                <w:color w:val="000000" w:themeColor="text1"/>
                <w:kern w:val="0"/>
                <w:szCs w:val="21"/>
                <w14:textFill>
                  <w14:solidFill>
                    <w14:schemeClr w14:val="tx1"/>
                  </w14:solidFill>
                </w14:textFill>
              </w:rPr>
              <w:t>70</w:t>
            </w:r>
          </w:p>
        </w:tc>
        <w:tc>
          <w:tcPr>
            <w:tcW w:w="932" w:type="pct"/>
            <w:shd w:val="clear" w:color="auto" w:fill="D2EAF0" w:themeFill="accent5" w:themeFillTint="3F"/>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color w:val="000000" w:themeColor="text1"/>
                <w:kern w:val="0"/>
                <w:szCs w:val="21"/>
                <w14:textFill>
                  <w14:solidFill>
                    <w14:schemeClr w14:val="tx1"/>
                  </w14:solidFill>
                </w14:textFill>
              </w:rPr>
              <w:t>北京特色指标</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FFFFFF" w:themeColor="background1" w:sz="8" w:space="0"/>
              <w:left w:val="single" w:color="auto" w:sz="4" w:space="0"/>
              <w:bottom w:val="nil"/>
              <w:right w:val="single" w:color="FFFFFF" w:themeColor="background1" w:sz="8" w:space="0"/>
              <w:insideH w:val="nil"/>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top w:val="single" w:color="FFFFFF" w:themeColor="background1" w:sz="8" w:space="0"/>
              <w:left w:val="single" w:color="auto" w:sz="4"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rPr>
                <w:rFonts w:ascii="仿宋" w:hAnsi="仿宋" w:eastAsia="仿宋" w:cs="Times New Roman"/>
                <w:color w:val="000000"/>
                <w:kern w:val="0"/>
                <w:szCs w:val="21"/>
              </w:rPr>
            </w:pPr>
            <w:r>
              <w:rPr>
                <w:rFonts w:hint="eastAsia" w:ascii="仿宋" w:hAnsi="仿宋" w:eastAsia="仿宋" w:cs="Times New Roman"/>
                <w:color w:val="000000" w:themeColor="text1"/>
                <w:kern w:val="0"/>
                <w:szCs w:val="21"/>
                <w14:textFill>
                  <w14:solidFill>
                    <w14:schemeClr w14:val="tx1"/>
                  </w14:solidFill>
                </w14:textFill>
              </w:rPr>
              <w:t>每年完成森林质量提升面积比例</w:t>
            </w:r>
          </w:p>
        </w:tc>
        <w:tc>
          <w:tcPr>
            <w:tcW w:w="406"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themeColor="text1"/>
                <w:kern w:val="0"/>
                <w:szCs w:val="21"/>
                <w14:textFill>
                  <w14:solidFill>
                    <w14:schemeClr w14:val="tx1"/>
                  </w14:solidFill>
                </w14:textFill>
              </w:rPr>
              <w:t>%</w:t>
            </w:r>
          </w:p>
        </w:tc>
        <w:tc>
          <w:tcPr>
            <w:tcW w:w="569"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kern w:val="0"/>
                <w:szCs w:val="21"/>
              </w:rPr>
            </w:pPr>
            <w:r>
              <w:rPr>
                <w:rFonts w:ascii="仿宋" w:hAnsi="仿宋" w:eastAsia="仿宋" w:cs="Times New Roman"/>
                <w:color w:val="000000" w:themeColor="text1"/>
                <w:kern w:val="0"/>
                <w:szCs w:val="21"/>
                <w14:textFill>
                  <w14:solidFill>
                    <w14:schemeClr w14:val="tx1"/>
                  </w14:solidFill>
                </w14:textFill>
              </w:rPr>
              <w:t>—</w:t>
            </w:r>
          </w:p>
        </w:tc>
        <w:tc>
          <w:tcPr>
            <w:tcW w:w="50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color w:val="000000" w:themeColor="text1"/>
                <w:kern w:val="0"/>
                <w:szCs w:val="21"/>
                <w14:textFill>
                  <w14:solidFill>
                    <w14:schemeClr w14:val="tx1"/>
                  </w14:solidFill>
                </w14:textFill>
              </w:rPr>
              <w:t>≥</w:t>
            </w:r>
            <w:r>
              <w:rPr>
                <w:rFonts w:ascii="仿宋" w:hAnsi="仿宋" w:eastAsia="仿宋" w:cs="Times New Roman"/>
                <w:color w:val="000000" w:themeColor="text1"/>
                <w:kern w:val="0"/>
                <w:szCs w:val="21"/>
                <w14:textFill>
                  <w14:solidFill>
                    <w14:schemeClr w14:val="tx1"/>
                  </w14:solidFill>
                </w14:textFill>
              </w:rPr>
              <w:t>10</w:t>
            </w:r>
          </w:p>
        </w:tc>
        <w:tc>
          <w:tcPr>
            <w:tcW w:w="932"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jc w:val="center"/>
              <w:rPr>
                <w:rFonts w:ascii="仿宋" w:hAnsi="仿宋" w:eastAsia="仿宋" w:cs="Times New Roman"/>
                <w:kern w:val="0"/>
                <w:szCs w:val="21"/>
              </w:rPr>
            </w:pPr>
            <w:r>
              <w:rPr>
                <w:rFonts w:hint="eastAsia" w:ascii="仿宋" w:hAnsi="仿宋" w:eastAsia="仿宋" w:cs="Times New Roman"/>
                <w:color w:val="000000" w:themeColor="text1"/>
                <w:kern w:val="0"/>
                <w:szCs w:val="21"/>
                <w14:textFill>
                  <w14:solidFill>
                    <w14:schemeClr w14:val="tx1"/>
                  </w14:solidFill>
                </w14:textFill>
              </w:rPr>
              <w:t>国家标准</w:t>
            </w:r>
            <w:r>
              <w:rPr>
                <w:rFonts w:ascii="仿宋" w:hAnsi="仿宋" w:eastAsia="仿宋" w:cs="Times New Roman"/>
                <w:color w:val="000000" w:themeColor="text1"/>
                <w:kern w:val="0"/>
                <w:szCs w:val="21"/>
                <w14:textFill>
                  <w14:solidFill>
                    <w14:schemeClr w14:val="tx1"/>
                  </w14:solidFill>
                </w14:textFill>
              </w:rPr>
              <w:t>10</w:t>
            </w:r>
            <w:r>
              <w:rPr>
                <w:rFonts w:hint="eastAsia" w:ascii="仿宋" w:hAnsi="仿宋" w:eastAsia="仿宋" w:cs="Times New Roman"/>
                <w:color w:val="000000" w:themeColor="text1"/>
                <w:kern w:val="0"/>
                <w:szCs w:val="21"/>
                <w14:textFill>
                  <w14:solidFill>
                    <w14:schemeClr w14:val="tx1"/>
                  </w14:solidFill>
                </w14:textFill>
              </w:rPr>
              <w:t>%</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left w:val="single" w:color="auto" w:sz="4" w:space="0"/>
              <w:bottom w:val="nil"/>
              <w:right w:val="single" w:color="auto" w:sz="4" w:space="0"/>
              <w:insideH w:val="nil"/>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left w:val="single" w:color="auto" w:sz="4" w:space="0"/>
            </w:tcBorders>
            <w:shd w:val="clear" w:color="auto" w:fill="D2EAF0" w:themeFill="accent5" w:themeFillTint="3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shd w:val="clear" w:color="auto" w:fill="D2EAF0" w:themeFill="accent5" w:themeFillTint="3F"/>
            <w:noWrap/>
            <w:vAlign w:val="center"/>
          </w:tcPr>
          <w:p>
            <w:pPr>
              <w:widowControl/>
              <w:spacing w:line="276" w:lineRule="auto"/>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受损弃置地生态修复率</w:t>
            </w:r>
          </w:p>
        </w:tc>
        <w:tc>
          <w:tcPr>
            <w:tcW w:w="406"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ascii="仿宋" w:hAnsi="仿宋" w:eastAsia="仿宋" w:cs="Times New Roman"/>
                <w:color w:val="000000" w:themeColor="text1"/>
                <w:kern w:val="0"/>
                <w:szCs w:val="21"/>
                <w14:textFill>
                  <w14:solidFill>
                    <w14:schemeClr w14:val="tx1"/>
                  </w14:solidFill>
                </w14:textFill>
              </w:rPr>
              <w:t>%</w:t>
            </w:r>
          </w:p>
        </w:tc>
        <w:tc>
          <w:tcPr>
            <w:tcW w:w="569"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ascii="仿宋" w:hAnsi="仿宋" w:eastAsia="仿宋" w:cs="Times New Roman"/>
                <w:color w:val="000000" w:themeColor="text1"/>
                <w:kern w:val="0"/>
                <w:szCs w:val="21"/>
                <w14:textFill>
                  <w14:solidFill>
                    <w14:schemeClr w14:val="tx1"/>
                  </w14:solidFill>
                </w14:textFill>
              </w:rPr>
              <w:t>70</w:t>
            </w:r>
          </w:p>
        </w:tc>
        <w:tc>
          <w:tcPr>
            <w:tcW w:w="505"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w:t>
            </w:r>
            <w:r>
              <w:rPr>
                <w:rFonts w:ascii="仿宋" w:hAnsi="仿宋" w:eastAsia="仿宋" w:cs="Times New Roman"/>
                <w:color w:val="000000" w:themeColor="text1"/>
                <w:kern w:val="0"/>
                <w:szCs w:val="21"/>
                <w14:textFill>
                  <w14:solidFill>
                    <w14:schemeClr w14:val="tx1"/>
                  </w14:solidFill>
                </w14:textFill>
              </w:rPr>
              <w:t>80</w:t>
            </w:r>
          </w:p>
        </w:tc>
        <w:tc>
          <w:tcPr>
            <w:tcW w:w="932" w:type="pct"/>
            <w:shd w:val="clear" w:color="auto" w:fill="D2EAF0" w:themeFill="accent5" w:themeFillTint="3F"/>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国家标准8</w:t>
            </w:r>
            <w:r>
              <w:rPr>
                <w:rFonts w:ascii="仿宋" w:hAnsi="仿宋" w:eastAsia="仿宋" w:cs="Times New Roman"/>
                <w:color w:val="000000" w:themeColor="text1"/>
                <w:kern w:val="0"/>
                <w:szCs w:val="21"/>
                <w14:textFill>
                  <w14:solidFill>
                    <w14:schemeClr w14:val="tx1"/>
                  </w14:solidFill>
                </w14:textFill>
              </w:rPr>
              <w:t>0</w:t>
            </w:r>
            <w:r>
              <w:rPr>
                <w:rFonts w:hint="eastAsia" w:ascii="仿宋" w:hAnsi="仿宋" w:eastAsia="仿宋" w:cs="Times New Roman"/>
                <w:color w:val="000000" w:themeColor="text1"/>
                <w:kern w:val="0"/>
                <w:szCs w:val="21"/>
                <w14:textFill>
                  <w14:solidFill>
                    <w14:schemeClr w14:val="tx1"/>
                  </w14:solidFill>
                </w14:textFill>
              </w:rPr>
              <w:t>%</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restart"/>
            <w:tcBorders>
              <w:top w:val="single" w:color="auto" w:sz="4" w:space="0"/>
              <w:left w:val="single" w:color="auto" w:sz="4" w:space="0"/>
              <w:bottom w:val="nil"/>
              <w:right w:val="single" w:color="FFFFFF" w:themeColor="background1" w:sz="8" w:space="0"/>
              <w:insideH w:val="nil"/>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r>
              <w:rPr>
                <w:rFonts w:ascii="仿宋" w:hAnsi="仿宋" w:eastAsia="仿宋" w:cs="Times New Roman"/>
                <w:b/>
                <w:bCs/>
                <w:i w:val="0"/>
                <w:iCs w:val="0"/>
                <w:color w:val="000000"/>
                <w:kern w:val="0"/>
                <w:szCs w:val="21"/>
              </w:rPr>
              <w:t>森林资源管护指标</w:t>
            </w:r>
          </w:p>
        </w:tc>
        <w:tc>
          <w:tcPr>
            <w:tcW w:w="240" w:type="pct"/>
            <w:tcBorders>
              <w:top w:val="single" w:color="FFFFFF" w:themeColor="background1" w:sz="8" w:space="0"/>
              <w:left w:val="single" w:color="auto" w:sz="4"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重大涉林犯罪案件和公共事件</w:t>
            </w:r>
          </w:p>
        </w:tc>
        <w:tc>
          <w:tcPr>
            <w:tcW w:w="406"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ascii="仿宋" w:hAnsi="仿宋" w:eastAsia="仿宋" w:cs="Times New Roman"/>
                <w:color w:val="000000" w:themeColor="text1"/>
                <w:kern w:val="0"/>
                <w:szCs w:val="21"/>
                <w14:textFill>
                  <w14:solidFill>
                    <w14:schemeClr w14:val="tx1"/>
                  </w14:solidFill>
                </w14:textFill>
              </w:rPr>
              <w:t>件</w:t>
            </w:r>
          </w:p>
        </w:tc>
        <w:tc>
          <w:tcPr>
            <w:tcW w:w="569"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ascii="仿宋" w:hAnsi="仿宋" w:eastAsia="仿宋" w:cs="Times New Roman"/>
                <w:color w:val="000000" w:themeColor="text1"/>
                <w:kern w:val="0"/>
                <w:szCs w:val="21"/>
                <w14:textFill>
                  <w14:solidFill>
                    <w14:schemeClr w14:val="tx1"/>
                  </w14:solidFill>
                </w14:textFill>
              </w:rPr>
              <w:t>0</w:t>
            </w:r>
          </w:p>
        </w:tc>
        <w:tc>
          <w:tcPr>
            <w:tcW w:w="50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ascii="仿宋" w:hAnsi="仿宋" w:eastAsia="仿宋" w:cs="Times New Roman"/>
                <w:color w:val="000000" w:themeColor="text1"/>
                <w:kern w:val="0"/>
                <w:szCs w:val="21"/>
                <w14:textFill>
                  <w14:solidFill>
                    <w14:schemeClr w14:val="tx1"/>
                  </w14:solidFill>
                </w14:textFill>
              </w:rPr>
              <w:t>0</w:t>
            </w:r>
          </w:p>
        </w:tc>
        <w:tc>
          <w:tcPr>
            <w:tcW w:w="932"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国家标准0次</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auto" w:sz="4" w:space="0"/>
              <w:insideH w:val="nil"/>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left w:val="single" w:color="auto" w:sz="4" w:space="0"/>
            </w:tcBorders>
            <w:shd w:val="clear" w:color="auto" w:fill="D2EAF0" w:themeFill="accent5" w:themeFillTint="3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shd w:val="clear" w:color="auto" w:fill="D2EAF0" w:themeFill="accent5" w:themeFillTint="3F"/>
            <w:noWrap/>
            <w:vAlign w:val="center"/>
          </w:tcPr>
          <w:p>
            <w:pPr>
              <w:widowControl/>
              <w:spacing w:line="276" w:lineRule="auto"/>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智慧监测系统</w:t>
            </w:r>
          </w:p>
        </w:tc>
        <w:tc>
          <w:tcPr>
            <w:tcW w:w="406"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个</w:t>
            </w:r>
          </w:p>
        </w:tc>
        <w:tc>
          <w:tcPr>
            <w:tcW w:w="569"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w:t>
            </w:r>
          </w:p>
        </w:tc>
        <w:tc>
          <w:tcPr>
            <w:tcW w:w="505"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完备</w:t>
            </w:r>
          </w:p>
        </w:tc>
        <w:tc>
          <w:tcPr>
            <w:tcW w:w="932" w:type="pct"/>
            <w:shd w:val="clear" w:color="auto" w:fill="D2EAF0" w:themeFill="accent5" w:themeFillTint="3F"/>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北京特色指标</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FFFFFF" w:themeColor="background1" w:sz="8" w:space="0"/>
              <w:insideH w:val="nil"/>
              <w:insideV w:val="single" w:sz="8"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top w:val="single" w:color="FFFFFF" w:themeColor="background1" w:sz="8" w:space="0"/>
              <w:left w:val="single" w:color="auto" w:sz="4"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智慧管理系统</w:t>
            </w:r>
          </w:p>
        </w:tc>
        <w:tc>
          <w:tcPr>
            <w:tcW w:w="406"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个</w:t>
            </w:r>
          </w:p>
        </w:tc>
        <w:tc>
          <w:tcPr>
            <w:tcW w:w="569"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w:t>
            </w:r>
          </w:p>
        </w:tc>
        <w:tc>
          <w:tcPr>
            <w:tcW w:w="505"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完备</w:t>
            </w:r>
          </w:p>
        </w:tc>
        <w:tc>
          <w:tcPr>
            <w:tcW w:w="932" w:type="pct"/>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北京特色指标</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395" w:type="pct"/>
            <w:vMerge w:val="continue"/>
            <w:tcBorders>
              <w:top w:val="single" w:color="auto" w:sz="4" w:space="0"/>
              <w:left w:val="single" w:color="auto" w:sz="4" w:space="0"/>
              <w:bottom w:val="nil"/>
              <w:right w:val="single" w:color="auto" w:sz="4" w:space="0"/>
              <w:insideH w:val="nil"/>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kern w:val="0"/>
                <w:szCs w:val="21"/>
              </w:rPr>
            </w:pPr>
          </w:p>
        </w:tc>
        <w:tc>
          <w:tcPr>
            <w:tcW w:w="240" w:type="pct"/>
            <w:tcBorders>
              <w:left w:val="single" w:color="auto" w:sz="4" w:space="0"/>
            </w:tcBorders>
            <w:shd w:val="clear" w:color="auto" w:fill="D2EAF0" w:themeFill="accent5" w:themeFillTint="3F"/>
            <w:noWrap/>
            <w:vAlign w:val="center"/>
          </w:tcPr>
          <w:p>
            <w:pPr>
              <w:pStyle w:val="46"/>
              <w:widowControl/>
              <w:numPr>
                <w:ilvl w:val="0"/>
                <w:numId w:val="9"/>
              </w:numPr>
              <w:spacing w:line="276" w:lineRule="auto"/>
              <w:ind w:firstLineChars="0"/>
              <w:rPr>
                <w:rFonts w:ascii="仿宋" w:hAnsi="仿宋" w:eastAsia="仿宋" w:cs="Times New Roman"/>
                <w:color w:val="000000"/>
                <w:kern w:val="0"/>
                <w:szCs w:val="21"/>
              </w:rPr>
            </w:pPr>
          </w:p>
        </w:tc>
        <w:tc>
          <w:tcPr>
            <w:tcW w:w="1953" w:type="pct"/>
            <w:gridSpan w:val="3"/>
            <w:shd w:val="clear" w:color="auto" w:fill="D2EAF0" w:themeFill="accent5" w:themeFillTint="3F"/>
            <w:noWrap/>
            <w:vAlign w:val="center"/>
          </w:tcPr>
          <w:p>
            <w:pPr>
              <w:widowControl/>
              <w:spacing w:line="276" w:lineRule="auto"/>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智慧服务系统</w:t>
            </w:r>
          </w:p>
        </w:tc>
        <w:tc>
          <w:tcPr>
            <w:tcW w:w="406"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个</w:t>
            </w:r>
          </w:p>
        </w:tc>
        <w:tc>
          <w:tcPr>
            <w:tcW w:w="569"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w:t>
            </w:r>
          </w:p>
        </w:tc>
        <w:tc>
          <w:tcPr>
            <w:tcW w:w="505" w:type="pct"/>
            <w:shd w:val="clear" w:color="auto" w:fill="D2EAF0" w:themeFill="accent5" w:themeFillTint="3F"/>
            <w:noWrap/>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完备</w:t>
            </w:r>
          </w:p>
        </w:tc>
        <w:tc>
          <w:tcPr>
            <w:tcW w:w="932" w:type="pct"/>
            <w:shd w:val="clear" w:color="auto" w:fill="D2EAF0" w:themeFill="accent5" w:themeFillTint="3F"/>
            <w:vAlign w:val="center"/>
          </w:tcPr>
          <w:p>
            <w:pPr>
              <w:widowControl/>
              <w:spacing w:line="276" w:lineRule="auto"/>
              <w:jc w:val="center"/>
              <w:rPr>
                <w:rFonts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北京特色指标</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20" w:hRule="atLeast"/>
        </w:trPr>
        <w:tc>
          <w:tcPr>
            <w:tcW w:w="5000" w:type="pct"/>
            <w:gridSpan w:val="9"/>
            <w:tcBorders>
              <w:top w:val="single" w:color="auto" w:sz="4" w:space="0"/>
              <w:left w:val="single" w:color="auto" w:sz="4" w:space="0"/>
              <w:bottom w:val="single" w:color="auto" w:sz="4" w:space="0"/>
              <w:right w:val="single" w:color="FFFFFF" w:themeColor="background1" w:sz="24" w:space="0"/>
              <w:insideH w:val="nil"/>
              <w:insideV w:val="single" w:sz="24" w:space="0"/>
            </w:tcBorders>
            <w:shd w:val="clear" w:color="auto" w:fill="4BACC6" w:themeFill="accent5"/>
            <w:vAlign w:val="center"/>
          </w:tcPr>
          <w:p>
            <w:pPr>
              <w:widowControl/>
              <w:spacing w:line="276" w:lineRule="auto"/>
              <w:jc w:val="center"/>
              <w:rPr>
                <w:rFonts w:ascii="仿宋" w:hAnsi="仿宋" w:eastAsia="仿宋" w:cs="Times New Roman"/>
                <w:b/>
                <w:bCs/>
                <w:i w:val="0"/>
                <w:iCs w:val="0"/>
                <w:color w:val="000000" w:themeColor="text1"/>
                <w:kern w:val="0"/>
                <w:szCs w:val="21"/>
                <w14:textFill>
                  <w14:solidFill>
                    <w14:schemeClr w14:val="tx1"/>
                  </w14:solidFill>
                </w14:textFill>
              </w:rPr>
            </w:pPr>
            <w:r>
              <w:rPr>
                <w:rFonts w:hint="eastAsia" w:ascii="仿宋" w:hAnsi="仿宋" w:eastAsia="仿宋" w:cs="Times New Roman"/>
                <w:b/>
                <w:bCs/>
                <w:i w:val="0"/>
                <w:iCs w:val="0"/>
                <w:color w:val="000000" w:themeColor="text1"/>
                <w:kern w:val="0"/>
                <w:szCs w:val="21"/>
                <w14:textFill>
                  <w14:solidFill>
                    <w14:schemeClr w14:val="tx1"/>
                  </w14:solidFill>
                </w14:textFill>
              </w:rPr>
              <w:t>注：片林乔木树种丰富度，每</w:t>
            </w:r>
            <w:r>
              <w:rPr>
                <w:rFonts w:ascii="仿宋" w:hAnsi="仿宋" w:eastAsia="仿宋" w:cs="Times New Roman"/>
                <w:b/>
                <w:bCs/>
                <w:i w:val="0"/>
                <w:iCs w:val="0"/>
                <w:color w:val="000000" w:themeColor="text1"/>
                <w:kern w:val="0"/>
                <w:szCs w:val="21"/>
                <w14:textFill>
                  <w14:solidFill>
                    <w14:schemeClr w14:val="tx1"/>
                  </w14:solidFill>
                </w14:textFill>
              </w:rPr>
              <w:t>100</w:t>
            </w:r>
            <w:r>
              <w:rPr>
                <w:rFonts w:hint="eastAsia" w:ascii="仿宋" w:hAnsi="仿宋" w:eastAsia="仿宋" w:cs="Times New Roman"/>
                <w:b/>
                <w:bCs/>
                <w:i w:val="0"/>
                <w:iCs w:val="0"/>
                <w:color w:val="000000" w:themeColor="text1"/>
                <w:kern w:val="0"/>
                <w:szCs w:val="21"/>
                <w14:textFill>
                  <w14:solidFill>
                    <w14:schemeClr w14:val="tx1"/>
                  </w14:solidFill>
                </w14:textFill>
              </w:rPr>
              <w:t>亩林地面积内主要乔木树种（每种比例不小于</w:t>
            </w:r>
            <w:r>
              <w:rPr>
                <w:rFonts w:ascii="仿宋" w:hAnsi="仿宋" w:eastAsia="仿宋" w:cs="Times New Roman"/>
                <w:b/>
                <w:bCs/>
                <w:i w:val="0"/>
                <w:iCs w:val="0"/>
                <w:color w:val="000000" w:themeColor="text1"/>
                <w:kern w:val="0"/>
                <w:szCs w:val="21"/>
                <w14:textFill>
                  <w14:solidFill>
                    <w14:schemeClr w14:val="tx1"/>
                  </w14:solidFill>
                </w14:textFill>
              </w:rPr>
              <w:t>10%</w:t>
            </w:r>
            <w:r>
              <w:rPr>
                <w:rFonts w:hint="eastAsia" w:ascii="仿宋" w:hAnsi="仿宋" w:eastAsia="仿宋" w:cs="Times New Roman"/>
                <w:b/>
                <w:bCs/>
                <w:i w:val="0"/>
                <w:iCs w:val="0"/>
                <w:color w:val="000000" w:themeColor="text1"/>
                <w:kern w:val="0"/>
                <w:szCs w:val="21"/>
                <w14:textFill>
                  <w14:solidFill>
                    <w14:schemeClr w14:val="tx1"/>
                  </w14:solidFill>
                </w14:textFill>
              </w:rPr>
              <w:t>）</w:t>
            </w:r>
          </w:p>
        </w:tc>
      </w:tr>
      <w:bookmarkEnd w:id="166"/>
    </w:tbl>
    <w:p>
      <w:pPr>
        <w:pStyle w:val="3"/>
        <w:spacing w:before="217" w:after="217"/>
        <w:jc w:val="left"/>
        <w:rPr>
          <w:rFonts w:ascii="黑体" w:hAnsi="黑体" w:eastAsia="黑体" w:cs="Times New Roman"/>
          <w:b w:val="0"/>
          <w:bCs w:val="0"/>
        </w:rPr>
      </w:pPr>
      <w:bookmarkStart w:id="167" w:name="_Toc27389907"/>
      <w:bookmarkStart w:id="168" w:name="_Toc535910091"/>
      <w:r>
        <w:rPr>
          <w:rFonts w:hint="eastAsia" w:ascii="黑体" w:hAnsi="黑体" w:eastAsia="黑体" w:cs="Times New Roman"/>
          <w:b w:val="0"/>
          <w:bCs w:val="0"/>
        </w:rPr>
        <w:t>二、阶段目标</w:t>
      </w:r>
      <w:bookmarkEnd w:id="167"/>
      <w:bookmarkEnd w:id="168"/>
    </w:p>
    <w:p>
      <w:pPr>
        <w:pStyle w:val="5"/>
        <w:spacing w:before="0" w:after="0" w:line="276" w:lineRule="auto"/>
        <w:rPr>
          <w:rFonts w:ascii="仿宋" w:hAnsi="仿宋" w:eastAsia="仿宋"/>
        </w:rPr>
      </w:pPr>
      <w:bookmarkStart w:id="169" w:name="_Hlk534208728"/>
      <w:r>
        <w:rPr>
          <w:rFonts w:hint="eastAsia" w:ascii="仿宋" w:hAnsi="仿宋" w:eastAsia="仿宋"/>
        </w:rPr>
        <w:t>1.</w:t>
      </w:r>
      <w:r>
        <w:rPr>
          <w:rFonts w:ascii="仿宋" w:hAnsi="仿宋" w:eastAsia="仿宋"/>
        </w:rPr>
        <w:t>2018</w:t>
      </w:r>
      <w:r>
        <w:rPr>
          <w:rFonts w:hint="eastAsia" w:ascii="仿宋" w:hAnsi="仿宋" w:eastAsia="仿宋"/>
        </w:rPr>
        <w:t>年</w:t>
      </w:r>
      <w:r>
        <w:rPr>
          <w:rFonts w:ascii="仿宋" w:hAnsi="仿宋" w:eastAsia="仿宋"/>
        </w:rPr>
        <w:t>-2020</w:t>
      </w:r>
      <w:r>
        <w:rPr>
          <w:rFonts w:hint="eastAsia" w:ascii="仿宋" w:hAnsi="仿宋" w:eastAsia="仿宋"/>
        </w:rPr>
        <w:t>年目标</w:t>
      </w:r>
    </w:p>
    <w:p>
      <w:pPr>
        <w:spacing w:line="276" w:lineRule="auto"/>
        <w:ind w:firstLine="480"/>
        <w:rPr>
          <w:rFonts w:ascii="仿宋" w:hAnsi="仿宋" w:eastAsia="仿宋" w:cs="Times New Roman"/>
          <w:sz w:val="28"/>
          <w:szCs w:val="28"/>
        </w:rPr>
      </w:pPr>
      <w:r>
        <w:rPr>
          <w:rFonts w:hint="eastAsia" w:ascii="仿宋" w:hAnsi="仿宋" w:eastAsia="仿宋" w:cs="Times New Roman"/>
          <w:sz w:val="28"/>
          <w:szCs w:val="28"/>
        </w:rPr>
        <w:t>有序推动各区开展森林城市建设工作，同步推进首都森林城镇和首都绿色村庄创建活动。在</w:t>
      </w:r>
      <w:r>
        <w:rPr>
          <w:rFonts w:ascii="仿宋" w:hAnsi="仿宋" w:eastAsia="仿宋" w:cs="Times New Roman"/>
          <w:sz w:val="28"/>
          <w:szCs w:val="28"/>
        </w:rPr>
        <w:t>2018</w:t>
      </w:r>
      <w:r>
        <w:rPr>
          <w:rFonts w:hint="eastAsia" w:ascii="仿宋" w:hAnsi="仿宋" w:eastAsia="仿宋" w:cs="Times New Roman"/>
          <w:sz w:val="28"/>
          <w:szCs w:val="28"/>
        </w:rPr>
        <w:t>年平谷区实现首创目标的基础上，</w:t>
      </w:r>
      <w:r>
        <w:rPr>
          <w:rFonts w:ascii="仿宋" w:hAnsi="仿宋" w:eastAsia="仿宋" w:cs="Times New Roman"/>
          <w:sz w:val="28"/>
          <w:szCs w:val="28"/>
        </w:rPr>
        <w:t>2019</w:t>
      </w:r>
      <w:r>
        <w:rPr>
          <w:rFonts w:hint="eastAsia" w:ascii="仿宋" w:hAnsi="仿宋" w:eastAsia="仿宋" w:cs="Times New Roman"/>
          <w:sz w:val="28"/>
          <w:szCs w:val="28"/>
        </w:rPr>
        <w:t>年延庆区实现创森目标，</w:t>
      </w:r>
      <w:r>
        <w:rPr>
          <w:rFonts w:ascii="仿宋" w:hAnsi="仿宋" w:eastAsia="仿宋" w:cs="Times New Roman"/>
          <w:sz w:val="28"/>
          <w:szCs w:val="28"/>
        </w:rPr>
        <w:t>2020</w:t>
      </w:r>
      <w:r>
        <w:rPr>
          <w:rFonts w:hint="eastAsia" w:ascii="仿宋" w:hAnsi="仿宋" w:eastAsia="仿宋" w:cs="Times New Roman"/>
          <w:sz w:val="28"/>
          <w:szCs w:val="28"/>
        </w:rPr>
        <w:t>年通州区、密云区、怀柔区实现创森目标；创建首都森林城镇（省级森林城市，下同）</w:t>
      </w:r>
      <w:r>
        <w:rPr>
          <w:rFonts w:ascii="仿宋" w:hAnsi="仿宋" w:eastAsia="仿宋" w:cs="Times New Roman"/>
          <w:sz w:val="28"/>
          <w:szCs w:val="28"/>
        </w:rPr>
        <w:t>18</w:t>
      </w:r>
      <w:r>
        <w:rPr>
          <w:rFonts w:hint="eastAsia" w:ascii="仿宋" w:hAnsi="仿宋" w:eastAsia="仿宋" w:cs="Times New Roman"/>
          <w:sz w:val="28"/>
          <w:szCs w:val="28"/>
        </w:rPr>
        <w:t>个，首都绿色村庄（省级森林村庄，下同）</w:t>
      </w:r>
      <w:r>
        <w:rPr>
          <w:rFonts w:ascii="仿宋" w:hAnsi="仿宋" w:eastAsia="仿宋" w:cs="Times New Roman"/>
          <w:sz w:val="28"/>
          <w:szCs w:val="28"/>
        </w:rPr>
        <w:t>150</w:t>
      </w:r>
      <w:r>
        <w:rPr>
          <w:rFonts w:hint="eastAsia" w:ascii="仿宋" w:hAnsi="仿宋" w:eastAsia="仿宋" w:cs="Times New Roman"/>
          <w:sz w:val="28"/>
          <w:szCs w:val="28"/>
        </w:rPr>
        <w:t>个，花园式单位（省级森林单位，下同）</w:t>
      </w:r>
      <w:r>
        <w:rPr>
          <w:rFonts w:ascii="仿宋" w:hAnsi="仿宋" w:eastAsia="仿宋" w:cs="Times New Roman"/>
          <w:sz w:val="28"/>
          <w:szCs w:val="28"/>
        </w:rPr>
        <w:t>150</w:t>
      </w:r>
      <w:r>
        <w:rPr>
          <w:rFonts w:hint="eastAsia" w:ascii="仿宋" w:hAnsi="仿宋" w:eastAsia="仿宋" w:cs="Times New Roman"/>
          <w:sz w:val="28"/>
          <w:szCs w:val="28"/>
        </w:rPr>
        <w:t>个；加大全市增绿提质力度，全市“一屏、三环、五河、九楔”的市域绿色空间结构进一步健全，山区绿屏、平原绿网、城市绿景的生态景观更加优美。主要指标包括：</w:t>
      </w:r>
    </w:p>
    <w:p>
      <w:pPr>
        <w:pStyle w:val="46"/>
        <w:numPr>
          <w:ilvl w:val="0"/>
          <w:numId w:val="10"/>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全市森林覆盖率达到44</w:t>
      </w:r>
      <w:r>
        <w:rPr>
          <w:rFonts w:ascii="仿宋" w:hAnsi="仿宋" w:eastAsia="仿宋" w:cs="Times New Roman"/>
          <w:sz w:val="28"/>
          <w:szCs w:val="28"/>
        </w:rPr>
        <w:t>%</w:t>
      </w:r>
      <w:r>
        <w:rPr>
          <w:rFonts w:hint="eastAsia" w:ascii="仿宋" w:hAnsi="仿宋" w:eastAsia="仿宋" w:cs="Times New Roman"/>
          <w:sz w:val="28"/>
          <w:szCs w:val="28"/>
        </w:rPr>
        <w:t>；</w:t>
      </w:r>
    </w:p>
    <w:p>
      <w:pPr>
        <w:pStyle w:val="46"/>
        <w:numPr>
          <w:ilvl w:val="0"/>
          <w:numId w:val="10"/>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平原区森林覆盖率达到</w:t>
      </w:r>
      <w:r>
        <w:rPr>
          <w:rFonts w:ascii="仿宋" w:hAnsi="仿宋" w:eastAsia="仿宋" w:cs="Times New Roman"/>
          <w:sz w:val="28"/>
          <w:szCs w:val="28"/>
        </w:rPr>
        <w:t>30%</w:t>
      </w:r>
      <w:r>
        <w:rPr>
          <w:rFonts w:hint="eastAsia" w:ascii="仿宋" w:hAnsi="仿宋" w:eastAsia="仿宋" w:cs="Times New Roman"/>
          <w:sz w:val="28"/>
          <w:szCs w:val="28"/>
        </w:rPr>
        <w:t>；</w:t>
      </w:r>
    </w:p>
    <w:p>
      <w:pPr>
        <w:pStyle w:val="46"/>
        <w:numPr>
          <w:ilvl w:val="0"/>
          <w:numId w:val="10"/>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建成区绿化覆盖率达到</w:t>
      </w:r>
      <w:r>
        <w:rPr>
          <w:rFonts w:ascii="仿宋" w:hAnsi="仿宋" w:eastAsia="仿宋" w:cs="Times New Roman"/>
          <w:sz w:val="28"/>
          <w:szCs w:val="28"/>
        </w:rPr>
        <w:t>48.5%</w:t>
      </w:r>
      <w:r>
        <w:rPr>
          <w:rFonts w:hint="eastAsia" w:ascii="仿宋" w:hAnsi="仿宋" w:eastAsia="仿宋" w:cs="Times New Roman"/>
          <w:sz w:val="28"/>
          <w:szCs w:val="28"/>
        </w:rPr>
        <w:t>；</w:t>
      </w:r>
    </w:p>
    <w:p>
      <w:pPr>
        <w:pStyle w:val="46"/>
        <w:numPr>
          <w:ilvl w:val="0"/>
          <w:numId w:val="10"/>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六环内城区树冠覆盖率达到</w:t>
      </w:r>
      <w:r>
        <w:rPr>
          <w:rFonts w:ascii="仿宋" w:hAnsi="仿宋" w:eastAsia="仿宋" w:cs="Times New Roman"/>
          <w:sz w:val="28"/>
          <w:szCs w:val="28"/>
        </w:rPr>
        <w:t>40</w:t>
      </w:r>
      <w:r>
        <w:rPr>
          <w:rFonts w:hint="eastAsia" w:ascii="仿宋" w:hAnsi="仿宋" w:eastAsia="仿宋" w:cs="Times New Roman"/>
          <w:sz w:val="28"/>
          <w:szCs w:val="28"/>
        </w:rPr>
        <w:t>%；</w:t>
      </w:r>
    </w:p>
    <w:p>
      <w:pPr>
        <w:pStyle w:val="46"/>
        <w:numPr>
          <w:ilvl w:val="0"/>
          <w:numId w:val="10"/>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城区公园绿地服务半径对建成区覆盖率达到8</w:t>
      </w:r>
      <w:r>
        <w:rPr>
          <w:rFonts w:ascii="仿宋" w:hAnsi="仿宋" w:eastAsia="仿宋" w:cs="Times New Roman"/>
          <w:sz w:val="28"/>
          <w:szCs w:val="28"/>
        </w:rPr>
        <w:t>0</w:t>
      </w:r>
      <w:r>
        <w:rPr>
          <w:rFonts w:hint="eastAsia" w:ascii="仿宋" w:hAnsi="仿宋" w:eastAsia="仿宋" w:cs="Times New Roman"/>
          <w:sz w:val="28"/>
          <w:szCs w:val="28"/>
        </w:rPr>
        <w:t>%以上；</w:t>
      </w:r>
    </w:p>
    <w:p>
      <w:pPr>
        <w:pStyle w:val="46"/>
        <w:numPr>
          <w:ilvl w:val="0"/>
          <w:numId w:val="10"/>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生态休闲场所1</w:t>
      </w:r>
      <w:r>
        <w:rPr>
          <w:rFonts w:ascii="仿宋" w:hAnsi="仿宋" w:eastAsia="仿宋" w:cs="Times New Roman"/>
          <w:sz w:val="28"/>
          <w:szCs w:val="28"/>
        </w:rPr>
        <w:t>0</w:t>
      </w:r>
      <w:r>
        <w:rPr>
          <w:rFonts w:hint="eastAsia" w:ascii="仿宋" w:hAnsi="仿宋" w:eastAsia="仿宋" w:cs="Times New Roman"/>
          <w:sz w:val="28"/>
          <w:szCs w:val="28"/>
        </w:rPr>
        <w:t>公里服务半径对市域覆盖率达到</w:t>
      </w:r>
      <w:r>
        <w:rPr>
          <w:rFonts w:ascii="仿宋" w:hAnsi="仿宋" w:eastAsia="仿宋" w:cs="Times New Roman"/>
          <w:sz w:val="28"/>
          <w:szCs w:val="28"/>
        </w:rPr>
        <w:t>85</w:t>
      </w:r>
      <w:r>
        <w:rPr>
          <w:rFonts w:hint="eastAsia" w:ascii="仿宋" w:hAnsi="仿宋" w:eastAsia="仿宋" w:cs="Times New Roman"/>
          <w:sz w:val="28"/>
          <w:szCs w:val="28"/>
        </w:rPr>
        <w:t>%以上；</w:t>
      </w:r>
    </w:p>
    <w:p>
      <w:pPr>
        <w:pStyle w:val="46"/>
        <w:numPr>
          <w:ilvl w:val="0"/>
          <w:numId w:val="10"/>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生态廊道连通性大于6</w:t>
      </w:r>
      <w:r>
        <w:rPr>
          <w:rFonts w:ascii="仿宋" w:hAnsi="仿宋" w:eastAsia="仿宋" w:cs="Times New Roman"/>
          <w:sz w:val="28"/>
          <w:szCs w:val="28"/>
        </w:rPr>
        <w:t>0</w:t>
      </w:r>
      <w:r>
        <w:rPr>
          <w:rFonts w:hint="eastAsia" w:ascii="仿宋" w:hAnsi="仿宋" w:eastAsia="仿宋" w:cs="Times New Roman"/>
          <w:sz w:val="28"/>
          <w:szCs w:val="28"/>
        </w:rPr>
        <w:t>%；</w:t>
      </w:r>
    </w:p>
    <w:p>
      <w:pPr>
        <w:pStyle w:val="46"/>
        <w:numPr>
          <w:ilvl w:val="0"/>
          <w:numId w:val="10"/>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2</w:t>
      </w:r>
      <w:r>
        <w:rPr>
          <w:rFonts w:ascii="仿宋" w:hAnsi="仿宋" w:eastAsia="仿宋" w:cs="Times New Roman"/>
          <w:sz w:val="28"/>
          <w:szCs w:val="28"/>
        </w:rPr>
        <w:t>0</w:t>
      </w:r>
      <w:r>
        <w:rPr>
          <w:rFonts w:hint="eastAsia" w:ascii="仿宋" w:hAnsi="仿宋" w:eastAsia="仿宋" w:cs="Times New Roman"/>
          <w:sz w:val="28"/>
          <w:szCs w:val="28"/>
        </w:rPr>
        <w:t>公顷以上的森林斑块面积比例大于8</w:t>
      </w:r>
      <w:r>
        <w:rPr>
          <w:rFonts w:ascii="仿宋" w:hAnsi="仿宋" w:eastAsia="仿宋" w:cs="Times New Roman"/>
          <w:sz w:val="28"/>
          <w:szCs w:val="28"/>
        </w:rPr>
        <w:t>0</w:t>
      </w:r>
      <w:r>
        <w:rPr>
          <w:rFonts w:hint="eastAsia" w:ascii="仿宋" w:hAnsi="仿宋" w:eastAsia="仿宋" w:cs="Times New Roman"/>
          <w:sz w:val="28"/>
          <w:szCs w:val="28"/>
        </w:rPr>
        <w:t>%，6</w:t>
      </w:r>
      <w:r>
        <w:rPr>
          <w:rFonts w:ascii="仿宋" w:hAnsi="仿宋" w:eastAsia="仿宋" w:cs="Times New Roman"/>
          <w:sz w:val="28"/>
          <w:szCs w:val="28"/>
        </w:rPr>
        <w:t>0</w:t>
      </w:r>
      <w:r>
        <w:rPr>
          <w:rFonts w:hint="eastAsia" w:ascii="仿宋" w:hAnsi="仿宋" w:eastAsia="仿宋" w:cs="Times New Roman"/>
          <w:sz w:val="28"/>
          <w:szCs w:val="28"/>
        </w:rPr>
        <w:t>公顷以上森林斑块面积比例大于6</w:t>
      </w:r>
      <w:r>
        <w:rPr>
          <w:rFonts w:ascii="仿宋" w:hAnsi="仿宋" w:eastAsia="仿宋" w:cs="Times New Roman"/>
          <w:sz w:val="28"/>
          <w:szCs w:val="28"/>
        </w:rPr>
        <w:t>0</w:t>
      </w:r>
      <w:r>
        <w:rPr>
          <w:rFonts w:hint="eastAsia" w:ascii="仿宋" w:hAnsi="仿宋" w:eastAsia="仿宋" w:cs="Times New Roman"/>
          <w:sz w:val="28"/>
          <w:szCs w:val="28"/>
        </w:rPr>
        <w:t>%；</w:t>
      </w:r>
      <w:r>
        <w:rPr>
          <w:rFonts w:ascii="仿宋" w:hAnsi="仿宋" w:eastAsia="仿宋" w:cs="Times New Roman"/>
          <w:sz w:val="28"/>
          <w:szCs w:val="28"/>
        </w:rPr>
        <w:t xml:space="preserve"> </w:t>
      </w:r>
    </w:p>
    <w:p>
      <w:pPr>
        <w:pStyle w:val="46"/>
        <w:numPr>
          <w:ilvl w:val="0"/>
          <w:numId w:val="10"/>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绿化种植乔木原冠苗使用率达到6</w:t>
      </w:r>
      <w:r>
        <w:rPr>
          <w:rFonts w:ascii="仿宋" w:hAnsi="仿宋" w:eastAsia="仿宋" w:cs="Times New Roman"/>
          <w:sz w:val="28"/>
          <w:szCs w:val="28"/>
        </w:rPr>
        <w:t>0</w:t>
      </w:r>
      <w:r>
        <w:rPr>
          <w:rFonts w:hint="eastAsia" w:ascii="仿宋" w:hAnsi="仿宋" w:eastAsia="仿宋" w:cs="Times New Roman"/>
          <w:sz w:val="28"/>
          <w:szCs w:val="28"/>
        </w:rPr>
        <w:t>%以上；</w:t>
      </w:r>
    </w:p>
    <w:p>
      <w:pPr>
        <w:pStyle w:val="46"/>
        <w:numPr>
          <w:ilvl w:val="0"/>
          <w:numId w:val="10"/>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生境树种使用比例大于2</w:t>
      </w:r>
      <w:r>
        <w:rPr>
          <w:rFonts w:ascii="仿宋" w:hAnsi="仿宋" w:eastAsia="仿宋" w:cs="Times New Roman"/>
          <w:sz w:val="28"/>
          <w:szCs w:val="28"/>
        </w:rPr>
        <w:t>0</w:t>
      </w:r>
      <w:r>
        <w:rPr>
          <w:rFonts w:hint="eastAsia" w:ascii="仿宋" w:hAnsi="仿宋" w:eastAsia="仿宋" w:cs="Times New Roman"/>
          <w:sz w:val="28"/>
          <w:szCs w:val="28"/>
        </w:rPr>
        <w:t>%。</w:t>
      </w:r>
      <w:r>
        <w:rPr>
          <w:rFonts w:ascii="仿宋" w:hAnsi="仿宋" w:eastAsia="仿宋" w:cs="Times New Roman"/>
          <w:sz w:val="28"/>
          <w:szCs w:val="28"/>
        </w:rPr>
        <w:t xml:space="preserve"> </w:t>
      </w:r>
    </w:p>
    <w:p>
      <w:pPr>
        <w:pStyle w:val="5"/>
        <w:spacing w:before="0" w:after="0" w:line="276" w:lineRule="auto"/>
        <w:rPr>
          <w:rFonts w:ascii="仿宋" w:hAnsi="仿宋" w:eastAsia="仿宋"/>
        </w:rPr>
      </w:pPr>
      <w:r>
        <w:rPr>
          <w:rFonts w:hint="eastAsia" w:ascii="仿宋" w:hAnsi="仿宋" w:eastAsia="仿宋"/>
        </w:rPr>
        <w:t>2.</w:t>
      </w:r>
      <w:r>
        <w:rPr>
          <w:rFonts w:ascii="仿宋" w:hAnsi="仿宋" w:eastAsia="仿宋"/>
        </w:rPr>
        <w:t>2021</w:t>
      </w:r>
      <w:r>
        <w:rPr>
          <w:rFonts w:hint="eastAsia" w:ascii="仿宋" w:hAnsi="仿宋" w:eastAsia="仿宋"/>
        </w:rPr>
        <w:t>年</w:t>
      </w:r>
      <w:r>
        <w:rPr>
          <w:rFonts w:ascii="仿宋" w:hAnsi="仿宋" w:eastAsia="仿宋"/>
        </w:rPr>
        <w:t>-2025</w:t>
      </w:r>
      <w:r>
        <w:rPr>
          <w:rFonts w:hint="eastAsia" w:ascii="仿宋" w:hAnsi="仿宋" w:eastAsia="仿宋"/>
        </w:rPr>
        <w:t>年目标</w:t>
      </w:r>
    </w:p>
    <w:p>
      <w:pPr>
        <w:spacing w:line="276" w:lineRule="auto"/>
        <w:ind w:firstLine="480"/>
        <w:rPr>
          <w:rFonts w:ascii="仿宋" w:hAnsi="仿宋" w:eastAsia="仿宋" w:cs="Times New Roman"/>
          <w:sz w:val="28"/>
          <w:szCs w:val="28"/>
        </w:rPr>
      </w:pPr>
      <w:r>
        <w:rPr>
          <w:rFonts w:hint="eastAsia" w:ascii="仿宋" w:hAnsi="仿宋" w:eastAsia="仿宋" w:cs="Times New Roman"/>
          <w:sz w:val="28"/>
          <w:szCs w:val="28"/>
        </w:rPr>
        <w:t>全面加快推进创森工作。门头沟区、房山区、石景山区、昌平区在</w:t>
      </w:r>
      <w:r>
        <w:rPr>
          <w:rFonts w:ascii="仿宋" w:hAnsi="仿宋" w:eastAsia="仿宋" w:cs="Times New Roman"/>
          <w:sz w:val="28"/>
          <w:szCs w:val="28"/>
        </w:rPr>
        <w:t>2021</w:t>
      </w:r>
      <w:r>
        <w:rPr>
          <w:rFonts w:hint="eastAsia" w:ascii="仿宋" w:hAnsi="仿宋" w:eastAsia="仿宋" w:cs="Times New Roman"/>
          <w:sz w:val="28"/>
          <w:szCs w:val="28"/>
        </w:rPr>
        <w:t>年完成创森目标；朝阳区、大兴区、丰台区在</w:t>
      </w:r>
      <w:r>
        <w:rPr>
          <w:rFonts w:ascii="仿宋" w:hAnsi="仿宋" w:eastAsia="仿宋" w:cs="Times New Roman"/>
          <w:sz w:val="28"/>
          <w:szCs w:val="28"/>
        </w:rPr>
        <w:t>2022</w:t>
      </w:r>
      <w:r>
        <w:rPr>
          <w:rFonts w:hint="eastAsia" w:ascii="仿宋" w:hAnsi="仿宋" w:eastAsia="仿宋" w:cs="Times New Roman"/>
          <w:sz w:val="28"/>
          <w:szCs w:val="28"/>
        </w:rPr>
        <w:t>年完成创森目标；海淀区、顺义区在</w:t>
      </w:r>
      <w:r>
        <w:rPr>
          <w:rFonts w:ascii="仿宋" w:hAnsi="仿宋" w:eastAsia="仿宋" w:cs="Times New Roman"/>
          <w:sz w:val="28"/>
          <w:szCs w:val="28"/>
        </w:rPr>
        <w:t>2023</w:t>
      </w:r>
      <w:r>
        <w:rPr>
          <w:rFonts w:hint="eastAsia" w:ascii="仿宋" w:hAnsi="仿宋" w:eastAsia="仿宋" w:cs="Times New Roman"/>
          <w:sz w:val="28"/>
          <w:szCs w:val="28"/>
        </w:rPr>
        <w:t>年前完成创森目标，确保除东城、西城外的</w:t>
      </w:r>
      <w:r>
        <w:rPr>
          <w:rFonts w:ascii="仿宋" w:hAnsi="仿宋" w:eastAsia="仿宋" w:cs="Times New Roman"/>
          <w:sz w:val="28"/>
          <w:szCs w:val="28"/>
        </w:rPr>
        <w:t>14</w:t>
      </w:r>
      <w:r>
        <w:rPr>
          <w:rFonts w:hint="eastAsia" w:ascii="仿宋" w:hAnsi="仿宋" w:eastAsia="仿宋" w:cs="Times New Roman"/>
          <w:sz w:val="28"/>
          <w:szCs w:val="28"/>
        </w:rPr>
        <w:t>个区全部达到国家森林城市标准，超额完成《全国森林城市发展规划（</w:t>
      </w:r>
      <w:r>
        <w:rPr>
          <w:rFonts w:ascii="仿宋" w:hAnsi="仿宋" w:eastAsia="仿宋" w:cs="Times New Roman"/>
          <w:sz w:val="28"/>
          <w:szCs w:val="28"/>
        </w:rPr>
        <w:t>2018-2025</w:t>
      </w:r>
      <w:r>
        <w:rPr>
          <w:rFonts w:hint="eastAsia" w:ascii="仿宋" w:hAnsi="仿宋" w:eastAsia="仿宋" w:cs="Times New Roman"/>
          <w:sz w:val="28"/>
          <w:szCs w:val="28"/>
        </w:rPr>
        <w:t>年）》给北京市下达的创森任务指标，引领建设京津冀国家级森林城市群，实现《北京城市总体规划（</w:t>
      </w:r>
      <w:r>
        <w:rPr>
          <w:rFonts w:ascii="仿宋" w:hAnsi="仿宋" w:eastAsia="仿宋" w:cs="Times New Roman"/>
          <w:sz w:val="28"/>
          <w:szCs w:val="28"/>
        </w:rPr>
        <w:t>2016</w:t>
      </w:r>
      <w:r>
        <w:rPr>
          <w:rFonts w:hint="eastAsia" w:ascii="仿宋" w:hAnsi="仿宋" w:eastAsia="仿宋" w:cs="Times New Roman"/>
          <w:sz w:val="28"/>
          <w:szCs w:val="28"/>
        </w:rPr>
        <w:t>年</w:t>
      </w:r>
      <w:r>
        <w:rPr>
          <w:rFonts w:ascii="仿宋" w:hAnsi="仿宋" w:eastAsia="仿宋" w:cs="Times New Roman"/>
          <w:sz w:val="28"/>
          <w:szCs w:val="28"/>
        </w:rPr>
        <w:t>-2035</w:t>
      </w:r>
      <w:r>
        <w:rPr>
          <w:rFonts w:hint="eastAsia" w:ascii="仿宋" w:hAnsi="仿宋" w:eastAsia="仿宋" w:cs="Times New Roman"/>
          <w:sz w:val="28"/>
          <w:szCs w:val="28"/>
        </w:rPr>
        <w:t>年）》确定的北京森林城市建设目标；创建首都森林城镇</w:t>
      </w:r>
      <w:r>
        <w:rPr>
          <w:rFonts w:ascii="仿宋" w:hAnsi="仿宋" w:eastAsia="仿宋" w:cs="Times New Roman"/>
          <w:sz w:val="28"/>
          <w:szCs w:val="28"/>
        </w:rPr>
        <w:t>30</w:t>
      </w:r>
      <w:r>
        <w:rPr>
          <w:rFonts w:hint="eastAsia" w:ascii="仿宋" w:hAnsi="仿宋" w:eastAsia="仿宋" w:cs="Times New Roman"/>
          <w:sz w:val="28"/>
          <w:szCs w:val="28"/>
        </w:rPr>
        <w:t>个，首都绿色村庄</w:t>
      </w:r>
      <w:r>
        <w:rPr>
          <w:rFonts w:ascii="仿宋" w:hAnsi="仿宋" w:eastAsia="仿宋" w:cs="Times New Roman"/>
          <w:sz w:val="28"/>
          <w:szCs w:val="28"/>
        </w:rPr>
        <w:t>2</w:t>
      </w:r>
      <w:r>
        <w:rPr>
          <w:rFonts w:hint="eastAsia" w:ascii="仿宋" w:hAnsi="仿宋" w:eastAsia="仿宋" w:cs="Times New Roman"/>
          <w:sz w:val="28"/>
          <w:szCs w:val="28"/>
        </w:rPr>
        <w:t>00个，花园式单位</w:t>
      </w:r>
      <w:r>
        <w:rPr>
          <w:rFonts w:ascii="仿宋" w:hAnsi="仿宋" w:eastAsia="仿宋" w:cs="Times New Roman"/>
          <w:sz w:val="28"/>
          <w:szCs w:val="28"/>
        </w:rPr>
        <w:t>250</w:t>
      </w:r>
      <w:r>
        <w:rPr>
          <w:rFonts w:hint="eastAsia" w:ascii="仿宋" w:hAnsi="仿宋" w:eastAsia="仿宋" w:cs="Times New Roman"/>
          <w:sz w:val="28"/>
          <w:szCs w:val="28"/>
        </w:rPr>
        <w:t>个；城乡生态环境均衡发展，人居生活环境绿色宜居，首都特色生态文化全面繁荣，山水林田湖城和谐发展，</w:t>
      </w:r>
      <w:r>
        <w:rPr>
          <w:rFonts w:hint="eastAsia" w:ascii="仿宋" w:hAnsi="仿宋" w:eastAsia="仿宋"/>
          <w:sz w:val="28"/>
          <w:szCs w:val="24"/>
        </w:rPr>
        <w:t>森林与城市、田园、乡村、河流镶嵌相连，呈现林城掩映、蓝绿交织</w:t>
      </w:r>
      <w:r>
        <w:rPr>
          <w:rFonts w:hint="eastAsia" w:ascii="仿宋" w:hAnsi="仿宋" w:eastAsia="仿宋" w:cs="Times New Roman"/>
          <w:sz w:val="28"/>
          <w:szCs w:val="28"/>
        </w:rPr>
        <w:t>的</w:t>
      </w:r>
      <w:r>
        <w:rPr>
          <w:rFonts w:hint="eastAsia" w:ascii="仿宋" w:hAnsi="仿宋" w:eastAsia="仿宋"/>
          <w:sz w:val="28"/>
          <w:szCs w:val="24"/>
        </w:rPr>
        <w:t>壮美北京森林画卷</w:t>
      </w:r>
      <w:r>
        <w:rPr>
          <w:rFonts w:hint="eastAsia" w:ascii="仿宋" w:hAnsi="仿宋" w:eastAsia="仿宋" w:cs="Times New Roman"/>
          <w:sz w:val="28"/>
          <w:szCs w:val="28"/>
        </w:rPr>
        <w:t>。主要指标包括：</w:t>
      </w:r>
    </w:p>
    <w:p>
      <w:pPr>
        <w:pStyle w:val="46"/>
        <w:numPr>
          <w:ilvl w:val="0"/>
          <w:numId w:val="11"/>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全市森林覆盖率达到45</w:t>
      </w:r>
      <w:r>
        <w:rPr>
          <w:rFonts w:ascii="仿宋" w:hAnsi="仿宋" w:eastAsia="仿宋" w:cs="Times New Roman"/>
          <w:sz w:val="28"/>
          <w:szCs w:val="28"/>
        </w:rPr>
        <w:t>%</w:t>
      </w:r>
      <w:r>
        <w:rPr>
          <w:rFonts w:hint="eastAsia" w:ascii="仿宋" w:hAnsi="仿宋" w:eastAsia="仿宋" w:cs="Times New Roman"/>
          <w:sz w:val="28"/>
          <w:szCs w:val="28"/>
        </w:rPr>
        <w:t>；</w:t>
      </w:r>
    </w:p>
    <w:p>
      <w:pPr>
        <w:pStyle w:val="46"/>
        <w:numPr>
          <w:ilvl w:val="0"/>
          <w:numId w:val="11"/>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平原区森林覆盖率达到</w:t>
      </w:r>
      <w:r>
        <w:rPr>
          <w:rFonts w:ascii="仿宋" w:hAnsi="仿宋" w:eastAsia="仿宋" w:cs="Times New Roman"/>
          <w:sz w:val="28"/>
          <w:szCs w:val="28"/>
        </w:rPr>
        <w:t>31%</w:t>
      </w:r>
      <w:r>
        <w:rPr>
          <w:rFonts w:hint="eastAsia" w:ascii="仿宋" w:hAnsi="仿宋" w:eastAsia="仿宋" w:cs="Times New Roman"/>
          <w:sz w:val="28"/>
          <w:szCs w:val="28"/>
        </w:rPr>
        <w:t>；</w:t>
      </w:r>
    </w:p>
    <w:p>
      <w:pPr>
        <w:pStyle w:val="46"/>
        <w:numPr>
          <w:ilvl w:val="0"/>
          <w:numId w:val="11"/>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建成区绿化覆盖率达到48.6</w:t>
      </w:r>
      <w:r>
        <w:rPr>
          <w:rFonts w:ascii="仿宋" w:hAnsi="仿宋" w:eastAsia="仿宋" w:cs="Times New Roman"/>
          <w:sz w:val="28"/>
          <w:szCs w:val="28"/>
        </w:rPr>
        <w:t>%</w:t>
      </w:r>
      <w:r>
        <w:rPr>
          <w:rFonts w:hint="eastAsia" w:ascii="仿宋" w:hAnsi="仿宋" w:eastAsia="仿宋" w:cs="Times New Roman"/>
          <w:sz w:val="28"/>
          <w:szCs w:val="28"/>
        </w:rPr>
        <w:t>以上；</w:t>
      </w:r>
    </w:p>
    <w:p>
      <w:pPr>
        <w:pStyle w:val="46"/>
        <w:numPr>
          <w:ilvl w:val="0"/>
          <w:numId w:val="11"/>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六环内城区树冠覆盖率稳定在</w:t>
      </w:r>
      <w:r>
        <w:rPr>
          <w:rFonts w:ascii="仿宋" w:hAnsi="仿宋" w:eastAsia="仿宋" w:cs="Times New Roman"/>
          <w:sz w:val="28"/>
          <w:szCs w:val="28"/>
        </w:rPr>
        <w:t>40</w:t>
      </w:r>
      <w:r>
        <w:rPr>
          <w:rFonts w:hint="eastAsia" w:ascii="仿宋" w:hAnsi="仿宋" w:eastAsia="仿宋" w:cs="Times New Roman"/>
          <w:sz w:val="28"/>
          <w:szCs w:val="28"/>
        </w:rPr>
        <w:t>%以上；</w:t>
      </w:r>
    </w:p>
    <w:p>
      <w:pPr>
        <w:pStyle w:val="46"/>
        <w:numPr>
          <w:ilvl w:val="0"/>
          <w:numId w:val="11"/>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人均公园绿地面积达到</w:t>
      </w:r>
      <w:r>
        <w:rPr>
          <w:rFonts w:ascii="仿宋" w:hAnsi="仿宋" w:eastAsia="仿宋" w:cs="Times New Roman"/>
          <w:sz w:val="28"/>
          <w:szCs w:val="28"/>
        </w:rPr>
        <w:t>17</w:t>
      </w:r>
      <w:r>
        <w:rPr>
          <w:rFonts w:hint="eastAsia" w:ascii="仿宋" w:hAnsi="仿宋" w:eastAsia="仿宋" w:cs="Times New Roman"/>
          <w:sz w:val="28"/>
          <w:szCs w:val="28"/>
        </w:rPr>
        <w:t>平方米；</w:t>
      </w:r>
    </w:p>
    <w:p>
      <w:pPr>
        <w:pStyle w:val="46"/>
        <w:numPr>
          <w:ilvl w:val="0"/>
          <w:numId w:val="11"/>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生态廊道连通性达到7</w:t>
      </w:r>
      <w:r>
        <w:rPr>
          <w:rFonts w:ascii="仿宋" w:hAnsi="仿宋" w:eastAsia="仿宋" w:cs="Times New Roman"/>
          <w:sz w:val="28"/>
          <w:szCs w:val="28"/>
        </w:rPr>
        <w:t>0</w:t>
      </w:r>
      <w:r>
        <w:rPr>
          <w:rFonts w:hint="eastAsia" w:ascii="仿宋" w:hAnsi="仿宋" w:eastAsia="仿宋" w:cs="Times New Roman"/>
          <w:sz w:val="28"/>
          <w:szCs w:val="28"/>
        </w:rPr>
        <w:t>%以上；</w:t>
      </w:r>
    </w:p>
    <w:p>
      <w:pPr>
        <w:pStyle w:val="46"/>
        <w:numPr>
          <w:ilvl w:val="0"/>
          <w:numId w:val="11"/>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乡土树种使用比例大于9</w:t>
      </w:r>
      <w:r>
        <w:rPr>
          <w:rFonts w:ascii="仿宋" w:hAnsi="仿宋" w:eastAsia="仿宋" w:cs="Times New Roman"/>
          <w:sz w:val="28"/>
          <w:szCs w:val="28"/>
        </w:rPr>
        <w:t>0</w:t>
      </w:r>
      <w:r>
        <w:rPr>
          <w:rFonts w:hint="eastAsia" w:ascii="仿宋" w:hAnsi="仿宋" w:eastAsia="仿宋" w:cs="Times New Roman"/>
          <w:sz w:val="28"/>
          <w:szCs w:val="28"/>
        </w:rPr>
        <w:t>%，长寿树种使用比例大于7</w:t>
      </w:r>
      <w:r>
        <w:rPr>
          <w:rFonts w:ascii="仿宋" w:hAnsi="仿宋" w:eastAsia="仿宋" w:cs="Times New Roman"/>
          <w:sz w:val="28"/>
          <w:szCs w:val="28"/>
        </w:rPr>
        <w:t>0</w:t>
      </w:r>
      <w:r>
        <w:rPr>
          <w:rFonts w:hint="eastAsia" w:ascii="仿宋" w:hAnsi="仿宋" w:eastAsia="仿宋" w:cs="Times New Roman"/>
          <w:sz w:val="28"/>
          <w:szCs w:val="28"/>
        </w:rPr>
        <w:t>%，绿化种植乔木原冠苗使用率达到6</w:t>
      </w:r>
      <w:r>
        <w:rPr>
          <w:rFonts w:ascii="仿宋" w:hAnsi="仿宋" w:eastAsia="仿宋" w:cs="Times New Roman"/>
          <w:sz w:val="28"/>
          <w:szCs w:val="28"/>
        </w:rPr>
        <w:t>0</w:t>
      </w:r>
      <w:r>
        <w:rPr>
          <w:rFonts w:hint="eastAsia" w:ascii="仿宋" w:hAnsi="仿宋" w:eastAsia="仿宋" w:cs="Times New Roman"/>
          <w:sz w:val="28"/>
          <w:szCs w:val="28"/>
        </w:rPr>
        <w:t>%以上。</w:t>
      </w:r>
      <w:r>
        <w:rPr>
          <w:rFonts w:ascii="仿宋" w:hAnsi="仿宋" w:eastAsia="仿宋" w:cs="Times New Roman"/>
          <w:sz w:val="28"/>
          <w:szCs w:val="28"/>
        </w:rPr>
        <w:t xml:space="preserve"> </w:t>
      </w:r>
    </w:p>
    <w:p>
      <w:pPr>
        <w:pStyle w:val="5"/>
        <w:spacing w:before="0" w:after="0" w:line="276" w:lineRule="auto"/>
        <w:rPr>
          <w:rFonts w:ascii="仿宋" w:hAnsi="仿宋" w:eastAsia="仿宋"/>
        </w:rPr>
      </w:pPr>
      <w:r>
        <w:rPr>
          <w:rFonts w:hint="eastAsia" w:ascii="仿宋" w:hAnsi="仿宋" w:eastAsia="仿宋"/>
        </w:rPr>
        <w:t>3.</w:t>
      </w:r>
      <w:r>
        <w:rPr>
          <w:rFonts w:ascii="仿宋" w:hAnsi="仿宋" w:eastAsia="仿宋"/>
        </w:rPr>
        <w:t>2026</w:t>
      </w:r>
      <w:r>
        <w:rPr>
          <w:rFonts w:hint="eastAsia" w:ascii="仿宋" w:hAnsi="仿宋" w:eastAsia="仿宋"/>
        </w:rPr>
        <w:t>年</w:t>
      </w:r>
      <w:r>
        <w:rPr>
          <w:rFonts w:ascii="仿宋" w:hAnsi="仿宋" w:eastAsia="仿宋"/>
        </w:rPr>
        <w:t>-2035</w:t>
      </w:r>
      <w:r>
        <w:rPr>
          <w:rFonts w:hint="eastAsia" w:ascii="仿宋" w:hAnsi="仿宋" w:eastAsia="仿宋"/>
        </w:rPr>
        <w:t>年目标</w:t>
      </w:r>
    </w:p>
    <w:p>
      <w:pPr>
        <w:tabs>
          <w:tab w:val="left" w:pos="6379"/>
        </w:tabs>
        <w:spacing w:line="276" w:lineRule="auto"/>
        <w:ind w:firstLine="480"/>
        <w:rPr>
          <w:rFonts w:ascii="仿宋" w:hAnsi="仿宋" w:eastAsia="仿宋" w:cs="Times New Roman"/>
          <w:sz w:val="28"/>
          <w:szCs w:val="28"/>
        </w:rPr>
      </w:pPr>
      <w:r>
        <w:rPr>
          <w:rFonts w:hint="eastAsia" w:ascii="仿宋" w:hAnsi="仿宋" w:eastAsia="仿宋" w:cs="Times New Roman"/>
          <w:sz w:val="28"/>
          <w:szCs w:val="28"/>
        </w:rPr>
        <w:t>提质增绿巩固创森成果。不断推进森林城市创建体系向基层延伸，形成以创建国家森林城市为牵引，首都森林城镇为主体，首都绿色村庄和花园式单位为基础的首都森林城市建设体系，巩固国家森林城市创建成果。创建首都森林城镇</w:t>
      </w:r>
      <w:r>
        <w:rPr>
          <w:rFonts w:ascii="仿宋" w:hAnsi="仿宋" w:eastAsia="仿宋" w:cs="Times New Roman"/>
          <w:sz w:val="28"/>
          <w:szCs w:val="28"/>
        </w:rPr>
        <w:t>30</w:t>
      </w:r>
      <w:r>
        <w:rPr>
          <w:rFonts w:hint="eastAsia" w:ascii="仿宋" w:hAnsi="仿宋" w:eastAsia="仿宋" w:cs="Times New Roman"/>
          <w:sz w:val="28"/>
          <w:szCs w:val="28"/>
        </w:rPr>
        <w:t>个，首都绿色村庄</w:t>
      </w:r>
      <w:r>
        <w:rPr>
          <w:rFonts w:ascii="仿宋" w:hAnsi="仿宋" w:eastAsia="仿宋" w:cs="Times New Roman"/>
          <w:sz w:val="28"/>
          <w:szCs w:val="28"/>
        </w:rPr>
        <w:t>300</w:t>
      </w:r>
      <w:r>
        <w:rPr>
          <w:rFonts w:hint="eastAsia" w:ascii="仿宋" w:hAnsi="仿宋" w:eastAsia="仿宋" w:cs="Times New Roman"/>
          <w:sz w:val="28"/>
          <w:szCs w:val="28"/>
        </w:rPr>
        <w:t>个，花园式单位</w:t>
      </w:r>
      <w:r>
        <w:rPr>
          <w:rFonts w:ascii="仿宋" w:hAnsi="仿宋" w:eastAsia="仿宋" w:cs="Times New Roman"/>
          <w:sz w:val="28"/>
          <w:szCs w:val="28"/>
        </w:rPr>
        <w:t>300</w:t>
      </w:r>
      <w:r>
        <w:rPr>
          <w:rFonts w:hint="eastAsia" w:ascii="仿宋" w:hAnsi="仿宋" w:eastAsia="仿宋" w:cs="Times New Roman"/>
          <w:sz w:val="28"/>
          <w:szCs w:val="28"/>
        </w:rPr>
        <w:t>个；大力推进森林质量提升工作，山区林茂水清，平原蓝绿交织，城市鸟语花香，人民乐享森林，建成国际一流的和谐宜居之都，实现《北京城市总体规划（</w:t>
      </w:r>
      <w:r>
        <w:rPr>
          <w:rFonts w:ascii="仿宋" w:hAnsi="仿宋" w:eastAsia="仿宋" w:cs="Times New Roman"/>
          <w:sz w:val="28"/>
          <w:szCs w:val="28"/>
        </w:rPr>
        <w:t>2016</w:t>
      </w:r>
      <w:r>
        <w:rPr>
          <w:rFonts w:hint="eastAsia" w:ascii="仿宋" w:hAnsi="仿宋" w:eastAsia="仿宋" w:cs="Times New Roman"/>
          <w:sz w:val="28"/>
          <w:szCs w:val="28"/>
        </w:rPr>
        <w:t>年</w:t>
      </w:r>
      <w:r>
        <w:rPr>
          <w:rFonts w:ascii="仿宋" w:hAnsi="仿宋" w:eastAsia="仿宋" w:cs="Times New Roman"/>
          <w:sz w:val="28"/>
          <w:szCs w:val="28"/>
        </w:rPr>
        <w:t>-2035</w:t>
      </w:r>
      <w:r>
        <w:rPr>
          <w:rFonts w:hint="eastAsia" w:ascii="仿宋" w:hAnsi="仿宋" w:eastAsia="仿宋" w:cs="Times New Roman"/>
          <w:sz w:val="28"/>
          <w:szCs w:val="28"/>
        </w:rPr>
        <w:t>年）》确定的北京建成天蓝、水清、森林环绕的生态城市目标。主要指标包括：</w:t>
      </w:r>
    </w:p>
    <w:p>
      <w:pPr>
        <w:pStyle w:val="46"/>
        <w:numPr>
          <w:ilvl w:val="0"/>
          <w:numId w:val="12"/>
        </w:numPr>
        <w:tabs>
          <w:tab w:val="left" w:pos="6379"/>
        </w:tabs>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全市森林覆盖率稳定在45</w:t>
      </w:r>
      <w:r>
        <w:rPr>
          <w:rFonts w:ascii="仿宋" w:hAnsi="仿宋" w:eastAsia="仿宋" w:cs="Times New Roman"/>
          <w:sz w:val="28"/>
          <w:szCs w:val="28"/>
        </w:rPr>
        <w:t>%</w:t>
      </w:r>
      <w:r>
        <w:rPr>
          <w:rFonts w:hint="eastAsia" w:ascii="仿宋" w:hAnsi="仿宋" w:eastAsia="仿宋" w:cs="Times New Roman"/>
          <w:sz w:val="28"/>
          <w:szCs w:val="28"/>
        </w:rPr>
        <w:t>以上；</w:t>
      </w:r>
    </w:p>
    <w:p>
      <w:pPr>
        <w:pStyle w:val="46"/>
        <w:numPr>
          <w:ilvl w:val="0"/>
          <w:numId w:val="12"/>
        </w:numPr>
        <w:tabs>
          <w:tab w:val="left" w:pos="6379"/>
        </w:tabs>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平原区森林覆盖率达到</w:t>
      </w:r>
      <w:r>
        <w:rPr>
          <w:rFonts w:ascii="仿宋" w:hAnsi="仿宋" w:eastAsia="仿宋" w:cs="Times New Roman"/>
          <w:sz w:val="28"/>
          <w:szCs w:val="28"/>
        </w:rPr>
        <w:t>33%</w:t>
      </w:r>
      <w:r>
        <w:rPr>
          <w:rFonts w:hint="eastAsia" w:ascii="仿宋" w:hAnsi="仿宋" w:eastAsia="仿宋" w:cs="Times New Roman"/>
          <w:sz w:val="28"/>
          <w:szCs w:val="28"/>
        </w:rPr>
        <w:t>；</w:t>
      </w:r>
    </w:p>
    <w:p>
      <w:pPr>
        <w:pStyle w:val="46"/>
        <w:numPr>
          <w:ilvl w:val="0"/>
          <w:numId w:val="12"/>
        </w:numPr>
        <w:tabs>
          <w:tab w:val="left" w:pos="6379"/>
        </w:tabs>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全市湿地覆盖率达到5%以上；</w:t>
      </w:r>
    </w:p>
    <w:p>
      <w:pPr>
        <w:pStyle w:val="46"/>
        <w:numPr>
          <w:ilvl w:val="0"/>
          <w:numId w:val="12"/>
        </w:numPr>
        <w:tabs>
          <w:tab w:val="left" w:pos="6379"/>
        </w:tabs>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建成区绿化覆盖率达到49</w:t>
      </w:r>
      <w:r>
        <w:rPr>
          <w:rFonts w:ascii="仿宋" w:hAnsi="仿宋" w:eastAsia="仿宋" w:cs="Times New Roman"/>
          <w:sz w:val="28"/>
          <w:szCs w:val="28"/>
        </w:rPr>
        <w:t>%</w:t>
      </w:r>
      <w:r>
        <w:rPr>
          <w:rFonts w:hint="eastAsia" w:ascii="仿宋" w:hAnsi="仿宋" w:eastAsia="仿宋" w:cs="Times New Roman"/>
          <w:sz w:val="28"/>
          <w:szCs w:val="28"/>
        </w:rPr>
        <w:t>以上；</w:t>
      </w:r>
    </w:p>
    <w:p>
      <w:pPr>
        <w:pStyle w:val="46"/>
        <w:numPr>
          <w:ilvl w:val="0"/>
          <w:numId w:val="12"/>
        </w:numPr>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六环内城区树冠覆盖率继续保持在</w:t>
      </w:r>
      <w:r>
        <w:rPr>
          <w:rFonts w:ascii="仿宋" w:hAnsi="仿宋" w:eastAsia="仿宋" w:cs="Times New Roman"/>
          <w:sz w:val="28"/>
          <w:szCs w:val="28"/>
        </w:rPr>
        <w:t>40</w:t>
      </w:r>
      <w:r>
        <w:rPr>
          <w:rFonts w:hint="eastAsia" w:ascii="仿宋" w:hAnsi="仿宋" w:eastAsia="仿宋" w:cs="Times New Roman"/>
          <w:sz w:val="28"/>
          <w:szCs w:val="28"/>
        </w:rPr>
        <w:t>%以上；</w:t>
      </w:r>
    </w:p>
    <w:p>
      <w:pPr>
        <w:pStyle w:val="46"/>
        <w:numPr>
          <w:ilvl w:val="0"/>
          <w:numId w:val="12"/>
        </w:numPr>
        <w:tabs>
          <w:tab w:val="left" w:pos="6379"/>
        </w:tabs>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城市森林公园自然度大于3</w:t>
      </w:r>
      <w:r>
        <w:rPr>
          <w:rFonts w:ascii="仿宋" w:hAnsi="仿宋" w:eastAsia="仿宋" w:cs="Times New Roman"/>
          <w:sz w:val="28"/>
          <w:szCs w:val="28"/>
        </w:rPr>
        <w:t>0</w:t>
      </w:r>
      <w:r>
        <w:rPr>
          <w:rFonts w:hint="eastAsia" w:ascii="仿宋" w:hAnsi="仿宋" w:eastAsia="仿宋" w:cs="Times New Roman"/>
          <w:sz w:val="28"/>
          <w:szCs w:val="28"/>
        </w:rPr>
        <w:t>%；</w:t>
      </w:r>
    </w:p>
    <w:p>
      <w:pPr>
        <w:pStyle w:val="46"/>
        <w:numPr>
          <w:ilvl w:val="0"/>
          <w:numId w:val="12"/>
        </w:numPr>
        <w:tabs>
          <w:tab w:val="left" w:pos="6379"/>
        </w:tabs>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平原自然片林数量达到3</w:t>
      </w:r>
      <w:r>
        <w:rPr>
          <w:rFonts w:ascii="仿宋" w:hAnsi="仿宋" w:eastAsia="仿宋" w:cs="Times New Roman"/>
          <w:sz w:val="28"/>
          <w:szCs w:val="28"/>
        </w:rPr>
        <w:t>00处以上</w:t>
      </w:r>
      <w:r>
        <w:rPr>
          <w:rFonts w:hint="eastAsia" w:ascii="仿宋" w:hAnsi="仿宋" w:eastAsia="仿宋" w:cs="Times New Roman"/>
          <w:sz w:val="28"/>
          <w:szCs w:val="28"/>
        </w:rPr>
        <w:t>；</w:t>
      </w:r>
    </w:p>
    <w:p>
      <w:pPr>
        <w:pStyle w:val="46"/>
        <w:numPr>
          <w:ilvl w:val="0"/>
          <w:numId w:val="12"/>
        </w:numPr>
        <w:tabs>
          <w:tab w:val="left" w:pos="6379"/>
        </w:tabs>
        <w:spacing w:line="276" w:lineRule="auto"/>
        <w:ind w:firstLineChars="0"/>
        <w:rPr>
          <w:rFonts w:ascii="仿宋" w:hAnsi="仿宋" w:eastAsia="仿宋" w:cs="Times New Roman"/>
          <w:sz w:val="28"/>
          <w:szCs w:val="28"/>
        </w:rPr>
      </w:pPr>
      <w:r>
        <w:rPr>
          <w:rFonts w:hint="eastAsia" w:ascii="仿宋" w:hAnsi="仿宋" w:eastAsia="仿宋" w:cs="Times New Roman"/>
          <w:sz w:val="28"/>
          <w:szCs w:val="28"/>
        </w:rPr>
        <w:t>每万人拥有生态科普教育基地大于0</w:t>
      </w:r>
      <w:r>
        <w:rPr>
          <w:rFonts w:ascii="仿宋" w:hAnsi="仿宋" w:eastAsia="仿宋" w:cs="Times New Roman"/>
          <w:sz w:val="28"/>
          <w:szCs w:val="28"/>
        </w:rPr>
        <w:t>.1</w:t>
      </w:r>
      <w:r>
        <w:rPr>
          <w:rFonts w:hint="eastAsia" w:ascii="仿宋" w:hAnsi="仿宋" w:eastAsia="仿宋" w:cs="Times New Roman"/>
          <w:sz w:val="28"/>
          <w:szCs w:val="28"/>
        </w:rPr>
        <w:t>处。</w:t>
      </w:r>
      <w:r>
        <w:rPr>
          <w:rFonts w:ascii="仿宋" w:hAnsi="仿宋" w:eastAsia="仿宋" w:cs="Times New Roman"/>
          <w:sz w:val="28"/>
          <w:szCs w:val="28"/>
        </w:rPr>
        <w:t xml:space="preserve"> </w:t>
      </w:r>
    </w:p>
    <w:p>
      <w:pPr>
        <w:pStyle w:val="5"/>
        <w:spacing w:before="0" w:after="0" w:line="276" w:lineRule="auto"/>
        <w:rPr>
          <w:rFonts w:ascii="仿宋" w:hAnsi="仿宋" w:eastAsia="仿宋"/>
        </w:rPr>
      </w:pPr>
      <w:r>
        <w:rPr>
          <w:rFonts w:hint="eastAsia" w:ascii="仿宋" w:hAnsi="仿宋" w:eastAsia="仿宋"/>
        </w:rPr>
        <w:t>4.</w:t>
      </w:r>
      <w:r>
        <w:rPr>
          <w:rFonts w:ascii="仿宋" w:hAnsi="仿宋" w:eastAsia="仿宋"/>
        </w:rPr>
        <w:t>2036</w:t>
      </w:r>
      <w:r>
        <w:rPr>
          <w:rFonts w:hint="eastAsia" w:ascii="仿宋" w:hAnsi="仿宋" w:eastAsia="仿宋"/>
        </w:rPr>
        <w:t>年</w:t>
      </w:r>
      <w:r>
        <w:rPr>
          <w:rFonts w:ascii="仿宋" w:hAnsi="仿宋" w:eastAsia="仿宋"/>
        </w:rPr>
        <w:t>-2050</w:t>
      </w:r>
      <w:r>
        <w:rPr>
          <w:rFonts w:hint="eastAsia" w:ascii="仿宋" w:hAnsi="仿宋" w:eastAsia="仿宋"/>
        </w:rPr>
        <w:t>年目标</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kern w:val="0"/>
          <w:sz w:val="28"/>
          <w:szCs w:val="28"/>
        </w:rPr>
        <w:t>着力提升森林城市功能。持续开展森林健康经营，提高北京森林的生态遗产价值，努力把北京建成</w:t>
      </w:r>
      <w:r>
        <w:rPr>
          <w:rFonts w:hint="eastAsia" w:ascii="仿宋" w:hAnsi="仿宋" w:eastAsia="仿宋"/>
          <w:kern w:val="0"/>
          <w:sz w:val="28"/>
          <w:szCs w:val="24"/>
        </w:rPr>
        <w:t>自然森林与园林景观交相辉映的</w:t>
      </w:r>
      <w:r>
        <w:rPr>
          <w:rFonts w:hint="eastAsia" w:ascii="仿宋" w:hAnsi="仿宋" w:eastAsia="仿宋" w:cs="Times New Roman"/>
          <w:kern w:val="0"/>
          <w:sz w:val="28"/>
          <w:szCs w:val="28"/>
        </w:rPr>
        <w:t>国际一流水平的森林城市，城市与山水林田湖草有机共存，人与动植物和谐共生，全面建成更高水平的国际一流和谐宜居之都。</w:t>
      </w:r>
      <w:bookmarkEnd w:id="161"/>
      <w:bookmarkEnd w:id="162"/>
      <w:bookmarkEnd w:id="169"/>
    </w:p>
    <w:p>
      <w:pPr>
        <w:spacing w:line="360" w:lineRule="auto"/>
        <w:ind w:firstLine="420" w:firstLineChars="200"/>
        <w:rPr>
          <w:rFonts w:ascii="黑体" w:hAnsi="黑体" w:eastAsia="黑体"/>
        </w:rPr>
        <w:sectPr>
          <w:pgSz w:w="11906" w:h="16838"/>
          <w:pgMar w:top="1418" w:right="1701" w:bottom="1418" w:left="1701" w:header="851" w:footer="992" w:gutter="0"/>
          <w:cols w:space="425" w:num="1"/>
          <w:docGrid w:type="linesAndChars" w:linePitch="312" w:charSpace="0"/>
        </w:sectPr>
      </w:pPr>
    </w:p>
    <w:p>
      <w:pPr>
        <w:pStyle w:val="2"/>
        <w:keepLines w:val="0"/>
        <w:widowControl/>
        <w:spacing w:before="0" w:after="435" w:line="276" w:lineRule="auto"/>
        <w:jc w:val="center"/>
        <w:rPr>
          <w:rFonts w:ascii="黑体" w:hAnsi="黑体" w:eastAsia="黑体" w:cs="宋体"/>
          <w:spacing w:val="4"/>
          <w:kern w:val="36"/>
          <w:sz w:val="40"/>
          <w:szCs w:val="40"/>
        </w:rPr>
      </w:pPr>
      <w:bookmarkStart w:id="170" w:name="_Toc528968853"/>
      <w:bookmarkStart w:id="171" w:name="_Toc530648994"/>
      <w:bookmarkStart w:id="172" w:name="_Toc27389908"/>
      <w:r>
        <w:rPr>
          <w:rFonts w:hint="eastAsia" w:ascii="黑体" w:hAnsi="黑体" w:eastAsia="黑体" w:cs="宋体"/>
          <w:spacing w:val="4"/>
          <w:kern w:val="36"/>
          <w:sz w:val="40"/>
          <w:szCs w:val="40"/>
        </w:rPr>
        <w:t>第六篇 建设布局</w:t>
      </w:r>
      <w:bookmarkEnd w:id="170"/>
      <w:bookmarkEnd w:id="171"/>
      <w:bookmarkEnd w:id="172"/>
    </w:p>
    <w:p>
      <w:pPr>
        <w:pStyle w:val="3"/>
        <w:spacing w:before="217" w:after="217"/>
        <w:jc w:val="left"/>
        <w:rPr>
          <w:rFonts w:ascii="黑体" w:hAnsi="黑体" w:eastAsia="黑体" w:cs="Times New Roman"/>
          <w:b w:val="0"/>
          <w:bCs w:val="0"/>
        </w:rPr>
      </w:pPr>
      <w:bookmarkStart w:id="173" w:name="_Toc528968854"/>
      <w:bookmarkStart w:id="174" w:name="_Toc530648995"/>
      <w:bookmarkStart w:id="175" w:name="_Toc27389909"/>
      <w:r>
        <w:rPr>
          <w:rFonts w:hint="eastAsia" w:ascii="黑体" w:hAnsi="黑体" w:eastAsia="黑体" w:cs="Times New Roman"/>
          <w:b w:val="0"/>
          <w:bCs w:val="0"/>
        </w:rPr>
        <w:t>一、布局原则</w:t>
      </w:r>
      <w:bookmarkEnd w:id="173"/>
      <w:bookmarkEnd w:id="174"/>
      <w:bookmarkEnd w:id="175"/>
    </w:p>
    <w:p>
      <w:pPr>
        <w:pStyle w:val="4"/>
        <w:spacing w:before="217" w:after="217" w:line="276" w:lineRule="auto"/>
        <w:rPr>
          <w:rFonts w:ascii="仿宋" w:hAnsi="仿宋" w:eastAsia="仿宋" w:cs="Times New Roman"/>
          <w:spacing w:val="20"/>
        </w:rPr>
      </w:pPr>
      <w:bookmarkStart w:id="176" w:name="_Toc27389910"/>
      <w:bookmarkStart w:id="177" w:name="_Toc530648996"/>
      <w:bookmarkStart w:id="178" w:name="_Toc528968855"/>
      <w:r>
        <w:rPr>
          <w:rFonts w:hint="eastAsia" w:ascii="仿宋" w:hAnsi="仿宋" w:eastAsia="仿宋" w:cs="Times New Roman"/>
          <w:spacing w:val="20"/>
        </w:rPr>
        <w:t>（一）坚持系统建设，统筹推进</w:t>
      </w:r>
      <w:bookmarkEnd w:id="176"/>
      <w:bookmarkEnd w:id="177"/>
      <w:bookmarkEnd w:id="178"/>
    </w:p>
    <w:p>
      <w:pPr>
        <w:spacing w:line="276" w:lineRule="auto"/>
        <w:ind w:firstLine="560" w:firstLineChars="200"/>
        <w:rPr>
          <w:rFonts w:ascii="仿宋" w:hAnsi="仿宋" w:eastAsia="仿宋"/>
          <w:sz w:val="28"/>
          <w:szCs w:val="28"/>
        </w:rPr>
      </w:pPr>
      <w:r>
        <w:rPr>
          <w:rFonts w:ascii="仿宋" w:hAnsi="仿宋" w:eastAsia="仿宋"/>
          <w:sz w:val="28"/>
          <w:szCs w:val="28"/>
        </w:rPr>
        <w:t>按照山水林田湖草是一个有机生命共同体的战略思想，将</w:t>
      </w:r>
      <w:r>
        <w:rPr>
          <w:rFonts w:hint="eastAsia" w:ascii="仿宋" w:hAnsi="仿宋" w:eastAsia="仿宋"/>
          <w:sz w:val="28"/>
          <w:szCs w:val="28"/>
        </w:rPr>
        <w:t>打造北京</w:t>
      </w:r>
      <w:r>
        <w:rPr>
          <w:rFonts w:ascii="仿宋" w:hAnsi="仿宋" w:eastAsia="仿宋"/>
          <w:sz w:val="28"/>
          <w:szCs w:val="28"/>
        </w:rPr>
        <w:t>森林作为森林城市建设的中心任务，充分发挥森林对维护山水林田湖草生命共同体的特殊作用。同时统筹兼顾湿地保护、河流治理、防沙治沙和野生动植物保护等方面，推进城市自然生态系统协调发展。</w:t>
      </w:r>
    </w:p>
    <w:p>
      <w:pPr>
        <w:pStyle w:val="4"/>
        <w:spacing w:before="217" w:after="217" w:line="276" w:lineRule="auto"/>
        <w:rPr>
          <w:rFonts w:ascii="仿宋" w:hAnsi="仿宋" w:eastAsia="仿宋" w:cs="Times New Roman"/>
          <w:spacing w:val="20"/>
        </w:rPr>
      </w:pPr>
      <w:bookmarkStart w:id="179" w:name="_Toc27389911"/>
      <w:bookmarkStart w:id="180" w:name="_Toc528968856"/>
      <w:bookmarkStart w:id="181" w:name="_Toc530648997"/>
      <w:r>
        <w:rPr>
          <w:rFonts w:hint="eastAsia" w:ascii="仿宋" w:hAnsi="仿宋" w:eastAsia="仿宋" w:cs="Times New Roman"/>
          <w:spacing w:val="20"/>
        </w:rPr>
        <w:t>（二）坚持合理布局，突出重点</w:t>
      </w:r>
      <w:bookmarkEnd w:id="179"/>
      <w:bookmarkEnd w:id="180"/>
      <w:bookmarkEnd w:id="181"/>
    </w:p>
    <w:p>
      <w:pPr>
        <w:spacing w:line="276" w:lineRule="auto"/>
        <w:ind w:firstLine="560" w:firstLineChars="200"/>
        <w:rPr>
          <w:rFonts w:ascii="仿宋" w:hAnsi="仿宋" w:eastAsia="仿宋"/>
          <w:sz w:val="28"/>
          <w:szCs w:val="28"/>
        </w:rPr>
      </w:pPr>
      <w:r>
        <w:rPr>
          <w:rFonts w:ascii="仿宋" w:hAnsi="仿宋" w:eastAsia="仿宋"/>
          <w:sz w:val="28"/>
          <w:szCs w:val="28"/>
        </w:rPr>
        <w:t>充分考虑</w:t>
      </w:r>
      <w:r>
        <w:rPr>
          <w:rFonts w:hint="eastAsia" w:ascii="仿宋" w:hAnsi="仿宋" w:eastAsia="仿宋"/>
          <w:sz w:val="28"/>
          <w:szCs w:val="28"/>
        </w:rPr>
        <w:t>北京</w:t>
      </w:r>
      <w:r>
        <w:rPr>
          <w:rFonts w:ascii="仿宋" w:hAnsi="仿宋" w:eastAsia="仿宋"/>
          <w:sz w:val="28"/>
          <w:szCs w:val="28"/>
        </w:rPr>
        <w:t>自然地理特征、资源环境条件、森林植被分布，以及经济社会发展水平等因素，同时围绕</w:t>
      </w:r>
      <w:r>
        <w:rPr>
          <w:rFonts w:hint="eastAsia" w:ascii="仿宋" w:hAnsi="仿宋" w:eastAsia="仿宋"/>
          <w:sz w:val="28"/>
          <w:szCs w:val="28"/>
        </w:rPr>
        <w:t>北京城市总体规划</w:t>
      </w:r>
      <w:r>
        <w:rPr>
          <w:rFonts w:ascii="仿宋" w:hAnsi="仿宋" w:eastAsia="仿宋"/>
          <w:sz w:val="28"/>
          <w:szCs w:val="28"/>
        </w:rPr>
        <w:t>、国家主体功能区划、</w:t>
      </w:r>
      <w:r>
        <w:rPr>
          <w:rFonts w:hint="eastAsia" w:ascii="仿宋" w:hAnsi="仿宋" w:eastAsia="仿宋"/>
          <w:sz w:val="28"/>
          <w:szCs w:val="28"/>
        </w:rPr>
        <w:t>京津冀协同发展区规划</w:t>
      </w:r>
      <w:r>
        <w:rPr>
          <w:rFonts w:ascii="仿宋" w:hAnsi="仿宋" w:eastAsia="仿宋"/>
          <w:sz w:val="28"/>
          <w:szCs w:val="28"/>
        </w:rPr>
        <w:t>等，</w:t>
      </w:r>
      <w:r>
        <w:rPr>
          <w:rFonts w:hint="eastAsia" w:ascii="仿宋" w:hAnsi="仿宋" w:eastAsia="仿宋"/>
          <w:sz w:val="28"/>
          <w:szCs w:val="28"/>
        </w:rPr>
        <w:t>有针对性的</w:t>
      </w:r>
      <w:r>
        <w:rPr>
          <w:rFonts w:ascii="仿宋" w:hAnsi="仿宋" w:eastAsia="仿宋"/>
          <w:sz w:val="28"/>
          <w:szCs w:val="28"/>
        </w:rPr>
        <w:t>确定</w:t>
      </w:r>
      <w:r>
        <w:rPr>
          <w:rFonts w:hint="eastAsia" w:ascii="仿宋" w:hAnsi="仿宋" w:eastAsia="仿宋"/>
          <w:sz w:val="28"/>
          <w:szCs w:val="28"/>
        </w:rPr>
        <w:t>北京森林城市</w:t>
      </w:r>
      <w:r>
        <w:rPr>
          <w:rFonts w:ascii="仿宋" w:hAnsi="仿宋" w:eastAsia="仿宋"/>
          <w:sz w:val="28"/>
          <w:szCs w:val="28"/>
        </w:rPr>
        <w:t>建设</w:t>
      </w:r>
      <w:r>
        <w:rPr>
          <w:rFonts w:hint="eastAsia" w:ascii="仿宋" w:hAnsi="仿宋" w:eastAsia="仿宋"/>
          <w:sz w:val="28"/>
          <w:szCs w:val="28"/>
        </w:rPr>
        <w:t>的</w:t>
      </w:r>
      <w:r>
        <w:rPr>
          <w:rFonts w:ascii="仿宋" w:hAnsi="仿宋" w:eastAsia="仿宋"/>
          <w:sz w:val="28"/>
          <w:szCs w:val="28"/>
        </w:rPr>
        <w:t>重点和优先区域。</w:t>
      </w:r>
    </w:p>
    <w:p>
      <w:pPr>
        <w:pStyle w:val="4"/>
        <w:spacing w:before="217" w:after="217" w:line="276" w:lineRule="auto"/>
        <w:rPr>
          <w:rFonts w:ascii="仿宋" w:hAnsi="仿宋" w:eastAsia="仿宋" w:cs="Times New Roman"/>
          <w:spacing w:val="20"/>
        </w:rPr>
      </w:pPr>
      <w:bookmarkStart w:id="182" w:name="_Toc27389912"/>
      <w:bookmarkStart w:id="183" w:name="_Toc530648998"/>
      <w:bookmarkStart w:id="184" w:name="_Toc528968857"/>
      <w:r>
        <w:rPr>
          <w:rFonts w:hint="eastAsia" w:ascii="仿宋" w:hAnsi="仿宋" w:eastAsia="仿宋" w:cs="Times New Roman"/>
          <w:spacing w:val="20"/>
        </w:rPr>
        <w:t>（三）坚持分类指导，科学推进</w:t>
      </w:r>
      <w:bookmarkEnd w:id="182"/>
      <w:bookmarkEnd w:id="183"/>
      <w:bookmarkEnd w:id="184"/>
    </w:p>
    <w:p>
      <w:pPr>
        <w:spacing w:line="276" w:lineRule="auto"/>
        <w:ind w:firstLine="560" w:firstLineChars="200"/>
        <w:rPr>
          <w:rFonts w:ascii="仿宋" w:hAnsi="仿宋" w:eastAsia="仿宋"/>
          <w:sz w:val="28"/>
          <w:szCs w:val="28"/>
        </w:rPr>
      </w:pPr>
      <w:r>
        <w:rPr>
          <w:rFonts w:hint="eastAsia" w:ascii="仿宋" w:hAnsi="仿宋" w:eastAsia="仿宋"/>
          <w:sz w:val="28"/>
          <w:szCs w:val="28"/>
        </w:rPr>
        <w:t>依据北京行政区划级别、自然资源禀赋，按核心区、中心城区、北京城市副中心、新城、生态涵养区等分类推进森林城市建设。通过组织平谷、延庆、通州等区率先开展国家森林城市创建工作，全面推进北京森林城市建设进程。</w:t>
      </w:r>
    </w:p>
    <w:p>
      <w:pPr>
        <w:pStyle w:val="4"/>
        <w:spacing w:before="217" w:after="217" w:line="276" w:lineRule="auto"/>
        <w:rPr>
          <w:rFonts w:ascii="仿宋" w:hAnsi="仿宋" w:eastAsia="仿宋" w:cs="Times New Roman"/>
          <w:spacing w:val="20"/>
        </w:rPr>
      </w:pPr>
      <w:bookmarkStart w:id="185" w:name="_Toc530648999"/>
      <w:bookmarkStart w:id="186" w:name="_Toc528968858"/>
      <w:bookmarkStart w:id="187" w:name="_Toc27389913"/>
      <w:r>
        <w:rPr>
          <w:rFonts w:hint="eastAsia" w:ascii="仿宋" w:hAnsi="仿宋" w:eastAsia="仿宋" w:cs="Times New Roman"/>
          <w:spacing w:val="20"/>
        </w:rPr>
        <w:t>（四）坚持惠民富民，强化服务</w:t>
      </w:r>
      <w:bookmarkEnd w:id="185"/>
      <w:bookmarkEnd w:id="186"/>
      <w:bookmarkEnd w:id="187"/>
    </w:p>
    <w:p>
      <w:pPr>
        <w:spacing w:line="276" w:lineRule="auto"/>
        <w:ind w:firstLine="560" w:firstLineChars="200"/>
        <w:rPr>
          <w:rFonts w:ascii="仿宋" w:hAnsi="仿宋" w:eastAsia="仿宋"/>
          <w:sz w:val="28"/>
          <w:szCs w:val="28"/>
        </w:rPr>
      </w:pPr>
      <w:r>
        <w:rPr>
          <w:rFonts w:ascii="仿宋" w:hAnsi="仿宋" w:eastAsia="仿宋"/>
          <w:sz w:val="28"/>
          <w:szCs w:val="28"/>
        </w:rPr>
        <w:t>坚持以人民为中心的建设思想，围绕方便老百姓进入森林</w:t>
      </w:r>
      <w:r>
        <w:rPr>
          <w:rFonts w:hint="eastAsia" w:ascii="仿宋" w:hAnsi="仿宋" w:eastAsia="仿宋"/>
          <w:sz w:val="28"/>
          <w:szCs w:val="28"/>
        </w:rPr>
        <w:t>、</w:t>
      </w:r>
      <w:r>
        <w:rPr>
          <w:rFonts w:ascii="仿宋" w:hAnsi="仿宋" w:eastAsia="仿宋"/>
          <w:sz w:val="28"/>
          <w:szCs w:val="28"/>
        </w:rPr>
        <w:t>使用森林、促进农民增收致富等需求，把森林作为城市重要的基础设施，强化生态公共服务功能，确保森林城市建设成果惠及全体人民。</w:t>
      </w:r>
    </w:p>
    <w:p>
      <w:pPr>
        <w:pStyle w:val="3"/>
        <w:spacing w:before="217" w:after="217"/>
        <w:jc w:val="left"/>
        <w:rPr>
          <w:rFonts w:ascii="黑体" w:hAnsi="黑体" w:eastAsia="黑体" w:cs="Times New Roman"/>
          <w:b w:val="0"/>
          <w:bCs w:val="0"/>
        </w:rPr>
      </w:pPr>
      <w:bookmarkStart w:id="188" w:name="_Toc528968859"/>
      <w:bookmarkStart w:id="189" w:name="_Toc530649000"/>
      <w:bookmarkStart w:id="190" w:name="_Toc462595768"/>
      <w:bookmarkStart w:id="191" w:name="_Toc27389914"/>
      <w:bookmarkStart w:id="192" w:name="_Toc463702248"/>
      <w:bookmarkStart w:id="193" w:name="_Toc463752835"/>
      <w:r>
        <w:rPr>
          <w:rFonts w:hint="eastAsia" w:ascii="黑体" w:hAnsi="黑体" w:eastAsia="黑体" w:cs="Times New Roman"/>
          <w:b w:val="0"/>
          <w:bCs w:val="0"/>
        </w:rPr>
        <w:t>二、布局依据</w:t>
      </w:r>
      <w:bookmarkEnd w:id="188"/>
      <w:bookmarkEnd w:id="189"/>
      <w:bookmarkEnd w:id="190"/>
      <w:bookmarkEnd w:id="191"/>
      <w:bookmarkEnd w:id="192"/>
      <w:bookmarkEnd w:id="193"/>
    </w:p>
    <w:p>
      <w:pPr>
        <w:spacing w:line="360" w:lineRule="auto"/>
        <w:ind w:firstLine="560" w:firstLineChars="200"/>
        <w:rPr>
          <w:rFonts w:ascii="仿宋" w:hAnsi="仿宋" w:eastAsia="仿宋"/>
          <w:sz w:val="28"/>
          <w:szCs w:val="28"/>
        </w:rPr>
      </w:pPr>
      <w:r>
        <w:rPr>
          <w:rFonts w:ascii="仿宋" w:hAnsi="仿宋" w:eastAsia="仿宋"/>
          <w:sz w:val="28"/>
          <w:szCs w:val="28"/>
        </w:rPr>
        <w:t>从</w:t>
      </w:r>
      <w:r>
        <w:rPr>
          <w:rFonts w:hint="eastAsia" w:ascii="仿宋" w:hAnsi="仿宋" w:eastAsia="仿宋"/>
          <w:sz w:val="28"/>
          <w:szCs w:val="28"/>
        </w:rPr>
        <w:t>北京</w:t>
      </w:r>
      <w:r>
        <w:rPr>
          <w:rFonts w:ascii="仿宋" w:hAnsi="仿宋" w:eastAsia="仿宋"/>
          <w:sz w:val="28"/>
          <w:szCs w:val="28"/>
        </w:rPr>
        <w:t>市的自然生境条件、环境质量状况、生态敏感区分布、社会文化需求、未来发展趋势等方面考虑，</w:t>
      </w:r>
      <w:r>
        <w:rPr>
          <w:rFonts w:hint="eastAsia" w:ascii="仿宋" w:hAnsi="仿宋" w:eastAsia="仿宋"/>
          <w:sz w:val="28"/>
          <w:szCs w:val="28"/>
        </w:rPr>
        <w:t>建设</w:t>
      </w:r>
      <w:r>
        <w:rPr>
          <w:rFonts w:ascii="仿宋" w:hAnsi="仿宋" w:eastAsia="仿宋"/>
          <w:sz w:val="28"/>
          <w:szCs w:val="28"/>
        </w:rPr>
        <w:t>布局主要的依据是：</w:t>
      </w:r>
    </w:p>
    <w:p>
      <w:pPr>
        <w:spacing w:line="360" w:lineRule="auto"/>
        <w:ind w:firstLine="560" w:firstLineChars="20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 xml:space="preserve">. </w:t>
      </w:r>
      <w:r>
        <w:rPr>
          <w:rFonts w:ascii="仿宋" w:hAnsi="仿宋" w:eastAsia="仿宋"/>
          <w:sz w:val="28"/>
          <w:szCs w:val="28"/>
        </w:rPr>
        <w:t>根据《</w:t>
      </w:r>
      <w:r>
        <w:rPr>
          <w:rFonts w:hint="eastAsia" w:ascii="仿宋" w:hAnsi="仿宋" w:eastAsia="仿宋"/>
          <w:sz w:val="28"/>
          <w:szCs w:val="28"/>
        </w:rPr>
        <w:t>北京</w:t>
      </w:r>
      <w:r>
        <w:rPr>
          <w:rFonts w:ascii="仿宋" w:hAnsi="仿宋" w:eastAsia="仿宋"/>
          <w:sz w:val="28"/>
          <w:szCs w:val="28"/>
        </w:rPr>
        <w:t>城市总体规划（2016</w:t>
      </w:r>
      <w:r>
        <w:rPr>
          <w:rFonts w:hint="eastAsia" w:ascii="仿宋" w:hAnsi="仿宋" w:eastAsia="仿宋"/>
          <w:sz w:val="28"/>
          <w:szCs w:val="28"/>
        </w:rPr>
        <w:t>年</w:t>
      </w:r>
      <w:r>
        <w:rPr>
          <w:rFonts w:ascii="仿宋" w:hAnsi="仿宋" w:eastAsia="仿宋"/>
          <w:sz w:val="28"/>
          <w:szCs w:val="28"/>
        </w:rPr>
        <w:t>-2035</w:t>
      </w:r>
      <w:r>
        <w:rPr>
          <w:rFonts w:hint="eastAsia" w:ascii="仿宋" w:hAnsi="仿宋" w:eastAsia="仿宋"/>
          <w:sz w:val="28"/>
          <w:szCs w:val="28"/>
        </w:rPr>
        <w:t>年）</w:t>
      </w:r>
      <w:r>
        <w:rPr>
          <w:rFonts w:ascii="仿宋" w:hAnsi="仿宋" w:eastAsia="仿宋"/>
          <w:sz w:val="28"/>
          <w:szCs w:val="28"/>
        </w:rPr>
        <w:t>》确定</w:t>
      </w:r>
      <w:r>
        <w:rPr>
          <w:rFonts w:hint="eastAsia" w:ascii="仿宋" w:hAnsi="仿宋" w:eastAsia="仿宋"/>
          <w:sz w:val="28"/>
          <w:szCs w:val="28"/>
        </w:rPr>
        <w:t>的市域绿色空间体系</w:t>
      </w:r>
      <w:r>
        <w:rPr>
          <w:rFonts w:ascii="仿宋" w:hAnsi="仿宋" w:eastAsia="仿宋"/>
          <w:sz w:val="28"/>
          <w:szCs w:val="28"/>
        </w:rPr>
        <w:t>；</w:t>
      </w:r>
    </w:p>
    <w:p>
      <w:pPr>
        <w:spacing w:line="360" w:lineRule="auto"/>
        <w:ind w:firstLine="560" w:firstLineChars="20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 xml:space="preserve">. </w:t>
      </w:r>
      <w:r>
        <w:rPr>
          <w:rFonts w:ascii="仿宋" w:hAnsi="仿宋" w:eastAsia="仿宋"/>
          <w:sz w:val="28"/>
          <w:szCs w:val="28"/>
        </w:rPr>
        <w:t>依据森林、湿地资源分布和生态廊道状况优化城市生态网络；</w:t>
      </w:r>
    </w:p>
    <w:p>
      <w:pPr>
        <w:spacing w:line="360" w:lineRule="auto"/>
        <w:ind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 xml:space="preserve">. </w:t>
      </w:r>
      <w:r>
        <w:rPr>
          <w:rFonts w:ascii="仿宋" w:hAnsi="仿宋" w:eastAsia="仿宋"/>
          <w:sz w:val="28"/>
          <w:szCs w:val="28"/>
        </w:rPr>
        <w:t>综合自然地貌和气候特点确定</w:t>
      </w:r>
      <w:r>
        <w:rPr>
          <w:rFonts w:hint="eastAsia" w:ascii="仿宋" w:hAnsi="仿宋" w:eastAsia="仿宋"/>
          <w:sz w:val="28"/>
          <w:szCs w:val="28"/>
        </w:rPr>
        <w:t>北京</w:t>
      </w:r>
      <w:r>
        <w:rPr>
          <w:rFonts w:ascii="仿宋" w:hAnsi="仿宋" w:eastAsia="仿宋"/>
          <w:sz w:val="28"/>
          <w:szCs w:val="28"/>
        </w:rPr>
        <w:t>城市森林主要目标类型；</w:t>
      </w:r>
    </w:p>
    <w:p>
      <w:pPr>
        <w:spacing w:line="360" w:lineRule="auto"/>
        <w:ind w:firstLine="560" w:firstLineChars="200"/>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 xml:space="preserve">. </w:t>
      </w:r>
      <w:r>
        <w:rPr>
          <w:rFonts w:ascii="仿宋" w:hAnsi="仿宋" w:eastAsia="仿宋"/>
          <w:sz w:val="28"/>
          <w:szCs w:val="28"/>
        </w:rPr>
        <w:t>针对生态空间潜力确定造林绿化方向；</w:t>
      </w:r>
    </w:p>
    <w:p>
      <w:pPr>
        <w:spacing w:line="360" w:lineRule="auto"/>
        <w:ind w:firstLine="560" w:firstLineChars="200"/>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 xml:space="preserve">. </w:t>
      </w:r>
      <w:r>
        <w:rPr>
          <w:rFonts w:ascii="仿宋" w:hAnsi="仿宋" w:eastAsia="仿宋"/>
          <w:sz w:val="28"/>
          <w:szCs w:val="28"/>
        </w:rPr>
        <w:t>根据河流水系特点和水环境治理需要布局带状森林；</w:t>
      </w:r>
    </w:p>
    <w:p>
      <w:pPr>
        <w:spacing w:line="360" w:lineRule="auto"/>
        <w:ind w:firstLine="560" w:firstLineChars="200"/>
        <w:rPr>
          <w:rFonts w:ascii="仿宋" w:hAnsi="仿宋" w:eastAsia="仿宋"/>
          <w:sz w:val="28"/>
          <w:szCs w:val="28"/>
        </w:rPr>
      </w:pPr>
      <w:r>
        <w:rPr>
          <w:rFonts w:ascii="仿宋" w:hAnsi="仿宋" w:eastAsia="仿宋"/>
          <w:sz w:val="28"/>
          <w:szCs w:val="28"/>
        </w:rPr>
        <w:t>6</w:t>
      </w:r>
      <w:r>
        <w:rPr>
          <w:rFonts w:hint="eastAsia" w:ascii="仿宋" w:hAnsi="仿宋" w:eastAsia="仿宋"/>
          <w:sz w:val="28"/>
          <w:szCs w:val="28"/>
        </w:rPr>
        <w:t xml:space="preserve">. </w:t>
      </w:r>
      <w:r>
        <w:rPr>
          <w:rFonts w:ascii="仿宋" w:hAnsi="仿宋" w:eastAsia="仿宋"/>
          <w:sz w:val="28"/>
          <w:szCs w:val="28"/>
        </w:rPr>
        <w:t>针对生态文化现状与趋势确定</w:t>
      </w:r>
      <w:r>
        <w:rPr>
          <w:rFonts w:hint="eastAsia" w:ascii="仿宋" w:hAnsi="仿宋" w:eastAsia="仿宋"/>
          <w:sz w:val="28"/>
          <w:szCs w:val="28"/>
        </w:rPr>
        <w:t>北京</w:t>
      </w:r>
      <w:r>
        <w:rPr>
          <w:rFonts w:ascii="仿宋" w:hAnsi="仿宋" w:eastAsia="仿宋"/>
          <w:sz w:val="28"/>
          <w:szCs w:val="28"/>
        </w:rPr>
        <w:t>自然教育体系及其特色内容；</w:t>
      </w:r>
    </w:p>
    <w:p>
      <w:pPr>
        <w:spacing w:line="360" w:lineRule="auto"/>
        <w:ind w:firstLine="560" w:firstLineChars="200"/>
        <w:rPr>
          <w:rFonts w:ascii="仿宋" w:hAnsi="仿宋" w:eastAsia="仿宋"/>
          <w:sz w:val="28"/>
          <w:szCs w:val="28"/>
        </w:rPr>
      </w:pPr>
      <w:r>
        <w:rPr>
          <w:rFonts w:ascii="仿宋" w:hAnsi="仿宋" w:eastAsia="仿宋"/>
          <w:sz w:val="28"/>
          <w:szCs w:val="28"/>
        </w:rPr>
        <w:t>7</w:t>
      </w:r>
      <w:r>
        <w:rPr>
          <w:rFonts w:hint="eastAsia" w:ascii="仿宋" w:hAnsi="仿宋" w:eastAsia="仿宋"/>
          <w:sz w:val="28"/>
          <w:szCs w:val="28"/>
        </w:rPr>
        <w:t xml:space="preserve">. </w:t>
      </w:r>
      <w:r>
        <w:rPr>
          <w:rFonts w:ascii="仿宋" w:hAnsi="仿宋" w:eastAsia="仿宋"/>
          <w:sz w:val="28"/>
          <w:szCs w:val="28"/>
        </w:rPr>
        <w:t>结合居民需求布局开发生态</w:t>
      </w:r>
      <w:r>
        <w:rPr>
          <w:rFonts w:hint="eastAsia" w:ascii="仿宋" w:hAnsi="仿宋" w:eastAsia="仿宋"/>
          <w:sz w:val="28"/>
          <w:szCs w:val="28"/>
        </w:rPr>
        <w:t>资源</w:t>
      </w:r>
      <w:r>
        <w:rPr>
          <w:rFonts w:ascii="仿宋" w:hAnsi="仿宋" w:eastAsia="仿宋"/>
          <w:sz w:val="28"/>
          <w:szCs w:val="28"/>
        </w:rPr>
        <w:t>的综合服务功能</w:t>
      </w:r>
      <w:r>
        <w:rPr>
          <w:rFonts w:hint="eastAsia" w:ascii="仿宋" w:hAnsi="仿宋" w:eastAsia="仿宋"/>
          <w:sz w:val="28"/>
          <w:szCs w:val="28"/>
        </w:rPr>
        <w:t>；</w:t>
      </w:r>
    </w:p>
    <w:p>
      <w:pPr>
        <w:spacing w:line="360" w:lineRule="auto"/>
        <w:ind w:firstLine="560" w:firstLineChars="200"/>
        <w:rPr>
          <w:rFonts w:ascii="仿宋" w:hAnsi="仿宋" w:eastAsia="仿宋"/>
          <w:sz w:val="28"/>
          <w:szCs w:val="28"/>
        </w:rPr>
      </w:pPr>
      <w:r>
        <w:rPr>
          <w:rFonts w:hint="eastAsia" w:ascii="仿宋" w:hAnsi="仿宋" w:eastAsia="仿宋"/>
          <w:sz w:val="28"/>
          <w:szCs w:val="28"/>
        </w:rPr>
        <w:t>8. 衔接北京新一轮百万亩造林、生态涵养区、文化带等重点建设项目；</w:t>
      </w:r>
    </w:p>
    <w:p>
      <w:pPr>
        <w:spacing w:line="360" w:lineRule="auto"/>
        <w:ind w:firstLine="560" w:firstLineChars="200"/>
        <w:rPr>
          <w:rFonts w:ascii="仿宋" w:hAnsi="仿宋" w:eastAsia="仿宋"/>
          <w:sz w:val="28"/>
          <w:szCs w:val="28"/>
        </w:rPr>
      </w:pPr>
      <w:r>
        <w:rPr>
          <w:rFonts w:hint="eastAsia" w:ascii="仿宋" w:hAnsi="仿宋" w:eastAsia="仿宋"/>
          <w:sz w:val="28"/>
          <w:szCs w:val="28"/>
        </w:rPr>
        <w:t>9. 根据国家京津冀协同发展区、北京城市副中心、河北雄安新区等战略规划，衔接生态空间和共享生态服务</w:t>
      </w:r>
      <w:r>
        <w:rPr>
          <w:rFonts w:ascii="仿宋" w:hAnsi="仿宋" w:eastAsia="仿宋"/>
          <w:sz w:val="28"/>
          <w:szCs w:val="28"/>
        </w:rPr>
        <w:t>。</w:t>
      </w:r>
    </w:p>
    <w:p>
      <w:pPr>
        <w:pStyle w:val="3"/>
        <w:spacing w:before="217" w:after="217"/>
        <w:jc w:val="left"/>
        <w:rPr>
          <w:rFonts w:ascii="黑体" w:hAnsi="黑体" w:eastAsia="黑体" w:cs="Times New Roman"/>
          <w:b w:val="0"/>
          <w:bCs w:val="0"/>
        </w:rPr>
      </w:pPr>
      <w:bookmarkStart w:id="194" w:name="_Toc463702249"/>
      <w:bookmarkStart w:id="195" w:name="_Toc462595769"/>
      <w:bookmarkStart w:id="196" w:name="_Toc528968860"/>
      <w:bookmarkStart w:id="197" w:name="_Toc463752836"/>
      <w:bookmarkStart w:id="198" w:name="_Toc530649001"/>
      <w:bookmarkStart w:id="199" w:name="_Toc27389915"/>
      <w:r>
        <w:rPr>
          <w:rFonts w:hint="eastAsia" w:ascii="黑体" w:hAnsi="黑体" w:eastAsia="黑体" w:cs="Times New Roman"/>
          <w:b w:val="0"/>
          <w:bCs w:val="0"/>
        </w:rPr>
        <w:t>三、建设布局</w:t>
      </w:r>
      <w:bookmarkEnd w:id="194"/>
      <w:bookmarkEnd w:id="195"/>
      <w:bookmarkEnd w:id="196"/>
      <w:bookmarkEnd w:id="197"/>
      <w:bookmarkEnd w:id="198"/>
      <w:bookmarkEnd w:id="199"/>
    </w:p>
    <w:p>
      <w:pPr>
        <w:pStyle w:val="25"/>
        <w:spacing w:before="0" w:beforeAutospacing="0" w:after="0" w:afterAutospacing="0" w:line="276" w:lineRule="auto"/>
        <w:ind w:firstLine="560" w:firstLineChars="200"/>
        <w:jc w:val="both"/>
        <w:rPr>
          <w:rFonts w:ascii="仿宋" w:hAnsi="仿宋" w:eastAsia="仿宋" w:cstheme="minorBidi"/>
          <w:kern w:val="2"/>
          <w:sz w:val="28"/>
          <w:szCs w:val="28"/>
        </w:rPr>
      </w:pPr>
      <w:r>
        <w:rPr>
          <w:rFonts w:hint="eastAsia" w:ascii="仿宋" w:hAnsi="仿宋" w:eastAsia="仿宋" w:cstheme="minorBidi"/>
          <w:kern w:val="2"/>
          <w:sz w:val="28"/>
          <w:szCs w:val="28"/>
        </w:rPr>
        <w:t>按照《北京城市总体规划（2016年-2035年）》确立的首都城市战略定位和空间布局，通过建设山区、城区、平原一体的森林生态网络体系，保护与恢复北京“山、水、城、田”的自然景观格局，按照“北提、南增、东拓、西护、中优、内连、外合”的城市森林建设布局，重新恢复城市、人与自然的有机联系，建设森林城市，促进城市可持续发展。建设布局的具体内涵是：</w:t>
      </w:r>
    </w:p>
    <w:p>
      <w:pPr>
        <w:pStyle w:val="4"/>
        <w:spacing w:before="217" w:after="217" w:line="276" w:lineRule="auto"/>
        <w:rPr>
          <w:rFonts w:ascii="仿宋" w:hAnsi="仿宋" w:eastAsia="仿宋" w:cs="Times New Roman"/>
          <w:spacing w:val="20"/>
        </w:rPr>
      </w:pPr>
      <w:bookmarkStart w:id="200" w:name="_Toc528968861"/>
      <w:bookmarkStart w:id="201" w:name="_Toc530649002"/>
      <w:bookmarkStart w:id="202" w:name="_Toc27389916"/>
      <w:r>
        <w:rPr>
          <w:rFonts w:hint="eastAsia" w:ascii="仿宋" w:hAnsi="仿宋" w:eastAsia="仿宋" w:cs="Times New Roman"/>
          <w:spacing w:val="20"/>
        </w:rPr>
        <w:t>（一）北提——森林质量，生态功能，服务能力</w:t>
      </w:r>
      <w:bookmarkEnd w:id="200"/>
      <w:bookmarkEnd w:id="201"/>
      <w:bookmarkEnd w:id="202"/>
    </w:p>
    <w:p>
      <w:pPr>
        <w:pStyle w:val="25"/>
        <w:spacing w:before="0" w:beforeAutospacing="0" w:after="0" w:afterAutospacing="0" w:line="276" w:lineRule="auto"/>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北部地区包括北部、西北部昌平、延庆、怀柔、密云和平谷五个区。这一区域是北京山地的集中分布区，也是北京森林主要的分布区，是北京重要的水源涵养、水土保持区。建设的重点是：</w:t>
      </w:r>
    </w:p>
    <w:p>
      <w:pPr>
        <w:pStyle w:val="25"/>
        <w:spacing w:before="0" w:beforeAutospacing="0" w:after="0" w:afterAutospacing="0" w:line="276" w:lineRule="auto"/>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一是提升森林质量。通过树种优化、密度调控、封山育林等技术措施促进林木健康生长和近自然森林景观的恢复，保护生物多样性，提高现有森林资源的质量。</w:t>
      </w:r>
    </w:p>
    <w:p>
      <w:pPr>
        <w:pStyle w:val="25"/>
        <w:spacing w:before="0" w:beforeAutospacing="0" w:after="0" w:afterAutospacing="0" w:line="276" w:lineRule="auto"/>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二是提升生态功能。实施以提升功能为导向的森林分类经营，定向培育水土保持林、水源涵养林、生态风景林、景观游憩林等，提高森林的生态功能。</w:t>
      </w:r>
    </w:p>
    <w:p>
      <w:pPr>
        <w:pStyle w:val="25"/>
        <w:spacing w:before="0" w:beforeAutospacing="0" w:after="0" w:afterAutospacing="0" w:line="276" w:lineRule="auto"/>
        <w:ind w:firstLine="560" w:firstLineChars="200"/>
        <w:jc w:val="both"/>
        <w:rPr>
          <w:rFonts w:ascii="仿宋" w:hAnsi="仿宋" w:eastAsia="仿宋"/>
          <w:kern w:val="2"/>
          <w:sz w:val="32"/>
          <w:szCs w:val="28"/>
        </w:rPr>
      </w:pPr>
      <w:r>
        <w:rPr>
          <w:rFonts w:hint="eastAsia" w:ascii="仿宋" w:hAnsi="仿宋" w:eastAsia="仿宋" w:cs="Times New Roman"/>
          <w:kern w:val="2"/>
          <w:sz w:val="28"/>
          <w:szCs w:val="28"/>
        </w:rPr>
        <w:t>三是提升服务能力。围绕以人民为中心的宗旨，建设多样化的森林休闲旅游场所，打造高水平的参与式、体验式自然教育基地，开发城市森林的自然体验与自然教育功能作用。</w:t>
      </w:r>
    </w:p>
    <w:p>
      <w:pPr>
        <w:pStyle w:val="4"/>
        <w:spacing w:before="217" w:after="217" w:line="276" w:lineRule="auto"/>
        <w:rPr>
          <w:rFonts w:ascii="仿宋" w:hAnsi="仿宋" w:eastAsia="仿宋" w:cs="Times New Roman"/>
          <w:spacing w:val="20"/>
        </w:rPr>
      </w:pPr>
      <w:bookmarkStart w:id="203" w:name="_Toc528968862"/>
      <w:bookmarkStart w:id="204" w:name="_Toc530649003"/>
      <w:bookmarkStart w:id="205" w:name="_Toc27389917"/>
      <w:r>
        <w:rPr>
          <w:rFonts w:hint="eastAsia" w:ascii="仿宋" w:hAnsi="仿宋" w:eastAsia="仿宋" w:cs="Times New Roman"/>
          <w:spacing w:val="20"/>
        </w:rPr>
        <w:t>（二）南增——成片森林，乡愁景观，绿染中轴</w:t>
      </w:r>
      <w:bookmarkEnd w:id="203"/>
      <w:bookmarkEnd w:id="204"/>
      <w:bookmarkEnd w:id="205"/>
    </w:p>
    <w:p>
      <w:pPr>
        <w:pStyle w:val="25"/>
        <w:spacing w:before="0" w:beforeAutospacing="0" w:after="0" w:afterAutospacing="0" w:line="276" w:lineRule="auto"/>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南部地区包括房山（永定河沿岸）、大兴等南部平原区。这一区域是北京平原森林建设的重点区，是北京大兴国际机场的所在地和北京中轴线的南部延长区。建设的重点是：</w:t>
      </w:r>
    </w:p>
    <w:p>
      <w:pPr>
        <w:pStyle w:val="25"/>
        <w:spacing w:before="0" w:beforeAutospacing="0" w:after="0" w:afterAutospacing="0" w:line="276" w:lineRule="auto"/>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一是增加成片森林。围绕北京大兴国际机场建设、中轴线南延和永定河等水系疏通，发挥森林在缓解热岛效应、净化河流水质、中水循环利用等方面的功能，发展成片的近自然森林、湿地，提高生态修复与地下水补给能力。</w:t>
      </w:r>
    </w:p>
    <w:p>
      <w:pPr>
        <w:pStyle w:val="25"/>
        <w:spacing w:before="0" w:beforeAutospacing="0" w:after="0" w:afterAutospacing="0" w:line="276" w:lineRule="auto"/>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二是增加乡愁景观。围绕平原乡村人居环境建设和农田林网建设，使用乡土树种，完善围村林、庭院林、道路林、水岸林等乡村聚落区森林景观，保护和提升农田林网，发展经济林果，培育有乡愁感的绿海田园景观。</w:t>
      </w:r>
    </w:p>
    <w:p>
      <w:pPr>
        <w:pStyle w:val="25"/>
        <w:spacing w:before="0" w:beforeAutospacing="0" w:after="0" w:afterAutospacing="0" w:line="276" w:lineRule="auto"/>
        <w:ind w:firstLine="560" w:firstLineChars="200"/>
        <w:jc w:val="both"/>
        <w:rPr>
          <w:rFonts w:ascii="仿宋" w:hAnsi="仿宋" w:eastAsia="仿宋"/>
          <w:kern w:val="2"/>
          <w:sz w:val="32"/>
          <w:szCs w:val="28"/>
        </w:rPr>
      </w:pPr>
      <w:r>
        <w:rPr>
          <w:rFonts w:hint="eastAsia" w:ascii="仿宋" w:hAnsi="仿宋" w:eastAsia="仿宋" w:cs="Times New Roman"/>
          <w:kern w:val="2"/>
          <w:sz w:val="28"/>
          <w:szCs w:val="28"/>
        </w:rPr>
        <w:t>三是增加绿染中轴。围绕北京南中轴线的景观延展，推进大兴和亦庄新城发展和北京大兴国际机场建设，建设大尺度的森林、湿地空间，优化南城的区域发展布局，延续中轴线的景观风貌。</w:t>
      </w:r>
    </w:p>
    <w:p>
      <w:pPr>
        <w:pStyle w:val="4"/>
        <w:spacing w:before="217" w:after="217" w:line="276" w:lineRule="auto"/>
        <w:rPr>
          <w:rFonts w:ascii="仿宋" w:hAnsi="仿宋" w:eastAsia="仿宋" w:cs="Times New Roman"/>
          <w:spacing w:val="20"/>
        </w:rPr>
      </w:pPr>
      <w:bookmarkStart w:id="206" w:name="_Toc528968863"/>
      <w:bookmarkStart w:id="207" w:name="_Toc27389918"/>
      <w:bookmarkStart w:id="208" w:name="_Toc530649004"/>
      <w:r>
        <w:rPr>
          <w:rFonts w:hint="eastAsia" w:ascii="仿宋" w:hAnsi="仿宋" w:eastAsia="仿宋" w:cs="Times New Roman"/>
          <w:spacing w:val="20"/>
        </w:rPr>
        <w:t>（三）东拓——蓝绿空间，水岸森林，乡镇绿化</w:t>
      </w:r>
      <w:bookmarkEnd w:id="206"/>
      <w:bookmarkEnd w:id="207"/>
      <w:bookmarkEnd w:id="208"/>
    </w:p>
    <w:p>
      <w:pPr>
        <w:pStyle w:val="25"/>
        <w:spacing w:before="0" w:beforeAutospacing="0" w:after="0" w:afterAutospacing="0" w:line="276" w:lineRule="auto"/>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东部地区包括通州和顺义两个区。这一区域是北京城市副中心、首都机场的承载区，也是潮白河、温榆河的交汇区。前期平原绿化特别是百万亩造林已经积累了很好的森林本底，后期是围绕城市副中心和水系治理的需求拓展蓝绿生态空间，实现蓝绿交织、水城共融。建设的重点是：</w:t>
      </w:r>
    </w:p>
    <w:p>
      <w:pPr>
        <w:pStyle w:val="25"/>
        <w:spacing w:before="0" w:beforeAutospacing="0" w:after="0" w:afterAutospacing="0" w:line="276" w:lineRule="auto"/>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一是拓展新城蓝绿空间。按照通州区森林城市建设总体规划，落地实施森林建设工程，建设蓝绿交织的北京城市副中心。</w:t>
      </w:r>
    </w:p>
    <w:p>
      <w:pPr>
        <w:pStyle w:val="25"/>
        <w:spacing w:before="0" w:beforeAutospacing="0" w:after="0" w:afterAutospacing="0" w:line="276" w:lineRule="auto"/>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二是拓展水岸森林空间。采取水城共融的生态空间拓展模式，发挥森林涵养水源、净化水质的功能，恢复近自然植被为主的滨水森林。</w:t>
      </w:r>
    </w:p>
    <w:p>
      <w:pPr>
        <w:pStyle w:val="25"/>
        <w:spacing w:before="0" w:beforeAutospacing="0" w:after="0" w:afterAutospacing="0" w:line="276" w:lineRule="auto"/>
        <w:ind w:firstLine="560" w:firstLineChars="200"/>
        <w:jc w:val="both"/>
        <w:rPr>
          <w:rFonts w:ascii="仿宋" w:hAnsi="仿宋" w:eastAsia="仿宋"/>
          <w:kern w:val="2"/>
          <w:sz w:val="32"/>
          <w:szCs w:val="28"/>
        </w:rPr>
      </w:pPr>
      <w:r>
        <w:rPr>
          <w:rFonts w:hint="eastAsia" w:ascii="仿宋" w:hAnsi="仿宋" w:eastAsia="仿宋" w:cs="Times New Roman"/>
          <w:kern w:val="2"/>
          <w:sz w:val="28"/>
          <w:szCs w:val="28"/>
        </w:rPr>
        <w:t>三是拓展村镇绿化空间。结合乡村振兴战略，加大农村产业结构调整和生态旅游产业发展力度，建设具有北京特色的森林小镇、森林乡村。</w:t>
      </w:r>
    </w:p>
    <w:p>
      <w:pPr>
        <w:pStyle w:val="4"/>
        <w:spacing w:before="217" w:after="217" w:line="276" w:lineRule="auto"/>
        <w:rPr>
          <w:rFonts w:ascii="仿宋" w:hAnsi="仿宋" w:eastAsia="仿宋" w:cs="Times New Roman"/>
          <w:spacing w:val="20"/>
        </w:rPr>
      </w:pPr>
      <w:bookmarkStart w:id="209" w:name="_Toc530649005"/>
      <w:bookmarkStart w:id="210" w:name="_Toc528968864"/>
      <w:bookmarkStart w:id="211" w:name="_Toc27389919"/>
      <w:r>
        <w:rPr>
          <w:rFonts w:hint="eastAsia" w:ascii="仿宋" w:hAnsi="仿宋" w:eastAsia="仿宋" w:cs="Times New Roman"/>
          <w:spacing w:val="20"/>
        </w:rPr>
        <w:t>（四）西护——山地森林，河流水系，废弃工矿</w:t>
      </w:r>
      <w:bookmarkEnd w:id="209"/>
      <w:bookmarkEnd w:id="210"/>
      <w:bookmarkEnd w:id="211"/>
    </w:p>
    <w:p>
      <w:pPr>
        <w:pStyle w:val="25"/>
        <w:spacing w:before="0" w:beforeAutospacing="0" w:after="0" w:afterAutospacing="0" w:line="276" w:lineRule="auto"/>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西部地区包括门头沟和房山两个区。这一区域属于太行山脉，是永定河水系的主要汇水区，山高坡陡。建设的重点是：</w:t>
      </w:r>
    </w:p>
    <w:p>
      <w:pPr>
        <w:pStyle w:val="25"/>
        <w:spacing w:before="0" w:beforeAutospacing="0" w:after="0" w:afterAutospacing="0" w:line="276" w:lineRule="auto"/>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一是管护山地森林。通过封山育林、荒山造林等措施保护和恢复山地植被，提高森林植被质量，减少水土流失和泥石流等地质灾害。</w:t>
      </w:r>
    </w:p>
    <w:p>
      <w:pPr>
        <w:pStyle w:val="25"/>
        <w:spacing w:before="0" w:beforeAutospacing="0" w:after="0" w:afterAutospacing="0" w:line="276" w:lineRule="auto"/>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二是保护河流水系。以建设清水长流的永定河水系为目标，保护和恢复河岸植被，建设河流湿地，打造水清岸绿景美的河流景观。</w:t>
      </w:r>
      <w:r>
        <w:rPr>
          <w:rFonts w:ascii="仿宋" w:hAnsi="仿宋" w:eastAsia="仿宋" w:cs="Times New Roman"/>
          <w:kern w:val="2"/>
          <w:sz w:val="28"/>
          <w:szCs w:val="28"/>
        </w:rPr>
        <w:t xml:space="preserve"> </w:t>
      </w:r>
    </w:p>
    <w:p>
      <w:pPr>
        <w:pStyle w:val="25"/>
        <w:spacing w:before="0" w:beforeAutospacing="0" w:after="0" w:afterAutospacing="0" w:line="276" w:lineRule="auto"/>
        <w:ind w:firstLine="560" w:firstLineChars="200"/>
        <w:jc w:val="both"/>
        <w:rPr>
          <w:rFonts w:ascii="仿宋" w:hAnsi="仿宋" w:eastAsia="仿宋"/>
          <w:kern w:val="2"/>
          <w:sz w:val="32"/>
          <w:szCs w:val="28"/>
        </w:rPr>
      </w:pPr>
      <w:r>
        <w:rPr>
          <w:rFonts w:hint="eastAsia" w:ascii="仿宋" w:hAnsi="仿宋" w:eastAsia="仿宋" w:cs="Times New Roman"/>
          <w:kern w:val="2"/>
          <w:sz w:val="28"/>
          <w:szCs w:val="28"/>
        </w:rPr>
        <w:t>三是修复废弃工矿。通过工矿废弃地复绿、景观化利用等模式，促进工矿弃置地的生态修复和利用。</w:t>
      </w:r>
    </w:p>
    <w:p>
      <w:pPr>
        <w:pStyle w:val="4"/>
        <w:spacing w:before="217" w:after="217" w:line="276" w:lineRule="auto"/>
        <w:rPr>
          <w:rFonts w:ascii="仿宋" w:hAnsi="仿宋" w:eastAsia="仿宋" w:cs="Times New Roman"/>
          <w:spacing w:val="20"/>
        </w:rPr>
      </w:pPr>
      <w:bookmarkStart w:id="212" w:name="_Toc528968865"/>
      <w:bookmarkStart w:id="213" w:name="_Toc530649006"/>
      <w:bookmarkStart w:id="214" w:name="_Toc27389920"/>
      <w:r>
        <w:rPr>
          <w:rFonts w:hint="eastAsia" w:ascii="仿宋" w:hAnsi="仿宋" w:eastAsia="仿宋" w:cs="Times New Roman"/>
          <w:spacing w:val="20"/>
        </w:rPr>
        <w:t>（五）中优——城市森林，生态服务，绿地质量</w:t>
      </w:r>
      <w:bookmarkEnd w:id="212"/>
      <w:bookmarkEnd w:id="213"/>
      <w:bookmarkEnd w:id="214"/>
    </w:p>
    <w:p>
      <w:pPr>
        <w:pStyle w:val="25"/>
        <w:spacing w:before="0" w:beforeAutospacing="0" w:after="0" w:afterAutospacing="0" w:line="276" w:lineRule="auto"/>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中部地区包括东城、西城、海淀、石景山、丰台、朝阳六个区。围绕核心区功能重组、中心城区疏解提升等不同功能区对森林生态空间的建设需求谋划建设内容。建设的重点是：</w:t>
      </w:r>
    </w:p>
    <w:p>
      <w:pPr>
        <w:pStyle w:val="25"/>
        <w:spacing w:before="0" w:beforeAutospacing="0" w:after="0" w:afterAutospacing="0" w:line="276" w:lineRule="auto"/>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一是优化城市森林。通过留白增绿、拆违还绿、见缝插绿等措施，在首都功能核心区建设城市森林，增加城区的生态空间，创建一流人居环境。</w:t>
      </w:r>
    </w:p>
    <w:p>
      <w:pPr>
        <w:pStyle w:val="25"/>
        <w:spacing w:before="0" w:beforeAutospacing="0" w:after="0" w:afterAutospacing="0" w:line="276" w:lineRule="auto"/>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二是优化生态服务。通过完善绿道网络、增加服务设施等措施，提高城区生态空间服务的能力和质量。</w:t>
      </w:r>
    </w:p>
    <w:p>
      <w:pPr>
        <w:pStyle w:val="25"/>
        <w:spacing w:before="0" w:beforeAutospacing="0" w:after="0" w:afterAutospacing="0" w:line="276" w:lineRule="auto"/>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三是优化绿地质量。通过增加地表覆盖、调控绿地林地林木密度等措施，提高景观效果和生态功能。</w:t>
      </w:r>
      <w:bookmarkStart w:id="215" w:name="_Toc530649007"/>
      <w:bookmarkStart w:id="216" w:name="_Toc528968866"/>
    </w:p>
    <w:p>
      <w:pPr>
        <w:pStyle w:val="4"/>
        <w:spacing w:before="217" w:after="217" w:line="276" w:lineRule="auto"/>
        <w:rPr>
          <w:rFonts w:ascii="仿宋" w:hAnsi="仿宋" w:eastAsia="仿宋" w:cs="Times New Roman"/>
          <w:spacing w:val="20"/>
        </w:rPr>
      </w:pPr>
      <w:bookmarkStart w:id="217" w:name="_Toc27389921"/>
      <w:r>
        <w:rPr>
          <w:rFonts w:hint="eastAsia" w:ascii="仿宋" w:hAnsi="仿宋" w:eastAsia="仿宋" w:cs="Times New Roman"/>
          <w:spacing w:val="20"/>
        </w:rPr>
        <w:t>（六）内连——生态廊道，交通干道，休闲绿道</w:t>
      </w:r>
      <w:bookmarkEnd w:id="215"/>
      <w:bookmarkEnd w:id="216"/>
      <w:bookmarkEnd w:id="217"/>
    </w:p>
    <w:p>
      <w:pPr>
        <w:pStyle w:val="25"/>
        <w:spacing w:before="0" w:beforeAutospacing="0" w:after="0" w:afterAutospacing="0" w:line="276" w:lineRule="auto"/>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内部地区包括整个北京市域范围。这一区域森林生态系统建设在保证足够总量面积的基础上，还要通过绿色廊道建设，实现生态斑块、城市组团、休闲空间之间的绿色互联互通，</w:t>
      </w:r>
      <w:r>
        <w:rPr>
          <w:rFonts w:ascii="仿宋" w:hAnsi="仿宋" w:eastAsia="仿宋" w:cs="Times New Roman"/>
          <w:kern w:val="2"/>
          <w:sz w:val="28"/>
          <w:szCs w:val="28"/>
        </w:rPr>
        <w:t>促进空气交流、水系连通、生物迁徙路径通畅</w:t>
      </w:r>
      <w:r>
        <w:rPr>
          <w:rFonts w:hint="eastAsia" w:ascii="仿宋" w:hAnsi="仿宋" w:eastAsia="仿宋" w:cs="Times New Roman"/>
          <w:kern w:val="2"/>
          <w:sz w:val="28"/>
          <w:szCs w:val="28"/>
        </w:rPr>
        <w:t>。建设的重点是：</w:t>
      </w:r>
    </w:p>
    <w:p>
      <w:pPr>
        <w:pStyle w:val="25"/>
        <w:spacing w:before="0" w:beforeAutospacing="0" w:after="0" w:afterAutospacing="0" w:line="276" w:lineRule="auto"/>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一是连通森林生态廊道。</w:t>
      </w:r>
      <w:r>
        <w:rPr>
          <w:rFonts w:ascii="仿宋" w:hAnsi="仿宋" w:eastAsia="仿宋" w:cs="Times New Roman"/>
          <w:kern w:val="2"/>
          <w:sz w:val="28"/>
          <w:szCs w:val="28"/>
        </w:rPr>
        <w:t>依托自然山脉、</w:t>
      </w:r>
      <w:r>
        <w:rPr>
          <w:rFonts w:hint="eastAsia" w:ascii="仿宋" w:hAnsi="仿宋" w:eastAsia="仿宋" w:cs="Times New Roman"/>
          <w:kern w:val="2"/>
          <w:sz w:val="28"/>
          <w:szCs w:val="28"/>
        </w:rPr>
        <w:t>五大</w:t>
      </w:r>
      <w:r>
        <w:rPr>
          <w:rFonts w:ascii="仿宋" w:hAnsi="仿宋" w:eastAsia="仿宋" w:cs="Times New Roman"/>
          <w:kern w:val="2"/>
          <w:sz w:val="28"/>
          <w:szCs w:val="28"/>
        </w:rPr>
        <w:t>骨干水系，通过保护、恢复拓宽、补缺造林等措施，建设足够宽度和群落结构自然的贯通性生态廊道，把孤岛状的山地森林、平原片林、湖泊湿地</w:t>
      </w:r>
      <w:r>
        <w:rPr>
          <w:rFonts w:hint="eastAsia" w:ascii="仿宋" w:hAnsi="仿宋" w:eastAsia="仿宋" w:cs="Times New Roman"/>
          <w:kern w:val="2"/>
          <w:sz w:val="28"/>
          <w:szCs w:val="28"/>
        </w:rPr>
        <w:t>等生态空间</w:t>
      </w:r>
      <w:r>
        <w:rPr>
          <w:rFonts w:ascii="仿宋" w:hAnsi="仿宋" w:eastAsia="仿宋" w:cs="Times New Roman"/>
          <w:kern w:val="2"/>
          <w:sz w:val="28"/>
          <w:szCs w:val="28"/>
        </w:rPr>
        <w:t>连接起来。</w:t>
      </w:r>
    </w:p>
    <w:p>
      <w:pPr>
        <w:pStyle w:val="25"/>
        <w:spacing w:before="0" w:beforeAutospacing="0" w:after="0" w:afterAutospacing="0" w:line="276" w:lineRule="auto"/>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二是连通绿色景观通道。依托中心城区与周边11个新城之间的快速通道、高速公路等骨干交通网络，通过改造提升、拓宽造林、密度调控等措施，建设景观优美、疏密有致、开合有度的道路森林景观通道。</w:t>
      </w:r>
    </w:p>
    <w:p>
      <w:pPr>
        <w:pStyle w:val="25"/>
        <w:spacing w:before="0" w:beforeAutospacing="0" w:after="0" w:afterAutospacing="0" w:line="276" w:lineRule="auto"/>
        <w:ind w:firstLine="560" w:firstLineChars="200"/>
        <w:jc w:val="both"/>
        <w:rPr>
          <w:rFonts w:ascii="仿宋" w:hAnsi="仿宋" w:eastAsia="仿宋"/>
          <w:kern w:val="2"/>
          <w:sz w:val="32"/>
          <w:szCs w:val="28"/>
        </w:rPr>
      </w:pPr>
      <w:r>
        <w:rPr>
          <w:rFonts w:hint="eastAsia" w:ascii="仿宋" w:hAnsi="仿宋" w:eastAsia="仿宋" w:cs="Times New Roman"/>
          <w:kern w:val="2"/>
          <w:sz w:val="28"/>
          <w:szCs w:val="28"/>
        </w:rPr>
        <w:t>三是连通生态休闲绿道。以方便百姓走进森林、享受森林为目标，规划建设不同等级的休闲绿道，串联城市公园、森林公园、湿地公园、风景名胜区、郊野公园、森林村镇等休闲游憩空间，最大限度增强城乡居民的绿色获得感和幸福感。</w:t>
      </w:r>
    </w:p>
    <w:p>
      <w:pPr>
        <w:pStyle w:val="4"/>
        <w:spacing w:before="217" w:after="217" w:line="276" w:lineRule="auto"/>
        <w:rPr>
          <w:rFonts w:ascii="仿宋" w:hAnsi="仿宋" w:eastAsia="仿宋" w:cs="Times New Roman"/>
          <w:spacing w:val="20"/>
        </w:rPr>
      </w:pPr>
      <w:bookmarkStart w:id="218" w:name="_Toc27389922"/>
      <w:bookmarkStart w:id="219" w:name="_Toc530649008"/>
      <w:bookmarkStart w:id="220" w:name="_Toc528968867"/>
      <w:r>
        <w:rPr>
          <w:rFonts w:hint="eastAsia" w:ascii="仿宋" w:hAnsi="仿宋" w:eastAsia="仿宋" w:cs="Times New Roman"/>
          <w:spacing w:val="20"/>
        </w:rPr>
        <w:t>（七）外合——京张承生态涵养区，京津保生态过渡带，京津冀森林城市群</w:t>
      </w:r>
      <w:bookmarkEnd w:id="218"/>
      <w:bookmarkEnd w:id="219"/>
      <w:bookmarkEnd w:id="220"/>
    </w:p>
    <w:p>
      <w:pPr>
        <w:pStyle w:val="25"/>
        <w:spacing w:before="0" w:beforeAutospacing="0" w:after="0" w:afterAutospacing="0" w:line="276" w:lineRule="auto"/>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外部地区包括天津、河北与北京相毗邻的地区。该区域是森林生态建设的共建共享区。北京森林城市建设要与天津、河北等周边地区的生态建设充分衔接，共同建设生态一体、协同发展的京津冀森林城市群。建设的重点是：</w:t>
      </w:r>
    </w:p>
    <w:p>
      <w:pPr>
        <w:pStyle w:val="25"/>
        <w:spacing w:before="0" w:beforeAutospacing="0" w:after="0" w:afterAutospacing="0" w:line="276" w:lineRule="auto"/>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一是合作共建京张承生态涵养区。按照京张承水源涵养区的战略定位，通过跨区域造林绿化、封山育林、退耕还林等，强化本地区水土保持、水源涵养和生物多样性保护等生态功能。</w:t>
      </w:r>
    </w:p>
    <w:p>
      <w:pPr>
        <w:pStyle w:val="25"/>
        <w:spacing w:before="0" w:beforeAutospacing="0" w:after="0" w:afterAutospacing="0" w:line="276" w:lineRule="auto"/>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二是合作共建京津保生态过渡带。按照京津保生态过渡带的建设要求，通过发展污染修复林、经济用材林、景观防护林等，构筑京津保之间的森林缓冲区。</w:t>
      </w:r>
    </w:p>
    <w:p>
      <w:pPr>
        <w:pStyle w:val="25"/>
        <w:spacing w:before="0" w:beforeAutospacing="0" w:after="0" w:afterAutospacing="0" w:line="276" w:lineRule="auto"/>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三是合作共建京津冀森林城市群。按照京津冀国家级森林城市群的建设目标，通过建设城市组团隔离片林、区域生态廊道、生态文化与休闲体验区等，优化区域生态空间，促进城市群健康发展。</w:t>
      </w:r>
    </w:p>
    <w:p>
      <w:pPr>
        <w:pStyle w:val="25"/>
        <w:spacing w:before="0" w:beforeAutospacing="0" w:after="0" w:afterAutospacing="0" w:line="500" w:lineRule="exact"/>
        <w:ind w:firstLine="480" w:firstLineChars="200"/>
        <w:jc w:val="both"/>
        <w:rPr>
          <w:rFonts w:asciiTheme="minorHAnsi" w:hAnsiTheme="minorHAnsi" w:eastAsiaTheme="minorEastAsia" w:cstheme="minorBidi"/>
          <w:kern w:val="2"/>
        </w:rPr>
      </w:pP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40" w:hRule="atLeast"/>
        </w:trPr>
        <w:tc>
          <w:tcPr>
            <w:tcW w:w="8522" w:type="dxa"/>
          </w:tcPr>
          <w:p>
            <w:pPr>
              <w:pStyle w:val="25"/>
              <w:spacing w:before="0" w:beforeAutospacing="0" w:after="0" w:afterAutospacing="0" w:line="500" w:lineRule="exact"/>
              <w:jc w:val="both"/>
              <w:rPr>
                <w:rFonts w:asciiTheme="minorHAnsi" w:hAnsiTheme="minorHAnsi" w:eastAsiaTheme="minorEastAsia" w:cstheme="minorBidi"/>
                <w:kern w:val="2"/>
              </w:rPr>
            </w:pPr>
            <w:bookmarkStart w:id="221" w:name="_Toc91693326"/>
            <w:bookmarkEnd w:id="221"/>
            <w:r>
              <w:rPr>
                <w:rFonts w:asciiTheme="minorHAnsi" w:hAnsiTheme="minorHAnsi" w:eastAsiaTheme="minorEastAsia" w:cstheme="minorBidi"/>
                <w:kern w:val="2"/>
              </w:rPr>
              <w:drawing>
                <wp:anchor distT="0" distB="0" distL="114300" distR="114300" simplePos="0" relativeHeight="251734016" behindDoc="0" locked="0" layoutInCell="1" allowOverlap="1">
                  <wp:simplePos x="0" y="0"/>
                  <wp:positionH relativeFrom="column">
                    <wp:posOffset>438150</wp:posOffset>
                  </wp:positionH>
                  <wp:positionV relativeFrom="paragraph">
                    <wp:posOffset>11430</wp:posOffset>
                  </wp:positionV>
                  <wp:extent cx="4484370" cy="6340475"/>
                  <wp:effectExtent l="0" t="0" r="0" b="3810"/>
                  <wp:wrapNone/>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37" cstate="print">
                            <a:extLst>
                              <a:ext uri="{28A0092B-C50C-407E-A947-70E740481C1C}">
                                <a14:useLocalDpi xmlns:a14="http://schemas.microsoft.com/office/drawing/2010/main" val="false"/>
                              </a:ext>
                            </a:extLst>
                          </a:blip>
                          <a:stretch>
                            <a:fillRect/>
                          </a:stretch>
                        </pic:blipFill>
                        <pic:spPr>
                          <a:xfrm>
                            <a:off x="0" y="0"/>
                            <a:ext cx="4484060" cy="6340219"/>
                          </a:xfrm>
                          <a:prstGeom prst="rect">
                            <a:avLst/>
                          </a:prstGeom>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8522" w:type="dxa"/>
          </w:tcPr>
          <w:p>
            <w:pPr>
              <w:spacing w:line="360" w:lineRule="auto"/>
              <w:jc w:val="center"/>
              <w:rPr>
                <w:rFonts w:ascii="仿宋" w:hAnsi="仿宋" w:eastAsia="仿宋" w:cs="Times New Roman"/>
                <w:b/>
                <w:szCs w:val="21"/>
                <w:highlight w:val="yellow"/>
              </w:rPr>
            </w:pPr>
            <w:r>
              <w:rPr>
                <w:rFonts w:hint="eastAsia" w:ascii="仿宋" w:hAnsi="仿宋" w:eastAsia="仿宋" w:cs="Times New Roman"/>
                <w:b/>
                <w:szCs w:val="21"/>
              </w:rPr>
              <w:t>图6</w:t>
            </w:r>
            <w:r>
              <w:rPr>
                <w:rFonts w:ascii="仿宋" w:hAnsi="仿宋" w:eastAsia="仿宋" w:cs="Times New Roman"/>
                <w:b/>
                <w:szCs w:val="21"/>
              </w:rPr>
              <w:t xml:space="preserve">-1 </w:t>
            </w:r>
            <w:r>
              <w:rPr>
                <w:rFonts w:hint="eastAsia" w:ascii="仿宋" w:hAnsi="仿宋" w:eastAsia="仿宋" w:cs="Times New Roman"/>
                <w:b/>
                <w:szCs w:val="21"/>
              </w:rPr>
              <w:t>北京森林城市发展规划总体布局</w:t>
            </w:r>
          </w:p>
        </w:tc>
      </w:tr>
    </w:tbl>
    <w:p>
      <w:pPr>
        <w:widowControl/>
        <w:jc w:val="left"/>
        <w:rPr>
          <w:sz w:val="24"/>
          <w:szCs w:val="24"/>
        </w:rPr>
        <w:sectPr>
          <w:pgSz w:w="11906" w:h="16838"/>
          <w:pgMar w:top="1418" w:right="1701" w:bottom="1418" w:left="1701" w:header="851" w:footer="992" w:gutter="0"/>
          <w:cols w:space="425" w:num="1"/>
          <w:docGrid w:type="linesAndChars" w:linePitch="312" w:charSpace="0"/>
        </w:sectPr>
      </w:pPr>
    </w:p>
    <w:p>
      <w:pPr>
        <w:pStyle w:val="2"/>
        <w:keepLines w:val="0"/>
        <w:widowControl/>
        <w:spacing w:before="0" w:after="435" w:line="276" w:lineRule="auto"/>
        <w:jc w:val="center"/>
        <w:rPr>
          <w:rFonts w:ascii="黑体" w:hAnsi="黑体" w:eastAsia="黑体" w:cs="宋体"/>
          <w:spacing w:val="4"/>
          <w:kern w:val="36"/>
          <w:sz w:val="40"/>
          <w:szCs w:val="40"/>
        </w:rPr>
      </w:pPr>
      <w:bookmarkStart w:id="222" w:name="_Toc27389923"/>
      <w:bookmarkStart w:id="223" w:name="_Toc528968868"/>
      <w:bookmarkStart w:id="224" w:name="_Toc530649009"/>
      <w:r>
        <w:rPr>
          <w:rFonts w:hint="eastAsia" w:ascii="黑体" w:hAnsi="黑体" w:eastAsia="黑体" w:cs="宋体"/>
          <w:spacing w:val="4"/>
          <w:kern w:val="36"/>
          <w:sz w:val="40"/>
          <w:szCs w:val="40"/>
        </w:rPr>
        <w:t>第七篇 森林生态网络体系建设</w:t>
      </w:r>
      <w:bookmarkEnd w:id="222"/>
      <w:bookmarkEnd w:id="223"/>
      <w:bookmarkEnd w:id="224"/>
    </w:p>
    <w:p>
      <w:pPr>
        <w:pStyle w:val="3"/>
        <w:spacing w:before="217" w:after="217"/>
        <w:jc w:val="left"/>
        <w:rPr>
          <w:rFonts w:ascii="黑体" w:hAnsi="黑体" w:eastAsia="黑体" w:cs="Times New Roman"/>
          <w:b w:val="0"/>
          <w:bCs w:val="0"/>
        </w:rPr>
      </w:pPr>
      <w:bookmarkStart w:id="225" w:name="_Toc530649010"/>
      <w:bookmarkStart w:id="226" w:name="_Toc528968869"/>
      <w:bookmarkStart w:id="227" w:name="_Toc27389924"/>
      <w:bookmarkStart w:id="228" w:name="_Toc528968879"/>
      <w:r>
        <w:rPr>
          <w:rFonts w:hint="eastAsia" w:ascii="黑体" w:hAnsi="黑体" w:eastAsia="黑体" w:cs="Times New Roman"/>
          <w:b w:val="0"/>
          <w:bCs w:val="0"/>
        </w:rPr>
        <w:t>一、城区森林空间</w:t>
      </w:r>
      <w:bookmarkEnd w:id="225"/>
      <w:bookmarkEnd w:id="226"/>
      <w:bookmarkEnd w:id="227"/>
    </w:p>
    <w:p>
      <w:pPr>
        <w:spacing w:before="217" w:after="217" w:line="276"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（一）建设目标</w:t>
      </w:r>
    </w:p>
    <w:p>
      <w:pPr>
        <w:spacing w:line="276" w:lineRule="auto"/>
        <w:ind w:firstLine="480"/>
        <w:rPr>
          <w:rFonts w:ascii="仿宋" w:hAnsi="仿宋" w:eastAsia="仿宋" w:cs="Times New Roman"/>
          <w:sz w:val="28"/>
          <w:szCs w:val="28"/>
        </w:rPr>
      </w:pPr>
      <w:r>
        <w:rPr>
          <w:rFonts w:hint="eastAsia" w:ascii="仿宋" w:hAnsi="仿宋" w:eastAsia="仿宋" w:cs="Times New Roman"/>
          <w:sz w:val="28"/>
          <w:szCs w:val="28"/>
        </w:rPr>
        <w:t>针对中心城区、副中心和新城，以大型片林为骨架，各级公园体系为重点，森林社区为补充，林荫街道为脉络，构建点、线、面相结合，遍布城区、特色鲜明、布局均衡、全民共享的人居林体系。使其充分发挥优化城市生态环境、提升城市文化品位的功能，为市民提供日常便捷的休闲娱乐、康养健身、科普教育的绿色空间，使人们从推窗是绿、出门进林中切身感受到生态福利所带来的获得感。该工程实施的大型城市片林、城市公园体系建设，有利于落实新总规中“三环、五河、九楔”的市域绿色空间结构，有利于支撑北京市新一轮百万亩造林工程中“三环、五带、九楔、多片区”的空间布局，有利于完善城市游憩绿地体系、优化城区绿地布局。</w:t>
      </w:r>
    </w:p>
    <w:p>
      <w:pPr>
        <w:spacing w:before="217" w:after="217" w:line="276"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（二）建设内容</w:t>
      </w:r>
    </w:p>
    <w:p>
      <w:pPr>
        <w:pStyle w:val="4"/>
        <w:spacing w:before="0" w:after="0" w:line="276" w:lineRule="auto"/>
        <w:rPr>
          <w:rFonts w:ascii="仿宋" w:hAnsi="仿宋" w:eastAsia="仿宋"/>
        </w:rPr>
      </w:pPr>
      <w:bookmarkStart w:id="229" w:name="_Toc27389925"/>
      <w:r>
        <w:rPr>
          <w:rFonts w:ascii="仿宋" w:hAnsi="仿宋" w:eastAsia="仿宋"/>
        </w:rPr>
        <w:t>1</w:t>
      </w:r>
      <w:r>
        <w:rPr>
          <w:rFonts w:hint="eastAsia" w:ascii="仿宋" w:hAnsi="仿宋" w:eastAsia="仿宋"/>
        </w:rPr>
        <w:t>.大尺度近自然城市森林</w:t>
      </w:r>
      <w:bookmarkEnd w:id="229"/>
    </w:p>
    <w:p>
      <w:pPr>
        <w:spacing w:line="276" w:lineRule="auto"/>
        <w:ind w:firstLine="480"/>
        <w:rPr>
          <w:rFonts w:ascii="仿宋" w:hAnsi="仿宋" w:eastAsia="仿宋" w:cs="Times New Roman"/>
          <w:sz w:val="28"/>
          <w:szCs w:val="28"/>
        </w:rPr>
      </w:pPr>
      <w:r>
        <w:rPr>
          <w:rFonts w:hint="eastAsia" w:ascii="仿宋" w:hAnsi="仿宋" w:eastAsia="仿宋" w:cs="Times New Roman"/>
          <w:sz w:val="28"/>
          <w:szCs w:val="28"/>
        </w:rPr>
        <w:t>通过规划建绿扩绿、疏解腾退建绿、拆违还绿、留白增绿等方式，因地制宜推动新造林与原有零散绿地联通连片，新增</w:t>
      </w:r>
      <w:r>
        <w:rPr>
          <w:rFonts w:ascii="仿宋" w:hAnsi="仿宋" w:eastAsia="仿宋" w:cs="Times New Roman"/>
          <w:sz w:val="28"/>
          <w:szCs w:val="28"/>
        </w:rPr>
        <w:t>一定规模、近自然的</w:t>
      </w:r>
      <w:r>
        <w:rPr>
          <w:rFonts w:hint="eastAsia" w:ascii="仿宋" w:hAnsi="仿宋" w:eastAsia="仿宋" w:cs="Times New Roman"/>
          <w:sz w:val="28"/>
          <w:szCs w:val="28"/>
        </w:rPr>
        <w:t>城市片林，构建大尺度城市绿色生态空间，</w:t>
      </w:r>
      <w:r>
        <w:rPr>
          <w:rFonts w:ascii="仿宋" w:hAnsi="仿宋" w:eastAsia="仿宋" w:cs="Times New Roman"/>
          <w:sz w:val="28"/>
          <w:szCs w:val="28"/>
        </w:rPr>
        <w:t>形成集中连片</w:t>
      </w:r>
      <w:r>
        <w:rPr>
          <w:rFonts w:hint="eastAsia" w:ascii="仿宋" w:hAnsi="仿宋" w:eastAsia="仿宋" w:cs="Times New Roman"/>
          <w:sz w:val="28"/>
          <w:szCs w:val="28"/>
        </w:rPr>
        <w:t>的城市森林。</w:t>
      </w:r>
    </w:p>
    <w:p>
      <w:pPr>
        <w:spacing w:line="276" w:lineRule="auto"/>
        <w:ind w:firstLine="480"/>
        <w:rPr>
          <w:rFonts w:ascii="仿宋" w:hAnsi="仿宋" w:eastAsia="仿宋" w:cs="Times New Roman"/>
          <w:sz w:val="28"/>
          <w:szCs w:val="28"/>
        </w:rPr>
      </w:pPr>
      <w:r>
        <w:rPr>
          <w:rFonts w:hint="eastAsia" w:ascii="仿宋" w:hAnsi="仿宋" w:eastAsia="仿宋" w:cs="Times New Roman"/>
          <w:sz w:val="28"/>
          <w:szCs w:val="28"/>
        </w:rPr>
        <w:t>一是在核心区、中心城区和北京城市副中心开展城市修补、生态修复，充分利用闲置荒地、一道绿化隔离地区地块，以及拆违疏解腾退建绿、留白增绿、对原有小型公园绿地进行扩绿等方式，打造大尺度绿化的精品公园。在第一道绿化隔离地区的生态建设中，立足于提高城区森林生态功能，选择本地乡土植物物种，注重所选择植物物种的多样性，以及乔、灌、草搭配的科学性和层次性，提高生态系统的完整性和连通性，提升城区生态建设质量。对于东城、西城、石景山，每个区建成至少1处面积大于10公顷、近自然的城市片林；对于通州、海淀、朝阳、丰台，每个区建成至少1处面积大于100公顷、近自然的城市森林。</w:t>
      </w:r>
    </w:p>
    <w:p>
      <w:pPr>
        <w:spacing w:line="276" w:lineRule="auto"/>
        <w:ind w:firstLine="480"/>
        <w:rPr>
          <w:rFonts w:ascii="仿宋" w:hAnsi="仿宋" w:eastAsia="仿宋" w:cs="Times New Roman"/>
          <w:sz w:val="28"/>
          <w:szCs w:val="28"/>
        </w:rPr>
      </w:pPr>
      <w:r>
        <w:rPr>
          <w:rFonts w:hint="eastAsia" w:ascii="仿宋" w:hAnsi="仿宋" w:eastAsia="仿宋" w:cs="Times New Roman"/>
          <w:sz w:val="28"/>
          <w:szCs w:val="28"/>
        </w:rPr>
        <w:t>二是在其他9个区的城区，依托新城建设，将大型城市森林地块纳入新城规划，通过疏解非首都功能腾退建绿、拆违建绿、代征绿地回收建绿，加宽加厚、改造提高河道和道路两侧绿化带等多种方式，推进老城区周边的郊野公园、森林公园、湿地公园建设，完成北部、东部、南部的楔形绿地建设缺口，完善郊区新城与中心城区之间城市组团绿化隔离区的填充，从而控制城市建设用地的蔓延和摊大饼。每个新城建成至少</w:t>
      </w:r>
      <w:r>
        <w:rPr>
          <w:rFonts w:ascii="仿宋" w:hAnsi="仿宋" w:eastAsia="仿宋" w:cs="Times New Roman"/>
          <w:sz w:val="28"/>
          <w:szCs w:val="28"/>
        </w:rPr>
        <w:t>1</w:t>
      </w:r>
      <w:r>
        <w:rPr>
          <w:rFonts w:hint="eastAsia" w:ascii="仿宋" w:hAnsi="仿宋" w:eastAsia="仿宋" w:cs="Times New Roman"/>
          <w:sz w:val="28"/>
          <w:szCs w:val="28"/>
        </w:rPr>
        <w:t>处面积大于</w:t>
      </w:r>
      <w:r>
        <w:rPr>
          <w:rFonts w:ascii="仿宋" w:hAnsi="仿宋" w:eastAsia="仿宋" w:cs="Times New Roman"/>
          <w:sz w:val="28"/>
          <w:szCs w:val="28"/>
        </w:rPr>
        <w:t>1000</w:t>
      </w:r>
      <w:r>
        <w:rPr>
          <w:rFonts w:hint="eastAsia" w:ascii="仿宋" w:hAnsi="仿宋" w:eastAsia="仿宋" w:cs="Times New Roman"/>
          <w:sz w:val="28"/>
          <w:szCs w:val="28"/>
        </w:rPr>
        <w:t>0亩的城市森林公园。</w:t>
      </w:r>
    </w:p>
    <w:p>
      <w:pPr>
        <w:spacing w:line="276" w:lineRule="auto"/>
        <w:ind w:firstLine="480"/>
        <w:rPr>
          <w:rFonts w:ascii="仿宋" w:hAnsi="仿宋" w:eastAsia="仿宋" w:cs="Times New Roman"/>
          <w:sz w:val="24"/>
          <w:szCs w:val="24"/>
        </w:rPr>
      </w:pPr>
    </w:p>
    <w:p>
      <w:pPr>
        <w:spacing w:line="276" w:lineRule="auto"/>
        <w:jc w:val="center"/>
        <w:rPr>
          <w:rFonts w:ascii="仿宋" w:hAnsi="仿宋" w:eastAsia="仿宋" w:cs="Times New Roman"/>
          <w:b/>
          <w:szCs w:val="21"/>
        </w:rPr>
      </w:pPr>
      <w:r>
        <w:rPr>
          <w:rFonts w:hint="eastAsia" w:ascii="仿宋" w:hAnsi="仿宋" w:eastAsia="仿宋" w:cs="Times New Roman"/>
          <w:b/>
          <w:szCs w:val="21"/>
        </w:rPr>
        <w:t>表7</w:t>
      </w:r>
      <w:r>
        <w:rPr>
          <w:rFonts w:ascii="仿宋" w:hAnsi="仿宋" w:eastAsia="仿宋" w:cs="Times New Roman"/>
          <w:b/>
          <w:szCs w:val="21"/>
        </w:rPr>
        <w:t xml:space="preserve">-1 </w:t>
      </w:r>
      <w:r>
        <w:rPr>
          <w:rFonts w:hint="eastAsia" w:ascii="仿宋" w:hAnsi="仿宋" w:eastAsia="仿宋" w:cs="Times New Roman"/>
          <w:b/>
          <w:szCs w:val="21"/>
        </w:rPr>
        <w:t>北京市各区城市森林建设重点任务表</w:t>
      </w:r>
    </w:p>
    <w:tbl>
      <w:tblPr>
        <w:tblStyle w:val="94"/>
        <w:tblW w:w="0" w:type="auto"/>
        <w:tblInd w:w="0" w:type="dxa"/>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Layout w:type="autofit"/>
        <w:tblCellMar>
          <w:top w:w="0" w:type="dxa"/>
          <w:left w:w="108" w:type="dxa"/>
          <w:bottom w:w="0" w:type="dxa"/>
          <w:right w:w="108" w:type="dxa"/>
        </w:tblCellMar>
      </w:tblPr>
      <w:tblGrid>
        <w:gridCol w:w="1249"/>
        <w:gridCol w:w="1754"/>
        <w:gridCol w:w="5717"/>
      </w:tblGrid>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249" w:type="dxa"/>
            <w:tcBorders>
              <w:bottom w:val="nil"/>
              <w:right w:val="nil"/>
            </w:tcBorders>
            <w:shd w:val="clear" w:color="auto" w:fill="9BBB59" w:themeFill="accent3"/>
          </w:tcPr>
          <w:p>
            <w:pPr>
              <w:jc w:val="center"/>
              <w:rPr>
                <w:rFonts w:ascii="仿宋" w:hAnsi="仿宋" w:eastAsia="仿宋" w:cs="Times New Roman"/>
                <w:b w:val="0"/>
                <w:bCs/>
                <w:color w:val="auto"/>
                <w:szCs w:val="21"/>
              </w:rPr>
            </w:pPr>
            <w:r>
              <w:rPr>
                <w:rFonts w:hint="eastAsia" w:ascii="仿宋" w:hAnsi="仿宋" w:eastAsia="仿宋" w:cs="Times New Roman"/>
                <w:b w:val="0"/>
                <w:bCs/>
                <w:color w:val="auto"/>
                <w:szCs w:val="21"/>
              </w:rPr>
              <w:t>序号</w:t>
            </w:r>
          </w:p>
        </w:tc>
        <w:tc>
          <w:tcPr>
            <w:tcW w:w="1754" w:type="dxa"/>
            <w:shd w:val="clear" w:color="auto" w:fill="9BBB59" w:themeFill="accent3"/>
          </w:tcPr>
          <w:p>
            <w:pPr>
              <w:jc w:val="center"/>
              <w:rPr>
                <w:rFonts w:ascii="仿宋" w:hAnsi="仿宋" w:eastAsia="仿宋" w:cs="Times New Roman"/>
                <w:b w:val="0"/>
                <w:bCs/>
                <w:color w:val="auto"/>
                <w:szCs w:val="21"/>
              </w:rPr>
            </w:pPr>
            <w:r>
              <w:rPr>
                <w:rFonts w:hint="eastAsia" w:ascii="仿宋" w:hAnsi="仿宋" w:eastAsia="仿宋" w:cs="Times New Roman"/>
                <w:b w:val="0"/>
                <w:bCs/>
                <w:color w:val="auto"/>
                <w:szCs w:val="21"/>
              </w:rPr>
              <w:t>行政区名称</w:t>
            </w:r>
          </w:p>
        </w:tc>
        <w:tc>
          <w:tcPr>
            <w:tcW w:w="5717" w:type="dxa"/>
            <w:shd w:val="clear" w:color="auto" w:fill="9BBB59" w:themeFill="accent3"/>
          </w:tcPr>
          <w:p>
            <w:pPr>
              <w:jc w:val="center"/>
              <w:rPr>
                <w:rFonts w:ascii="仿宋" w:hAnsi="仿宋" w:eastAsia="仿宋" w:cs="Times New Roman"/>
                <w:b w:val="0"/>
                <w:bCs/>
                <w:color w:val="auto"/>
                <w:szCs w:val="21"/>
              </w:rPr>
            </w:pPr>
            <w:r>
              <w:rPr>
                <w:rFonts w:hint="eastAsia" w:ascii="仿宋" w:hAnsi="仿宋" w:eastAsia="仿宋" w:cs="Times New Roman"/>
                <w:b w:val="0"/>
                <w:bCs/>
                <w:color w:val="auto"/>
                <w:szCs w:val="21"/>
              </w:rPr>
              <w:t>重点建设地区</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249" w:type="dxa"/>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numPr>
                <w:ilvl w:val="0"/>
                <w:numId w:val="13"/>
              </w:numPr>
              <w:jc w:val="center"/>
              <w:rPr>
                <w:rFonts w:ascii="仿宋" w:hAnsi="仿宋" w:eastAsia="仿宋" w:cs="Times New Roman"/>
                <w:b/>
                <w:bCs/>
                <w:szCs w:val="21"/>
              </w:rPr>
            </w:pPr>
          </w:p>
        </w:tc>
        <w:tc>
          <w:tcPr>
            <w:tcW w:w="175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szCs w:val="21"/>
              </w:rPr>
            </w:pPr>
            <w:r>
              <w:rPr>
                <w:rFonts w:hint="eastAsia" w:ascii="仿宋" w:hAnsi="仿宋" w:eastAsia="仿宋" w:cs="Times New Roman"/>
                <w:szCs w:val="21"/>
              </w:rPr>
              <w:t>东城区</w:t>
            </w:r>
          </w:p>
        </w:tc>
        <w:tc>
          <w:tcPr>
            <w:tcW w:w="5717" w:type="dxa"/>
            <w:tcBorders>
              <w:top w:val="single" w:color="9BBB59" w:themeColor="accent3" w:sz="4" w:space="0"/>
              <w:bottom w:val="single" w:color="9BBB59" w:themeColor="accent3" w:sz="4" w:space="0"/>
              <w:insideH w:val="single" w:sz="4" w:space="0"/>
            </w:tcBorders>
          </w:tcPr>
          <w:p>
            <w:pPr>
              <w:jc w:val="left"/>
              <w:rPr>
                <w:rFonts w:ascii="仿宋" w:hAnsi="仿宋" w:eastAsia="仿宋" w:cs="Times New Roman"/>
                <w:szCs w:val="21"/>
              </w:rPr>
            </w:pPr>
            <w:r>
              <w:rPr>
                <w:rFonts w:hint="eastAsia" w:ascii="仿宋" w:hAnsi="仿宋" w:eastAsia="仿宋" w:cs="Times New Roman"/>
                <w:szCs w:val="21"/>
              </w:rPr>
              <w:t>原有公园扩绿</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249" w:type="dxa"/>
            <w:tcBorders>
              <w:right w:val="nil"/>
              <w:insideV w:val="nil"/>
            </w:tcBorders>
            <w:shd w:val="clear" w:color="auto" w:fill="FFFFFF" w:themeFill="background1"/>
          </w:tcPr>
          <w:p>
            <w:pPr>
              <w:numPr>
                <w:ilvl w:val="0"/>
                <w:numId w:val="13"/>
              </w:numPr>
              <w:jc w:val="center"/>
              <w:rPr>
                <w:rFonts w:ascii="仿宋" w:hAnsi="仿宋" w:eastAsia="仿宋" w:cs="Times New Roman"/>
                <w:b/>
                <w:bCs/>
                <w:szCs w:val="21"/>
              </w:rPr>
            </w:pPr>
          </w:p>
        </w:tc>
        <w:tc>
          <w:tcPr>
            <w:tcW w:w="1754" w:type="dxa"/>
          </w:tcPr>
          <w:p>
            <w:pPr>
              <w:jc w:val="center"/>
              <w:rPr>
                <w:rFonts w:ascii="仿宋" w:hAnsi="仿宋" w:eastAsia="仿宋" w:cs="Times New Roman"/>
                <w:szCs w:val="21"/>
              </w:rPr>
            </w:pPr>
            <w:r>
              <w:rPr>
                <w:rFonts w:hint="eastAsia" w:ascii="仿宋" w:hAnsi="仿宋" w:eastAsia="仿宋" w:cs="Times New Roman"/>
                <w:szCs w:val="21"/>
              </w:rPr>
              <w:t>西城区</w:t>
            </w:r>
          </w:p>
        </w:tc>
        <w:tc>
          <w:tcPr>
            <w:tcW w:w="5717" w:type="dxa"/>
          </w:tcPr>
          <w:p>
            <w:pPr>
              <w:jc w:val="left"/>
              <w:rPr>
                <w:rFonts w:ascii="仿宋" w:hAnsi="仿宋" w:eastAsia="仿宋" w:cs="Times New Roman"/>
                <w:szCs w:val="21"/>
              </w:rPr>
            </w:pPr>
            <w:r>
              <w:rPr>
                <w:rFonts w:hint="eastAsia" w:ascii="仿宋" w:hAnsi="仿宋" w:eastAsia="仿宋" w:cs="Times New Roman"/>
                <w:szCs w:val="21"/>
              </w:rPr>
              <w:t>原有公园扩绿</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PrEx>
        <w:tc>
          <w:tcPr>
            <w:tcW w:w="1249" w:type="dxa"/>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numPr>
                <w:ilvl w:val="0"/>
                <w:numId w:val="13"/>
              </w:numPr>
              <w:jc w:val="center"/>
              <w:rPr>
                <w:rFonts w:ascii="仿宋" w:hAnsi="仿宋" w:eastAsia="仿宋" w:cs="Times New Roman"/>
                <w:b/>
                <w:bCs/>
                <w:szCs w:val="21"/>
              </w:rPr>
            </w:pPr>
          </w:p>
        </w:tc>
        <w:tc>
          <w:tcPr>
            <w:tcW w:w="175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szCs w:val="21"/>
              </w:rPr>
            </w:pPr>
            <w:r>
              <w:rPr>
                <w:rFonts w:hint="eastAsia" w:ascii="仿宋" w:hAnsi="仿宋" w:eastAsia="仿宋" w:cs="Times New Roman"/>
                <w:szCs w:val="21"/>
              </w:rPr>
              <w:t>海淀区</w:t>
            </w:r>
          </w:p>
        </w:tc>
        <w:tc>
          <w:tcPr>
            <w:tcW w:w="5717" w:type="dxa"/>
            <w:tcBorders>
              <w:top w:val="single" w:color="9BBB59" w:themeColor="accent3" w:sz="4" w:space="0"/>
              <w:bottom w:val="single" w:color="9BBB59" w:themeColor="accent3" w:sz="4" w:space="0"/>
              <w:insideH w:val="single" w:sz="4" w:space="0"/>
            </w:tcBorders>
          </w:tcPr>
          <w:p>
            <w:pPr>
              <w:jc w:val="left"/>
              <w:rPr>
                <w:rFonts w:ascii="仿宋" w:hAnsi="仿宋" w:eastAsia="仿宋" w:cs="Times New Roman"/>
                <w:szCs w:val="21"/>
              </w:rPr>
            </w:pPr>
            <w:r>
              <w:rPr>
                <w:rFonts w:hint="eastAsia" w:ascii="仿宋" w:hAnsi="仿宋" w:eastAsia="仿宋" w:cs="Times New Roman"/>
                <w:szCs w:val="21"/>
              </w:rPr>
              <w:t>留白增绿地块、一道绿化隔离地区、二道绿化隔离地区</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249" w:type="dxa"/>
            <w:tcBorders>
              <w:right w:val="nil"/>
              <w:insideV w:val="nil"/>
            </w:tcBorders>
            <w:shd w:val="clear" w:color="auto" w:fill="FFFFFF" w:themeFill="background1"/>
          </w:tcPr>
          <w:p>
            <w:pPr>
              <w:numPr>
                <w:ilvl w:val="0"/>
                <w:numId w:val="13"/>
              </w:numPr>
              <w:jc w:val="center"/>
              <w:rPr>
                <w:rFonts w:ascii="仿宋" w:hAnsi="仿宋" w:eastAsia="仿宋" w:cs="Times New Roman"/>
                <w:b/>
                <w:bCs/>
                <w:szCs w:val="21"/>
              </w:rPr>
            </w:pPr>
          </w:p>
        </w:tc>
        <w:tc>
          <w:tcPr>
            <w:tcW w:w="1754" w:type="dxa"/>
          </w:tcPr>
          <w:p>
            <w:pPr>
              <w:jc w:val="center"/>
              <w:rPr>
                <w:rFonts w:ascii="仿宋" w:hAnsi="仿宋" w:eastAsia="仿宋" w:cs="Times New Roman"/>
                <w:szCs w:val="21"/>
              </w:rPr>
            </w:pPr>
            <w:r>
              <w:rPr>
                <w:rFonts w:hint="eastAsia" w:ascii="仿宋" w:hAnsi="仿宋" w:eastAsia="仿宋" w:cs="Times New Roman"/>
                <w:szCs w:val="21"/>
              </w:rPr>
              <w:t>朝阳区</w:t>
            </w:r>
          </w:p>
        </w:tc>
        <w:tc>
          <w:tcPr>
            <w:tcW w:w="5717" w:type="dxa"/>
          </w:tcPr>
          <w:p>
            <w:pPr>
              <w:jc w:val="left"/>
              <w:rPr>
                <w:rFonts w:ascii="仿宋" w:hAnsi="仿宋" w:eastAsia="仿宋" w:cs="Times New Roman"/>
                <w:szCs w:val="21"/>
              </w:rPr>
            </w:pPr>
            <w:r>
              <w:rPr>
                <w:rFonts w:hint="eastAsia" w:ascii="仿宋" w:hAnsi="仿宋" w:eastAsia="仿宋" w:cs="Times New Roman"/>
                <w:szCs w:val="21"/>
              </w:rPr>
              <w:t>留白增绿地块、一道绿化隔离地区、二道绿化隔离地区</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249" w:type="dxa"/>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numPr>
                <w:ilvl w:val="0"/>
                <w:numId w:val="13"/>
              </w:numPr>
              <w:jc w:val="center"/>
              <w:rPr>
                <w:rFonts w:ascii="仿宋" w:hAnsi="仿宋" w:eastAsia="仿宋" w:cs="Times New Roman"/>
                <w:b/>
                <w:bCs/>
                <w:szCs w:val="21"/>
              </w:rPr>
            </w:pPr>
          </w:p>
        </w:tc>
        <w:tc>
          <w:tcPr>
            <w:tcW w:w="175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szCs w:val="21"/>
              </w:rPr>
            </w:pPr>
            <w:r>
              <w:rPr>
                <w:rFonts w:hint="eastAsia" w:ascii="仿宋" w:hAnsi="仿宋" w:eastAsia="仿宋" w:cs="Times New Roman"/>
                <w:szCs w:val="21"/>
              </w:rPr>
              <w:t>丰台区</w:t>
            </w:r>
          </w:p>
        </w:tc>
        <w:tc>
          <w:tcPr>
            <w:tcW w:w="5717" w:type="dxa"/>
            <w:tcBorders>
              <w:top w:val="single" w:color="9BBB59" w:themeColor="accent3" w:sz="4" w:space="0"/>
              <w:bottom w:val="single" w:color="9BBB59" w:themeColor="accent3" w:sz="4" w:space="0"/>
              <w:insideH w:val="single" w:sz="4" w:space="0"/>
            </w:tcBorders>
          </w:tcPr>
          <w:p>
            <w:pPr>
              <w:jc w:val="left"/>
              <w:rPr>
                <w:rFonts w:ascii="仿宋" w:hAnsi="仿宋" w:eastAsia="仿宋" w:cs="Times New Roman"/>
                <w:szCs w:val="21"/>
              </w:rPr>
            </w:pPr>
            <w:r>
              <w:rPr>
                <w:rFonts w:hint="eastAsia" w:ascii="仿宋" w:hAnsi="仿宋" w:eastAsia="仿宋" w:cs="Times New Roman"/>
                <w:szCs w:val="21"/>
              </w:rPr>
              <w:t>留白增绿地块、一道绿化隔离地区、二道绿化隔离地区</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249" w:type="dxa"/>
            <w:tcBorders>
              <w:right w:val="nil"/>
              <w:insideV w:val="nil"/>
            </w:tcBorders>
            <w:shd w:val="clear" w:color="auto" w:fill="FFFFFF" w:themeFill="background1"/>
          </w:tcPr>
          <w:p>
            <w:pPr>
              <w:numPr>
                <w:ilvl w:val="0"/>
                <w:numId w:val="13"/>
              </w:numPr>
              <w:jc w:val="center"/>
              <w:rPr>
                <w:rFonts w:ascii="仿宋" w:hAnsi="仿宋" w:eastAsia="仿宋" w:cs="Times New Roman"/>
                <w:b/>
                <w:bCs/>
                <w:szCs w:val="21"/>
              </w:rPr>
            </w:pPr>
          </w:p>
        </w:tc>
        <w:tc>
          <w:tcPr>
            <w:tcW w:w="1754" w:type="dxa"/>
          </w:tcPr>
          <w:p>
            <w:pPr>
              <w:jc w:val="center"/>
              <w:rPr>
                <w:rFonts w:ascii="仿宋" w:hAnsi="仿宋" w:eastAsia="仿宋" w:cs="Times New Roman"/>
                <w:szCs w:val="21"/>
              </w:rPr>
            </w:pPr>
            <w:r>
              <w:rPr>
                <w:rFonts w:hint="eastAsia" w:ascii="仿宋" w:hAnsi="仿宋" w:eastAsia="仿宋" w:cs="Times New Roman"/>
                <w:szCs w:val="21"/>
              </w:rPr>
              <w:t>石景山区</w:t>
            </w:r>
          </w:p>
        </w:tc>
        <w:tc>
          <w:tcPr>
            <w:tcW w:w="5717" w:type="dxa"/>
          </w:tcPr>
          <w:p>
            <w:pPr>
              <w:jc w:val="left"/>
              <w:rPr>
                <w:rFonts w:ascii="仿宋" w:hAnsi="仿宋" w:eastAsia="仿宋" w:cs="Times New Roman"/>
                <w:szCs w:val="21"/>
              </w:rPr>
            </w:pPr>
            <w:r>
              <w:rPr>
                <w:rFonts w:hint="eastAsia" w:ascii="仿宋" w:hAnsi="仿宋" w:eastAsia="仿宋" w:cs="Times New Roman"/>
                <w:szCs w:val="21"/>
              </w:rPr>
              <w:t>留白增绿地块、一道绿化隔离地区</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PrEx>
        <w:tc>
          <w:tcPr>
            <w:tcW w:w="1249" w:type="dxa"/>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numPr>
                <w:ilvl w:val="0"/>
                <w:numId w:val="13"/>
              </w:numPr>
              <w:jc w:val="center"/>
              <w:rPr>
                <w:rFonts w:ascii="仿宋" w:hAnsi="仿宋" w:eastAsia="仿宋" w:cs="Times New Roman"/>
                <w:b/>
                <w:bCs/>
                <w:szCs w:val="21"/>
              </w:rPr>
            </w:pPr>
          </w:p>
        </w:tc>
        <w:tc>
          <w:tcPr>
            <w:tcW w:w="175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szCs w:val="21"/>
              </w:rPr>
            </w:pPr>
            <w:r>
              <w:rPr>
                <w:rFonts w:hint="eastAsia" w:ascii="仿宋" w:hAnsi="仿宋" w:eastAsia="仿宋" w:cs="Times New Roman"/>
                <w:szCs w:val="21"/>
              </w:rPr>
              <w:t>通州区</w:t>
            </w:r>
          </w:p>
        </w:tc>
        <w:tc>
          <w:tcPr>
            <w:tcW w:w="5717" w:type="dxa"/>
            <w:tcBorders>
              <w:top w:val="single" w:color="9BBB59" w:themeColor="accent3" w:sz="4" w:space="0"/>
              <w:bottom w:val="single" w:color="9BBB59" w:themeColor="accent3" w:sz="4" w:space="0"/>
              <w:insideH w:val="single" w:sz="4" w:space="0"/>
            </w:tcBorders>
          </w:tcPr>
          <w:p>
            <w:pPr>
              <w:jc w:val="left"/>
              <w:rPr>
                <w:rFonts w:ascii="仿宋" w:hAnsi="仿宋" w:eastAsia="仿宋" w:cs="Times New Roman"/>
                <w:szCs w:val="21"/>
              </w:rPr>
            </w:pPr>
            <w:r>
              <w:rPr>
                <w:rFonts w:hint="eastAsia" w:ascii="仿宋" w:hAnsi="仿宋" w:eastAsia="仿宋" w:cs="Times New Roman"/>
                <w:szCs w:val="21"/>
              </w:rPr>
              <w:t>留白增绿地块、东部绿楔、潮白河绿带、北运河绿带</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249" w:type="dxa"/>
            <w:tcBorders>
              <w:right w:val="nil"/>
              <w:insideV w:val="nil"/>
            </w:tcBorders>
            <w:shd w:val="clear" w:color="auto" w:fill="FFFFFF" w:themeFill="background1"/>
          </w:tcPr>
          <w:p>
            <w:pPr>
              <w:numPr>
                <w:ilvl w:val="0"/>
                <w:numId w:val="13"/>
              </w:numPr>
              <w:jc w:val="center"/>
              <w:rPr>
                <w:rFonts w:ascii="仿宋" w:hAnsi="仿宋" w:eastAsia="仿宋" w:cs="Times New Roman"/>
                <w:b/>
                <w:bCs/>
                <w:szCs w:val="21"/>
              </w:rPr>
            </w:pPr>
          </w:p>
        </w:tc>
        <w:tc>
          <w:tcPr>
            <w:tcW w:w="1754" w:type="dxa"/>
          </w:tcPr>
          <w:p>
            <w:pPr>
              <w:jc w:val="center"/>
              <w:rPr>
                <w:rFonts w:ascii="仿宋" w:hAnsi="仿宋" w:eastAsia="仿宋" w:cs="Times New Roman"/>
                <w:szCs w:val="21"/>
              </w:rPr>
            </w:pPr>
            <w:r>
              <w:rPr>
                <w:rFonts w:hint="eastAsia" w:ascii="仿宋" w:hAnsi="仿宋" w:eastAsia="仿宋" w:cs="Times New Roman"/>
                <w:szCs w:val="21"/>
              </w:rPr>
              <w:t>顺义区</w:t>
            </w:r>
          </w:p>
        </w:tc>
        <w:tc>
          <w:tcPr>
            <w:tcW w:w="5717" w:type="dxa"/>
          </w:tcPr>
          <w:p>
            <w:pPr>
              <w:jc w:val="left"/>
              <w:rPr>
                <w:rFonts w:ascii="仿宋" w:hAnsi="仿宋" w:eastAsia="仿宋" w:cs="Times New Roman"/>
                <w:szCs w:val="21"/>
              </w:rPr>
            </w:pPr>
            <w:r>
              <w:rPr>
                <w:rFonts w:hint="eastAsia" w:ascii="仿宋" w:hAnsi="仿宋" w:eastAsia="仿宋" w:cs="Times New Roman"/>
                <w:szCs w:val="21"/>
              </w:rPr>
              <w:t>东北部绿楔、潮白河绿带</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249" w:type="dxa"/>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numPr>
                <w:ilvl w:val="0"/>
                <w:numId w:val="13"/>
              </w:numPr>
              <w:jc w:val="center"/>
              <w:rPr>
                <w:rFonts w:ascii="仿宋" w:hAnsi="仿宋" w:eastAsia="仿宋" w:cs="Times New Roman"/>
                <w:b/>
                <w:bCs/>
                <w:szCs w:val="21"/>
              </w:rPr>
            </w:pPr>
          </w:p>
        </w:tc>
        <w:tc>
          <w:tcPr>
            <w:tcW w:w="175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szCs w:val="21"/>
              </w:rPr>
            </w:pPr>
            <w:r>
              <w:rPr>
                <w:rFonts w:hint="eastAsia" w:ascii="仿宋" w:hAnsi="仿宋" w:eastAsia="仿宋" w:cs="Times New Roman"/>
                <w:szCs w:val="21"/>
              </w:rPr>
              <w:t>大兴区</w:t>
            </w:r>
          </w:p>
        </w:tc>
        <w:tc>
          <w:tcPr>
            <w:tcW w:w="5717" w:type="dxa"/>
            <w:tcBorders>
              <w:top w:val="single" w:color="9BBB59" w:themeColor="accent3" w:sz="4" w:space="0"/>
              <w:bottom w:val="single" w:color="9BBB59" w:themeColor="accent3" w:sz="4" w:space="0"/>
              <w:insideH w:val="single" w:sz="4" w:space="0"/>
            </w:tcBorders>
          </w:tcPr>
          <w:p>
            <w:pPr>
              <w:jc w:val="left"/>
              <w:rPr>
                <w:rFonts w:ascii="仿宋" w:hAnsi="仿宋" w:eastAsia="仿宋" w:cs="Times New Roman"/>
                <w:szCs w:val="21"/>
              </w:rPr>
            </w:pPr>
            <w:r>
              <w:rPr>
                <w:rFonts w:hint="eastAsia" w:ascii="仿宋" w:hAnsi="仿宋" w:eastAsia="仿宋" w:cs="Times New Roman"/>
                <w:szCs w:val="21"/>
              </w:rPr>
              <w:t>东南部绿楔、永定河绿带、新机场周边</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249" w:type="dxa"/>
            <w:tcBorders>
              <w:right w:val="nil"/>
              <w:insideV w:val="nil"/>
            </w:tcBorders>
            <w:shd w:val="clear" w:color="auto" w:fill="FFFFFF" w:themeFill="background1"/>
          </w:tcPr>
          <w:p>
            <w:pPr>
              <w:numPr>
                <w:ilvl w:val="0"/>
                <w:numId w:val="13"/>
              </w:numPr>
              <w:jc w:val="center"/>
              <w:rPr>
                <w:rFonts w:ascii="仿宋" w:hAnsi="仿宋" w:eastAsia="仿宋" w:cs="Times New Roman"/>
                <w:b/>
                <w:bCs/>
                <w:szCs w:val="21"/>
              </w:rPr>
            </w:pPr>
          </w:p>
        </w:tc>
        <w:tc>
          <w:tcPr>
            <w:tcW w:w="1754" w:type="dxa"/>
          </w:tcPr>
          <w:p>
            <w:pPr>
              <w:jc w:val="center"/>
              <w:rPr>
                <w:rFonts w:ascii="仿宋" w:hAnsi="仿宋" w:eastAsia="仿宋" w:cs="Times New Roman"/>
                <w:szCs w:val="21"/>
              </w:rPr>
            </w:pPr>
            <w:r>
              <w:rPr>
                <w:rFonts w:hint="eastAsia" w:ascii="仿宋" w:hAnsi="仿宋" w:eastAsia="仿宋" w:cs="Times New Roman"/>
                <w:szCs w:val="21"/>
              </w:rPr>
              <w:t>昌平区</w:t>
            </w:r>
          </w:p>
        </w:tc>
        <w:tc>
          <w:tcPr>
            <w:tcW w:w="5717" w:type="dxa"/>
          </w:tcPr>
          <w:p>
            <w:pPr>
              <w:jc w:val="left"/>
              <w:rPr>
                <w:rFonts w:ascii="仿宋" w:hAnsi="仿宋" w:eastAsia="仿宋" w:cs="Times New Roman"/>
                <w:szCs w:val="21"/>
              </w:rPr>
            </w:pPr>
            <w:r>
              <w:rPr>
                <w:rFonts w:hint="eastAsia" w:ascii="仿宋" w:hAnsi="仿宋" w:eastAsia="仿宋" w:cs="Times New Roman"/>
                <w:szCs w:val="21"/>
              </w:rPr>
              <w:t>北部、西北部绿楔</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PrEx>
        <w:tc>
          <w:tcPr>
            <w:tcW w:w="1249" w:type="dxa"/>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numPr>
                <w:ilvl w:val="0"/>
                <w:numId w:val="13"/>
              </w:numPr>
              <w:jc w:val="center"/>
              <w:rPr>
                <w:rFonts w:ascii="仿宋" w:hAnsi="仿宋" w:eastAsia="仿宋" w:cs="Times New Roman"/>
                <w:b/>
                <w:bCs/>
                <w:szCs w:val="21"/>
              </w:rPr>
            </w:pPr>
          </w:p>
        </w:tc>
        <w:tc>
          <w:tcPr>
            <w:tcW w:w="175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szCs w:val="21"/>
              </w:rPr>
            </w:pPr>
            <w:r>
              <w:rPr>
                <w:rFonts w:hint="eastAsia" w:ascii="仿宋" w:hAnsi="仿宋" w:eastAsia="仿宋" w:cs="Times New Roman"/>
                <w:szCs w:val="21"/>
              </w:rPr>
              <w:t>房山区</w:t>
            </w:r>
          </w:p>
        </w:tc>
        <w:tc>
          <w:tcPr>
            <w:tcW w:w="5717" w:type="dxa"/>
            <w:tcBorders>
              <w:top w:val="single" w:color="9BBB59" w:themeColor="accent3" w:sz="4" w:space="0"/>
              <w:bottom w:val="single" w:color="9BBB59" w:themeColor="accent3" w:sz="4" w:space="0"/>
              <w:insideH w:val="single" w:sz="4" w:space="0"/>
            </w:tcBorders>
          </w:tcPr>
          <w:p>
            <w:pPr>
              <w:jc w:val="left"/>
              <w:rPr>
                <w:rFonts w:ascii="仿宋" w:hAnsi="仿宋" w:eastAsia="仿宋" w:cs="Times New Roman"/>
                <w:szCs w:val="21"/>
              </w:rPr>
            </w:pPr>
            <w:r>
              <w:rPr>
                <w:rFonts w:hint="eastAsia" w:ascii="仿宋" w:hAnsi="仿宋" w:eastAsia="仿宋" w:cs="Times New Roman"/>
                <w:szCs w:val="21"/>
              </w:rPr>
              <w:t>南部绿楔</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249" w:type="dxa"/>
            <w:tcBorders>
              <w:right w:val="nil"/>
              <w:insideV w:val="nil"/>
            </w:tcBorders>
            <w:shd w:val="clear" w:color="auto" w:fill="FFFFFF" w:themeFill="background1"/>
          </w:tcPr>
          <w:p>
            <w:pPr>
              <w:numPr>
                <w:ilvl w:val="0"/>
                <w:numId w:val="13"/>
              </w:numPr>
              <w:jc w:val="center"/>
              <w:rPr>
                <w:rFonts w:ascii="仿宋" w:hAnsi="仿宋" w:eastAsia="仿宋" w:cs="Times New Roman"/>
                <w:b/>
                <w:bCs/>
                <w:szCs w:val="21"/>
              </w:rPr>
            </w:pPr>
          </w:p>
        </w:tc>
        <w:tc>
          <w:tcPr>
            <w:tcW w:w="1754" w:type="dxa"/>
          </w:tcPr>
          <w:p>
            <w:pPr>
              <w:jc w:val="center"/>
              <w:rPr>
                <w:rFonts w:ascii="仿宋" w:hAnsi="仿宋" w:eastAsia="仿宋" w:cs="Times New Roman"/>
                <w:szCs w:val="21"/>
              </w:rPr>
            </w:pPr>
            <w:r>
              <w:rPr>
                <w:rFonts w:hint="eastAsia" w:ascii="仿宋" w:hAnsi="仿宋" w:eastAsia="仿宋" w:cs="Times New Roman"/>
                <w:szCs w:val="21"/>
              </w:rPr>
              <w:t>门头沟区</w:t>
            </w:r>
          </w:p>
        </w:tc>
        <w:tc>
          <w:tcPr>
            <w:tcW w:w="5717" w:type="dxa"/>
          </w:tcPr>
          <w:p>
            <w:pPr>
              <w:jc w:val="left"/>
              <w:rPr>
                <w:rFonts w:ascii="仿宋" w:hAnsi="仿宋" w:eastAsia="仿宋" w:cs="Times New Roman"/>
                <w:szCs w:val="21"/>
              </w:rPr>
            </w:pPr>
            <w:r>
              <w:rPr>
                <w:rFonts w:hint="eastAsia" w:ascii="仿宋" w:hAnsi="仿宋" w:eastAsia="仿宋" w:cs="Times New Roman"/>
                <w:szCs w:val="21"/>
              </w:rPr>
              <w:t>永定河绿带、西部绿楔</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249" w:type="dxa"/>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numPr>
                <w:ilvl w:val="0"/>
                <w:numId w:val="13"/>
              </w:numPr>
              <w:jc w:val="center"/>
              <w:rPr>
                <w:rFonts w:ascii="仿宋" w:hAnsi="仿宋" w:eastAsia="仿宋" w:cs="Times New Roman"/>
                <w:b/>
                <w:bCs/>
                <w:szCs w:val="21"/>
              </w:rPr>
            </w:pPr>
          </w:p>
        </w:tc>
        <w:tc>
          <w:tcPr>
            <w:tcW w:w="175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szCs w:val="21"/>
              </w:rPr>
            </w:pPr>
            <w:r>
              <w:rPr>
                <w:rFonts w:hint="eastAsia" w:ascii="仿宋" w:hAnsi="仿宋" w:eastAsia="仿宋" w:cs="Times New Roman"/>
                <w:szCs w:val="21"/>
              </w:rPr>
              <w:t>平谷区</w:t>
            </w:r>
          </w:p>
        </w:tc>
        <w:tc>
          <w:tcPr>
            <w:tcW w:w="5717" w:type="dxa"/>
            <w:tcBorders>
              <w:top w:val="single" w:color="9BBB59" w:themeColor="accent3" w:sz="4" w:space="0"/>
              <w:bottom w:val="single" w:color="9BBB59" w:themeColor="accent3" w:sz="4" w:space="0"/>
              <w:insideH w:val="single" w:sz="4" w:space="0"/>
            </w:tcBorders>
          </w:tcPr>
          <w:p>
            <w:pPr>
              <w:jc w:val="left"/>
              <w:rPr>
                <w:rFonts w:ascii="仿宋" w:hAnsi="仿宋" w:eastAsia="仿宋" w:cs="Times New Roman"/>
                <w:szCs w:val="21"/>
              </w:rPr>
            </w:pPr>
            <w:r>
              <w:rPr>
                <w:rFonts w:hint="eastAsia" w:ascii="仿宋" w:hAnsi="仿宋" w:eastAsia="仿宋" w:cs="Times New Roman"/>
                <w:szCs w:val="21"/>
              </w:rPr>
              <w:t>东北部绿楔、泃河绿带</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249" w:type="dxa"/>
            <w:tcBorders>
              <w:right w:val="nil"/>
              <w:insideV w:val="nil"/>
            </w:tcBorders>
            <w:shd w:val="clear" w:color="auto" w:fill="FFFFFF" w:themeFill="background1"/>
          </w:tcPr>
          <w:p>
            <w:pPr>
              <w:numPr>
                <w:ilvl w:val="0"/>
                <w:numId w:val="13"/>
              </w:numPr>
              <w:jc w:val="center"/>
              <w:rPr>
                <w:rFonts w:ascii="仿宋" w:hAnsi="仿宋" w:eastAsia="仿宋" w:cs="Times New Roman"/>
                <w:b/>
                <w:bCs/>
                <w:szCs w:val="21"/>
              </w:rPr>
            </w:pPr>
          </w:p>
        </w:tc>
        <w:tc>
          <w:tcPr>
            <w:tcW w:w="1754" w:type="dxa"/>
          </w:tcPr>
          <w:p>
            <w:pPr>
              <w:jc w:val="center"/>
              <w:rPr>
                <w:rFonts w:ascii="仿宋" w:hAnsi="仿宋" w:eastAsia="仿宋" w:cs="Times New Roman"/>
                <w:szCs w:val="21"/>
              </w:rPr>
            </w:pPr>
            <w:r>
              <w:rPr>
                <w:rFonts w:hint="eastAsia" w:ascii="仿宋" w:hAnsi="仿宋" w:eastAsia="仿宋" w:cs="Times New Roman"/>
                <w:szCs w:val="21"/>
              </w:rPr>
              <w:t>密云区</w:t>
            </w:r>
          </w:p>
        </w:tc>
        <w:tc>
          <w:tcPr>
            <w:tcW w:w="5717" w:type="dxa"/>
          </w:tcPr>
          <w:p>
            <w:pPr>
              <w:jc w:val="left"/>
              <w:rPr>
                <w:rFonts w:ascii="仿宋" w:hAnsi="仿宋" w:eastAsia="仿宋" w:cs="Times New Roman"/>
                <w:szCs w:val="21"/>
              </w:rPr>
            </w:pPr>
            <w:r>
              <w:rPr>
                <w:rFonts w:hint="eastAsia" w:ascii="仿宋" w:hAnsi="仿宋" w:eastAsia="仿宋" w:cs="Times New Roman"/>
                <w:szCs w:val="21"/>
              </w:rPr>
              <w:t>潮白河绿带</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PrEx>
        <w:tc>
          <w:tcPr>
            <w:tcW w:w="1249" w:type="dxa"/>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numPr>
                <w:ilvl w:val="0"/>
                <w:numId w:val="13"/>
              </w:numPr>
              <w:jc w:val="center"/>
              <w:rPr>
                <w:rFonts w:ascii="仿宋" w:hAnsi="仿宋" w:eastAsia="仿宋" w:cs="Times New Roman"/>
                <w:b/>
                <w:bCs/>
                <w:szCs w:val="21"/>
              </w:rPr>
            </w:pPr>
          </w:p>
        </w:tc>
        <w:tc>
          <w:tcPr>
            <w:tcW w:w="1754" w:type="dxa"/>
            <w:tcBorders>
              <w:top w:val="single" w:color="9BBB59" w:themeColor="accent3" w:sz="4" w:space="0"/>
              <w:bottom w:val="single" w:color="9BBB59" w:themeColor="accent3" w:sz="4" w:space="0"/>
              <w:insideH w:val="single" w:sz="4" w:space="0"/>
            </w:tcBorders>
          </w:tcPr>
          <w:p>
            <w:pPr>
              <w:jc w:val="center"/>
              <w:rPr>
                <w:rFonts w:ascii="仿宋" w:hAnsi="仿宋" w:eastAsia="仿宋" w:cs="Times New Roman"/>
                <w:szCs w:val="21"/>
              </w:rPr>
            </w:pPr>
            <w:r>
              <w:rPr>
                <w:rFonts w:hint="eastAsia" w:ascii="仿宋" w:hAnsi="仿宋" w:eastAsia="仿宋" w:cs="Times New Roman"/>
                <w:szCs w:val="21"/>
              </w:rPr>
              <w:t>怀柔区</w:t>
            </w:r>
          </w:p>
        </w:tc>
        <w:tc>
          <w:tcPr>
            <w:tcW w:w="5717" w:type="dxa"/>
            <w:tcBorders>
              <w:top w:val="single" w:color="9BBB59" w:themeColor="accent3" w:sz="4" w:space="0"/>
              <w:bottom w:val="single" w:color="9BBB59" w:themeColor="accent3" w:sz="4" w:space="0"/>
              <w:insideH w:val="single" w:sz="4" w:space="0"/>
            </w:tcBorders>
          </w:tcPr>
          <w:p>
            <w:pPr>
              <w:jc w:val="left"/>
              <w:rPr>
                <w:rFonts w:ascii="仿宋" w:hAnsi="仿宋" w:eastAsia="仿宋" w:cs="Times New Roman"/>
                <w:szCs w:val="21"/>
              </w:rPr>
            </w:pPr>
            <w:r>
              <w:rPr>
                <w:rFonts w:hint="eastAsia" w:ascii="仿宋" w:hAnsi="仿宋" w:eastAsia="仿宋" w:cs="Times New Roman"/>
                <w:szCs w:val="21"/>
              </w:rPr>
              <w:t>北部绿楔</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1249" w:type="dxa"/>
            <w:tcBorders>
              <w:right w:val="nil"/>
              <w:insideV w:val="nil"/>
            </w:tcBorders>
            <w:shd w:val="clear" w:color="auto" w:fill="FFFFFF" w:themeFill="background1"/>
          </w:tcPr>
          <w:p>
            <w:pPr>
              <w:numPr>
                <w:ilvl w:val="0"/>
                <w:numId w:val="13"/>
              </w:numPr>
              <w:jc w:val="center"/>
              <w:rPr>
                <w:rFonts w:ascii="仿宋" w:hAnsi="仿宋" w:eastAsia="仿宋" w:cs="Times New Roman"/>
                <w:b/>
                <w:bCs/>
                <w:szCs w:val="21"/>
              </w:rPr>
            </w:pPr>
          </w:p>
        </w:tc>
        <w:tc>
          <w:tcPr>
            <w:tcW w:w="1754" w:type="dxa"/>
          </w:tcPr>
          <w:p>
            <w:pPr>
              <w:jc w:val="center"/>
              <w:rPr>
                <w:rFonts w:ascii="仿宋" w:hAnsi="仿宋" w:eastAsia="仿宋" w:cs="Times New Roman"/>
                <w:szCs w:val="21"/>
              </w:rPr>
            </w:pPr>
            <w:r>
              <w:rPr>
                <w:rFonts w:hint="eastAsia" w:ascii="仿宋" w:hAnsi="仿宋" w:eastAsia="仿宋" w:cs="Times New Roman"/>
                <w:szCs w:val="21"/>
              </w:rPr>
              <w:t>延庆区</w:t>
            </w:r>
          </w:p>
        </w:tc>
        <w:tc>
          <w:tcPr>
            <w:tcW w:w="5717" w:type="dxa"/>
          </w:tcPr>
          <w:p>
            <w:pPr>
              <w:jc w:val="left"/>
              <w:rPr>
                <w:rFonts w:ascii="仿宋" w:hAnsi="仿宋" w:eastAsia="仿宋" w:cs="Times New Roman"/>
                <w:szCs w:val="21"/>
              </w:rPr>
            </w:pPr>
            <w:r>
              <w:rPr>
                <w:rFonts w:hint="eastAsia" w:ascii="仿宋" w:hAnsi="仿宋" w:eastAsia="仿宋" w:cs="Times New Roman"/>
                <w:szCs w:val="21"/>
              </w:rPr>
              <w:t>冬奥会、世园会场周边重点区域绿地</w:t>
            </w:r>
          </w:p>
        </w:tc>
      </w:tr>
    </w:tbl>
    <w:p>
      <w:pPr>
        <w:spacing w:line="276" w:lineRule="auto"/>
        <w:rPr>
          <w:rFonts w:ascii="仿宋" w:hAnsi="仿宋" w:eastAsia="仿宋"/>
        </w:rPr>
      </w:pPr>
    </w:p>
    <w:p>
      <w:pPr>
        <w:pStyle w:val="4"/>
        <w:spacing w:before="0" w:after="0" w:line="276" w:lineRule="auto"/>
        <w:rPr>
          <w:rFonts w:ascii="仿宋" w:hAnsi="仿宋" w:eastAsia="仿宋"/>
        </w:rPr>
      </w:pPr>
      <w:bookmarkStart w:id="230" w:name="_Toc27389926"/>
      <w:bookmarkStart w:id="231" w:name="_Toc528968871"/>
      <w:bookmarkStart w:id="232" w:name="_Toc530649012"/>
      <w:r>
        <w:rPr>
          <w:rFonts w:ascii="仿宋" w:hAnsi="仿宋" w:eastAsia="仿宋"/>
        </w:rPr>
        <w:t>2</w:t>
      </w:r>
      <w:r>
        <w:rPr>
          <w:rFonts w:hint="eastAsia" w:ascii="仿宋" w:hAnsi="仿宋" w:eastAsia="仿宋"/>
        </w:rPr>
        <w:t>.城市公园体系</w:t>
      </w:r>
      <w:bookmarkEnd w:id="230"/>
    </w:p>
    <w:p>
      <w:pPr>
        <w:spacing w:line="276" w:lineRule="auto"/>
        <w:ind w:firstLine="480"/>
        <w:rPr>
          <w:rFonts w:ascii="仿宋" w:hAnsi="仿宋" w:eastAsia="仿宋" w:cs="Times New Roman"/>
          <w:sz w:val="28"/>
          <w:szCs w:val="28"/>
        </w:rPr>
      </w:pPr>
      <w:r>
        <w:rPr>
          <w:rFonts w:hint="eastAsia" w:ascii="仿宋" w:hAnsi="仿宋" w:eastAsia="仿宋" w:cs="Times New Roman"/>
          <w:sz w:val="28"/>
          <w:szCs w:val="28"/>
        </w:rPr>
        <w:t>对于城市公园建设，要增强景观的可视效果，恢复山水田园的自然风貌，以实现“300米见园，500米入园”的目标，构建分级配套、大小互补的城市公园体系，打造城市公园环，使城区形成公园成群、绿树成荫、山水交融的良好环境，促进首都历史文脉与生态环境交融。</w:t>
      </w:r>
    </w:p>
    <w:p>
      <w:pPr>
        <w:spacing w:line="276" w:lineRule="auto"/>
        <w:ind w:firstLine="480"/>
        <w:rPr>
          <w:rFonts w:ascii="仿宋" w:hAnsi="仿宋" w:eastAsia="仿宋" w:cs="Times New Roman"/>
          <w:sz w:val="28"/>
          <w:szCs w:val="28"/>
        </w:rPr>
      </w:pPr>
      <w:r>
        <w:rPr>
          <w:rFonts w:hint="eastAsia" w:ascii="仿宋" w:hAnsi="仿宋" w:eastAsia="仿宋" w:cs="Times New Roman"/>
          <w:sz w:val="28"/>
          <w:szCs w:val="28"/>
        </w:rPr>
        <w:t>首先，</w:t>
      </w:r>
      <w:r>
        <w:rPr>
          <w:rFonts w:ascii="仿宋" w:hAnsi="仿宋" w:eastAsia="仿宋" w:cs="Times New Roman"/>
          <w:sz w:val="28"/>
          <w:szCs w:val="28"/>
        </w:rPr>
        <w:t>在核心区和老旧街区</w:t>
      </w:r>
      <w:r>
        <w:rPr>
          <w:rFonts w:hint="eastAsia" w:ascii="仿宋" w:hAnsi="仿宋" w:eastAsia="仿宋" w:cs="Times New Roman"/>
          <w:sz w:val="28"/>
          <w:szCs w:val="28"/>
        </w:rPr>
        <w:t>，按照休憩型、装饰型、交通型、综合型等不同功能需求，在融入地方特色文化元素和创新设计形式的</w:t>
      </w:r>
      <w:r>
        <w:rPr>
          <w:rFonts w:ascii="仿宋" w:hAnsi="仿宋" w:eastAsia="仿宋" w:cs="Times New Roman"/>
          <w:sz w:val="28"/>
          <w:szCs w:val="28"/>
        </w:rPr>
        <w:t>基础上</w:t>
      </w:r>
      <w:r>
        <w:rPr>
          <w:rFonts w:hint="eastAsia" w:ascii="仿宋" w:hAnsi="仿宋" w:eastAsia="仿宋" w:cs="Times New Roman"/>
          <w:sz w:val="28"/>
          <w:szCs w:val="28"/>
        </w:rPr>
        <w:t>，通过宜绿则绿、见缝插绿、拆违建绿，重点打造使用便捷、小巧精致的小微绿地，既能增加市民日常休憩、活动、交流的公共绿色空间，又能对</w:t>
      </w:r>
      <w:r>
        <w:rPr>
          <w:rFonts w:hint="eastAsia" w:ascii="仿宋" w:hAnsi="仿宋" w:eastAsia="仿宋" w:cs="Times New Roman"/>
          <w:sz w:val="28"/>
          <w:szCs w:val="32"/>
        </w:rPr>
        <w:t>公园绿地 500 米服务半径覆盖盲区</w:t>
      </w:r>
      <w:r>
        <w:rPr>
          <w:rFonts w:hint="eastAsia" w:ascii="仿宋" w:hAnsi="仿宋" w:eastAsia="仿宋" w:cs="Times New Roman"/>
          <w:sz w:val="28"/>
          <w:szCs w:val="28"/>
        </w:rPr>
        <w:t>及建绿困难地区进行有效补充。</w:t>
      </w:r>
    </w:p>
    <w:p>
      <w:pPr>
        <w:spacing w:line="276" w:lineRule="auto"/>
        <w:ind w:firstLine="480"/>
        <w:rPr>
          <w:rFonts w:ascii="仿宋" w:hAnsi="仿宋" w:eastAsia="仿宋" w:cs="Times New Roman"/>
          <w:sz w:val="28"/>
          <w:szCs w:val="28"/>
        </w:rPr>
      </w:pPr>
      <w:r>
        <w:rPr>
          <w:rFonts w:ascii="仿宋" w:hAnsi="仿宋" w:eastAsia="仿宋" w:cs="Times New Roman"/>
          <w:sz w:val="28"/>
          <w:szCs w:val="28"/>
        </w:rPr>
        <w:t>其次</w:t>
      </w:r>
      <w:r>
        <w:rPr>
          <w:rFonts w:hint="eastAsia" w:ascii="仿宋" w:hAnsi="仿宋" w:eastAsia="仿宋" w:cs="Times New Roman"/>
          <w:sz w:val="28"/>
          <w:szCs w:val="28"/>
        </w:rPr>
        <w:t>，在中心城区的中心地区、边缘集团，以及新城城区，通过多措并举实现多元增绿，结合非首都功能疏解、拆迁腾退、留白增绿、规划建绿、环境整治等工作，进一步挖掘区域文化内涵，运用城市森林建设新技术和新产品，营造具有主题鲜明、彰显首都文脉的特色公园；围绕人性化、信息化、绿色低碳等设计理念，对老旧公园进行改造更新，从提升服务功能、改善植物景观、增加公园内涵、完善配套设施等方面，对公园绿地进行多方位的提质增效，提升公园绿地品质。</w:t>
      </w:r>
    </w:p>
    <w:p>
      <w:pPr>
        <w:spacing w:line="276" w:lineRule="auto"/>
        <w:ind w:firstLine="480"/>
        <w:rPr>
          <w:rFonts w:ascii="仿宋" w:hAnsi="仿宋" w:eastAsia="仿宋" w:cs="Times New Roman"/>
          <w:sz w:val="28"/>
          <w:szCs w:val="28"/>
        </w:rPr>
      </w:pPr>
      <w:r>
        <w:rPr>
          <w:rFonts w:hint="eastAsia" w:ascii="仿宋" w:hAnsi="仿宋" w:eastAsia="仿宋" w:cs="Times New Roman"/>
          <w:sz w:val="28"/>
          <w:szCs w:val="28"/>
        </w:rPr>
        <w:t>第三，在环绕中心城区的第一道绿化隔离区打造城市公园环，以“三山五园”、南苑、十八里店等区域城市公园群为重点，以完成“一环、六区、百园”为目标，通过新建</w:t>
      </w:r>
      <w:r>
        <w:rPr>
          <w:rFonts w:ascii="仿宋" w:hAnsi="仿宋" w:eastAsia="仿宋" w:cs="Times New Roman"/>
          <w:sz w:val="28"/>
          <w:szCs w:val="28"/>
        </w:rPr>
        <w:t>20</w:t>
      </w:r>
      <w:r>
        <w:rPr>
          <w:rFonts w:hint="eastAsia" w:ascii="仿宋" w:hAnsi="仿宋" w:eastAsia="仿宋" w:cs="Times New Roman"/>
          <w:sz w:val="28"/>
          <w:szCs w:val="28"/>
        </w:rPr>
        <w:t>余处城市公园，以及对原有郊野公园按照城市公园的建设标准进行改造提升，在中心城区外围形成由</w:t>
      </w:r>
      <w:r>
        <w:rPr>
          <w:rFonts w:ascii="仿宋" w:hAnsi="仿宋" w:eastAsia="仿宋" w:cs="Times New Roman"/>
          <w:sz w:val="28"/>
          <w:szCs w:val="28"/>
        </w:rPr>
        <w:t>100</w:t>
      </w:r>
      <w:r>
        <w:rPr>
          <w:rFonts w:hint="eastAsia" w:ascii="仿宋" w:hAnsi="仿宋" w:eastAsia="仿宋" w:cs="Times New Roman"/>
          <w:sz w:val="28"/>
          <w:szCs w:val="28"/>
        </w:rPr>
        <w:t>多处公园组成的城市公园环，基本实现一道绿隔公园环闭合。</w:t>
      </w:r>
    </w:p>
    <w:bookmarkEnd w:id="231"/>
    <w:bookmarkEnd w:id="232"/>
    <w:p>
      <w:pPr>
        <w:pStyle w:val="4"/>
        <w:spacing w:before="0" w:after="0" w:line="276" w:lineRule="auto"/>
        <w:rPr>
          <w:rFonts w:ascii="仿宋" w:hAnsi="仿宋" w:eastAsia="仿宋"/>
        </w:rPr>
      </w:pPr>
      <w:bookmarkStart w:id="233" w:name="_Toc528968875"/>
      <w:bookmarkStart w:id="234" w:name="_Toc530515212"/>
      <w:bookmarkStart w:id="235" w:name="_Toc27389927"/>
      <w:bookmarkStart w:id="236" w:name="_Toc528968877"/>
      <w:bookmarkStart w:id="237" w:name="_Toc530649015"/>
      <w:r>
        <w:rPr>
          <w:rFonts w:ascii="仿宋" w:hAnsi="仿宋" w:eastAsia="仿宋"/>
        </w:rPr>
        <w:t>3</w:t>
      </w:r>
      <w:r>
        <w:rPr>
          <w:rFonts w:hint="eastAsia" w:ascii="仿宋" w:hAnsi="仿宋" w:eastAsia="仿宋"/>
        </w:rPr>
        <w:t>.森林</w:t>
      </w:r>
      <w:bookmarkEnd w:id="233"/>
      <w:bookmarkEnd w:id="234"/>
      <w:r>
        <w:rPr>
          <w:rFonts w:hint="eastAsia" w:ascii="仿宋" w:hAnsi="仿宋" w:eastAsia="仿宋"/>
        </w:rPr>
        <w:t>社区</w:t>
      </w:r>
      <w:bookmarkEnd w:id="235"/>
    </w:p>
    <w:p>
      <w:pPr>
        <w:spacing w:line="276" w:lineRule="auto"/>
        <w:ind w:firstLine="480"/>
        <w:rPr>
          <w:rFonts w:ascii="仿宋" w:hAnsi="仿宋" w:eastAsia="仿宋" w:cs="Times New Roman"/>
          <w:sz w:val="28"/>
          <w:szCs w:val="28"/>
        </w:rPr>
      </w:pPr>
      <w:r>
        <w:rPr>
          <w:rFonts w:hint="eastAsia" w:ascii="仿宋" w:hAnsi="仿宋" w:eastAsia="仿宋" w:cs="Times New Roman"/>
          <w:sz w:val="28"/>
          <w:szCs w:val="28"/>
        </w:rPr>
        <w:t>森林社区总体要求是乔木覆盖率要达到30%以上，主要开展森林小区和森林单位建设。</w:t>
      </w:r>
    </w:p>
    <w:p>
      <w:pPr>
        <w:spacing w:line="276" w:lineRule="auto"/>
        <w:ind w:firstLine="480"/>
        <w:rPr>
          <w:rFonts w:ascii="仿宋" w:hAnsi="仿宋" w:eastAsia="仿宋"/>
          <w:sz w:val="22"/>
          <w:szCs w:val="24"/>
        </w:rPr>
      </w:pPr>
      <w:r>
        <w:rPr>
          <w:rFonts w:hint="eastAsia" w:ascii="仿宋" w:hAnsi="仿宋" w:eastAsia="仿宋" w:cs="Times New Roman"/>
          <w:sz w:val="28"/>
          <w:szCs w:val="28"/>
        </w:rPr>
        <w:t>（1）森林小区</w:t>
      </w:r>
    </w:p>
    <w:p>
      <w:pPr>
        <w:spacing w:line="276" w:lineRule="auto"/>
        <w:ind w:firstLine="480"/>
        <w:rPr>
          <w:rFonts w:ascii="仿宋" w:hAnsi="仿宋" w:eastAsia="仿宋" w:cs="Times New Roman"/>
          <w:sz w:val="28"/>
          <w:szCs w:val="28"/>
        </w:rPr>
      </w:pPr>
      <w:r>
        <w:rPr>
          <w:rFonts w:hint="eastAsia" w:ascii="仿宋" w:hAnsi="仿宋" w:eastAsia="仿宋" w:cs="Times New Roman"/>
          <w:sz w:val="28"/>
          <w:szCs w:val="28"/>
        </w:rPr>
        <w:t>一是针对老旧小区绿化，重点对现有小区绿地进行扩绿、改造和提升。将小区内的古树名木全部挂牌保护，重视对大树的病虫害防治和管护，提高小区的树冠覆盖率。推进垂直挂绿和屋顶铺绿等立体绿化方式，利用拆迁腾退空间和闲置地块建设社区中心绿地，在有限的绿地空间内增加绿量和绿视率。根据小区的格局、人文、地貌特征，补植观花、观色、观果小乔木，配置时令花卉，彰显京城古都的文化韵味和生活气息。</w:t>
      </w:r>
    </w:p>
    <w:p>
      <w:pPr>
        <w:spacing w:line="276" w:lineRule="auto"/>
        <w:ind w:firstLine="480"/>
        <w:rPr>
          <w:rFonts w:ascii="仿宋" w:hAnsi="仿宋" w:eastAsia="仿宋" w:cs="Times New Roman"/>
          <w:sz w:val="28"/>
          <w:szCs w:val="28"/>
        </w:rPr>
      </w:pPr>
      <w:r>
        <w:rPr>
          <w:rFonts w:hint="eastAsia" w:ascii="仿宋" w:hAnsi="仿宋" w:eastAsia="仿宋" w:cs="Times New Roman"/>
          <w:sz w:val="28"/>
          <w:szCs w:val="28"/>
        </w:rPr>
        <w:t>二是针对</w:t>
      </w:r>
      <w:r>
        <w:rPr>
          <w:rFonts w:ascii="仿宋" w:hAnsi="仿宋" w:eastAsia="仿宋" w:cs="Times New Roman"/>
          <w:sz w:val="28"/>
          <w:szCs w:val="28"/>
        </w:rPr>
        <w:t>新建小区</w:t>
      </w:r>
      <w:r>
        <w:rPr>
          <w:rFonts w:hint="eastAsia" w:ascii="仿宋" w:hAnsi="仿宋" w:eastAsia="仿宋" w:cs="Times New Roman"/>
          <w:sz w:val="28"/>
          <w:szCs w:val="28"/>
        </w:rPr>
        <w:t>，从规划设计到施工、管护，均体现首都现代居住区绿化的“高质量”。构建以宅旁绿地为基础，社区游园为核心，道路绿化为网络的小区绿地系统，建设运动场地、健康步道、健身设施、休息凉亭等公共服务设施。在注重通风、采光的前提下培育高大乔木，增加树冠覆盖率，配植香花、观果、引鸟植物，形成居民的第二个起居室。小区的地面停车场按照绿荫停车场标准进行建设。</w:t>
      </w:r>
    </w:p>
    <w:p>
      <w:pPr>
        <w:spacing w:line="276" w:lineRule="auto"/>
        <w:ind w:firstLine="480"/>
        <w:rPr>
          <w:rFonts w:ascii="仿宋" w:hAnsi="仿宋" w:eastAsia="仿宋" w:cs="Times New Roman"/>
          <w:sz w:val="28"/>
          <w:szCs w:val="28"/>
        </w:rPr>
      </w:pPr>
      <w:r>
        <w:rPr>
          <w:rFonts w:hint="eastAsia" w:ascii="仿宋" w:hAnsi="仿宋" w:eastAsia="仿宋" w:cs="Times New Roman"/>
          <w:sz w:val="28"/>
          <w:szCs w:val="28"/>
        </w:rPr>
        <w:t>（2）森林单位</w:t>
      </w:r>
      <w:bookmarkEnd w:id="236"/>
      <w:bookmarkEnd w:id="237"/>
    </w:p>
    <w:p>
      <w:pPr>
        <w:spacing w:line="276" w:lineRule="auto"/>
        <w:ind w:firstLine="480"/>
        <w:rPr>
          <w:rFonts w:ascii="仿宋" w:hAnsi="仿宋" w:eastAsia="仿宋" w:cs="Times New Roman"/>
          <w:sz w:val="28"/>
          <w:szCs w:val="28"/>
        </w:rPr>
      </w:pPr>
      <w:r>
        <w:rPr>
          <w:rFonts w:hint="eastAsia" w:ascii="仿宋" w:hAnsi="仿宋" w:eastAsia="仿宋" w:cs="Times New Roman"/>
          <w:sz w:val="28"/>
          <w:szCs w:val="28"/>
        </w:rPr>
        <w:t>以庭院绿化、墙体绿化和屋顶绿化为主，凸显外向型景观特色，融合单位周边环境进行绿化，与道路景观和城市景观相协调，打造通透开敞的临街绿地和庭院绿地。庭院绿化选择高大荫浓、通透性强、分枝点高的乔木树种，林下配以时令花卉；采用高大植物绿篱取代临街围墙，形成绿色、自然的庭院围合空间。在墙体搭设种植槽等先进适用垂直绿化设施，种植攀援植物和时令花卉，在增加绿量的同时，营造立面多彩植物景观。推进屋顶绿化美化，倡导将屋顶绿化纳入绿色建筑标准，对符合技术条件的建设项目，屋顶绿化应与建筑同步实施。</w:t>
      </w:r>
    </w:p>
    <w:p>
      <w:pPr>
        <w:pStyle w:val="4"/>
        <w:spacing w:before="0" w:after="0" w:line="276" w:lineRule="auto"/>
        <w:rPr>
          <w:rFonts w:ascii="仿宋" w:hAnsi="仿宋" w:eastAsia="仿宋"/>
        </w:rPr>
      </w:pPr>
      <w:bookmarkStart w:id="238" w:name="_Toc530649016"/>
      <w:bookmarkStart w:id="239" w:name="_Toc27389928"/>
      <w:bookmarkStart w:id="240" w:name="_Toc528968878"/>
      <w:r>
        <w:rPr>
          <w:rFonts w:hint="eastAsia" w:ascii="仿宋" w:hAnsi="仿宋" w:eastAsia="仿宋"/>
        </w:rPr>
        <w:t>4.林荫街道</w:t>
      </w:r>
      <w:bookmarkEnd w:id="238"/>
      <w:bookmarkEnd w:id="239"/>
      <w:bookmarkEnd w:id="240"/>
    </w:p>
    <w:p>
      <w:pPr>
        <w:spacing w:line="276" w:lineRule="auto"/>
        <w:ind w:firstLine="480"/>
        <w:rPr>
          <w:rFonts w:ascii="仿宋" w:hAnsi="仿宋" w:eastAsia="仿宋" w:cs="Times New Roman"/>
          <w:sz w:val="28"/>
          <w:szCs w:val="28"/>
        </w:rPr>
      </w:pPr>
      <w:r>
        <w:rPr>
          <w:rFonts w:hint="eastAsia" w:ascii="仿宋" w:hAnsi="仿宋" w:eastAsia="仿宋" w:cs="Times New Roman"/>
          <w:sz w:val="28"/>
          <w:szCs w:val="28"/>
        </w:rPr>
        <w:t>以提升城区街道绿视率和树冠覆盖率为目标，在城区道路两侧营造以高大乔木为主的植物线性景观，与城区中的带状公园、街旁绿地、防护绿地等各类绿地串联成有机整体，形成连续的绿荫景观效果，构筑大尺度绿意盎然、靓丽和谐的城市街道景观。</w:t>
      </w:r>
    </w:p>
    <w:p>
      <w:pPr>
        <w:spacing w:line="276" w:lineRule="auto"/>
        <w:ind w:firstLine="480"/>
        <w:rPr>
          <w:rFonts w:ascii="仿宋" w:hAnsi="仿宋" w:eastAsia="仿宋" w:cs="Times New Roman"/>
          <w:sz w:val="28"/>
          <w:szCs w:val="28"/>
        </w:rPr>
      </w:pPr>
      <w:r>
        <w:rPr>
          <w:rFonts w:hint="eastAsia" w:ascii="仿宋" w:hAnsi="仿宋" w:eastAsia="仿宋" w:cs="Times New Roman"/>
          <w:sz w:val="28"/>
          <w:szCs w:val="28"/>
        </w:rPr>
        <w:t>对于新建街道，骨干树种应栽植冠幅大、寿命长、分枝高、观赏性强，且在吸收二氧化硫、氮氧化物等有毒有害气体和土壤重金属方面能力较强的乡土树种，街道树冠覆盖率要达到</w:t>
      </w:r>
      <w:r>
        <w:rPr>
          <w:rFonts w:ascii="仿宋" w:hAnsi="仿宋" w:eastAsia="仿宋" w:cs="Times New Roman"/>
          <w:sz w:val="28"/>
          <w:szCs w:val="28"/>
        </w:rPr>
        <w:t>40%</w:t>
      </w:r>
      <w:r>
        <w:rPr>
          <w:rFonts w:hint="eastAsia" w:ascii="仿宋" w:hAnsi="仿宋" w:eastAsia="仿宋" w:cs="Times New Roman"/>
          <w:sz w:val="28"/>
          <w:szCs w:val="28"/>
        </w:rPr>
        <w:t>以上，在铺设有机地表覆盖物、布置雨水收集设施等方面要注重应用新材料、新技术。对于改造建设的街道，要注重保护老城区背街小巷、胡同等区域的古树、大树，尤其是对树冠完整度的保护，达到绿荫蔽日、冠大荫浓的效果；要注重及时更换出现枯梢、空心的杨树、柳树等行道树，通过优化行道树品种、改造隔离带绿化、连通树池等形式，不断优化提升街道景观风貌；要注重特色景观街道建设，以道路植物为引导，利用不同树种及配置方式来彰显街道四季景观的独特风貌，加强墙体、护栏、边坡、立交桥等街道立面空间的垂直绿化美化。</w:t>
      </w:r>
    </w:p>
    <w:bookmarkEnd w:id="228"/>
    <w:p>
      <w:pPr>
        <w:pStyle w:val="3"/>
        <w:spacing w:before="217" w:after="217"/>
        <w:jc w:val="left"/>
        <w:rPr>
          <w:rFonts w:ascii="黑体" w:hAnsi="黑体" w:eastAsia="黑体" w:cs="Times New Roman"/>
          <w:b w:val="0"/>
          <w:bCs w:val="0"/>
        </w:rPr>
      </w:pPr>
      <w:bookmarkStart w:id="241" w:name="_Toc27389929"/>
      <w:bookmarkStart w:id="242" w:name="_Toc530649017"/>
      <w:r>
        <w:rPr>
          <w:rFonts w:hint="eastAsia" w:ascii="黑体" w:hAnsi="黑体" w:eastAsia="黑体" w:cs="Times New Roman"/>
          <w:b w:val="0"/>
          <w:bCs w:val="0"/>
        </w:rPr>
        <w:t>二、两轴森林空间</w:t>
      </w:r>
      <w:bookmarkEnd w:id="241"/>
      <w:bookmarkEnd w:id="242"/>
    </w:p>
    <w:p>
      <w:pPr>
        <w:spacing w:before="217" w:after="217" w:line="276" w:lineRule="auto"/>
        <w:rPr>
          <w:rFonts w:ascii="仿宋" w:hAnsi="仿宋" w:eastAsia="仿宋" w:cs="Times New Roman"/>
          <w:b/>
          <w:spacing w:val="20"/>
          <w:sz w:val="36"/>
          <w:szCs w:val="36"/>
        </w:rPr>
      </w:pPr>
      <w:r>
        <w:rPr>
          <w:rFonts w:hint="eastAsia" w:ascii="仿宋" w:hAnsi="仿宋" w:eastAsia="仿宋" w:cs="Times New Roman"/>
          <w:b/>
          <w:spacing w:val="20"/>
          <w:sz w:val="32"/>
          <w:szCs w:val="32"/>
        </w:rPr>
        <w:t>（</w:t>
      </w:r>
      <w:r>
        <w:rPr>
          <w:rFonts w:hint="eastAsia" w:ascii="仿宋" w:hAnsi="仿宋" w:eastAsia="仿宋" w:cs="Times New Roman"/>
          <w:b/>
          <w:spacing w:val="20"/>
          <w:sz w:val="36"/>
          <w:szCs w:val="36"/>
        </w:rPr>
        <w:t>一）建设目标</w:t>
      </w:r>
    </w:p>
    <w:p>
      <w:pPr>
        <w:spacing w:line="276" w:lineRule="auto"/>
        <w:ind w:firstLine="560" w:firstLineChars="200"/>
        <w:rPr>
          <w:rFonts w:ascii="仿宋" w:hAnsi="仿宋" w:eastAsia="仿宋"/>
          <w:sz w:val="28"/>
          <w:szCs w:val="24"/>
        </w:rPr>
      </w:pPr>
      <w:r>
        <w:rPr>
          <w:rFonts w:hint="eastAsia" w:ascii="仿宋" w:hAnsi="仿宋" w:eastAsia="仿宋"/>
          <w:sz w:val="28"/>
          <w:szCs w:val="24"/>
        </w:rPr>
        <w:t>按照“点线结合、以点带线、以线带面”的理念进行轴线森林的建设，重点建设轴线两端地区，营造大尺度的城市森林，与目前已有的道路绿地、带状公园的改造提升相结合，建设形成城市绿轴。鼓励培育大树，对两侧速生纯林进行林分改造，形成整体的城市风貌线，通过绿轴带动周边区域发展，激发城市活力，让森林走进城市、让城市拥抱森林。该工程依托长安街和中轴线及其延长线，打造北京两轴森林空间，有利于落实新总规中的两轴建设布局，优化绿地空间布局，形成城市绿地的骨架，以两轴为统领，完善城市空间和功能组织秩序。</w:t>
      </w:r>
    </w:p>
    <w:p>
      <w:pPr>
        <w:spacing w:before="217" w:after="217" w:line="276"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（二）建设内容</w:t>
      </w:r>
    </w:p>
    <w:p>
      <w:pPr>
        <w:pStyle w:val="4"/>
        <w:spacing w:before="0" w:after="0" w:line="276" w:lineRule="auto"/>
        <w:rPr>
          <w:rFonts w:ascii="仿宋" w:hAnsi="仿宋" w:eastAsia="仿宋"/>
        </w:rPr>
      </w:pPr>
      <w:bookmarkStart w:id="243" w:name="_Toc528968885"/>
      <w:bookmarkStart w:id="244" w:name="_Toc27389930"/>
      <w:bookmarkStart w:id="245" w:name="_Toc530649018"/>
      <w:bookmarkStart w:id="246" w:name="_Toc528968880"/>
      <w:r>
        <w:rPr>
          <w:rFonts w:ascii="仿宋" w:hAnsi="仿宋" w:eastAsia="仿宋"/>
        </w:rPr>
        <w:t>1</w:t>
      </w:r>
      <w:r>
        <w:rPr>
          <w:rFonts w:hint="eastAsia" w:ascii="仿宋" w:hAnsi="仿宋" w:eastAsia="仿宋"/>
        </w:rPr>
        <w:t>.东西轴线</w:t>
      </w:r>
      <w:bookmarkEnd w:id="243"/>
      <w:r>
        <w:rPr>
          <w:rFonts w:hint="eastAsia" w:ascii="仿宋" w:hAnsi="仿宋" w:eastAsia="仿宋"/>
        </w:rPr>
        <w:t>：林荫掩映，通向自然的北京城市画廊</w:t>
      </w:r>
      <w:bookmarkEnd w:id="244"/>
      <w:bookmarkEnd w:id="245"/>
    </w:p>
    <w:p>
      <w:pPr>
        <w:spacing w:line="276" w:lineRule="auto"/>
        <w:ind w:firstLine="560" w:firstLineChars="200"/>
        <w:rPr>
          <w:rFonts w:ascii="仿宋" w:hAnsi="仿宋" w:eastAsia="仿宋"/>
          <w:sz w:val="28"/>
          <w:szCs w:val="24"/>
        </w:rPr>
      </w:pPr>
      <w:r>
        <w:rPr>
          <w:rFonts w:hint="eastAsia" w:ascii="仿宋" w:hAnsi="仿宋" w:eastAsia="仿宋"/>
          <w:sz w:val="28"/>
          <w:szCs w:val="24"/>
        </w:rPr>
        <w:t>东西轴线指长安街及其延长线。</w:t>
      </w:r>
      <w:r>
        <w:rPr>
          <w:rFonts w:hint="eastAsia" w:ascii="仿宋" w:hAnsi="仿宋" w:eastAsia="仿宋"/>
          <w:b/>
          <w:sz w:val="28"/>
          <w:szCs w:val="24"/>
        </w:rPr>
        <w:t>东西轴线围绕长安街道路景观与绿色空间相互掩映的风貌延伸，延伸长安街景观绿带，西部石景山与门头沟联动，东部朝阳与通州联动，建设城市公园、城市森林，实现西接石景山、门头沟的永定河城市森林组团，东联朝阳、通州的大运河城市森林组团，形成林荫掩映、通向自然的北京城市画廊。</w:t>
      </w:r>
      <w:r>
        <w:rPr>
          <w:rFonts w:hint="eastAsia" w:ascii="仿宋" w:hAnsi="仿宋" w:eastAsia="仿宋"/>
          <w:sz w:val="28"/>
          <w:szCs w:val="24"/>
        </w:rPr>
        <w:t>从东到西主要建设以下区域：</w:t>
      </w:r>
    </w:p>
    <w:p>
      <w:pPr>
        <w:spacing w:line="276" w:lineRule="auto"/>
        <w:ind w:firstLine="560" w:firstLineChars="200"/>
        <w:rPr>
          <w:rFonts w:ascii="仿宋" w:hAnsi="仿宋" w:eastAsia="仿宋"/>
          <w:b/>
          <w:sz w:val="28"/>
          <w:szCs w:val="24"/>
        </w:rPr>
      </w:pPr>
      <w:bookmarkStart w:id="247" w:name="_Toc528968886"/>
      <w:bookmarkStart w:id="248" w:name="_Toc530649019"/>
      <w:r>
        <w:rPr>
          <w:rFonts w:hint="eastAsia" w:ascii="仿宋" w:hAnsi="仿宋" w:eastAsia="仿宋"/>
          <w:b/>
          <w:sz w:val="28"/>
          <w:szCs w:val="24"/>
        </w:rPr>
        <w:t>（1）</w:t>
      </w:r>
      <w:bookmarkEnd w:id="247"/>
      <w:r>
        <w:rPr>
          <w:rFonts w:hint="eastAsia" w:ascii="仿宋" w:hAnsi="仿宋" w:eastAsia="仿宋"/>
          <w:b/>
          <w:sz w:val="28"/>
          <w:szCs w:val="24"/>
        </w:rPr>
        <w:t>副中心城市绿心</w:t>
      </w:r>
      <w:bookmarkEnd w:id="248"/>
    </w:p>
    <w:p>
      <w:pPr>
        <w:spacing w:line="276" w:lineRule="auto"/>
        <w:ind w:firstLine="560" w:firstLineChars="200"/>
        <w:rPr>
          <w:rFonts w:ascii="仿宋" w:hAnsi="仿宋" w:eastAsia="仿宋"/>
          <w:sz w:val="28"/>
          <w:szCs w:val="24"/>
        </w:rPr>
      </w:pPr>
      <w:r>
        <w:rPr>
          <w:rFonts w:hint="eastAsia" w:ascii="仿宋" w:hAnsi="仿宋" w:eastAsia="仿宋"/>
          <w:sz w:val="28"/>
          <w:szCs w:val="24"/>
        </w:rPr>
        <w:t>北京城市副中心是北京新两翼中的一翼，要加强延伸至北京城市副中心的景观大道建设，提升东部地区城市综合功能和环境品质。在通州中心建设大尺度的城市绿心，营建城市东部的大型休闲游憩地，打造地标性的城市森林景观，服务东部地区居民。与周边的大运河森林公园、运河文化广场、运河奥运公园、温榆河湿地公园相融合，形成大片的城市绿色发展空间，带动区域活力。</w:t>
      </w:r>
    </w:p>
    <w:p>
      <w:pPr>
        <w:spacing w:line="276" w:lineRule="auto"/>
        <w:ind w:firstLine="560" w:firstLineChars="200"/>
        <w:rPr>
          <w:rFonts w:ascii="仿宋" w:hAnsi="仿宋" w:eastAsia="仿宋"/>
          <w:b/>
          <w:sz w:val="28"/>
          <w:szCs w:val="24"/>
        </w:rPr>
      </w:pPr>
      <w:bookmarkStart w:id="249" w:name="_Toc528968887"/>
      <w:bookmarkStart w:id="250" w:name="_Toc530649020"/>
      <w:r>
        <w:rPr>
          <w:rFonts w:hint="eastAsia" w:ascii="仿宋" w:hAnsi="仿宋" w:eastAsia="仿宋"/>
          <w:b/>
          <w:sz w:val="28"/>
          <w:szCs w:val="24"/>
        </w:rPr>
        <w:t>（2）</w:t>
      </w:r>
      <w:bookmarkEnd w:id="249"/>
      <w:r>
        <w:rPr>
          <w:rFonts w:hint="eastAsia" w:ascii="仿宋" w:hAnsi="仿宋" w:eastAsia="仿宋"/>
          <w:b/>
          <w:sz w:val="28"/>
          <w:szCs w:val="24"/>
        </w:rPr>
        <w:t>长安街沿线绿化</w:t>
      </w:r>
      <w:bookmarkEnd w:id="250"/>
    </w:p>
    <w:p>
      <w:pPr>
        <w:pStyle w:val="76"/>
        <w:shd w:val="clear" w:color="auto" w:fill="FFFFFF"/>
        <w:spacing w:before="156" w:beforeLines="50" w:beforeAutospacing="0" w:after="156" w:afterLines="50" w:afterAutospacing="0" w:line="276" w:lineRule="auto"/>
        <w:ind w:firstLine="560" w:firstLineChars="200"/>
        <w:jc w:val="both"/>
        <w:rPr>
          <w:rFonts w:ascii="仿宋" w:hAnsi="仿宋" w:eastAsia="仿宋"/>
          <w:sz w:val="28"/>
          <w:szCs w:val="28"/>
        </w:rPr>
      </w:pPr>
      <w:r>
        <w:rPr>
          <w:rFonts w:hint="eastAsia" w:ascii="仿宋" w:hAnsi="仿宋" w:eastAsia="仿宋"/>
          <w:sz w:val="28"/>
          <w:szCs w:val="28"/>
        </w:rPr>
        <w:t>长安街沿线延续道路绿化，通过树木补植、改造更新和立体绿化等方式，打造层次丰富、大树成荫、视线通透、行人舒适的林荫大道；采取拆迁腾退、留白增绿等方式拓展城市绿色空间用地，选用彩叶树种与乡土乔木树种搭配，重视植物养护管理，营造高水平精致的开放绿色空间；在人流较为集中的地区设置硬质广场搭配种植池，增加绿荫，设置丰富的休闲游憩空间，体现现代文明魅力。</w:t>
      </w:r>
    </w:p>
    <w:p>
      <w:pPr>
        <w:spacing w:line="276" w:lineRule="auto"/>
        <w:ind w:firstLine="560" w:firstLineChars="200"/>
        <w:rPr>
          <w:rFonts w:ascii="仿宋" w:hAnsi="仿宋" w:eastAsia="仿宋"/>
          <w:b/>
          <w:sz w:val="28"/>
          <w:szCs w:val="24"/>
        </w:rPr>
      </w:pPr>
      <w:bookmarkStart w:id="251" w:name="_Toc528968888"/>
      <w:bookmarkStart w:id="252" w:name="_Toc530649021"/>
      <w:r>
        <w:rPr>
          <w:rFonts w:hint="eastAsia" w:ascii="仿宋" w:hAnsi="仿宋" w:eastAsia="仿宋"/>
          <w:b/>
          <w:sz w:val="28"/>
          <w:szCs w:val="24"/>
        </w:rPr>
        <w:t>（3）</w:t>
      </w:r>
      <w:bookmarkEnd w:id="251"/>
      <w:r>
        <w:rPr>
          <w:rFonts w:hint="eastAsia" w:ascii="仿宋" w:hAnsi="仿宋" w:eastAsia="仿宋"/>
          <w:b/>
          <w:sz w:val="28"/>
          <w:szCs w:val="24"/>
        </w:rPr>
        <w:t>衙门口城市森林</w:t>
      </w:r>
      <w:bookmarkEnd w:id="252"/>
    </w:p>
    <w:p>
      <w:pPr>
        <w:pStyle w:val="76"/>
        <w:shd w:val="clear" w:color="auto" w:fill="FFFFFF"/>
        <w:spacing w:before="156" w:beforeAutospacing="0" w:after="0" w:afterAutospacing="0" w:line="276" w:lineRule="auto"/>
        <w:ind w:firstLine="560" w:firstLineChars="200"/>
        <w:jc w:val="both"/>
        <w:rPr>
          <w:rFonts w:ascii="仿宋" w:hAnsi="仿宋" w:eastAsia="仿宋"/>
          <w:sz w:val="28"/>
          <w:szCs w:val="28"/>
        </w:rPr>
      </w:pPr>
      <w:r>
        <w:rPr>
          <w:rFonts w:hint="eastAsia" w:ascii="仿宋" w:hAnsi="仿宋" w:eastAsia="仿宋"/>
          <w:sz w:val="28"/>
          <w:szCs w:val="28"/>
        </w:rPr>
        <w:t>衙门口区域位于永定河东岸，毗邻新首钢，目前正在实施棚改项目，规划将其建设成为北京西部地区地标性的城市森林，与东部</w:t>
      </w:r>
      <w:r>
        <w:rPr>
          <w:rFonts w:ascii="仿宋" w:hAnsi="仿宋" w:eastAsia="仿宋"/>
          <w:sz w:val="28"/>
          <w:szCs w:val="28"/>
        </w:rPr>
        <w:t>城市绿心</w:t>
      </w:r>
      <w:r>
        <w:rPr>
          <w:rFonts w:hint="eastAsia" w:ascii="仿宋" w:hAnsi="仿宋" w:eastAsia="仿宋"/>
          <w:sz w:val="28"/>
          <w:szCs w:val="28"/>
        </w:rPr>
        <w:t>相呼应，改善西部地区生态环境，成为永定河生态廊道上的重要节点。为营建近自然的城市森林，规划衙门口城市森林保育区比例不小于40%，</w:t>
      </w:r>
      <w:r>
        <w:rPr>
          <w:rFonts w:hint="eastAsia" w:ascii="仿宋" w:hAnsi="仿宋" w:eastAsia="仿宋" w:cs="Times New Roman"/>
          <w:sz w:val="28"/>
          <w:szCs w:val="28"/>
        </w:rPr>
        <w:t>树冠覆盖率不低于80%</w:t>
      </w:r>
      <w:r>
        <w:rPr>
          <w:rFonts w:hint="eastAsia" w:ascii="仿宋" w:hAnsi="仿宋" w:eastAsia="仿宋"/>
          <w:sz w:val="28"/>
          <w:szCs w:val="28"/>
        </w:rPr>
        <w:t>。</w:t>
      </w:r>
      <w:r>
        <w:rPr>
          <w:rFonts w:hint="eastAsia" w:ascii="仿宋" w:hAnsi="仿宋" w:eastAsia="仿宋" w:cs="Times New Roman"/>
          <w:sz w:val="28"/>
          <w:szCs w:val="28"/>
        </w:rPr>
        <w:t>采取近自然的树种配置和管护模式，打造出树冠高低层叠、季相斑斓的城市近自然森林。</w:t>
      </w:r>
    </w:p>
    <w:p>
      <w:pPr>
        <w:pStyle w:val="4"/>
        <w:spacing w:before="0" w:after="0" w:line="276" w:lineRule="auto"/>
        <w:rPr>
          <w:rFonts w:ascii="仿宋" w:hAnsi="仿宋" w:eastAsia="仿宋"/>
        </w:rPr>
      </w:pPr>
      <w:bookmarkStart w:id="253" w:name="_Toc27389931"/>
      <w:bookmarkStart w:id="254" w:name="_Toc530649022"/>
      <w:r>
        <w:rPr>
          <w:rFonts w:ascii="仿宋" w:hAnsi="仿宋" w:eastAsia="仿宋"/>
        </w:rPr>
        <w:t>2</w:t>
      </w:r>
      <w:r>
        <w:rPr>
          <w:rFonts w:hint="eastAsia" w:ascii="仿宋" w:hAnsi="仿宋" w:eastAsia="仿宋"/>
        </w:rPr>
        <w:t>.南北轴线</w:t>
      </w:r>
      <w:bookmarkEnd w:id="246"/>
      <w:r>
        <w:rPr>
          <w:rFonts w:hint="eastAsia" w:ascii="仿宋" w:hAnsi="仿宋" w:eastAsia="仿宋"/>
        </w:rPr>
        <w:t>：绿色与古典交织、生态与文化相融的北京城市文脉</w:t>
      </w:r>
      <w:bookmarkEnd w:id="253"/>
      <w:bookmarkEnd w:id="254"/>
    </w:p>
    <w:p>
      <w:pPr>
        <w:spacing w:line="276" w:lineRule="auto"/>
        <w:ind w:firstLine="560" w:firstLineChars="200"/>
        <w:rPr>
          <w:rFonts w:ascii="仿宋" w:hAnsi="仿宋" w:eastAsia="仿宋"/>
          <w:sz w:val="28"/>
          <w:szCs w:val="24"/>
        </w:rPr>
      </w:pPr>
      <w:r>
        <w:rPr>
          <w:rFonts w:hint="eastAsia" w:ascii="仿宋" w:hAnsi="仿宋" w:eastAsia="仿宋"/>
          <w:sz w:val="28"/>
          <w:szCs w:val="24"/>
        </w:rPr>
        <w:t>南北轴线指传统中轴线及其延长线，既是北京的历史轴线，也是北京城市发展的脉络，既要延续历史文脉、展示传统文化精髓，又要做好城市有机更新、体现现代文明魅力。</w:t>
      </w:r>
      <w:r>
        <w:rPr>
          <w:rFonts w:hint="eastAsia" w:ascii="仿宋" w:hAnsi="仿宋" w:eastAsia="仿宋"/>
          <w:b/>
          <w:sz w:val="28"/>
          <w:szCs w:val="24"/>
        </w:rPr>
        <w:t>南北轴线通过中轴线地标建筑与自然景观的镶嵌相伴，延续北京文脉，北部朝阳与昌平联动，南部大兴与丰台联动，退还挤占公园空间，打造南部森林、北部森林湿地，实现南部大兴南苑大尺度自然森林与北京新地标交错镶嵌，北部奥林匹克城市森林与东小口森林湿地有效衔接，形成绿色与古典交织、生态与文化相融的北京城市文脉。</w:t>
      </w:r>
      <w:r>
        <w:rPr>
          <w:rFonts w:hint="eastAsia" w:ascii="仿宋" w:hAnsi="仿宋" w:eastAsia="仿宋"/>
          <w:sz w:val="28"/>
          <w:szCs w:val="24"/>
        </w:rPr>
        <w:t>从南到北主要建设以下区域：</w:t>
      </w:r>
    </w:p>
    <w:p>
      <w:pPr>
        <w:spacing w:line="276" w:lineRule="auto"/>
        <w:ind w:firstLine="560" w:firstLineChars="200"/>
        <w:rPr>
          <w:rFonts w:ascii="仿宋" w:hAnsi="仿宋" w:eastAsia="仿宋"/>
          <w:b/>
          <w:sz w:val="28"/>
          <w:szCs w:val="24"/>
        </w:rPr>
      </w:pPr>
      <w:bookmarkStart w:id="255" w:name="_Toc528968881"/>
      <w:bookmarkStart w:id="256" w:name="_Toc530649023"/>
      <w:r>
        <w:rPr>
          <w:rFonts w:hint="eastAsia" w:ascii="仿宋" w:hAnsi="仿宋" w:eastAsia="仿宋"/>
          <w:b/>
          <w:sz w:val="28"/>
          <w:szCs w:val="24"/>
        </w:rPr>
        <w:t>（1）</w:t>
      </w:r>
      <w:bookmarkEnd w:id="255"/>
      <w:r>
        <w:rPr>
          <w:rFonts w:hint="eastAsia" w:ascii="仿宋" w:hAnsi="仿宋" w:eastAsia="仿宋"/>
          <w:b/>
          <w:sz w:val="28"/>
          <w:szCs w:val="24"/>
        </w:rPr>
        <w:t>北京大兴国际机场森林</w:t>
      </w:r>
      <w:bookmarkEnd w:id="256"/>
    </w:p>
    <w:p>
      <w:pPr>
        <w:spacing w:line="276" w:lineRule="auto"/>
        <w:ind w:firstLine="546" w:firstLineChars="195"/>
        <w:rPr>
          <w:rFonts w:ascii="仿宋" w:hAnsi="仿宋" w:eastAsia="仿宋"/>
          <w:color w:val="0070C0"/>
          <w:sz w:val="20"/>
          <w:szCs w:val="20"/>
        </w:rPr>
      </w:pPr>
      <w:r>
        <w:rPr>
          <w:rFonts w:hint="eastAsia" w:ascii="仿宋" w:hAnsi="仿宋" w:eastAsia="仿宋"/>
          <w:sz w:val="28"/>
          <w:szCs w:val="24"/>
        </w:rPr>
        <w:t>以北京大兴国际机场为核心，建设城市南部国际交往新门户。该区域的城市森林采用大色块几何状，形成从空中俯瞰的大地景观，</w:t>
      </w:r>
      <w:r>
        <w:rPr>
          <w:rFonts w:ascii="仿宋" w:hAnsi="仿宋" w:eastAsia="仿宋"/>
          <w:sz w:val="28"/>
          <w:szCs w:val="24"/>
        </w:rPr>
        <w:t>增加机场周边、永定河沿线、京台高速等处绿量，完成“绿色长廊”的基本建设</w:t>
      </w:r>
      <w:r>
        <w:rPr>
          <w:rFonts w:hint="eastAsia" w:ascii="仿宋" w:hAnsi="仿宋" w:eastAsia="仿宋"/>
          <w:sz w:val="28"/>
          <w:szCs w:val="24"/>
        </w:rPr>
        <w:t>，</w:t>
      </w:r>
      <w:r>
        <w:rPr>
          <w:rFonts w:ascii="仿宋" w:hAnsi="仿宋" w:eastAsia="仿宋"/>
          <w:sz w:val="28"/>
          <w:szCs w:val="24"/>
        </w:rPr>
        <w:t>形成大绿大美的生态格局，绿化以白皮松、油松、银杏等乡土树种为主，搭配种植榆叶梅、海棠、迎春等灌木。</w:t>
      </w:r>
      <w:r>
        <w:rPr>
          <w:rFonts w:hint="eastAsia" w:ascii="仿宋" w:hAnsi="仿宋" w:eastAsia="仿宋"/>
          <w:sz w:val="28"/>
          <w:szCs w:val="24"/>
        </w:rPr>
        <w:t>到2022年，永定河绿色生态廊道基本建成，</w:t>
      </w:r>
      <w:r>
        <w:rPr>
          <w:rFonts w:ascii="仿宋" w:hAnsi="仿宋" w:eastAsia="仿宋"/>
          <w:sz w:val="28"/>
          <w:szCs w:val="24"/>
        </w:rPr>
        <w:t>水源保障工程全面建成投入使用</w:t>
      </w:r>
      <w:r>
        <w:rPr>
          <w:rFonts w:hint="eastAsia" w:ascii="仿宋" w:hAnsi="仿宋" w:eastAsia="仿宋"/>
          <w:sz w:val="28"/>
          <w:szCs w:val="24"/>
        </w:rPr>
        <w:t>，北京大兴国际机场</w:t>
      </w:r>
      <w:r>
        <w:rPr>
          <w:rFonts w:ascii="仿宋" w:hAnsi="仿宋" w:eastAsia="仿宋"/>
          <w:sz w:val="28"/>
          <w:szCs w:val="24"/>
        </w:rPr>
        <w:t>临空经济区周边新增5万亩森林湿地，通过滞洪湿地等工程，进一步完善</w:t>
      </w:r>
      <w:r>
        <w:rPr>
          <w:rFonts w:hint="eastAsia" w:ascii="仿宋" w:hAnsi="仿宋" w:eastAsia="仿宋"/>
          <w:sz w:val="28"/>
          <w:szCs w:val="24"/>
        </w:rPr>
        <w:t>北京大兴国际机场</w:t>
      </w:r>
      <w:r>
        <w:rPr>
          <w:rFonts w:ascii="仿宋" w:hAnsi="仿宋" w:eastAsia="仿宋"/>
          <w:sz w:val="28"/>
          <w:szCs w:val="24"/>
        </w:rPr>
        <w:t>及临空经济区整体生态格局。</w:t>
      </w:r>
    </w:p>
    <w:p>
      <w:pPr>
        <w:spacing w:line="276" w:lineRule="auto"/>
        <w:ind w:firstLine="560" w:firstLineChars="200"/>
        <w:rPr>
          <w:rFonts w:ascii="仿宋" w:hAnsi="仿宋" w:eastAsia="仿宋"/>
          <w:b/>
          <w:sz w:val="28"/>
          <w:szCs w:val="24"/>
        </w:rPr>
      </w:pPr>
      <w:bookmarkStart w:id="257" w:name="_Toc528968882"/>
      <w:bookmarkStart w:id="258" w:name="_Toc530649024"/>
      <w:r>
        <w:rPr>
          <w:rFonts w:hint="eastAsia" w:ascii="仿宋" w:hAnsi="仿宋" w:eastAsia="仿宋"/>
          <w:b/>
          <w:sz w:val="28"/>
          <w:szCs w:val="24"/>
        </w:rPr>
        <w:t>（2）南苑</w:t>
      </w:r>
      <w:bookmarkEnd w:id="257"/>
      <w:r>
        <w:rPr>
          <w:rFonts w:hint="eastAsia" w:ascii="仿宋" w:hAnsi="仿宋" w:eastAsia="仿宋"/>
          <w:b/>
          <w:sz w:val="28"/>
          <w:szCs w:val="24"/>
        </w:rPr>
        <w:t>森林湿地公园</w:t>
      </w:r>
      <w:bookmarkEnd w:id="258"/>
    </w:p>
    <w:p>
      <w:pPr>
        <w:spacing w:line="276" w:lineRule="auto"/>
        <w:ind w:firstLine="560" w:firstLineChars="200"/>
        <w:rPr>
          <w:rFonts w:ascii="仿宋" w:hAnsi="仿宋" w:eastAsia="仿宋"/>
          <w:sz w:val="28"/>
          <w:szCs w:val="24"/>
        </w:rPr>
      </w:pPr>
      <w:r>
        <w:rPr>
          <w:rFonts w:hint="eastAsia" w:ascii="仿宋" w:hAnsi="仿宋" w:eastAsia="仿宋"/>
          <w:sz w:val="28"/>
          <w:szCs w:val="24"/>
        </w:rPr>
        <w:t>结合南苑地区改造，推进功能优化和资源整合。腾退南苑机场、整合周边绿地建设南苑森林湿地公园，形成大尺度的森林斑块，建设与北部奥林匹克森林公园相呼应的南部地区地标性公园，使中轴线及延长线形成“公园对公园”的格局</w:t>
      </w:r>
      <w:r>
        <w:rPr>
          <w:rFonts w:ascii="仿宋" w:hAnsi="仿宋" w:eastAsia="仿宋"/>
          <w:sz w:val="28"/>
          <w:szCs w:val="24"/>
        </w:rPr>
        <w:t>，</w:t>
      </w:r>
      <w:r>
        <w:rPr>
          <w:rFonts w:hint="eastAsia" w:ascii="仿宋" w:hAnsi="仿宋" w:eastAsia="仿宋"/>
          <w:sz w:val="28"/>
          <w:szCs w:val="24"/>
        </w:rPr>
        <w:t>高起点、高标准的配套游憩服务设施，</w:t>
      </w:r>
      <w:r>
        <w:rPr>
          <w:rFonts w:ascii="仿宋" w:hAnsi="仿宋" w:eastAsia="仿宋"/>
          <w:sz w:val="28"/>
          <w:szCs w:val="24"/>
        </w:rPr>
        <w:t>满足居民休闲游憩活动需求，引导居民选择健康、舒适的绿色出行方式，建设一个充满活力、富有吸引力的工作和生活环境。侧重景观、游憩</w:t>
      </w:r>
      <w:r>
        <w:rPr>
          <w:rFonts w:hint="eastAsia" w:ascii="仿宋" w:hAnsi="仿宋" w:eastAsia="仿宋"/>
          <w:sz w:val="28"/>
          <w:szCs w:val="24"/>
        </w:rPr>
        <w:t>功能</w:t>
      </w:r>
      <w:r>
        <w:rPr>
          <w:rFonts w:ascii="仿宋" w:hAnsi="仿宋" w:eastAsia="仿宋"/>
          <w:sz w:val="28"/>
          <w:szCs w:val="24"/>
        </w:rPr>
        <w:t xml:space="preserve">，绿化以乔木为主，丰富森林季相变化，营造色彩斑斓、绿色相衬的景观效果，为居民提供舒适的社会交往、互动空间。 </w:t>
      </w:r>
    </w:p>
    <w:p>
      <w:pPr>
        <w:spacing w:line="276" w:lineRule="auto"/>
        <w:ind w:firstLine="560" w:firstLineChars="200"/>
        <w:rPr>
          <w:rFonts w:ascii="仿宋" w:hAnsi="仿宋" w:eastAsia="仿宋"/>
          <w:b/>
          <w:sz w:val="28"/>
          <w:szCs w:val="24"/>
        </w:rPr>
      </w:pPr>
      <w:bookmarkStart w:id="259" w:name="_Toc528968883"/>
      <w:bookmarkStart w:id="260" w:name="_Toc530649025"/>
      <w:r>
        <w:rPr>
          <w:rFonts w:hint="eastAsia" w:ascii="仿宋" w:hAnsi="仿宋" w:eastAsia="仿宋"/>
          <w:b/>
          <w:sz w:val="28"/>
          <w:szCs w:val="24"/>
        </w:rPr>
        <w:t>（3）传统中轴线</w:t>
      </w:r>
      <w:bookmarkEnd w:id="259"/>
      <w:r>
        <w:rPr>
          <w:rFonts w:hint="eastAsia" w:ascii="仿宋" w:hAnsi="仿宋" w:eastAsia="仿宋"/>
          <w:b/>
          <w:sz w:val="28"/>
          <w:szCs w:val="24"/>
        </w:rPr>
        <w:t>沿线绿化</w:t>
      </w:r>
      <w:bookmarkEnd w:id="260"/>
    </w:p>
    <w:p>
      <w:pPr>
        <w:spacing w:line="276" w:lineRule="auto"/>
        <w:ind w:firstLine="560" w:firstLineChars="200"/>
        <w:rPr>
          <w:rFonts w:ascii="仿宋" w:hAnsi="仿宋" w:eastAsia="仿宋"/>
          <w:sz w:val="28"/>
          <w:szCs w:val="24"/>
        </w:rPr>
      </w:pPr>
      <w:r>
        <w:rPr>
          <w:rFonts w:hint="eastAsia" w:ascii="仿宋" w:hAnsi="仿宋" w:eastAsia="仿宋"/>
          <w:sz w:val="28"/>
          <w:szCs w:val="24"/>
        </w:rPr>
        <w:t>传统中轴线是北京老城的灵魂和脊梁。重点结合疏解整治工作，完成景山、天坛、先农坛等遗产点的腾退工作，扩大文物保护区开放面积，增加公园绿量。结合道路现状，保持街道原有尺度，有条件的地方扩宽绿地红线，建设丰富的植物景观，不具备改造条件的地段通过种植行道树等方式改善视廊景观。平房区域结合历史文化名城保护规划保留传统风貌，保留原有植被和补植乡土树种，鼓励培育大树景观，延续大树掩映的乡愁景观，完善游憩设施，保障周边居民日常生活需求，为北京中轴线申遗工作奠定基础。</w:t>
      </w:r>
    </w:p>
    <w:p>
      <w:pPr>
        <w:spacing w:line="276" w:lineRule="auto"/>
        <w:ind w:firstLine="560" w:firstLineChars="200"/>
        <w:rPr>
          <w:rFonts w:ascii="仿宋" w:hAnsi="仿宋" w:eastAsia="仿宋"/>
          <w:b/>
          <w:sz w:val="28"/>
          <w:szCs w:val="24"/>
        </w:rPr>
      </w:pPr>
      <w:bookmarkStart w:id="261" w:name="_Toc528968884"/>
      <w:bookmarkStart w:id="262" w:name="_Toc530649026"/>
      <w:r>
        <w:rPr>
          <w:rFonts w:hint="eastAsia" w:ascii="仿宋" w:hAnsi="仿宋" w:eastAsia="仿宋"/>
          <w:b/>
          <w:sz w:val="28"/>
          <w:szCs w:val="24"/>
        </w:rPr>
        <w:t>（4）</w:t>
      </w:r>
      <w:bookmarkEnd w:id="261"/>
      <w:r>
        <w:rPr>
          <w:rFonts w:hint="eastAsia" w:ascii="仿宋" w:hAnsi="仿宋" w:eastAsia="仿宋"/>
          <w:b/>
          <w:sz w:val="28"/>
          <w:szCs w:val="24"/>
        </w:rPr>
        <w:t>北五环城市森林</w:t>
      </w:r>
      <w:bookmarkEnd w:id="262"/>
    </w:p>
    <w:p>
      <w:pPr>
        <w:pStyle w:val="76"/>
        <w:shd w:val="clear" w:color="auto" w:fill="FFFFFF"/>
        <w:spacing w:before="156" w:beforeAutospacing="0" w:after="0" w:afterAutospacing="0" w:line="276" w:lineRule="auto"/>
        <w:ind w:firstLine="560" w:firstLineChars="200"/>
        <w:jc w:val="both"/>
        <w:rPr>
          <w:rFonts w:ascii="仿宋" w:hAnsi="仿宋" w:eastAsia="仿宋"/>
          <w:color w:val="FF0000"/>
        </w:rPr>
      </w:pPr>
      <w:r>
        <w:rPr>
          <w:rFonts w:hint="eastAsia" w:ascii="仿宋" w:hAnsi="仿宋" w:eastAsia="仿宋"/>
          <w:sz w:val="28"/>
          <w:szCs w:val="28"/>
        </w:rPr>
        <w:t>在北部依托奥林匹克森林公园、东小口森林公园，整合太平郊野公园、半塔郊野公园及周边空置绿地，形成北部大型的城市绿地斑块，增加生态空间，设置35%森林保育区，营建近自然林。对带状的奥林匹克公园注重绿地的养护管理，步行空间可增加行道树，提供庇荫的场所，两侧结合绿地营造小的休闲游憩空间和具备一定私密性的小空间，满足不同的需求。结合体育设施建设，打造具有特色的体育公园，设置各类运动健身场所，满足居民运动健身的需求，缓解奥林匹克森林公园的压力，为市民提供更多的出行选择。</w:t>
      </w:r>
    </w:p>
    <w:p>
      <w:pPr>
        <w:pStyle w:val="3"/>
        <w:spacing w:before="217" w:after="217"/>
        <w:jc w:val="left"/>
        <w:rPr>
          <w:rFonts w:ascii="黑体" w:hAnsi="黑体" w:eastAsia="黑体" w:cs="Times New Roman"/>
          <w:b w:val="0"/>
          <w:bCs w:val="0"/>
        </w:rPr>
      </w:pPr>
      <w:bookmarkStart w:id="263" w:name="_Toc27389932"/>
      <w:bookmarkStart w:id="264" w:name="_Toc530649027"/>
      <w:bookmarkStart w:id="265" w:name="_Toc528968889"/>
      <w:r>
        <w:rPr>
          <w:rFonts w:ascii="黑体" w:hAnsi="黑体" w:eastAsia="黑体" w:cs="Times New Roman"/>
          <w:b w:val="0"/>
          <w:bCs w:val="0"/>
        </w:rPr>
        <w:t>三、平原</w:t>
      </w:r>
      <w:r>
        <w:rPr>
          <w:rFonts w:hint="eastAsia" w:ascii="黑体" w:hAnsi="黑体" w:eastAsia="黑体" w:cs="Times New Roman"/>
          <w:b w:val="0"/>
          <w:bCs w:val="0"/>
        </w:rPr>
        <w:t>自然</w:t>
      </w:r>
      <w:r>
        <w:rPr>
          <w:rFonts w:ascii="黑体" w:hAnsi="黑体" w:eastAsia="黑体" w:cs="Times New Roman"/>
          <w:b w:val="0"/>
          <w:bCs w:val="0"/>
        </w:rPr>
        <w:t>片林</w:t>
      </w:r>
      <w:bookmarkEnd w:id="263"/>
      <w:bookmarkEnd w:id="264"/>
      <w:bookmarkEnd w:id="265"/>
    </w:p>
    <w:p>
      <w:pPr>
        <w:spacing w:before="217" w:after="217" w:line="264" w:lineRule="auto"/>
        <w:rPr>
          <w:rFonts w:ascii="仿宋" w:hAnsi="仿宋" w:eastAsia="仿宋" w:cs="Times New Roman"/>
          <w:b/>
          <w:spacing w:val="20"/>
          <w:sz w:val="32"/>
          <w:szCs w:val="32"/>
        </w:rPr>
      </w:pPr>
      <w:r>
        <w:rPr>
          <w:rFonts w:ascii="仿宋" w:hAnsi="仿宋" w:eastAsia="仿宋" w:cs="Times New Roman"/>
          <w:b/>
          <w:spacing w:val="20"/>
          <w:sz w:val="32"/>
          <w:szCs w:val="32"/>
        </w:rPr>
        <w:t>（一）建设</w:t>
      </w:r>
      <w:r>
        <w:rPr>
          <w:rFonts w:hint="eastAsia" w:ascii="仿宋" w:hAnsi="仿宋" w:eastAsia="仿宋" w:cs="Times New Roman"/>
          <w:b/>
          <w:spacing w:val="20"/>
          <w:sz w:val="32"/>
          <w:szCs w:val="32"/>
        </w:rPr>
        <w:t>目标</w:t>
      </w:r>
    </w:p>
    <w:p>
      <w:pPr>
        <w:spacing w:line="360" w:lineRule="auto"/>
        <w:ind w:firstLine="480"/>
        <w:rPr>
          <w:rFonts w:ascii="仿宋" w:hAnsi="仿宋" w:eastAsia="仿宋" w:cs="Times New Roman"/>
          <w:sz w:val="28"/>
          <w:szCs w:val="28"/>
        </w:rPr>
      </w:pPr>
      <w:r>
        <w:rPr>
          <w:rFonts w:hint="eastAsia" w:ascii="仿宋" w:hAnsi="仿宋" w:eastAsia="仿宋" w:cs="Times New Roman"/>
          <w:sz w:val="28"/>
          <w:szCs w:val="28"/>
        </w:rPr>
        <w:t>北京平原区森林主要以景观游憩林为主，目前缺少人工干扰少、自然度高、生境丰富的稳定长寿自然片林，不利于平原区、城区生态系统的健康稳定。</w:t>
      </w:r>
      <w:r>
        <w:rPr>
          <w:rFonts w:ascii="仿宋" w:hAnsi="仿宋" w:eastAsia="仿宋" w:cs="Times New Roman"/>
          <w:sz w:val="28"/>
          <w:szCs w:val="28"/>
        </w:rPr>
        <w:t>重点在房山、大兴、通州、顺义</w:t>
      </w:r>
      <w:r>
        <w:rPr>
          <w:rFonts w:hint="eastAsia" w:ascii="仿宋" w:hAnsi="仿宋" w:eastAsia="仿宋" w:cs="Times New Roman"/>
          <w:sz w:val="28"/>
          <w:szCs w:val="28"/>
        </w:rPr>
        <w:t>、昌平</w:t>
      </w:r>
      <w:r>
        <w:rPr>
          <w:rFonts w:ascii="仿宋" w:hAnsi="仿宋" w:eastAsia="仿宋" w:cs="Times New Roman"/>
          <w:sz w:val="28"/>
          <w:szCs w:val="28"/>
        </w:rPr>
        <w:t>等五个区</w:t>
      </w:r>
      <w:r>
        <w:rPr>
          <w:rFonts w:hint="eastAsia" w:ascii="仿宋" w:hAnsi="仿宋" w:eastAsia="仿宋" w:cs="Times New Roman"/>
          <w:sz w:val="28"/>
          <w:szCs w:val="28"/>
        </w:rPr>
        <w:t>选择</w:t>
      </w:r>
      <w:r>
        <w:rPr>
          <w:rFonts w:ascii="仿宋" w:hAnsi="仿宋" w:eastAsia="仿宋" w:cs="Times New Roman"/>
          <w:sz w:val="28"/>
          <w:szCs w:val="28"/>
        </w:rPr>
        <w:t>建设大</w:t>
      </w:r>
      <w:r>
        <w:rPr>
          <w:rFonts w:hint="eastAsia" w:ascii="仿宋" w:hAnsi="仿宋" w:eastAsia="仿宋" w:cs="Times New Roman"/>
          <w:sz w:val="28"/>
          <w:szCs w:val="28"/>
        </w:rPr>
        <w:t>尺度</w:t>
      </w:r>
      <w:r>
        <w:rPr>
          <w:rFonts w:ascii="仿宋" w:hAnsi="仿宋" w:eastAsia="仿宋" w:cs="Times New Roman"/>
          <w:sz w:val="28"/>
          <w:szCs w:val="28"/>
        </w:rPr>
        <w:t>森林</w:t>
      </w:r>
      <w:r>
        <w:rPr>
          <w:rFonts w:hint="eastAsia" w:ascii="仿宋" w:hAnsi="仿宋" w:eastAsia="仿宋" w:cs="Times New Roman"/>
          <w:sz w:val="28"/>
          <w:szCs w:val="28"/>
        </w:rPr>
        <w:t>景观</w:t>
      </w:r>
      <w:r>
        <w:rPr>
          <w:rFonts w:ascii="仿宋" w:hAnsi="仿宋" w:eastAsia="仿宋" w:cs="Times New Roman"/>
          <w:sz w:val="28"/>
          <w:szCs w:val="28"/>
        </w:rPr>
        <w:t>，</w:t>
      </w:r>
      <w:r>
        <w:rPr>
          <w:rFonts w:hint="eastAsia" w:ascii="仿宋" w:hAnsi="仿宋" w:eastAsia="仿宋" w:cs="Times New Roman"/>
          <w:sz w:val="28"/>
          <w:szCs w:val="28"/>
        </w:rPr>
        <w:t>通过新建片林、廊道森林等方式，将小斑块片林建设发展成百亩、千亩、万亩以上的规模性片林，形成具有景观震撼力和生态影响力的片林，进一步提升平原区森林资源总量，优化平原森林格局和城市生态安全格局，为北京市二道绿隔郊野公园环搭建良好的生态基础。</w:t>
      </w:r>
    </w:p>
    <w:p>
      <w:pPr>
        <w:spacing w:before="217" w:after="217" w:line="264" w:lineRule="auto"/>
        <w:rPr>
          <w:rFonts w:ascii="仿宋" w:hAnsi="仿宋" w:eastAsia="仿宋" w:cs="Times New Roman"/>
          <w:b/>
          <w:spacing w:val="20"/>
          <w:sz w:val="32"/>
          <w:szCs w:val="32"/>
        </w:rPr>
      </w:pPr>
      <w:r>
        <w:rPr>
          <w:rFonts w:ascii="仿宋" w:hAnsi="仿宋" w:eastAsia="仿宋" w:cs="Times New Roman"/>
          <w:b/>
          <w:spacing w:val="20"/>
          <w:sz w:val="32"/>
          <w:szCs w:val="32"/>
        </w:rPr>
        <w:t>（二）建设内容</w:t>
      </w:r>
    </w:p>
    <w:p>
      <w:pPr>
        <w:spacing w:line="360"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通过土地置换、扩增片林规模、构建连通性廊道等方式，促使北京市平原地区千亩片林达到3</w:t>
      </w:r>
      <w:r>
        <w:rPr>
          <w:rFonts w:ascii="仿宋" w:hAnsi="仿宋" w:eastAsia="仿宋" w:cs="Times New Roman"/>
          <w:sz w:val="28"/>
          <w:szCs w:val="28"/>
        </w:rPr>
        <w:t>00</w:t>
      </w:r>
      <w:r>
        <w:rPr>
          <w:rFonts w:hint="eastAsia" w:ascii="仿宋" w:hAnsi="仿宋" w:eastAsia="仿宋" w:cs="Times New Roman"/>
          <w:sz w:val="28"/>
          <w:szCs w:val="28"/>
        </w:rPr>
        <w:t>个、万亩片林达到7</w:t>
      </w:r>
      <w:r>
        <w:rPr>
          <w:rFonts w:ascii="仿宋" w:hAnsi="仿宋" w:eastAsia="仿宋" w:cs="Times New Roman"/>
          <w:sz w:val="28"/>
          <w:szCs w:val="28"/>
        </w:rPr>
        <w:t>8</w:t>
      </w:r>
      <w:r>
        <w:rPr>
          <w:rFonts w:hint="eastAsia" w:ascii="仿宋" w:hAnsi="仿宋" w:eastAsia="仿宋" w:cs="Times New Roman"/>
          <w:sz w:val="28"/>
          <w:szCs w:val="28"/>
        </w:rPr>
        <w:t>个，其中主要生态片林中近自然森林面积比例控制在6</w:t>
      </w:r>
      <w:r>
        <w:rPr>
          <w:rFonts w:ascii="仿宋" w:hAnsi="仿宋" w:eastAsia="仿宋" w:cs="Times New Roman"/>
          <w:sz w:val="28"/>
          <w:szCs w:val="28"/>
        </w:rPr>
        <w:t>0</w:t>
      </w:r>
      <w:r>
        <w:rPr>
          <w:rFonts w:hint="eastAsia" w:ascii="仿宋" w:hAnsi="仿宋" w:eastAsia="仿宋" w:cs="Times New Roman"/>
          <w:sz w:val="28"/>
          <w:szCs w:val="28"/>
        </w:rPr>
        <w:t>%以上，重点形成房山片林、大兴片林、通州片林、顺义片林和昌平片林等五大区域性连片森林。</w:t>
      </w:r>
    </w:p>
    <w:p>
      <w:pPr>
        <w:pStyle w:val="4"/>
        <w:spacing w:before="0" w:after="0" w:line="276" w:lineRule="auto"/>
        <w:rPr>
          <w:rFonts w:ascii="仿宋" w:hAnsi="仿宋" w:eastAsia="仿宋"/>
        </w:rPr>
      </w:pPr>
      <w:bookmarkStart w:id="266" w:name="_Toc27389933"/>
      <w:r>
        <w:rPr>
          <w:rFonts w:ascii="仿宋" w:hAnsi="仿宋" w:eastAsia="仿宋"/>
        </w:rPr>
        <w:t>1</w:t>
      </w:r>
      <w:r>
        <w:rPr>
          <w:rFonts w:hint="eastAsia" w:ascii="仿宋" w:hAnsi="仿宋" w:eastAsia="仿宋"/>
        </w:rPr>
        <w:t>.房山片林组团</w:t>
      </w:r>
      <w:bookmarkEnd w:id="266"/>
    </w:p>
    <w:p>
      <w:pPr>
        <w:spacing w:line="360"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在房山区南部平原区域、北部与山地接壤区域，以现有大型森林斑块为基础，通过扩增连通、林水结合，建设万亩片林</w:t>
      </w:r>
      <w:r>
        <w:rPr>
          <w:rFonts w:ascii="仿宋" w:hAnsi="仿宋" w:eastAsia="仿宋" w:cs="Times New Roman"/>
          <w:sz w:val="28"/>
          <w:szCs w:val="28"/>
        </w:rPr>
        <w:t>10</w:t>
      </w:r>
      <w:r>
        <w:rPr>
          <w:rFonts w:hint="eastAsia" w:ascii="仿宋" w:hAnsi="仿宋" w:eastAsia="仿宋" w:cs="Times New Roman"/>
          <w:sz w:val="28"/>
          <w:szCs w:val="28"/>
        </w:rPr>
        <w:t>处以上，缓冲平原城市与山地生态环境差异，促进永定河生态廊道形成。</w:t>
      </w:r>
      <w:r>
        <w:rPr>
          <w:rFonts w:ascii="仿宋" w:hAnsi="仿宋" w:eastAsia="仿宋" w:cs="Times New Roman"/>
          <w:sz w:val="28"/>
          <w:szCs w:val="28"/>
        </w:rPr>
        <w:t xml:space="preserve"> </w:t>
      </w:r>
    </w:p>
    <w:p>
      <w:pPr>
        <w:pStyle w:val="4"/>
        <w:spacing w:before="0" w:after="0" w:line="276" w:lineRule="auto"/>
        <w:rPr>
          <w:rFonts w:ascii="仿宋" w:hAnsi="仿宋" w:eastAsia="仿宋"/>
        </w:rPr>
      </w:pPr>
      <w:bookmarkStart w:id="267" w:name="_Toc27389934"/>
      <w:r>
        <w:rPr>
          <w:rFonts w:ascii="仿宋" w:hAnsi="仿宋" w:eastAsia="仿宋"/>
        </w:rPr>
        <w:t>2</w:t>
      </w:r>
      <w:r>
        <w:rPr>
          <w:rFonts w:hint="eastAsia" w:ascii="仿宋" w:hAnsi="仿宋" w:eastAsia="仿宋"/>
        </w:rPr>
        <w:t>.大兴片林组团</w:t>
      </w:r>
      <w:bookmarkEnd w:id="267"/>
    </w:p>
    <w:p>
      <w:pPr>
        <w:spacing w:line="360"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北京大兴国际机场北线高速以南至永定河区域，以及亦庄新城，造林潜力较大，通过土地置换、扩增连通、林水结合等方式，建设万亩片林14处以上，拱卫首都新机场，强化与河北之间的生态缓冲功能，完善北京市平原地区生态屏障格局。</w:t>
      </w:r>
    </w:p>
    <w:p>
      <w:pPr>
        <w:pStyle w:val="4"/>
        <w:spacing w:before="0" w:after="0" w:line="276" w:lineRule="auto"/>
        <w:rPr>
          <w:rFonts w:ascii="仿宋" w:hAnsi="仿宋" w:eastAsia="仿宋"/>
        </w:rPr>
      </w:pPr>
      <w:bookmarkStart w:id="268" w:name="_Toc27389935"/>
      <w:r>
        <w:rPr>
          <w:rFonts w:ascii="仿宋" w:hAnsi="仿宋" w:eastAsia="仿宋"/>
        </w:rPr>
        <w:t>3</w:t>
      </w:r>
      <w:r>
        <w:rPr>
          <w:rFonts w:hint="eastAsia" w:ascii="仿宋" w:hAnsi="仿宋" w:eastAsia="仿宋"/>
        </w:rPr>
        <w:t>.通州片林组团</w:t>
      </w:r>
      <w:bookmarkEnd w:id="268"/>
    </w:p>
    <w:p>
      <w:pPr>
        <w:spacing w:line="360"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在通州区大运河及潮白河沿线，扩增现有的片林，建设万亩片林达到2</w:t>
      </w:r>
      <w:r>
        <w:rPr>
          <w:rFonts w:ascii="仿宋" w:hAnsi="仿宋" w:eastAsia="仿宋" w:cs="Times New Roman"/>
          <w:sz w:val="28"/>
          <w:szCs w:val="28"/>
        </w:rPr>
        <w:t>0</w:t>
      </w:r>
      <w:r>
        <w:rPr>
          <w:rFonts w:hint="eastAsia" w:ascii="仿宋" w:hAnsi="仿宋" w:eastAsia="仿宋" w:cs="Times New Roman"/>
          <w:sz w:val="28"/>
          <w:szCs w:val="28"/>
        </w:rPr>
        <w:t>处以上，使大运河、潮白河形成林水相依的生态廊道，构建蓝绿交织、清新明亮</w:t>
      </w:r>
      <w:r>
        <w:rPr>
          <w:rFonts w:ascii="仿宋" w:hAnsi="仿宋" w:eastAsia="仿宋" w:cs="Times New Roman"/>
          <w:sz w:val="28"/>
          <w:szCs w:val="28"/>
        </w:rPr>
        <w:t>、</w:t>
      </w:r>
      <w:r>
        <w:rPr>
          <w:rFonts w:hint="eastAsia" w:ascii="仿宋" w:hAnsi="仿宋" w:eastAsia="仿宋" w:cs="Times New Roman"/>
          <w:sz w:val="28"/>
          <w:szCs w:val="28"/>
        </w:rPr>
        <w:t>水城共融、</w:t>
      </w:r>
      <w:r>
        <w:rPr>
          <w:rFonts w:ascii="仿宋" w:hAnsi="仿宋" w:eastAsia="仿宋" w:cs="Times New Roman"/>
          <w:sz w:val="28"/>
          <w:szCs w:val="28"/>
        </w:rPr>
        <w:t>多组团</w:t>
      </w:r>
      <w:r>
        <w:rPr>
          <w:rFonts w:hint="eastAsia" w:ascii="仿宋" w:hAnsi="仿宋" w:eastAsia="仿宋" w:cs="Times New Roman"/>
          <w:sz w:val="28"/>
          <w:szCs w:val="28"/>
        </w:rPr>
        <w:t>集约</w:t>
      </w:r>
      <w:r>
        <w:rPr>
          <w:rFonts w:ascii="仿宋" w:hAnsi="仿宋" w:eastAsia="仿宋" w:cs="Times New Roman"/>
          <w:sz w:val="28"/>
          <w:szCs w:val="28"/>
        </w:rPr>
        <w:t>紧凑发展</w:t>
      </w:r>
      <w:r>
        <w:rPr>
          <w:rFonts w:hint="eastAsia" w:ascii="仿宋" w:hAnsi="仿宋" w:eastAsia="仿宋" w:cs="Times New Roman"/>
          <w:sz w:val="28"/>
          <w:szCs w:val="28"/>
        </w:rPr>
        <w:t>的北京城市副中心生态布局。</w:t>
      </w:r>
    </w:p>
    <w:p>
      <w:pPr>
        <w:pStyle w:val="4"/>
        <w:spacing w:before="0" w:after="0" w:line="276" w:lineRule="auto"/>
        <w:rPr>
          <w:rFonts w:ascii="仿宋" w:hAnsi="仿宋" w:eastAsia="仿宋"/>
        </w:rPr>
      </w:pPr>
      <w:bookmarkStart w:id="269" w:name="_Toc27389936"/>
      <w:r>
        <w:rPr>
          <w:rFonts w:ascii="仿宋" w:hAnsi="仿宋" w:eastAsia="仿宋"/>
        </w:rPr>
        <w:t>4</w:t>
      </w:r>
      <w:r>
        <w:rPr>
          <w:rFonts w:hint="eastAsia" w:ascii="仿宋" w:hAnsi="仿宋" w:eastAsia="仿宋"/>
        </w:rPr>
        <w:t>.顺义片林组团</w:t>
      </w:r>
      <w:bookmarkEnd w:id="269"/>
    </w:p>
    <w:p>
      <w:pPr>
        <w:spacing w:line="360"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在顺义区，以及顺义区与密云区交界区域，沿潮白河，扩增现有的片林，建设万亩片林8处以上，优化北京东北部平原区生态安全格局，林水相依养护潮白河。</w:t>
      </w:r>
    </w:p>
    <w:p>
      <w:pPr>
        <w:pStyle w:val="4"/>
        <w:spacing w:before="0" w:after="0" w:line="276" w:lineRule="auto"/>
        <w:rPr>
          <w:rFonts w:ascii="仿宋" w:hAnsi="仿宋" w:eastAsia="仿宋"/>
        </w:rPr>
      </w:pPr>
      <w:bookmarkStart w:id="270" w:name="_Toc27389937"/>
      <w:r>
        <w:rPr>
          <w:rFonts w:ascii="仿宋" w:hAnsi="仿宋" w:eastAsia="仿宋"/>
        </w:rPr>
        <w:t>5</w:t>
      </w:r>
      <w:r>
        <w:rPr>
          <w:rFonts w:hint="eastAsia" w:ascii="仿宋" w:hAnsi="仿宋" w:eastAsia="仿宋"/>
        </w:rPr>
        <w:t>.昌平片林组团</w:t>
      </w:r>
      <w:bookmarkEnd w:id="270"/>
    </w:p>
    <w:p>
      <w:pPr>
        <w:spacing w:line="360"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在昌平区，沿着河流水系扩增现有的片林，建设万亩片林6处以上，扩大西北部平原区森林湿地空间，增加雨洪蓄存和地下水补给空间，在北京市山地与平原地区形成良好的生态缓冲。</w:t>
      </w:r>
    </w:p>
    <w:p>
      <w:pPr>
        <w:spacing w:line="360" w:lineRule="auto"/>
        <w:ind w:firstLine="560" w:firstLineChars="200"/>
        <w:rPr>
          <w:sz w:val="28"/>
          <w:szCs w:val="28"/>
        </w:rPr>
      </w:pPr>
      <w:r>
        <w:rPr>
          <w:rFonts w:ascii="仿宋" w:hAnsi="仿宋" w:eastAsia="仿宋" w:cs="Times New Roman"/>
          <w:sz w:val="28"/>
          <w:szCs w:val="28"/>
        </w:rPr>
        <w:t>北京市平原造林突出乡土、长寿、抗逆、食源、景观等各类树种科学配置，如</w:t>
      </w:r>
      <w:r>
        <w:rPr>
          <w:rFonts w:hint="eastAsia" w:ascii="仿宋" w:hAnsi="仿宋" w:eastAsia="仿宋" w:cs="Times New Roman"/>
          <w:sz w:val="28"/>
          <w:szCs w:val="28"/>
        </w:rPr>
        <w:t>华山松、白皮松、</w:t>
      </w:r>
      <w:r>
        <w:rPr>
          <w:rFonts w:ascii="仿宋" w:hAnsi="仿宋" w:eastAsia="仿宋" w:cs="Times New Roman"/>
          <w:sz w:val="28"/>
          <w:szCs w:val="28"/>
        </w:rPr>
        <w:t>侧柏、油松、国槐、</w:t>
      </w:r>
      <w:r>
        <w:rPr>
          <w:rFonts w:hint="eastAsia" w:ascii="仿宋" w:hAnsi="仿宋" w:eastAsia="仿宋" w:cs="Times New Roman"/>
          <w:sz w:val="28"/>
          <w:szCs w:val="28"/>
        </w:rPr>
        <w:t>银杏、</w:t>
      </w:r>
      <w:r>
        <w:rPr>
          <w:rFonts w:ascii="仿宋" w:hAnsi="仿宋" w:eastAsia="仿宋" w:cs="Times New Roman"/>
          <w:sz w:val="28"/>
          <w:szCs w:val="28"/>
        </w:rPr>
        <w:t>栾树、臭椿、榆树、</w:t>
      </w:r>
      <w:r>
        <w:rPr>
          <w:rFonts w:hint="eastAsia" w:ascii="仿宋" w:hAnsi="仿宋" w:eastAsia="仿宋" w:cs="Times New Roman"/>
          <w:sz w:val="28"/>
          <w:szCs w:val="28"/>
        </w:rPr>
        <w:t>核桃、</w:t>
      </w:r>
      <w:r>
        <w:rPr>
          <w:rFonts w:ascii="仿宋" w:hAnsi="仿宋" w:eastAsia="仿宋" w:cs="Times New Roman"/>
          <w:sz w:val="28"/>
          <w:szCs w:val="28"/>
        </w:rPr>
        <w:t>元宝枫、旱柳、楸树、大叶白蜡等乡土树种，适当配置适宜的引进树种增彩延绿，多培育</w:t>
      </w:r>
      <w:r>
        <w:rPr>
          <w:rFonts w:hint="eastAsia" w:ascii="仿宋" w:hAnsi="仿宋" w:eastAsia="仿宋" w:cs="Times New Roman"/>
          <w:sz w:val="28"/>
          <w:szCs w:val="28"/>
        </w:rPr>
        <w:t>“</w:t>
      </w:r>
      <w:r>
        <w:rPr>
          <w:rFonts w:ascii="仿宋" w:hAnsi="仿宋" w:eastAsia="仿宋" w:cs="Times New Roman"/>
          <w:sz w:val="28"/>
          <w:szCs w:val="28"/>
        </w:rPr>
        <w:t>混交、复层、异龄</w:t>
      </w:r>
      <w:r>
        <w:rPr>
          <w:rFonts w:hint="eastAsia" w:ascii="仿宋" w:hAnsi="仿宋" w:eastAsia="仿宋" w:cs="Times New Roman"/>
          <w:sz w:val="28"/>
          <w:szCs w:val="28"/>
        </w:rPr>
        <w:t>”</w:t>
      </w:r>
      <w:r>
        <w:rPr>
          <w:rFonts w:ascii="仿宋" w:hAnsi="仿宋" w:eastAsia="仿宋" w:cs="Times New Roman"/>
          <w:sz w:val="28"/>
          <w:szCs w:val="28"/>
        </w:rPr>
        <w:t>的地带性近自然森林群落，为鸟类、野生动物提供食源和栖息地，努力构建</w:t>
      </w:r>
      <w:r>
        <w:rPr>
          <w:rFonts w:hint="eastAsia" w:ascii="仿宋" w:hAnsi="仿宋" w:eastAsia="仿宋" w:cs="Times New Roman"/>
          <w:sz w:val="28"/>
          <w:szCs w:val="28"/>
        </w:rPr>
        <w:t>高质量</w:t>
      </w:r>
      <w:r>
        <w:rPr>
          <w:rFonts w:ascii="仿宋" w:hAnsi="仿宋" w:eastAsia="仿宋" w:cs="Times New Roman"/>
          <w:sz w:val="28"/>
          <w:szCs w:val="28"/>
        </w:rPr>
        <w:t>的城市森林生态体系，为建设众多的郊野公园、森林公园和湿地公园等近郊生态休闲场所打下坚实的生态基础。</w:t>
      </w:r>
    </w:p>
    <w:p>
      <w:pPr>
        <w:pStyle w:val="3"/>
        <w:spacing w:before="217" w:after="217"/>
        <w:jc w:val="left"/>
        <w:rPr>
          <w:rFonts w:ascii="黑体" w:hAnsi="黑体" w:eastAsia="黑体" w:cs="Times New Roman"/>
          <w:b w:val="0"/>
          <w:bCs w:val="0"/>
        </w:rPr>
      </w:pPr>
      <w:bookmarkStart w:id="271" w:name="_Toc27389938"/>
      <w:bookmarkStart w:id="272" w:name="_Toc528968892"/>
      <w:bookmarkStart w:id="273" w:name="_Toc530649028"/>
      <w:r>
        <w:rPr>
          <w:rFonts w:hint="eastAsia" w:ascii="黑体" w:hAnsi="黑体" w:eastAsia="黑体" w:cs="Times New Roman"/>
          <w:b w:val="0"/>
          <w:bCs w:val="0"/>
        </w:rPr>
        <w:t>四、骨干生态廊道</w:t>
      </w:r>
      <w:bookmarkEnd w:id="271"/>
      <w:bookmarkEnd w:id="272"/>
      <w:bookmarkEnd w:id="273"/>
    </w:p>
    <w:p>
      <w:pPr>
        <w:spacing w:before="217" w:after="217" w:line="264"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（一）建设目标</w:t>
      </w:r>
    </w:p>
    <w:p>
      <w:pPr>
        <w:spacing w:line="276" w:lineRule="auto"/>
        <w:ind w:firstLine="560" w:firstLineChars="200"/>
        <w:rPr>
          <w:rFonts w:ascii="仿宋" w:hAnsi="仿宋" w:eastAsia="仿宋"/>
          <w:sz w:val="28"/>
          <w:szCs w:val="28"/>
        </w:rPr>
      </w:pPr>
      <w:r>
        <w:rPr>
          <w:rFonts w:hint="eastAsia" w:ascii="仿宋" w:hAnsi="仿宋" w:eastAsia="仿宋"/>
          <w:sz w:val="28"/>
          <w:szCs w:val="28"/>
        </w:rPr>
        <w:t>在北京市“五河十路”和平原造林“多廊”的基础上，建立覆盖北京市域的骨干生态廊道网络，以城市主干道等重点交通要道、区域性河流水系为基本构架，使中心城区与外围新城之间保持1条以上的重点生态廊道；加强小尺度森林斑块之间的生态廊道建设，增强连通性，并针对生态廊道周边存在的森林断点区域进行重点建设，将分散绿地串联起来，将新旧绿地连通起来。此外，从廊道宽度、廊道构成、廊道形态等方面入手，加强生态廊道的质量提升，增强廊道的生态稳定性。重点建设平原区（包括新建与改造提升）生态廊道25条。该工程有利于落实新总规中 “一屏、三环、五河</w:t>
      </w:r>
      <w:r>
        <w:rPr>
          <w:rFonts w:hint="eastAsia" w:ascii="仿宋" w:hAnsi="仿宋" w:eastAsia="仿宋"/>
          <w:color w:val="000000" w:themeColor="text1"/>
          <w:sz w:val="28"/>
          <w:szCs w:val="28"/>
          <w14:textFill>
            <w14:solidFill>
              <w14:schemeClr w14:val="tx1"/>
            </w14:solidFill>
          </w14:textFill>
        </w:rPr>
        <w:t>、九楔”</w:t>
      </w:r>
      <w:r>
        <w:rPr>
          <w:rFonts w:hint="eastAsia" w:ascii="仿宋" w:hAnsi="仿宋" w:eastAsia="仿宋"/>
          <w:sz w:val="28"/>
          <w:szCs w:val="28"/>
        </w:rPr>
        <w:t>的市域绿色空间结构，健全市域绿色空间体系。</w:t>
      </w:r>
    </w:p>
    <w:p>
      <w:pPr>
        <w:spacing w:line="360" w:lineRule="auto"/>
        <w:jc w:val="center"/>
        <w:rPr>
          <w:rFonts w:ascii="仿宋" w:hAnsi="仿宋" w:eastAsia="仿宋" w:cs="Times New Roman"/>
          <w:b/>
          <w:sz w:val="24"/>
        </w:rPr>
      </w:pPr>
      <w:r>
        <w:rPr>
          <w:rFonts w:ascii="仿宋" w:hAnsi="仿宋" w:eastAsia="仿宋" w:cs="Times New Roman"/>
          <w:b/>
          <w:sz w:val="24"/>
        </w:rPr>
        <w:drawing>
          <wp:inline distT="0" distB="0" distL="0" distR="0">
            <wp:extent cx="3973830" cy="3973830"/>
            <wp:effectExtent l="0" t="0" r="7620" b="7620"/>
            <wp:docPr id="25"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true" noChangeArrowheads="true"/>
                    </pic:cNvPicPr>
                  </pic:nvPicPr>
                  <pic:blipFill>
                    <a:blip r:embed="rId38" cstate="print"/>
                    <a:stretch>
                      <a:fillRect/>
                    </a:stretch>
                  </pic:blipFill>
                  <pic:spPr>
                    <a:xfrm>
                      <a:off x="0" y="0"/>
                      <a:ext cx="3977786" cy="3977786"/>
                    </a:xfrm>
                    <a:prstGeom prst="rect">
                      <a:avLst/>
                    </a:prstGeom>
                    <a:noFill/>
                    <a:ln>
                      <a:noFill/>
                    </a:ln>
                  </pic:spPr>
                </pic:pic>
              </a:graphicData>
            </a:graphic>
          </wp:inline>
        </w:drawing>
      </w:r>
    </w:p>
    <w:p>
      <w:pPr>
        <w:spacing w:line="360" w:lineRule="auto"/>
        <w:jc w:val="center"/>
        <w:rPr>
          <w:rFonts w:ascii="仿宋" w:hAnsi="仿宋" w:eastAsia="仿宋" w:cs="Times New Roman"/>
          <w:b/>
          <w:szCs w:val="21"/>
        </w:rPr>
      </w:pPr>
      <w:r>
        <w:rPr>
          <w:rFonts w:hint="eastAsia" w:ascii="仿宋" w:hAnsi="仿宋" w:eastAsia="仿宋" w:cs="Times New Roman"/>
          <w:b/>
          <w:szCs w:val="21"/>
        </w:rPr>
        <w:t>图7</w:t>
      </w:r>
      <w:r>
        <w:rPr>
          <w:rFonts w:ascii="仿宋" w:hAnsi="仿宋" w:eastAsia="仿宋" w:cs="Times New Roman"/>
          <w:b/>
          <w:szCs w:val="21"/>
        </w:rPr>
        <w:t xml:space="preserve">-1 </w:t>
      </w:r>
      <w:r>
        <w:rPr>
          <w:rFonts w:hint="eastAsia" w:ascii="仿宋" w:hAnsi="仿宋" w:eastAsia="仿宋" w:cs="Times New Roman"/>
          <w:b/>
          <w:szCs w:val="21"/>
        </w:rPr>
        <w:t>北京平原区主要生态廊道建设分布示意图</w:t>
      </w:r>
    </w:p>
    <w:p>
      <w:pPr>
        <w:spacing w:before="217" w:after="217" w:line="264"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（二）建设内容</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城市的城间（主要指中心城区的外围区）绿色廊道主要以城市环路、对外交通道路以及主要河流为骨架，建设中兼顾城市发展与生物多样性保护，选取50-200米的廊道宽度；中心城区外围生态廊道主要以城市主干道和现状水系为骨架，建设中主要考虑创造丰富的自然生境，结合现状分散的森林斑块建设100-500米的廊道宽度；靠近山区的郊区和乡村地段，根据现状水系与山脉，建设200-1000米的生态廊道，保证形成稳定的廊道生境。</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在骨干生态廊道的建设中，注重选择耐旱节水型的乡土树种，通过增加中下层植物，丰富廊道内现有的群落结构，增加群落层次，提高群落稳定性。此外，还应考虑鸟类、蝶类、蜜蜂等动物的生活习性，在生态廊道中营造动物的生境，为动物创造连续的食物链，如考虑种植果实丰富的柿树、枣树、海棠等树种。</w:t>
      </w:r>
    </w:p>
    <w:p>
      <w:pPr>
        <w:pStyle w:val="4"/>
        <w:spacing w:before="0" w:after="0" w:line="276" w:lineRule="auto"/>
        <w:rPr>
          <w:rFonts w:ascii="仿宋" w:hAnsi="仿宋" w:eastAsia="仿宋"/>
        </w:rPr>
      </w:pPr>
      <w:bookmarkStart w:id="274" w:name="_Toc529001524"/>
      <w:bookmarkStart w:id="275" w:name="_Toc530649029"/>
      <w:bookmarkStart w:id="276" w:name="_Toc27389939"/>
      <w:r>
        <w:rPr>
          <w:rFonts w:ascii="仿宋" w:hAnsi="仿宋" w:eastAsia="仿宋"/>
        </w:rPr>
        <w:t>1</w:t>
      </w:r>
      <w:r>
        <w:rPr>
          <w:rFonts w:hint="eastAsia" w:ascii="仿宋" w:hAnsi="仿宋" w:eastAsia="仿宋"/>
        </w:rPr>
        <w:t>.城间</w:t>
      </w:r>
      <w:bookmarkEnd w:id="274"/>
      <w:r>
        <w:rPr>
          <w:rFonts w:hint="eastAsia" w:ascii="仿宋" w:hAnsi="仿宋" w:eastAsia="仿宋"/>
        </w:rPr>
        <w:t>森林廊道</w:t>
      </w:r>
      <w:bookmarkEnd w:id="275"/>
      <w:bookmarkEnd w:id="276"/>
    </w:p>
    <w:p>
      <w:pPr>
        <w:spacing w:line="360" w:lineRule="auto"/>
        <w:ind w:firstLine="560" w:firstLineChars="200"/>
        <w:rPr>
          <w:rFonts w:ascii="仿宋" w:hAnsi="仿宋" w:eastAsia="仿宋"/>
          <w:sz w:val="28"/>
          <w:szCs w:val="28"/>
        </w:rPr>
      </w:pPr>
      <w:r>
        <w:rPr>
          <w:rFonts w:hint="eastAsia" w:ascii="仿宋" w:hAnsi="仿宋" w:eastAsia="仿宋"/>
          <w:sz w:val="28"/>
          <w:szCs w:val="28"/>
        </w:rPr>
        <w:t>在五河十路绿色通道、平原造林工程多廊的建设基础上，以城市交通干道为基础，依托现有的沿线森林斑块，在</w:t>
      </w:r>
      <w:r>
        <w:rPr>
          <w:rFonts w:hint="eastAsia" w:ascii="仿宋" w:hAnsi="仿宋" w:eastAsia="仿宋"/>
          <w:b/>
          <w:sz w:val="28"/>
          <w:szCs w:val="28"/>
        </w:rPr>
        <w:t>密云区</w:t>
      </w:r>
      <w:r>
        <w:rPr>
          <w:rFonts w:hint="eastAsia" w:ascii="仿宋" w:hAnsi="仿宋" w:eastAsia="仿宋"/>
          <w:sz w:val="28"/>
          <w:szCs w:val="28"/>
        </w:rPr>
        <w:t>的京密路、京承高速，</w:t>
      </w:r>
      <w:r>
        <w:rPr>
          <w:rFonts w:hint="eastAsia" w:ascii="仿宋" w:hAnsi="仿宋" w:eastAsia="仿宋"/>
          <w:b/>
          <w:sz w:val="28"/>
          <w:szCs w:val="28"/>
        </w:rPr>
        <w:t>平谷与顺义</w:t>
      </w:r>
      <w:r>
        <w:rPr>
          <w:rFonts w:hint="eastAsia" w:ascii="仿宋" w:hAnsi="仿宋" w:eastAsia="仿宋"/>
          <w:sz w:val="28"/>
          <w:szCs w:val="28"/>
        </w:rPr>
        <w:t>的昌金路、京平高速，</w:t>
      </w:r>
      <w:r>
        <w:rPr>
          <w:rFonts w:hint="eastAsia" w:ascii="仿宋" w:hAnsi="仿宋" w:eastAsia="仿宋"/>
          <w:b/>
          <w:sz w:val="28"/>
          <w:szCs w:val="28"/>
        </w:rPr>
        <w:t>通州</w:t>
      </w:r>
      <w:r>
        <w:rPr>
          <w:rFonts w:hint="eastAsia" w:ascii="仿宋" w:hAnsi="仿宋" w:eastAsia="仿宋"/>
          <w:sz w:val="28"/>
          <w:szCs w:val="28"/>
        </w:rPr>
        <w:t>的京沈高速、京津塘高速、京沪高速，</w:t>
      </w:r>
      <w:r>
        <w:rPr>
          <w:rFonts w:hint="eastAsia" w:ascii="仿宋" w:hAnsi="仿宋" w:eastAsia="仿宋"/>
          <w:b/>
          <w:sz w:val="28"/>
          <w:szCs w:val="28"/>
        </w:rPr>
        <w:t>大兴</w:t>
      </w:r>
      <w:r>
        <w:rPr>
          <w:rFonts w:hint="eastAsia" w:ascii="仿宋" w:hAnsi="仿宋" w:eastAsia="仿宋"/>
          <w:sz w:val="28"/>
          <w:szCs w:val="28"/>
        </w:rPr>
        <w:t>的京福路、京沪高铁、京开高速，</w:t>
      </w:r>
      <w:r>
        <w:rPr>
          <w:rFonts w:hint="eastAsia" w:ascii="仿宋" w:hAnsi="仿宋" w:eastAsia="仿宋"/>
          <w:b/>
          <w:sz w:val="28"/>
          <w:szCs w:val="28"/>
        </w:rPr>
        <w:t>房山</w:t>
      </w:r>
      <w:r>
        <w:rPr>
          <w:rFonts w:hint="eastAsia" w:ascii="仿宋" w:hAnsi="仿宋" w:eastAsia="仿宋"/>
          <w:sz w:val="28"/>
          <w:szCs w:val="28"/>
        </w:rPr>
        <w:t>的京昆高速，</w:t>
      </w:r>
      <w:r>
        <w:rPr>
          <w:rFonts w:hint="eastAsia" w:ascii="仿宋" w:hAnsi="仿宋" w:eastAsia="仿宋"/>
          <w:b/>
          <w:sz w:val="28"/>
          <w:szCs w:val="28"/>
        </w:rPr>
        <w:t>门头沟</w:t>
      </w:r>
      <w:r>
        <w:rPr>
          <w:rFonts w:hint="eastAsia" w:ascii="仿宋" w:hAnsi="仿宋" w:eastAsia="仿宋"/>
          <w:sz w:val="28"/>
          <w:szCs w:val="28"/>
        </w:rPr>
        <w:t>的青千路，贯穿</w:t>
      </w:r>
      <w:r>
        <w:rPr>
          <w:rFonts w:hint="eastAsia" w:ascii="仿宋" w:hAnsi="仿宋" w:eastAsia="仿宋"/>
          <w:b/>
          <w:sz w:val="28"/>
          <w:szCs w:val="28"/>
        </w:rPr>
        <w:t>延庆与昌平</w:t>
      </w:r>
      <w:r>
        <w:rPr>
          <w:rFonts w:hint="eastAsia" w:ascii="仿宋" w:hAnsi="仿宋" w:eastAsia="仿宋"/>
          <w:sz w:val="28"/>
          <w:szCs w:val="28"/>
        </w:rPr>
        <w:t>的八达岭高速、大秦铁路，</w:t>
      </w:r>
      <w:r>
        <w:rPr>
          <w:rFonts w:hint="eastAsia" w:ascii="仿宋" w:hAnsi="仿宋" w:eastAsia="仿宋"/>
          <w:b/>
          <w:sz w:val="28"/>
          <w:szCs w:val="28"/>
        </w:rPr>
        <w:t>怀柔</w:t>
      </w:r>
      <w:r>
        <w:rPr>
          <w:rFonts w:hint="eastAsia" w:ascii="仿宋" w:hAnsi="仿宋" w:eastAsia="仿宋"/>
          <w:sz w:val="28"/>
          <w:szCs w:val="28"/>
        </w:rPr>
        <w:t>的安四路两侧，建设1</w:t>
      </w:r>
      <w:r>
        <w:rPr>
          <w:rFonts w:ascii="仿宋" w:hAnsi="仿宋" w:eastAsia="仿宋"/>
          <w:sz w:val="28"/>
          <w:szCs w:val="28"/>
        </w:rPr>
        <w:t>5</w:t>
      </w:r>
      <w:r>
        <w:rPr>
          <w:rFonts w:hint="eastAsia" w:ascii="仿宋" w:hAnsi="仿宋" w:eastAsia="仿宋"/>
          <w:sz w:val="28"/>
          <w:szCs w:val="28"/>
        </w:rPr>
        <w:t>条城间绿色廊道。城市间生态廊道的建设主要通过对道路景观绿化带改造提升，在保证道路两侧森林植被总量的前提下，营造层次丰富、景观多样的道路森林景观，丰富植物品种和色彩，充分发挥森林廊道的生态和景观功能。</w:t>
      </w:r>
    </w:p>
    <w:p>
      <w:pPr>
        <w:pStyle w:val="4"/>
        <w:spacing w:before="0" w:after="0" w:line="276" w:lineRule="auto"/>
        <w:rPr>
          <w:rFonts w:ascii="仿宋" w:hAnsi="仿宋" w:eastAsia="仿宋"/>
        </w:rPr>
      </w:pPr>
      <w:bookmarkStart w:id="277" w:name="_Toc529001525"/>
      <w:bookmarkStart w:id="278" w:name="_Toc530649030"/>
      <w:bookmarkStart w:id="279" w:name="_Toc27389940"/>
      <w:r>
        <w:rPr>
          <w:rFonts w:ascii="仿宋" w:hAnsi="仿宋" w:eastAsia="仿宋"/>
        </w:rPr>
        <w:t>2</w:t>
      </w:r>
      <w:r>
        <w:rPr>
          <w:rFonts w:hint="eastAsia" w:ascii="仿宋" w:hAnsi="仿宋" w:eastAsia="仿宋"/>
        </w:rPr>
        <w:t>.市域生态廊道</w:t>
      </w:r>
      <w:bookmarkEnd w:id="277"/>
      <w:bookmarkEnd w:id="278"/>
      <w:bookmarkEnd w:id="279"/>
    </w:p>
    <w:p>
      <w:pPr>
        <w:spacing w:line="360" w:lineRule="auto"/>
        <w:ind w:firstLine="560" w:firstLineChars="200"/>
        <w:rPr>
          <w:rFonts w:ascii="仿宋" w:hAnsi="仿宋" w:eastAsia="仿宋"/>
          <w:kern w:val="0"/>
          <w:sz w:val="28"/>
          <w:szCs w:val="28"/>
        </w:rPr>
      </w:pPr>
      <w:r>
        <w:rPr>
          <w:rFonts w:hint="eastAsia" w:ascii="仿宋" w:hAnsi="仿宋" w:eastAsia="仿宋"/>
          <w:kern w:val="0"/>
          <w:sz w:val="28"/>
          <w:szCs w:val="28"/>
        </w:rPr>
        <w:t>市域生态廊道建设主要以河流网络为骨架，注重廊道的生态功能（如为城市动物提供迁徙、觅食等生态活动场所，净化水质等功能）。</w:t>
      </w:r>
    </w:p>
    <w:p>
      <w:pPr>
        <w:spacing w:line="360" w:lineRule="auto"/>
        <w:ind w:firstLine="560" w:firstLineChars="200"/>
        <w:rPr>
          <w:rFonts w:ascii="仿宋" w:hAnsi="仿宋" w:eastAsia="仿宋"/>
          <w:kern w:val="0"/>
          <w:sz w:val="28"/>
          <w:szCs w:val="28"/>
        </w:rPr>
      </w:pPr>
      <w:r>
        <w:rPr>
          <w:rFonts w:hint="eastAsia" w:ascii="仿宋" w:hAnsi="仿宋" w:eastAsia="仿宋"/>
          <w:b/>
          <w:kern w:val="0"/>
          <w:sz w:val="28"/>
          <w:szCs w:val="28"/>
        </w:rPr>
        <w:t>（1）山地生态廊道。</w:t>
      </w:r>
      <w:r>
        <w:rPr>
          <w:rFonts w:hint="eastAsia" w:ascii="仿宋" w:hAnsi="仿宋" w:eastAsia="仿宋"/>
          <w:kern w:val="0"/>
          <w:sz w:val="28"/>
          <w:szCs w:val="28"/>
        </w:rPr>
        <w:t>依托西山、太行山山脉建设自然生态廊道，在高速公路、铁路等重点断点区，规划建设生态廊桥。</w:t>
      </w:r>
    </w:p>
    <w:p>
      <w:pPr>
        <w:spacing w:line="360" w:lineRule="auto"/>
        <w:ind w:firstLine="560" w:firstLineChars="200"/>
        <w:rPr>
          <w:rFonts w:ascii="仿宋" w:hAnsi="仿宋" w:eastAsia="仿宋"/>
          <w:kern w:val="0"/>
          <w:sz w:val="28"/>
          <w:szCs w:val="28"/>
        </w:rPr>
      </w:pPr>
      <w:r>
        <w:rPr>
          <w:rFonts w:hint="eastAsia" w:ascii="仿宋" w:hAnsi="仿宋" w:eastAsia="仿宋"/>
          <w:b/>
          <w:kern w:val="0"/>
          <w:sz w:val="28"/>
          <w:szCs w:val="28"/>
        </w:rPr>
        <w:t>（2）环城生态廊道。</w:t>
      </w:r>
      <w:r>
        <w:rPr>
          <w:rFonts w:hint="eastAsia" w:ascii="仿宋" w:hAnsi="仿宋" w:eastAsia="仿宋"/>
          <w:kern w:val="0"/>
          <w:sz w:val="28"/>
          <w:szCs w:val="28"/>
        </w:rPr>
        <w:t>继续推进一道、二道绿化隔离带建设，近自然管护周围现存的森林绿地斑块，不断挖掘现有土地的绿化潜力拓展森林空间，以保证形成稳定的内部生境，为大型动物提供足够的栖息地。</w:t>
      </w:r>
    </w:p>
    <w:p>
      <w:pPr>
        <w:spacing w:line="360" w:lineRule="auto"/>
        <w:ind w:firstLine="560" w:firstLineChars="200"/>
        <w:rPr>
          <w:rFonts w:ascii="仿宋" w:hAnsi="仿宋" w:eastAsia="仿宋"/>
          <w:kern w:val="0"/>
          <w:sz w:val="28"/>
          <w:szCs w:val="28"/>
        </w:rPr>
      </w:pPr>
      <w:r>
        <w:rPr>
          <w:rFonts w:hint="eastAsia" w:ascii="仿宋" w:hAnsi="仿宋" w:eastAsia="仿宋"/>
          <w:b/>
          <w:kern w:val="0"/>
          <w:sz w:val="28"/>
          <w:szCs w:val="28"/>
        </w:rPr>
        <w:t>（3）河流生态廊道。</w:t>
      </w:r>
      <w:r>
        <w:rPr>
          <w:rFonts w:hint="eastAsia" w:ascii="仿宋" w:hAnsi="仿宋" w:eastAsia="仿宋"/>
          <w:kern w:val="0"/>
          <w:sz w:val="28"/>
          <w:szCs w:val="28"/>
        </w:rPr>
        <w:t>以北京五大水系为主体，结合平原区的沙河、凉水河、清河、通惠河、大石河等8条水系形成覆盖全域的河流生态廊道网络。结合原有的河岸林带建设，在</w:t>
      </w:r>
      <w:r>
        <w:rPr>
          <w:rFonts w:ascii="仿宋" w:hAnsi="仿宋" w:eastAsia="仿宋"/>
          <w:kern w:val="0"/>
          <w:sz w:val="28"/>
          <w:szCs w:val="28"/>
        </w:rPr>
        <w:t>8</w:t>
      </w:r>
      <w:r>
        <w:rPr>
          <w:rFonts w:hint="eastAsia" w:ascii="仿宋" w:hAnsi="仿宋" w:eastAsia="仿宋"/>
          <w:kern w:val="0"/>
          <w:sz w:val="28"/>
          <w:szCs w:val="28"/>
        </w:rPr>
        <w:t>条河流水系两侧200</w:t>
      </w:r>
      <w:r>
        <w:rPr>
          <w:rFonts w:ascii="仿宋" w:hAnsi="仿宋" w:eastAsia="仿宋"/>
          <w:kern w:val="0"/>
          <w:sz w:val="28"/>
          <w:szCs w:val="28"/>
        </w:rPr>
        <w:t>-500</w:t>
      </w:r>
      <w:r>
        <w:rPr>
          <w:rFonts w:hint="eastAsia" w:ascii="仿宋" w:hAnsi="仿宋" w:eastAsia="仿宋"/>
          <w:kern w:val="0"/>
          <w:sz w:val="28"/>
          <w:szCs w:val="28"/>
        </w:rPr>
        <w:t>米范围内，保留两岸的原始植被，注重水岸的自然化与森林化，在整体上维持好河流的原始自然弯曲度，维持河流原有的岸线，并定期检查维护原始植被及新造森林的健康状况。</w:t>
      </w:r>
    </w:p>
    <w:p>
      <w:pPr>
        <w:pStyle w:val="3"/>
        <w:spacing w:before="217" w:after="217"/>
        <w:jc w:val="left"/>
        <w:rPr>
          <w:rFonts w:ascii="黑体" w:hAnsi="黑体" w:eastAsia="黑体" w:cs="Times New Roman"/>
          <w:b w:val="0"/>
          <w:bCs w:val="0"/>
        </w:rPr>
      </w:pPr>
      <w:bookmarkStart w:id="280" w:name="_Toc27389941"/>
      <w:bookmarkStart w:id="281" w:name="_Toc530649031"/>
      <w:bookmarkStart w:id="282" w:name="_Toc528968895"/>
      <w:r>
        <w:rPr>
          <w:rFonts w:hint="eastAsia" w:ascii="黑体" w:hAnsi="黑体" w:eastAsia="黑体" w:cs="Times New Roman"/>
          <w:b w:val="0"/>
          <w:bCs w:val="0"/>
        </w:rPr>
        <w:t>五、乡村聚落森林</w:t>
      </w:r>
      <w:bookmarkEnd w:id="280"/>
      <w:bookmarkEnd w:id="281"/>
      <w:bookmarkEnd w:id="282"/>
    </w:p>
    <w:p>
      <w:pPr>
        <w:spacing w:before="217" w:after="217" w:line="276"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（一）建设目标</w:t>
      </w:r>
    </w:p>
    <w:p>
      <w:pPr>
        <w:spacing w:line="276" w:lineRule="auto"/>
        <w:ind w:firstLine="560" w:firstLineChars="200"/>
        <w:rPr>
          <w:rFonts w:ascii="仿宋" w:hAnsi="仿宋" w:eastAsia="仿宋"/>
          <w:sz w:val="28"/>
          <w:szCs w:val="28"/>
        </w:rPr>
      </w:pPr>
      <w:r>
        <w:rPr>
          <w:rFonts w:hint="eastAsia" w:ascii="仿宋" w:hAnsi="仿宋" w:eastAsia="仿宋"/>
          <w:sz w:val="28"/>
          <w:szCs w:val="28"/>
        </w:rPr>
        <w:t>大力实施村镇绿化工作，建设“村在林中、路在绿中、房在园中、人在景中”的乡村绿化景观，重点开展围村片林、村庄公共休闲绿地、绿荫村路，以及森林小镇、森林村庄示范建设等项目，实现村庄居住区林木绿化率提升，村旁、路旁、水旁、宅旁充分绿化美化，每个乡镇至少建1处休闲公园，每个村庄建1处公共休闲绿地，村镇自然景观风貌优美。该工程紧密结合乡村振兴战略，大力推进乡村绿化美化建设，有利于补齐北京生态建设的乡村短板，使北京韵味的乡愁生态景观得到保护和延续。</w:t>
      </w:r>
    </w:p>
    <w:p>
      <w:pPr>
        <w:spacing w:line="276" w:lineRule="auto"/>
        <w:ind w:firstLine="560" w:firstLineChars="200"/>
        <w:rPr>
          <w:rFonts w:ascii="仿宋" w:hAnsi="仿宋" w:eastAsia="仿宋"/>
          <w:sz w:val="28"/>
          <w:szCs w:val="28"/>
        </w:rPr>
      </w:pPr>
      <w:r>
        <w:rPr>
          <w:rFonts w:hint="eastAsia" w:ascii="仿宋" w:hAnsi="仿宋" w:eastAsia="仿宋"/>
          <w:sz w:val="28"/>
          <w:szCs w:val="28"/>
        </w:rPr>
        <w:t>将山区乡村森林景观建设成：青山环抱、依山傍水；村庄主路两侧绿荫掩映，乡土树木多姿多彩、种类丰富、疏密有致；胡同小巷曲折纵横，大树古树点缀其间；一村一处大树成荫的休闲空间；宅院内外藤架绿墙、花果飘香。</w:t>
      </w:r>
    </w:p>
    <w:p>
      <w:pPr>
        <w:spacing w:line="276" w:lineRule="auto"/>
        <w:ind w:firstLine="560" w:firstLineChars="200"/>
        <w:rPr>
          <w:rFonts w:ascii="仿宋" w:hAnsi="仿宋" w:eastAsia="仿宋"/>
          <w:sz w:val="28"/>
          <w:szCs w:val="28"/>
        </w:rPr>
      </w:pPr>
      <w:r>
        <w:rPr>
          <w:rFonts w:hint="eastAsia" w:ascii="仿宋" w:hAnsi="仿宋" w:eastAsia="仿宋"/>
          <w:sz w:val="28"/>
          <w:szCs w:val="28"/>
        </w:rPr>
        <w:t>将平原区乡村森林景观建设成：依托自然景观形成柔和的景观边界，用林木柔化人工景观的痕迹；村庄、民居、农田周边均种植林木，形成一定围合空间，打造良好自然景观环境，有效庇护村民的生产、生活环境；使用乡土树种营造春华秋实、富于变化的季相景观。</w:t>
      </w:r>
    </w:p>
    <w:p>
      <w:pPr>
        <w:spacing w:before="217" w:after="217" w:line="276"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（二）建设内容</w:t>
      </w:r>
    </w:p>
    <w:p>
      <w:pPr>
        <w:pStyle w:val="4"/>
        <w:spacing w:before="0" w:after="0" w:line="276" w:lineRule="auto"/>
        <w:rPr>
          <w:rFonts w:ascii="仿宋" w:hAnsi="仿宋" w:eastAsia="仿宋"/>
        </w:rPr>
      </w:pPr>
      <w:bookmarkStart w:id="283" w:name="_Toc530649032"/>
      <w:bookmarkStart w:id="284" w:name="_Toc528968896"/>
      <w:bookmarkStart w:id="285" w:name="_Toc27389942"/>
      <w:r>
        <w:rPr>
          <w:rFonts w:ascii="仿宋" w:hAnsi="仿宋" w:eastAsia="仿宋"/>
        </w:rPr>
        <w:t>1</w:t>
      </w:r>
      <w:r>
        <w:rPr>
          <w:rFonts w:hint="eastAsia" w:ascii="仿宋" w:hAnsi="仿宋" w:eastAsia="仿宋"/>
        </w:rPr>
        <w:t>.乡村森林景观</w:t>
      </w:r>
      <w:bookmarkEnd w:id="283"/>
      <w:bookmarkEnd w:id="284"/>
      <w:r>
        <w:rPr>
          <w:rFonts w:hint="eastAsia" w:ascii="仿宋" w:hAnsi="仿宋" w:eastAsia="仿宋"/>
        </w:rPr>
        <w:t>提升</w:t>
      </w:r>
      <w:bookmarkEnd w:id="285"/>
    </w:p>
    <w:p>
      <w:pPr>
        <w:spacing w:line="276" w:lineRule="auto"/>
        <w:ind w:firstLine="560" w:firstLineChars="200"/>
        <w:rPr>
          <w:rFonts w:ascii="仿宋" w:hAnsi="仿宋" w:eastAsia="仿宋"/>
          <w:b/>
          <w:sz w:val="28"/>
          <w:szCs w:val="24"/>
        </w:rPr>
      </w:pPr>
      <w:bookmarkStart w:id="286" w:name="_Toc528968897"/>
      <w:bookmarkStart w:id="287" w:name="_Toc530649033"/>
      <w:r>
        <w:rPr>
          <w:rFonts w:hint="eastAsia" w:ascii="仿宋" w:hAnsi="仿宋" w:eastAsia="仿宋"/>
          <w:b/>
          <w:sz w:val="28"/>
          <w:szCs w:val="24"/>
        </w:rPr>
        <w:t>（1）庭院</w:t>
      </w:r>
      <w:bookmarkEnd w:id="286"/>
      <w:r>
        <w:rPr>
          <w:rFonts w:hint="eastAsia" w:ascii="仿宋" w:hAnsi="仿宋" w:eastAsia="仿宋"/>
          <w:b/>
          <w:sz w:val="28"/>
          <w:szCs w:val="24"/>
        </w:rPr>
        <w:t>林</w:t>
      </w:r>
      <w:bookmarkEnd w:id="287"/>
    </w:p>
    <w:p>
      <w:pPr>
        <w:spacing w:line="276" w:lineRule="auto"/>
        <w:ind w:firstLine="480"/>
        <w:rPr>
          <w:rFonts w:ascii="仿宋" w:hAnsi="仿宋" w:eastAsia="仿宋"/>
          <w:sz w:val="28"/>
          <w:szCs w:val="28"/>
        </w:rPr>
      </w:pPr>
      <w:r>
        <w:rPr>
          <w:rFonts w:hint="eastAsia" w:ascii="仿宋" w:hAnsi="仿宋" w:eastAsia="仿宋"/>
          <w:sz w:val="28"/>
          <w:szCs w:val="28"/>
        </w:rPr>
        <w:t>加强村庄房屋建设和村庄风貌规划管理，保护传统民宅合院格局。倡导墙面、挡土墙、护坡等立体绿化，通过在房前屋后布置适量高大落叶乔木，提高居民点树冠覆盖率和绿量；通过种植花果乔灌木，提升宅院内外绿化景观。</w:t>
      </w:r>
    </w:p>
    <w:p>
      <w:pPr>
        <w:spacing w:line="276" w:lineRule="auto"/>
        <w:ind w:firstLine="560" w:firstLineChars="200"/>
        <w:rPr>
          <w:rFonts w:ascii="仿宋" w:hAnsi="仿宋" w:eastAsia="仿宋"/>
          <w:b/>
          <w:sz w:val="28"/>
          <w:szCs w:val="24"/>
        </w:rPr>
      </w:pPr>
      <w:bookmarkStart w:id="288" w:name="_Toc528968898"/>
      <w:bookmarkStart w:id="289" w:name="_Toc530649034"/>
      <w:r>
        <w:rPr>
          <w:rFonts w:hint="eastAsia" w:ascii="仿宋" w:hAnsi="仿宋" w:eastAsia="仿宋"/>
          <w:b/>
          <w:sz w:val="28"/>
          <w:szCs w:val="24"/>
        </w:rPr>
        <w:t>（2）水岸林</w:t>
      </w:r>
      <w:bookmarkEnd w:id="288"/>
      <w:bookmarkEnd w:id="289"/>
    </w:p>
    <w:p>
      <w:pPr>
        <w:spacing w:line="276" w:lineRule="auto"/>
        <w:ind w:firstLine="480"/>
        <w:rPr>
          <w:rFonts w:ascii="仿宋" w:hAnsi="仿宋" w:eastAsia="仿宋"/>
          <w:sz w:val="28"/>
          <w:szCs w:val="28"/>
        </w:rPr>
      </w:pPr>
      <w:r>
        <w:rPr>
          <w:rFonts w:hint="eastAsia" w:ascii="仿宋" w:hAnsi="仿宋" w:eastAsia="仿宋"/>
          <w:sz w:val="28"/>
          <w:szCs w:val="28"/>
        </w:rPr>
        <w:t>水岸绿化以保护河道生态环境，护堤护岸、保土固沙、净化水质、绿化美化河岸为主要目标。在不影响行洪的情况下，保护自然驳岸和原有河岸植被；水岸绿化树种宜选择耐水湿的杨、柳类为主，水陆过渡带配置湿地植物，增强生态功能。</w:t>
      </w:r>
    </w:p>
    <w:p>
      <w:pPr>
        <w:spacing w:line="276" w:lineRule="auto"/>
        <w:ind w:firstLine="560" w:firstLineChars="200"/>
        <w:rPr>
          <w:rFonts w:ascii="仿宋" w:hAnsi="仿宋" w:eastAsia="仿宋"/>
          <w:b/>
          <w:sz w:val="28"/>
          <w:szCs w:val="24"/>
        </w:rPr>
      </w:pPr>
      <w:bookmarkStart w:id="290" w:name="_Toc530649035"/>
      <w:r>
        <w:rPr>
          <w:rFonts w:hint="eastAsia" w:ascii="仿宋" w:hAnsi="仿宋" w:eastAsia="仿宋"/>
          <w:b/>
          <w:sz w:val="28"/>
          <w:szCs w:val="24"/>
        </w:rPr>
        <w:t>（3）道路林</w:t>
      </w:r>
      <w:bookmarkEnd w:id="290"/>
    </w:p>
    <w:p>
      <w:pPr>
        <w:spacing w:line="276" w:lineRule="auto"/>
        <w:ind w:firstLine="546" w:firstLineChars="195"/>
        <w:rPr>
          <w:rFonts w:ascii="仿宋" w:hAnsi="仿宋" w:eastAsia="仿宋"/>
          <w:sz w:val="28"/>
          <w:szCs w:val="28"/>
        </w:rPr>
      </w:pPr>
      <w:r>
        <w:rPr>
          <w:rFonts w:hint="eastAsia" w:ascii="仿宋" w:hAnsi="仿宋" w:eastAsia="仿宋"/>
          <w:sz w:val="28"/>
          <w:szCs w:val="28"/>
        </w:rPr>
        <w:t>村镇的道路两侧营建风景林，以低维护乡土树种为主，不规则点缀搭配色叶、开花或挂果树种，使村庄景观有亮点而又不失山野趣味。平原区实施绿荫村路建设，倡导每个村庄至少绿化总长1公里的内部道路，整体提升村庄居住区绿量。</w:t>
      </w:r>
    </w:p>
    <w:p>
      <w:pPr>
        <w:spacing w:line="276" w:lineRule="auto"/>
        <w:ind w:firstLine="560" w:firstLineChars="200"/>
        <w:rPr>
          <w:rFonts w:ascii="仿宋" w:hAnsi="仿宋" w:eastAsia="仿宋"/>
          <w:b/>
          <w:sz w:val="28"/>
          <w:szCs w:val="24"/>
        </w:rPr>
      </w:pPr>
      <w:bookmarkStart w:id="291" w:name="_Toc530649036"/>
      <w:bookmarkStart w:id="292" w:name="_Toc528968899"/>
      <w:r>
        <w:rPr>
          <w:rFonts w:hint="eastAsia" w:ascii="仿宋" w:hAnsi="仿宋" w:eastAsia="仿宋"/>
          <w:b/>
          <w:sz w:val="28"/>
          <w:szCs w:val="24"/>
        </w:rPr>
        <w:t>（</w:t>
      </w:r>
      <w:r>
        <w:rPr>
          <w:rFonts w:ascii="仿宋" w:hAnsi="仿宋" w:eastAsia="仿宋"/>
          <w:b/>
          <w:sz w:val="28"/>
          <w:szCs w:val="24"/>
        </w:rPr>
        <w:t>4</w:t>
      </w:r>
      <w:r>
        <w:rPr>
          <w:rFonts w:hint="eastAsia" w:ascii="仿宋" w:hAnsi="仿宋" w:eastAsia="仿宋"/>
          <w:b/>
          <w:sz w:val="28"/>
          <w:szCs w:val="24"/>
        </w:rPr>
        <w:t>）环村林</w:t>
      </w:r>
      <w:bookmarkEnd w:id="291"/>
      <w:bookmarkEnd w:id="292"/>
    </w:p>
    <w:p>
      <w:pPr>
        <w:spacing w:line="276" w:lineRule="auto"/>
        <w:ind w:firstLine="480"/>
        <w:rPr>
          <w:rFonts w:ascii="仿宋" w:hAnsi="仿宋" w:eastAsia="仿宋"/>
          <w:sz w:val="28"/>
          <w:szCs w:val="28"/>
        </w:rPr>
      </w:pPr>
      <w:r>
        <w:rPr>
          <w:rFonts w:hint="eastAsia" w:ascii="仿宋" w:hAnsi="仿宋" w:eastAsia="仿宋"/>
          <w:sz w:val="28"/>
          <w:szCs w:val="28"/>
        </w:rPr>
        <w:t>山区有灾害风险区域村镇周边应建设水土保持林，选用耐干旱贫瘠的乔灌木树种，辅助建设经果林。平原区利用村庄外围道路、湿地水域、空闲地或与当地的苗圃、果园相结合建设环村片林，形成具有污染防护、改善环境、游憩休闲、经济增收功能的绿色屏障。</w:t>
      </w:r>
    </w:p>
    <w:p>
      <w:pPr>
        <w:spacing w:line="276" w:lineRule="auto"/>
        <w:ind w:firstLine="560" w:firstLineChars="200"/>
        <w:rPr>
          <w:rFonts w:ascii="仿宋" w:hAnsi="仿宋" w:eastAsia="仿宋"/>
          <w:b/>
          <w:sz w:val="28"/>
          <w:szCs w:val="24"/>
        </w:rPr>
      </w:pPr>
      <w:bookmarkStart w:id="293" w:name="_Toc530649037"/>
      <w:r>
        <w:rPr>
          <w:rFonts w:hint="eastAsia" w:ascii="仿宋" w:hAnsi="仿宋" w:eastAsia="仿宋"/>
          <w:b/>
          <w:sz w:val="28"/>
          <w:szCs w:val="24"/>
        </w:rPr>
        <w:t>（5）公共休闲林</w:t>
      </w:r>
      <w:bookmarkEnd w:id="293"/>
    </w:p>
    <w:p>
      <w:pPr>
        <w:spacing w:line="276" w:lineRule="auto"/>
        <w:ind w:firstLine="480"/>
        <w:rPr>
          <w:rFonts w:ascii="仿宋" w:hAnsi="仿宋" w:eastAsia="仿宋"/>
          <w:sz w:val="28"/>
          <w:szCs w:val="28"/>
        </w:rPr>
      </w:pPr>
      <w:r>
        <w:rPr>
          <w:rFonts w:hint="eastAsia" w:ascii="仿宋" w:hAnsi="仿宋" w:eastAsia="仿宋"/>
          <w:sz w:val="28"/>
          <w:szCs w:val="28"/>
        </w:rPr>
        <w:t>包括村头片林和位于村庄中的中心场地、交叉路口、公共建筑附近的集中公共绿地，以及由拆违建绿、见缝插绿、留白增绿、利用村庄闲置土地建设的小型绿化景观、休闲场所。公共休闲林需经过规划设计、绿化美化，配套建设一定的服务设施，可供村民进行游憩休息、娱乐、儿童游戏、村民开会等各项活动。</w:t>
      </w:r>
    </w:p>
    <w:p>
      <w:pPr>
        <w:pStyle w:val="4"/>
        <w:spacing w:before="0" w:after="0" w:line="276" w:lineRule="auto"/>
        <w:rPr>
          <w:rFonts w:ascii="仿宋" w:hAnsi="仿宋" w:eastAsia="仿宋"/>
        </w:rPr>
      </w:pPr>
      <w:bookmarkStart w:id="294" w:name="_Toc528968904"/>
      <w:bookmarkStart w:id="295" w:name="_Toc530649038"/>
      <w:bookmarkStart w:id="296" w:name="_Toc27389943"/>
      <w:r>
        <w:rPr>
          <w:rFonts w:ascii="仿宋" w:hAnsi="仿宋" w:eastAsia="仿宋"/>
        </w:rPr>
        <w:t>2</w:t>
      </w:r>
      <w:r>
        <w:rPr>
          <w:rFonts w:hint="eastAsia" w:ascii="仿宋" w:hAnsi="仿宋" w:eastAsia="仿宋"/>
        </w:rPr>
        <w:t>.森林城镇和森林村庄</w:t>
      </w:r>
      <w:bookmarkEnd w:id="294"/>
      <w:bookmarkEnd w:id="295"/>
      <w:r>
        <w:rPr>
          <w:rFonts w:hint="eastAsia" w:ascii="仿宋" w:hAnsi="仿宋" w:eastAsia="仿宋"/>
        </w:rPr>
        <w:t>示范</w:t>
      </w:r>
      <w:bookmarkEnd w:id="296"/>
    </w:p>
    <w:p>
      <w:pPr>
        <w:spacing w:line="276" w:lineRule="auto"/>
        <w:ind w:firstLine="546" w:firstLineChars="195"/>
        <w:rPr>
          <w:rFonts w:ascii="仿宋" w:hAnsi="仿宋" w:eastAsia="仿宋"/>
          <w:sz w:val="28"/>
          <w:szCs w:val="28"/>
        </w:rPr>
      </w:pPr>
      <w:r>
        <w:rPr>
          <w:rFonts w:hint="eastAsia" w:ascii="仿宋" w:hAnsi="仿宋" w:eastAsia="仿宋"/>
          <w:sz w:val="28"/>
          <w:szCs w:val="28"/>
        </w:rPr>
        <w:t>启动特色森林城镇、森林村庄示范项目，因地制宜发展特色森林产业，带动提高全市乡镇、乡村林木绿化率，构建具有地域风貌特色的乡村森林景观。</w:t>
      </w:r>
    </w:p>
    <w:p>
      <w:pPr>
        <w:spacing w:line="276" w:lineRule="auto"/>
        <w:ind w:firstLine="546" w:firstLineChars="195"/>
        <w:rPr>
          <w:rFonts w:ascii="仿宋" w:hAnsi="仿宋" w:eastAsia="仿宋"/>
          <w:sz w:val="28"/>
          <w:szCs w:val="28"/>
        </w:rPr>
      </w:pPr>
      <w:r>
        <w:rPr>
          <w:rFonts w:hint="eastAsia" w:ascii="仿宋" w:hAnsi="仿宋" w:eastAsia="仿宋"/>
          <w:b/>
          <w:sz w:val="28"/>
          <w:szCs w:val="28"/>
        </w:rPr>
        <w:t>（1）森林城镇示范。</w:t>
      </w:r>
      <w:r>
        <w:rPr>
          <w:rFonts w:hint="eastAsia" w:ascii="仿宋" w:hAnsi="仿宋" w:eastAsia="仿宋"/>
          <w:sz w:val="28"/>
          <w:szCs w:val="28"/>
        </w:rPr>
        <w:t>通过乡镇街道绿化、休闲公园建设、周边游憩景观片林建设等措施，开展森林城镇示范，提升乡镇林木绿化率和人均公园绿地面积。乡镇建成区林木绿化率达</w:t>
      </w:r>
      <w:r>
        <w:rPr>
          <w:rFonts w:ascii="仿宋" w:hAnsi="仿宋" w:eastAsia="仿宋"/>
          <w:sz w:val="28"/>
          <w:szCs w:val="28"/>
        </w:rPr>
        <w:t>30</w:t>
      </w:r>
      <w:r>
        <w:rPr>
          <w:rFonts w:hint="eastAsia" w:ascii="仿宋" w:hAnsi="仿宋" w:eastAsia="仿宋"/>
          <w:sz w:val="28"/>
          <w:szCs w:val="28"/>
        </w:rPr>
        <w:t>%以上，街道绿化率达80%以上。至规划期末，全市建成森林城镇90个。</w:t>
      </w:r>
    </w:p>
    <w:p>
      <w:pPr>
        <w:spacing w:line="276" w:lineRule="auto"/>
        <w:ind w:firstLine="560" w:firstLineChars="200"/>
        <w:rPr>
          <w:rFonts w:ascii="仿宋" w:hAnsi="仿宋" w:eastAsia="仿宋"/>
          <w:sz w:val="22"/>
        </w:rPr>
      </w:pPr>
      <w:r>
        <w:rPr>
          <w:rFonts w:hint="eastAsia" w:ascii="仿宋" w:hAnsi="仿宋" w:eastAsia="仿宋"/>
          <w:b/>
          <w:sz w:val="28"/>
          <w:szCs w:val="28"/>
        </w:rPr>
        <w:t>（2）森林村庄示范。</w:t>
      </w:r>
      <w:r>
        <w:rPr>
          <w:rFonts w:hint="eastAsia" w:ascii="仿宋" w:hAnsi="仿宋" w:eastAsia="仿宋"/>
          <w:sz w:val="28"/>
          <w:szCs w:val="28"/>
        </w:rPr>
        <w:t>以森林为主体的村庄自然风貌保存良好，景观优美，注重保护大树古树，传承生态文化。以提升林木产业、花卉苗木、森林食品、森林旅游等传统林业产业为基础，重点发展森林康养等新兴产业，做精做强花卉苗木、经果林栽培、生态旅游等传统产业，使平原区和山区森林村庄的居民点林木绿化率分别达到</w:t>
      </w:r>
      <w:r>
        <w:rPr>
          <w:rFonts w:ascii="仿宋" w:hAnsi="仿宋" w:eastAsia="仿宋"/>
          <w:sz w:val="28"/>
          <w:szCs w:val="28"/>
        </w:rPr>
        <w:t>25</w:t>
      </w:r>
      <w:r>
        <w:rPr>
          <w:rFonts w:hint="eastAsia" w:ascii="仿宋" w:hAnsi="仿宋" w:eastAsia="仿宋"/>
          <w:sz w:val="28"/>
          <w:szCs w:val="28"/>
        </w:rPr>
        <w:t>%以上和</w:t>
      </w:r>
      <w:r>
        <w:rPr>
          <w:rFonts w:ascii="仿宋" w:hAnsi="仿宋" w:eastAsia="仿宋"/>
          <w:sz w:val="28"/>
          <w:szCs w:val="28"/>
        </w:rPr>
        <w:t>20</w:t>
      </w:r>
      <w:r>
        <w:rPr>
          <w:rFonts w:hint="eastAsia" w:ascii="仿宋" w:hAnsi="仿宋" w:eastAsia="仿宋"/>
          <w:sz w:val="28"/>
          <w:szCs w:val="28"/>
        </w:rPr>
        <w:t>%以上。至规划期末，全市建成森林村庄1500个。</w:t>
      </w:r>
    </w:p>
    <w:p>
      <w:pPr>
        <w:pStyle w:val="3"/>
        <w:spacing w:before="217" w:after="217"/>
        <w:jc w:val="left"/>
        <w:rPr>
          <w:rFonts w:ascii="黑体" w:hAnsi="黑体" w:eastAsia="黑体" w:cs="Times New Roman"/>
          <w:b w:val="0"/>
          <w:bCs w:val="0"/>
        </w:rPr>
      </w:pPr>
      <w:bookmarkStart w:id="297" w:name="_Toc27389944"/>
      <w:bookmarkStart w:id="298" w:name="_Toc528968905"/>
      <w:bookmarkStart w:id="299" w:name="_Toc530649039"/>
      <w:r>
        <w:rPr>
          <w:rFonts w:ascii="黑体" w:hAnsi="黑体" w:eastAsia="黑体" w:cs="Times New Roman"/>
          <w:b w:val="0"/>
          <w:bCs w:val="0"/>
        </w:rPr>
        <w:t>六、山地森林景观</w:t>
      </w:r>
      <w:bookmarkEnd w:id="297"/>
      <w:bookmarkEnd w:id="298"/>
      <w:bookmarkEnd w:id="299"/>
    </w:p>
    <w:p>
      <w:pPr>
        <w:spacing w:before="217" w:after="217" w:line="276" w:lineRule="auto"/>
        <w:rPr>
          <w:rFonts w:ascii="仿宋" w:hAnsi="仿宋" w:eastAsia="仿宋" w:cs="Times New Roman"/>
          <w:b/>
          <w:spacing w:val="20"/>
          <w:sz w:val="32"/>
          <w:szCs w:val="32"/>
        </w:rPr>
      </w:pPr>
      <w:r>
        <w:rPr>
          <w:rFonts w:ascii="仿宋" w:hAnsi="仿宋" w:eastAsia="仿宋" w:cs="Times New Roman"/>
          <w:b/>
          <w:spacing w:val="20"/>
          <w:sz w:val="32"/>
          <w:szCs w:val="32"/>
        </w:rPr>
        <w:t>（一）建设目标</w:t>
      </w:r>
    </w:p>
    <w:p>
      <w:pPr>
        <w:spacing w:line="276" w:lineRule="auto"/>
        <w:ind w:firstLine="560" w:firstLineChars="200"/>
        <w:rPr>
          <w:rFonts w:ascii="仿宋" w:hAnsi="仿宋" w:eastAsia="仿宋" w:cs="Times New Roman"/>
          <w:sz w:val="28"/>
          <w:szCs w:val="28"/>
        </w:rPr>
      </w:pPr>
      <w:r>
        <w:rPr>
          <w:rFonts w:ascii="仿宋" w:hAnsi="仿宋" w:eastAsia="仿宋" w:cs="Times New Roman"/>
          <w:sz w:val="28"/>
          <w:szCs w:val="28"/>
        </w:rPr>
        <w:t>北京市山区是首都重要的</w:t>
      </w:r>
      <w:r>
        <w:rPr>
          <w:rFonts w:hint="eastAsia" w:ascii="仿宋" w:hAnsi="仿宋" w:eastAsia="仿宋" w:cs="Times New Roman"/>
          <w:sz w:val="28"/>
          <w:szCs w:val="28"/>
        </w:rPr>
        <w:t>水源涵养区和</w:t>
      </w:r>
      <w:r>
        <w:rPr>
          <w:rFonts w:ascii="仿宋" w:hAnsi="仿宋" w:eastAsia="仿宋" w:cs="Times New Roman"/>
          <w:sz w:val="28"/>
          <w:szCs w:val="28"/>
        </w:rPr>
        <w:t>生态屏障，也是主要的生态游憩资源</w:t>
      </w:r>
      <w:r>
        <w:rPr>
          <w:rFonts w:hint="eastAsia" w:ascii="仿宋" w:hAnsi="仿宋" w:eastAsia="仿宋" w:cs="Times New Roman"/>
          <w:sz w:val="28"/>
          <w:szCs w:val="28"/>
        </w:rPr>
        <w:t>区域</w:t>
      </w:r>
      <w:r>
        <w:rPr>
          <w:rFonts w:ascii="仿宋" w:hAnsi="仿宋" w:eastAsia="仿宋" w:cs="Times New Roman"/>
          <w:sz w:val="28"/>
          <w:szCs w:val="28"/>
        </w:rPr>
        <w:t>。以强化北部、西部山地</w:t>
      </w:r>
      <w:r>
        <w:rPr>
          <w:rFonts w:hint="eastAsia" w:ascii="仿宋" w:hAnsi="仿宋" w:eastAsia="仿宋" w:cs="Times New Roman"/>
          <w:sz w:val="28"/>
          <w:szCs w:val="28"/>
        </w:rPr>
        <w:t>生态涵养和生态</w:t>
      </w:r>
      <w:r>
        <w:rPr>
          <w:rFonts w:ascii="仿宋" w:hAnsi="仿宋" w:eastAsia="仿宋" w:cs="Times New Roman"/>
          <w:sz w:val="28"/>
          <w:szCs w:val="28"/>
        </w:rPr>
        <w:t>屏障</w:t>
      </w:r>
      <w:r>
        <w:rPr>
          <w:rFonts w:hint="eastAsia" w:ascii="仿宋" w:hAnsi="仿宋" w:eastAsia="仿宋" w:cs="Times New Roman"/>
          <w:sz w:val="28"/>
          <w:szCs w:val="28"/>
        </w:rPr>
        <w:t>功能</w:t>
      </w:r>
      <w:r>
        <w:rPr>
          <w:rFonts w:ascii="仿宋" w:hAnsi="仿宋" w:eastAsia="仿宋" w:cs="Times New Roman"/>
          <w:sz w:val="28"/>
          <w:szCs w:val="28"/>
        </w:rPr>
        <w:t>，提升山区森林总量、质量和功能为目标，开展山地森林建设。</w:t>
      </w:r>
      <w:r>
        <w:rPr>
          <w:rFonts w:hint="eastAsia" w:ascii="仿宋" w:hAnsi="仿宋" w:eastAsia="仿宋" w:cs="Times New Roman"/>
          <w:sz w:val="28"/>
          <w:szCs w:val="28"/>
        </w:rPr>
        <w:t>加强森林抚育和低效林改造，加强山地近自然林营造，加强风景林培育，加强废弃矿山生态修复综合整治，</w:t>
      </w:r>
      <w:r>
        <w:rPr>
          <w:rFonts w:ascii="仿宋" w:hAnsi="仿宋" w:eastAsia="仿宋" w:cs="Times New Roman"/>
          <w:sz w:val="28"/>
          <w:szCs w:val="28"/>
        </w:rPr>
        <w:t>着重加强沿浅山区生态修复和建设，充分发挥山区水源涵养、水土保持、生物多样性保护、休闲游憩等重要生态服务功能</w:t>
      </w:r>
      <w:r>
        <w:rPr>
          <w:rFonts w:hint="eastAsia" w:ascii="仿宋" w:hAnsi="仿宋" w:eastAsia="仿宋" w:cs="Times New Roman"/>
          <w:sz w:val="28"/>
          <w:szCs w:val="28"/>
        </w:rPr>
        <w:t>。该工程有利于落实建设宜居宜业宜游的生态发展示范区，展示北京历史文化和美丽自然山水的典范区。</w:t>
      </w:r>
    </w:p>
    <w:p>
      <w:pPr>
        <w:spacing w:before="217" w:after="217" w:line="276" w:lineRule="auto"/>
        <w:rPr>
          <w:rFonts w:ascii="仿宋" w:hAnsi="仿宋" w:eastAsia="仿宋" w:cs="Times New Roman"/>
          <w:b/>
          <w:spacing w:val="20"/>
          <w:sz w:val="32"/>
          <w:szCs w:val="32"/>
        </w:rPr>
      </w:pPr>
      <w:r>
        <w:rPr>
          <w:rFonts w:ascii="仿宋" w:hAnsi="仿宋" w:eastAsia="仿宋" w:cs="Times New Roman"/>
          <w:b/>
          <w:spacing w:val="20"/>
          <w:sz w:val="32"/>
          <w:szCs w:val="32"/>
        </w:rPr>
        <w:t>（二）建设内容</w:t>
      </w:r>
    </w:p>
    <w:p>
      <w:pPr>
        <w:pStyle w:val="4"/>
        <w:spacing w:before="0" w:after="0" w:line="276" w:lineRule="auto"/>
        <w:rPr>
          <w:rFonts w:ascii="仿宋" w:hAnsi="仿宋" w:eastAsia="仿宋"/>
        </w:rPr>
      </w:pPr>
      <w:bookmarkStart w:id="300" w:name="_Toc382829460"/>
      <w:bookmarkStart w:id="301" w:name="_Toc528968906"/>
      <w:bookmarkStart w:id="302" w:name="_Toc530649040"/>
      <w:bookmarkStart w:id="303" w:name="_Toc535910130"/>
      <w:bookmarkStart w:id="304" w:name="_Toc27389945"/>
      <w:r>
        <w:rPr>
          <w:rFonts w:ascii="仿宋" w:hAnsi="仿宋" w:eastAsia="仿宋"/>
        </w:rPr>
        <w:t>1</w:t>
      </w:r>
      <w:r>
        <w:rPr>
          <w:rFonts w:hint="eastAsia" w:ascii="仿宋" w:hAnsi="仿宋" w:eastAsia="仿宋"/>
        </w:rPr>
        <w:t>.森林提质增效</w:t>
      </w:r>
      <w:bookmarkEnd w:id="300"/>
      <w:bookmarkEnd w:id="301"/>
      <w:bookmarkEnd w:id="302"/>
      <w:bookmarkEnd w:id="303"/>
      <w:bookmarkEnd w:id="304"/>
    </w:p>
    <w:p>
      <w:pPr>
        <w:spacing w:line="276" w:lineRule="auto"/>
        <w:ind w:firstLine="560" w:firstLineChars="200"/>
        <w:rPr>
          <w:rFonts w:ascii="仿宋" w:hAnsi="仿宋" w:eastAsia="仿宋" w:cs="Times New Roman"/>
          <w:sz w:val="28"/>
          <w:szCs w:val="28"/>
        </w:rPr>
      </w:pPr>
      <w:r>
        <w:rPr>
          <w:rFonts w:ascii="仿宋" w:hAnsi="仿宋" w:eastAsia="仿宋" w:cs="Times New Roman"/>
          <w:sz w:val="28"/>
          <w:szCs w:val="28"/>
        </w:rPr>
        <w:t>贯穿近自然林经营理念，通过林种结构、林分结构的优化调整，构筑山区多林种、多树种、多层次、多功能的稳定健康的森林生态系统，逐步提高山地森林的自然化程度和系统稳定性，增强森林的碳汇功能、景观功能和多种安全防护</w:t>
      </w:r>
      <w:r>
        <w:rPr>
          <w:rFonts w:hint="eastAsia" w:ascii="仿宋" w:hAnsi="仿宋" w:eastAsia="仿宋" w:cs="Times New Roman"/>
          <w:sz w:val="28"/>
          <w:szCs w:val="28"/>
        </w:rPr>
        <w:t>功能</w:t>
      </w:r>
      <w:r>
        <w:rPr>
          <w:rFonts w:ascii="仿宋" w:hAnsi="仿宋" w:eastAsia="仿宋" w:cs="Times New Roman"/>
          <w:sz w:val="28"/>
          <w:szCs w:val="28"/>
        </w:rPr>
        <w:t>。</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b/>
          <w:sz w:val="28"/>
          <w:szCs w:val="28"/>
        </w:rPr>
        <w:t>（1）</w:t>
      </w:r>
      <w:r>
        <w:rPr>
          <w:rFonts w:ascii="仿宋" w:hAnsi="仿宋" w:eastAsia="仿宋" w:cs="Times New Roman"/>
          <w:b/>
          <w:sz w:val="28"/>
          <w:szCs w:val="28"/>
        </w:rPr>
        <w:t>低效林改造</w:t>
      </w:r>
      <w:r>
        <w:rPr>
          <w:rFonts w:hint="eastAsia" w:ascii="仿宋" w:hAnsi="仿宋" w:eastAsia="仿宋" w:cs="Times New Roman"/>
          <w:b/>
          <w:sz w:val="28"/>
          <w:szCs w:val="28"/>
        </w:rPr>
        <w:t>。</w:t>
      </w:r>
      <w:r>
        <w:rPr>
          <w:rFonts w:ascii="仿宋" w:hAnsi="仿宋" w:eastAsia="仿宋" w:cs="Times New Roman"/>
          <w:sz w:val="28"/>
          <w:szCs w:val="28"/>
        </w:rPr>
        <w:t>对全市低效生态公益林进行改造提升，将全市低效林改造成生态与经济效益最佳结合的近自然森林，使其生态景观</w:t>
      </w:r>
      <w:r>
        <w:rPr>
          <w:rFonts w:hint="eastAsia" w:ascii="仿宋" w:hAnsi="仿宋" w:eastAsia="仿宋" w:cs="Times New Roman"/>
          <w:sz w:val="28"/>
          <w:szCs w:val="28"/>
        </w:rPr>
        <w:t>质量</w:t>
      </w:r>
      <w:r>
        <w:rPr>
          <w:rFonts w:ascii="仿宋" w:hAnsi="仿宋" w:eastAsia="仿宋" w:cs="Times New Roman"/>
          <w:sz w:val="28"/>
          <w:szCs w:val="28"/>
        </w:rPr>
        <w:t>大幅提升，生态服务价值显著提高。</w:t>
      </w:r>
    </w:p>
    <w:p>
      <w:pPr>
        <w:spacing w:line="276" w:lineRule="auto"/>
        <w:ind w:firstLine="560" w:firstLineChars="200"/>
        <w:rPr>
          <w:rFonts w:ascii="仿宋" w:hAnsi="仿宋" w:eastAsia="仿宋" w:cs="Times New Roman"/>
          <w:sz w:val="28"/>
          <w:szCs w:val="24"/>
        </w:rPr>
      </w:pPr>
      <w:r>
        <w:rPr>
          <w:rFonts w:hint="eastAsia" w:ascii="仿宋" w:hAnsi="仿宋" w:eastAsia="仿宋" w:cs="Times New Roman"/>
          <w:b/>
          <w:sz w:val="28"/>
          <w:szCs w:val="28"/>
        </w:rPr>
        <w:t>（2）林分结构优化。</w:t>
      </w:r>
      <w:r>
        <w:rPr>
          <w:rFonts w:ascii="仿宋" w:hAnsi="仿宋" w:eastAsia="仿宋" w:cs="Times New Roman"/>
          <w:sz w:val="28"/>
          <w:szCs w:val="28"/>
        </w:rPr>
        <w:t>调整和优化全市中幼林结构，尽量利用和促进森林的天然更新，从幼林开始</w:t>
      </w:r>
      <w:r>
        <w:rPr>
          <w:rFonts w:hint="eastAsia" w:ascii="仿宋" w:hAnsi="仿宋" w:eastAsia="仿宋" w:cs="Times New Roman"/>
          <w:sz w:val="28"/>
          <w:szCs w:val="28"/>
        </w:rPr>
        <w:t>确定目标林和</w:t>
      </w:r>
      <w:r>
        <w:rPr>
          <w:rFonts w:ascii="仿宋" w:hAnsi="仿宋" w:eastAsia="仿宋" w:cs="Times New Roman"/>
          <w:sz w:val="28"/>
          <w:szCs w:val="28"/>
        </w:rPr>
        <w:t>选择目的树，在经营过程中</w:t>
      </w:r>
      <w:r>
        <w:rPr>
          <w:rFonts w:hint="eastAsia" w:ascii="仿宋" w:hAnsi="仿宋" w:eastAsia="仿宋" w:cs="Times New Roman"/>
          <w:sz w:val="28"/>
          <w:szCs w:val="28"/>
        </w:rPr>
        <w:t>按照目标林</w:t>
      </w:r>
      <w:r>
        <w:rPr>
          <w:rFonts w:ascii="仿宋" w:hAnsi="仿宋" w:eastAsia="仿宋" w:cs="Times New Roman"/>
          <w:sz w:val="28"/>
          <w:szCs w:val="28"/>
        </w:rPr>
        <w:t>对选定的目的树进行抚育</w:t>
      </w:r>
      <w:r>
        <w:rPr>
          <w:rFonts w:hint="eastAsia" w:ascii="仿宋" w:hAnsi="仿宋" w:eastAsia="仿宋" w:cs="Times New Roman"/>
          <w:sz w:val="28"/>
          <w:szCs w:val="28"/>
        </w:rPr>
        <w:t>，培育适宜北京气候、土壤和森林城市目标要求的地带性森林景观</w:t>
      </w:r>
      <w:r>
        <w:rPr>
          <w:rFonts w:ascii="仿宋" w:hAnsi="仿宋" w:eastAsia="仿宋" w:cs="Times New Roman"/>
          <w:sz w:val="28"/>
          <w:szCs w:val="28"/>
        </w:rPr>
        <w:t>。</w:t>
      </w:r>
    </w:p>
    <w:p>
      <w:pPr>
        <w:pStyle w:val="4"/>
        <w:spacing w:before="0" w:after="0" w:line="276" w:lineRule="auto"/>
        <w:rPr>
          <w:rFonts w:ascii="仿宋" w:hAnsi="仿宋" w:eastAsia="仿宋"/>
        </w:rPr>
      </w:pPr>
      <w:bookmarkStart w:id="305" w:name="_Toc282002262"/>
      <w:bookmarkStart w:id="306" w:name="_Toc382829461"/>
      <w:bookmarkStart w:id="307" w:name="_Toc282262858"/>
      <w:bookmarkStart w:id="308" w:name="_Toc528968907"/>
      <w:bookmarkStart w:id="309" w:name="_Toc535910131"/>
      <w:bookmarkStart w:id="310" w:name="_Toc27389946"/>
      <w:bookmarkStart w:id="311" w:name="_Toc530649041"/>
      <w:r>
        <w:rPr>
          <w:rFonts w:ascii="仿宋" w:hAnsi="仿宋" w:eastAsia="仿宋"/>
        </w:rPr>
        <w:t>2</w:t>
      </w:r>
      <w:r>
        <w:rPr>
          <w:rFonts w:hint="eastAsia" w:ascii="仿宋" w:hAnsi="仿宋" w:eastAsia="仿宋"/>
        </w:rPr>
        <w:t>.困难立地</w:t>
      </w:r>
      <w:bookmarkEnd w:id="305"/>
      <w:bookmarkEnd w:id="306"/>
      <w:bookmarkEnd w:id="307"/>
      <w:r>
        <w:rPr>
          <w:rFonts w:hint="eastAsia" w:ascii="仿宋" w:hAnsi="仿宋" w:eastAsia="仿宋"/>
        </w:rPr>
        <w:t>绿化</w:t>
      </w:r>
      <w:bookmarkEnd w:id="308"/>
      <w:bookmarkEnd w:id="309"/>
      <w:bookmarkEnd w:id="310"/>
      <w:bookmarkEnd w:id="311"/>
    </w:p>
    <w:p>
      <w:pPr>
        <w:spacing w:line="276" w:lineRule="auto"/>
        <w:ind w:firstLine="560" w:firstLineChars="200"/>
        <w:rPr>
          <w:rFonts w:ascii="仿宋" w:hAnsi="仿宋" w:eastAsia="仿宋" w:cs="Times New Roman"/>
          <w:sz w:val="28"/>
          <w:szCs w:val="28"/>
        </w:rPr>
      </w:pPr>
      <w:r>
        <w:rPr>
          <w:rFonts w:ascii="仿宋" w:hAnsi="仿宋" w:eastAsia="仿宋" w:cs="Times New Roman"/>
          <w:sz w:val="28"/>
          <w:szCs w:val="28"/>
        </w:rPr>
        <w:t>虽然北京困难宜林地面积已较少，但</w:t>
      </w:r>
      <w:r>
        <w:rPr>
          <w:rFonts w:hint="eastAsia" w:ascii="仿宋" w:hAnsi="仿宋" w:eastAsia="仿宋" w:cs="Times New Roman"/>
          <w:sz w:val="28"/>
          <w:szCs w:val="28"/>
        </w:rPr>
        <w:t>全市</w:t>
      </w:r>
      <w:r>
        <w:rPr>
          <w:rFonts w:ascii="仿宋" w:hAnsi="仿宋" w:eastAsia="仿宋" w:cs="Times New Roman"/>
          <w:sz w:val="28"/>
          <w:szCs w:val="28"/>
        </w:rPr>
        <w:t>立地条件相对困难的宜林地所带来的沙尘、洪水危害仍对北京环境具有较大的潜在影响。同时，多年来采矿、采石形成的废弃矿区，还需要开展以植被修复为主的综合治理。</w:t>
      </w:r>
    </w:p>
    <w:p>
      <w:pPr>
        <w:spacing w:line="276" w:lineRule="auto"/>
        <w:ind w:firstLine="560" w:firstLineChars="200"/>
        <w:rPr>
          <w:rFonts w:ascii="仿宋" w:hAnsi="仿宋" w:eastAsia="仿宋" w:cs="Times New Roman"/>
          <w:sz w:val="28"/>
          <w:szCs w:val="28"/>
        </w:rPr>
      </w:pPr>
      <w:r>
        <w:rPr>
          <w:rFonts w:ascii="仿宋" w:hAnsi="仿宋" w:eastAsia="仿宋" w:cs="Times New Roman"/>
          <w:b/>
          <w:sz w:val="28"/>
          <w:szCs w:val="28"/>
        </w:rPr>
        <w:t>（1）荒山造林</w:t>
      </w:r>
      <w:r>
        <w:rPr>
          <w:rFonts w:ascii="仿宋" w:hAnsi="仿宋" w:eastAsia="仿宋" w:cs="Times New Roman"/>
          <w:sz w:val="28"/>
          <w:szCs w:val="28"/>
        </w:rPr>
        <w:t>。对目前全市所有的立地条件相对困难的</w:t>
      </w:r>
      <w:r>
        <w:rPr>
          <w:rFonts w:hint="eastAsia" w:ascii="仿宋" w:hAnsi="仿宋" w:eastAsia="仿宋" w:cs="Times New Roman"/>
          <w:sz w:val="28"/>
          <w:szCs w:val="28"/>
        </w:rPr>
        <w:t>宜</w:t>
      </w:r>
      <w:r>
        <w:rPr>
          <w:rFonts w:ascii="仿宋" w:hAnsi="仿宋" w:eastAsia="仿宋" w:cs="Times New Roman"/>
          <w:sz w:val="28"/>
          <w:szCs w:val="28"/>
        </w:rPr>
        <w:t>林地实施荒山造林，减少风沙危害和水土流失，提高碳汇基数，实现全面绿化</w:t>
      </w:r>
      <w:r>
        <w:rPr>
          <w:rFonts w:hint="eastAsia" w:ascii="仿宋" w:hAnsi="仿宋" w:eastAsia="仿宋" w:cs="Times New Roman"/>
          <w:sz w:val="28"/>
          <w:szCs w:val="28"/>
        </w:rPr>
        <w:t>。</w:t>
      </w:r>
    </w:p>
    <w:p>
      <w:pPr>
        <w:spacing w:line="276" w:lineRule="auto"/>
        <w:ind w:firstLine="560" w:firstLineChars="200"/>
        <w:rPr>
          <w:rFonts w:ascii="仿宋" w:hAnsi="仿宋" w:eastAsia="仿宋" w:cs="Times New Roman"/>
          <w:sz w:val="28"/>
          <w:szCs w:val="24"/>
        </w:rPr>
      </w:pPr>
      <w:r>
        <w:rPr>
          <w:rFonts w:ascii="仿宋" w:hAnsi="仿宋" w:eastAsia="仿宋" w:cs="Times New Roman"/>
          <w:b/>
          <w:sz w:val="28"/>
          <w:szCs w:val="28"/>
        </w:rPr>
        <w:t>（2）废弃矿山生态修复</w:t>
      </w:r>
      <w:r>
        <w:rPr>
          <w:rFonts w:ascii="仿宋" w:hAnsi="仿宋" w:eastAsia="仿宋" w:cs="Times New Roman"/>
          <w:sz w:val="28"/>
          <w:szCs w:val="28"/>
        </w:rPr>
        <w:t>。对煤矿、金属矿、石灰矿和采砂场、采石场等关停废弃矿区进行治理，恢复植被和生态景观。重点对已经关停</w:t>
      </w:r>
      <w:r>
        <w:rPr>
          <w:rFonts w:hint="eastAsia" w:ascii="仿宋" w:hAnsi="仿宋" w:eastAsia="仿宋" w:cs="Times New Roman"/>
          <w:sz w:val="28"/>
          <w:szCs w:val="28"/>
        </w:rPr>
        <w:t>的废</w:t>
      </w:r>
      <w:r>
        <w:rPr>
          <w:rFonts w:ascii="仿宋" w:hAnsi="仿宋" w:eastAsia="仿宋" w:cs="Times New Roman"/>
          <w:sz w:val="28"/>
          <w:szCs w:val="28"/>
        </w:rPr>
        <w:t>弃矿山实施生态修复，使矿区内生态环境和景观效果明显改善。</w:t>
      </w:r>
    </w:p>
    <w:p>
      <w:pPr>
        <w:pStyle w:val="4"/>
        <w:spacing w:before="0" w:after="0" w:line="276" w:lineRule="auto"/>
        <w:rPr>
          <w:rFonts w:ascii="仿宋" w:hAnsi="仿宋" w:eastAsia="仿宋"/>
        </w:rPr>
      </w:pPr>
      <w:bookmarkStart w:id="312" w:name="_Toc528968908"/>
      <w:bookmarkStart w:id="313" w:name="_Toc535910132"/>
      <w:bookmarkStart w:id="314" w:name="_Toc530649042"/>
      <w:bookmarkStart w:id="315" w:name="_Toc27389947"/>
      <w:r>
        <w:rPr>
          <w:rFonts w:ascii="仿宋" w:hAnsi="仿宋" w:eastAsia="仿宋"/>
        </w:rPr>
        <w:t>3</w:t>
      </w:r>
      <w:r>
        <w:rPr>
          <w:rFonts w:hint="eastAsia" w:ascii="仿宋" w:hAnsi="仿宋" w:eastAsia="仿宋"/>
        </w:rPr>
        <w:t>.都市水源林</w:t>
      </w:r>
      <w:bookmarkEnd w:id="312"/>
      <w:bookmarkEnd w:id="313"/>
      <w:bookmarkEnd w:id="314"/>
      <w:bookmarkEnd w:id="315"/>
    </w:p>
    <w:p>
      <w:pPr>
        <w:spacing w:line="276" w:lineRule="auto"/>
        <w:ind w:firstLine="560" w:firstLineChars="200"/>
        <w:rPr>
          <w:rFonts w:ascii="仿宋" w:hAnsi="仿宋" w:eastAsia="仿宋" w:cs="Times New Roman"/>
          <w:sz w:val="28"/>
          <w:szCs w:val="28"/>
        </w:rPr>
      </w:pPr>
      <w:r>
        <w:rPr>
          <w:rFonts w:ascii="仿宋" w:hAnsi="仿宋" w:eastAsia="仿宋" w:cs="Times New Roman"/>
          <w:sz w:val="28"/>
          <w:szCs w:val="28"/>
        </w:rPr>
        <w:t>针对</w:t>
      </w:r>
      <w:r>
        <w:rPr>
          <w:rFonts w:hint="eastAsia" w:ascii="仿宋" w:hAnsi="仿宋" w:eastAsia="仿宋" w:cs="Times New Roman"/>
          <w:sz w:val="28"/>
          <w:szCs w:val="28"/>
        </w:rPr>
        <w:t>密云水库等</w:t>
      </w:r>
      <w:r>
        <w:rPr>
          <w:rFonts w:ascii="仿宋" w:hAnsi="仿宋" w:eastAsia="仿宋" w:cs="Times New Roman"/>
          <w:sz w:val="28"/>
          <w:szCs w:val="28"/>
        </w:rPr>
        <w:t>北京市重要水库</w:t>
      </w:r>
      <w:r>
        <w:rPr>
          <w:rFonts w:hint="eastAsia" w:ascii="仿宋" w:hAnsi="仿宋" w:eastAsia="仿宋" w:cs="Times New Roman"/>
          <w:sz w:val="28"/>
          <w:szCs w:val="28"/>
        </w:rPr>
        <w:t>的水土保持和水源涵养需求</w:t>
      </w:r>
      <w:r>
        <w:rPr>
          <w:rFonts w:ascii="仿宋" w:hAnsi="仿宋" w:eastAsia="仿宋" w:cs="Times New Roman"/>
          <w:sz w:val="28"/>
          <w:szCs w:val="28"/>
        </w:rPr>
        <w:t>，充分发挥森林涵水、净水、节水功能，建设</w:t>
      </w:r>
      <w:r>
        <w:rPr>
          <w:rFonts w:hint="eastAsia" w:ascii="仿宋" w:hAnsi="仿宋" w:eastAsia="仿宋" w:cs="Times New Roman"/>
          <w:sz w:val="28"/>
          <w:szCs w:val="28"/>
        </w:rPr>
        <w:t>“</w:t>
      </w:r>
      <w:r>
        <w:rPr>
          <w:rFonts w:ascii="仿宋" w:hAnsi="仿宋" w:eastAsia="仿宋" w:cs="Times New Roman"/>
          <w:sz w:val="28"/>
          <w:szCs w:val="28"/>
        </w:rPr>
        <w:t>林水相依、林水相连，依水建林、以林涵水</w:t>
      </w:r>
      <w:r>
        <w:rPr>
          <w:rFonts w:hint="eastAsia" w:ascii="仿宋" w:hAnsi="仿宋" w:eastAsia="仿宋" w:cs="Times New Roman"/>
          <w:sz w:val="28"/>
          <w:szCs w:val="28"/>
        </w:rPr>
        <w:t>”</w:t>
      </w:r>
      <w:r>
        <w:rPr>
          <w:rFonts w:ascii="仿宋" w:hAnsi="仿宋" w:eastAsia="仿宋" w:cs="Times New Roman"/>
          <w:sz w:val="28"/>
          <w:szCs w:val="28"/>
        </w:rPr>
        <w:t>的都市水源林，为城市提供充足、安全的水源供给。以节水、净水为主要目标，借鉴欧美发达国家对城市水源区森林资源保护与经营的技术模式，促进库区水源林功能提升，提高水源涵养效益和水源质量。</w:t>
      </w:r>
    </w:p>
    <w:p>
      <w:pPr>
        <w:pStyle w:val="4"/>
        <w:spacing w:before="0" w:after="0" w:line="276" w:lineRule="auto"/>
        <w:rPr>
          <w:rFonts w:ascii="仿宋" w:hAnsi="仿宋" w:eastAsia="仿宋"/>
        </w:rPr>
      </w:pPr>
      <w:bookmarkStart w:id="316" w:name="_Toc27389948"/>
      <w:r>
        <w:rPr>
          <w:rFonts w:ascii="仿宋" w:hAnsi="仿宋" w:eastAsia="仿宋"/>
        </w:rPr>
        <w:t>4</w:t>
      </w:r>
      <w:r>
        <w:rPr>
          <w:rFonts w:hint="eastAsia" w:ascii="仿宋" w:hAnsi="仿宋" w:eastAsia="仿宋"/>
        </w:rPr>
        <w:t>.生态风景林</w:t>
      </w:r>
      <w:bookmarkEnd w:id="316"/>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在主要的森林游憩区（风景名胜区、森林公园等）、主要交通干线沿线的第一重山、浅山区与城区相对的前山脸，着重加强生态风景林建设与提升。以乡土树种为特色，配置特色灌木和彩叶树种，展现四季分明的生态山林景观，提升山区植被生态与景观质量。在保护和提升原生态自然景观、植被的基础上，开发集景观、生态、游憩功能为一体的森林公园，有利于扩大生态游憩地面积和山区森林健康可持续经营。</w:t>
      </w:r>
    </w:p>
    <w:p>
      <w:pPr>
        <w:pStyle w:val="3"/>
        <w:spacing w:before="217" w:after="217"/>
        <w:jc w:val="left"/>
        <w:rPr>
          <w:rFonts w:ascii="黑体" w:hAnsi="黑体" w:eastAsia="黑体" w:cs="Times New Roman"/>
          <w:b w:val="0"/>
          <w:bCs w:val="0"/>
        </w:rPr>
      </w:pPr>
      <w:bookmarkStart w:id="317" w:name="_Toc27389949"/>
      <w:bookmarkStart w:id="318" w:name="_Toc530649043"/>
      <w:r>
        <w:rPr>
          <w:rFonts w:hint="eastAsia" w:ascii="黑体" w:hAnsi="黑体" w:eastAsia="黑体" w:cs="Times New Roman"/>
          <w:b w:val="0"/>
          <w:bCs w:val="0"/>
        </w:rPr>
        <w:t>七、湿地生态系统</w:t>
      </w:r>
      <w:bookmarkEnd w:id="317"/>
    </w:p>
    <w:p>
      <w:pPr>
        <w:spacing w:before="217" w:after="217" w:line="276" w:lineRule="auto"/>
        <w:rPr>
          <w:rFonts w:ascii="仿宋" w:hAnsi="仿宋" w:eastAsia="仿宋" w:cs="Times New Roman"/>
          <w:b/>
          <w:spacing w:val="20"/>
          <w:sz w:val="32"/>
          <w:szCs w:val="32"/>
        </w:rPr>
      </w:pPr>
      <w:bookmarkStart w:id="319" w:name="_Toc528968944"/>
      <w:bookmarkStart w:id="320" w:name="_Toc530649088"/>
      <w:r>
        <w:rPr>
          <w:rFonts w:hint="eastAsia" w:ascii="仿宋" w:hAnsi="仿宋" w:eastAsia="仿宋" w:cs="Times New Roman"/>
          <w:b/>
          <w:spacing w:val="20"/>
          <w:sz w:val="32"/>
          <w:szCs w:val="32"/>
        </w:rPr>
        <w:t>（一）建设目标</w:t>
      </w:r>
    </w:p>
    <w:p>
      <w:pPr>
        <w:spacing w:line="276"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湿地是城市生态系统的重要组成部分，在城市生物多样性保护、调节径流、改善水质、调节小气候、提供生态休闲空间等方面发挥着重要生态服务功能。坚持以恢复和提高湿地生态系统整体功能为目标，进一步保护和修复水库、湖泊、公园湿地等人工湿地，以及河流、天然湖泊、沼泽等自然湿地，重点对历史河湖湿地进行保护。该工程有利于加强水系生态保护与修复，保护蓝色空间，实现水城共融。</w:t>
      </w:r>
    </w:p>
    <w:p>
      <w:pPr>
        <w:spacing w:before="217" w:after="217" w:line="276"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（二）建设内容</w:t>
      </w:r>
    </w:p>
    <w:p>
      <w:pPr>
        <w:pStyle w:val="4"/>
        <w:spacing w:before="0" w:after="0" w:line="276" w:lineRule="auto"/>
        <w:rPr>
          <w:rFonts w:ascii="仿宋" w:hAnsi="仿宋" w:eastAsia="仿宋"/>
        </w:rPr>
      </w:pPr>
      <w:bookmarkStart w:id="321" w:name="_Toc27389950"/>
      <w:r>
        <w:rPr>
          <w:rFonts w:ascii="仿宋" w:hAnsi="仿宋" w:eastAsia="仿宋"/>
        </w:rPr>
        <w:t>1</w:t>
      </w:r>
      <w:r>
        <w:rPr>
          <w:rFonts w:hint="eastAsia" w:ascii="仿宋" w:hAnsi="仿宋" w:eastAsia="仿宋"/>
        </w:rPr>
        <w:t>、河流湿地保护与修复</w:t>
      </w:r>
      <w:bookmarkEnd w:id="321"/>
    </w:p>
    <w:p>
      <w:pPr>
        <w:spacing w:line="276" w:lineRule="auto"/>
        <w:ind w:firstLine="560" w:firstLineChars="200"/>
        <w:rPr>
          <w:rFonts w:ascii="仿宋" w:hAnsi="仿宋" w:eastAsia="仿宋"/>
          <w:sz w:val="28"/>
          <w:szCs w:val="28"/>
        </w:rPr>
      </w:pPr>
      <w:r>
        <w:rPr>
          <w:rFonts w:hint="eastAsia" w:ascii="仿宋" w:hAnsi="仿宋" w:eastAsia="仿宋"/>
          <w:sz w:val="28"/>
          <w:szCs w:val="28"/>
        </w:rPr>
        <w:t>着力保护和修复清河、坝河、通惠河、凉水河、永定河、南沙河、温榆河、潮白河、蓟运河和北运河等多个流域的湿地区。</w:t>
      </w:r>
    </w:p>
    <w:p>
      <w:pPr>
        <w:spacing w:line="276" w:lineRule="auto"/>
        <w:ind w:firstLine="560" w:firstLineChars="200"/>
        <w:rPr>
          <w:rFonts w:ascii="仿宋" w:hAnsi="仿宋" w:eastAsia="仿宋"/>
          <w:sz w:val="28"/>
          <w:szCs w:val="28"/>
        </w:rPr>
      </w:pPr>
      <w:r>
        <w:rPr>
          <w:rFonts w:hint="eastAsia" w:ascii="仿宋" w:hAnsi="仿宋" w:eastAsia="仿宋"/>
          <w:b/>
          <w:sz w:val="28"/>
          <w:szCs w:val="28"/>
        </w:rPr>
        <w:t>（1）山区段河流。</w:t>
      </w:r>
      <w:r>
        <w:rPr>
          <w:rFonts w:hint="eastAsia" w:ascii="仿宋" w:hAnsi="仿宋" w:eastAsia="仿宋"/>
          <w:sz w:val="28"/>
          <w:szCs w:val="28"/>
        </w:rPr>
        <w:t>重点是保护上游山区段河流的自然属性，维持自然驳岸和自然岸带植被。</w:t>
      </w:r>
    </w:p>
    <w:p>
      <w:pPr>
        <w:spacing w:line="276" w:lineRule="auto"/>
        <w:ind w:firstLine="560" w:firstLineChars="200"/>
        <w:rPr>
          <w:rFonts w:ascii="仿宋" w:hAnsi="仿宋" w:eastAsia="仿宋"/>
          <w:sz w:val="28"/>
          <w:szCs w:val="28"/>
        </w:rPr>
      </w:pPr>
      <w:r>
        <w:rPr>
          <w:rFonts w:hint="eastAsia" w:ascii="仿宋" w:hAnsi="仿宋" w:eastAsia="仿宋"/>
          <w:b/>
          <w:sz w:val="28"/>
          <w:szCs w:val="28"/>
        </w:rPr>
        <w:t>（2）平原段河流。</w:t>
      </w:r>
      <w:r>
        <w:rPr>
          <w:rFonts w:hint="eastAsia" w:ascii="仿宋" w:hAnsi="仿宋" w:eastAsia="仿宋"/>
          <w:sz w:val="28"/>
          <w:szCs w:val="28"/>
        </w:rPr>
        <w:t>保护恢复自然驳岸和乡土河岸森林，形成一定宽度的近自然河岸森林植被，延续水清岸绿的乡愁田园景观。</w:t>
      </w:r>
    </w:p>
    <w:p>
      <w:pPr>
        <w:spacing w:line="276" w:lineRule="auto"/>
        <w:ind w:firstLine="560" w:firstLineChars="200"/>
        <w:rPr>
          <w:rFonts w:ascii="仿宋" w:hAnsi="仿宋" w:eastAsia="仿宋"/>
          <w:sz w:val="28"/>
          <w:szCs w:val="28"/>
        </w:rPr>
      </w:pPr>
      <w:r>
        <w:rPr>
          <w:rFonts w:hint="eastAsia" w:ascii="仿宋" w:hAnsi="仿宋" w:eastAsia="仿宋"/>
          <w:b/>
          <w:sz w:val="28"/>
          <w:szCs w:val="28"/>
        </w:rPr>
        <w:t>（3）城区段河流。利用</w:t>
      </w:r>
      <w:r>
        <w:rPr>
          <w:rFonts w:hint="eastAsia" w:ascii="仿宋" w:hAnsi="仿宋" w:eastAsia="仿宋"/>
          <w:sz w:val="28"/>
          <w:szCs w:val="28"/>
        </w:rPr>
        <w:t>生态技术深度处理城市污水、收集雨水和地表径流，多渠道利用中水、天然降水来补充河道湿地用水，维持河流的流动性，对现有硬化河段进行生态化改造。</w:t>
      </w:r>
    </w:p>
    <w:p>
      <w:pPr>
        <w:pStyle w:val="4"/>
        <w:spacing w:before="0" w:after="0" w:line="276" w:lineRule="auto"/>
        <w:rPr>
          <w:rFonts w:ascii="仿宋" w:hAnsi="仿宋" w:eastAsia="仿宋"/>
        </w:rPr>
      </w:pPr>
      <w:bookmarkStart w:id="322" w:name="_Toc27389951"/>
      <w:r>
        <w:rPr>
          <w:rFonts w:ascii="仿宋" w:hAnsi="仿宋" w:eastAsia="仿宋"/>
        </w:rPr>
        <w:t>2</w:t>
      </w:r>
      <w:r>
        <w:rPr>
          <w:rFonts w:hint="eastAsia" w:ascii="仿宋" w:hAnsi="仿宋" w:eastAsia="仿宋"/>
        </w:rPr>
        <w:t>.人工湿地保护与恢复</w:t>
      </w:r>
      <w:bookmarkEnd w:id="322"/>
    </w:p>
    <w:p>
      <w:pPr>
        <w:spacing w:line="276" w:lineRule="auto"/>
        <w:ind w:firstLine="560" w:firstLineChars="200"/>
        <w:rPr>
          <w:rFonts w:ascii="仿宋" w:hAnsi="仿宋" w:eastAsia="仿宋"/>
          <w:sz w:val="28"/>
          <w:szCs w:val="28"/>
        </w:rPr>
      </w:pPr>
      <w:r>
        <w:rPr>
          <w:rFonts w:hint="eastAsia" w:ascii="仿宋" w:hAnsi="仿宋" w:eastAsia="仿宋"/>
          <w:b/>
          <w:sz w:val="28"/>
          <w:szCs w:val="28"/>
        </w:rPr>
        <w:t>（1）保护现有湿地。</w:t>
      </w:r>
      <w:r>
        <w:rPr>
          <w:rFonts w:hint="eastAsia" w:ascii="仿宋" w:hAnsi="仿宋" w:eastAsia="仿宋"/>
          <w:sz w:val="28"/>
          <w:szCs w:val="28"/>
        </w:rPr>
        <w:t>加强对密云水库、野鸭湖、南海子湿地、稻香湖湿地、玉渊潭等人工湿地的保护，根据各湿地生物的生态习性和生活习性，通过改善隐蔽条件、食源生物恢复、生境岛营造、建设生态廊道等措施，提升湿地生态服务功能和保护人工湿地生物多样性。</w:t>
      </w:r>
    </w:p>
    <w:p>
      <w:pPr>
        <w:spacing w:line="276" w:lineRule="auto"/>
        <w:ind w:firstLine="560" w:firstLineChars="200"/>
        <w:rPr>
          <w:rFonts w:ascii="仿宋" w:hAnsi="仿宋" w:eastAsia="仿宋"/>
          <w:sz w:val="28"/>
          <w:szCs w:val="28"/>
        </w:rPr>
      </w:pPr>
      <w:r>
        <w:rPr>
          <w:rFonts w:hint="eastAsia" w:ascii="仿宋" w:hAnsi="仿宋" w:eastAsia="仿宋"/>
          <w:b/>
          <w:sz w:val="28"/>
          <w:szCs w:val="28"/>
        </w:rPr>
        <w:t>（2）扩大平原湿地。</w:t>
      </w:r>
      <w:r>
        <w:rPr>
          <w:rFonts w:hint="eastAsia" w:ascii="仿宋" w:hAnsi="仿宋" w:eastAsia="仿宋"/>
          <w:sz w:val="28"/>
          <w:szCs w:val="28"/>
        </w:rPr>
        <w:t>结合新一轮百万亩造林等生态建设工程，以及通州新城建设、南苑森林湿地建设等项目，进一步拓展扩大平原区成片湿地的面积。</w:t>
      </w:r>
    </w:p>
    <w:p>
      <w:pPr>
        <w:pStyle w:val="3"/>
        <w:spacing w:before="217" w:after="217"/>
        <w:jc w:val="left"/>
        <w:rPr>
          <w:rFonts w:ascii="黑体" w:hAnsi="黑体" w:eastAsia="黑体" w:cs="Times New Roman"/>
          <w:b w:val="0"/>
          <w:bCs w:val="0"/>
        </w:rPr>
      </w:pPr>
      <w:bookmarkStart w:id="323" w:name="_Toc27389952"/>
      <w:r>
        <w:rPr>
          <w:rFonts w:hint="eastAsia" w:ascii="黑体" w:hAnsi="黑体" w:eastAsia="黑体" w:cs="Times New Roman"/>
          <w:b w:val="0"/>
          <w:bCs w:val="0"/>
        </w:rPr>
        <w:t>八、京津冀生态协同</w:t>
      </w:r>
      <w:bookmarkEnd w:id="319"/>
      <w:bookmarkEnd w:id="320"/>
      <w:bookmarkEnd w:id="323"/>
    </w:p>
    <w:p>
      <w:pPr>
        <w:spacing w:before="217" w:after="217" w:line="264"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（一）建设目标</w:t>
      </w:r>
    </w:p>
    <w:p>
      <w:pPr>
        <w:spacing w:line="276" w:lineRule="auto"/>
        <w:ind w:firstLine="560" w:firstLineChars="200"/>
        <w:rPr>
          <w:rFonts w:ascii="仿宋" w:hAnsi="仿宋" w:eastAsia="仿宋"/>
          <w:sz w:val="28"/>
          <w:szCs w:val="28"/>
        </w:rPr>
      </w:pPr>
      <w:r>
        <w:rPr>
          <w:rFonts w:hint="eastAsia" w:ascii="仿宋" w:hAnsi="仿宋" w:eastAsia="仿宋"/>
          <w:sz w:val="28"/>
          <w:szCs w:val="28"/>
        </w:rPr>
        <w:t>发挥北京森林城市建设的引领示范作用，推进京津保生态过渡区、京张承生态涵养区、京津冀森林城市群建设，形成以“关键森林斑块节点-跨区域生态廊道-大尺度森林片林”的区域性城市群森林生态空间格局。该工程是推动京津冀生态环境保护领域实现率先突破的主攻方向。</w:t>
      </w:r>
    </w:p>
    <w:p>
      <w:pPr>
        <w:spacing w:line="360" w:lineRule="auto"/>
        <w:ind w:firstLine="480" w:firstLineChars="200"/>
        <w:rPr>
          <w:rFonts w:ascii="仿宋" w:hAnsi="仿宋" w:eastAsia="仿宋"/>
          <w:sz w:val="24"/>
          <w:szCs w:val="24"/>
        </w:rPr>
      </w:pPr>
      <w:r>
        <w:rPr>
          <w:rFonts w:ascii="仿宋" w:hAnsi="仿宋" w:eastAsia="仿宋" w:cs="Times New Roman"/>
          <w:sz w:val="24"/>
          <w:szCs w:val="24"/>
        </w:rPr>
        <w:drawing>
          <wp:inline distT="0" distB="0" distL="0" distR="0">
            <wp:extent cx="4696460" cy="3341370"/>
            <wp:effectExtent l="0" t="0" r="8890" b="0"/>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noChangeArrowheads="true"/>
                    </pic:cNvPicPr>
                  </pic:nvPicPr>
                  <pic:blipFill>
                    <a:blip r:embed="rId39" cstate="hqprint"/>
                    <a:srcRect/>
                    <a:stretch>
                      <a:fillRect/>
                    </a:stretch>
                  </pic:blipFill>
                  <pic:spPr>
                    <a:xfrm>
                      <a:off x="0" y="0"/>
                      <a:ext cx="4696460" cy="3341370"/>
                    </a:xfrm>
                    <a:prstGeom prst="rect">
                      <a:avLst/>
                    </a:prstGeom>
                    <a:noFill/>
                    <a:ln>
                      <a:noFill/>
                    </a:ln>
                  </pic:spPr>
                </pic:pic>
              </a:graphicData>
            </a:graphic>
          </wp:inline>
        </w:drawing>
      </w:r>
    </w:p>
    <w:p>
      <w:pPr>
        <w:spacing w:line="360" w:lineRule="auto"/>
        <w:jc w:val="center"/>
        <w:rPr>
          <w:rFonts w:ascii="仿宋" w:hAnsi="仿宋" w:eastAsia="仿宋" w:cs="Times New Roman"/>
          <w:b/>
          <w:szCs w:val="21"/>
        </w:rPr>
      </w:pPr>
      <w:r>
        <w:rPr>
          <w:rFonts w:hint="eastAsia" w:ascii="仿宋" w:hAnsi="仿宋" w:eastAsia="仿宋" w:cs="Times New Roman"/>
          <w:b/>
          <w:szCs w:val="21"/>
        </w:rPr>
        <w:t>图7</w:t>
      </w:r>
      <w:r>
        <w:rPr>
          <w:rFonts w:ascii="仿宋" w:hAnsi="仿宋" w:eastAsia="仿宋" w:cs="Times New Roman"/>
          <w:b/>
          <w:szCs w:val="21"/>
        </w:rPr>
        <w:t xml:space="preserve">-2 </w:t>
      </w:r>
      <w:r>
        <w:rPr>
          <w:rFonts w:hint="eastAsia" w:ascii="仿宋" w:hAnsi="仿宋" w:eastAsia="仿宋" w:cs="Times New Roman"/>
          <w:b/>
          <w:szCs w:val="21"/>
        </w:rPr>
        <w:t>北京京东南区域生态片林建设布局</w:t>
      </w:r>
    </w:p>
    <w:p>
      <w:pPr>
        <w:spacing w:before="217" w:after="217" w:line="264"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（二）建设内容</w:t>
      </w:r>
    </w:p>
    <w:p>
      <w:pPr>
        <w:pStyle w:val="4"/>
        <w:spacing w:before="0" w:after="0" w:line="276" w:lineRule="auto"/>
        <w:rPr>
          <w:rFonts w:ascii="仿宋" w:hAnsi="仿宋" w:eastAsia="仿宋"/>
        </w:rPr>
      </w:pPr>
      <w:bookmarkStart w:id="324" w:name="_Toc27389953"/>
      <w:bookmarkStart w:id="325" w:name="_Toc529001576"/>
      <w:bookmarkStart w:id="326" w:name="_Toc530649089"/>
      <w:r>
        <w:rPr>
          <w:rFonts w:ascii="仿宋" w:hAnsi="仿宋" w:eastAsia="仿宋"/>
        </w:rPr>
        <w:t>1</w:t>
      </w:r>
      <w:r>
        <w:rPr>
          <w:rFonts w:hint="eastAsia" w:ascii="仿宋" w:hAnsi="仿宋" w:eastAsia="仿宋"/>
        </w:rPr>
        <w:t>.京津保过渡区生态建设</w:t>
      </w:r>
      <w:bookmarkEnd w:id="324"/>
      <w:bookmarkEnd w:id="325"/>
      <w:bookmarkEnd w:id="326"/>
    </w:p>
    <w:p>
      <w:pPr>
        <w:spacing w:line="276" w:lineRule="auto"/>
        <w:ind w:firstLine="560" w:firstLineChars="200"/>
        <w:rPr>
          <w:rFonts w:ascii="仿宋" w:hAnsi="仿宋" w:eastAsia="仿宋"/>
          <w:sz w:val="28"/>
          <w:szCs w:val="28"/>
        </w:rPr>
      </w:pPr>
      <w:r>
        <w:rPr>
          <w:rFonts w:hint="eastAsia" w:ascii="仿宋" w:hAnsi="仿宋" w:eastAsia="仿宋"/>
          <w:sz w:val="28"/>
          <w:szCs w:val="28"/>
        </w:rPr>
        <w:t>在北京、天津、保定与雄安新区的相邻地带，重点建设成片森林为主的生态隔离带，优化区域森林生态格局，控制城市“摊大饼”式发展。北京重点是建设好永定河沿岸的大尺度滨河森林、北京大兴国际机场森林、大运河水岸森林，强化东部平谷、西南部房山、西部门头沟等山地森林植被恢复与功能提升。</w:t>
      </w:r>
    </w:p>
    <w:p>
      <w:pPr>
        <w:pStyle w:val="4"/>
        <w:spacing w:before="0" w:after="0" w:line="276" w:lineRule="auto"/>
        <w:rPr>
          <w:rFonts w:ascii="仿宋" w:hAnsi="仿宋" w:eastAsia="仿宋"/>
        </w:rPr>
      </w:pPr>
      <w:bookmarkStart w:id="327" w:name="_Toc27389954"/>
      <w:bookmarkStart w:id="328" w:name="_Toc529001577"/>
      <w:bookmarkStart w:id="329" w:name="_Toc530649090"/>
      <w:r>
        <w:rPr>
          <w:rFonts w:ascii="仿宋" w:hAnsi="仿宋" w:eastAsia="仿宋"/>
        </w:rPr>
        <w:t>2</w:t>
      </w:r>
      <w:r>
        <w:rPr>
          <w:rFonts w:hint="eastAsia" w:ascii="仿宋" w:hAnsi="仿宋" w:eastAsia="仿宋"/>
        </w:rPr>
        <w:t>.京张承涵养区生态建设</w:t>
      </w:r>
      <w:bookmarkEnd w:id="327"/>
      <w:bookmarkEnd w:id="328"/>
      <w:bookmarkEnd w:id="329"/>
    </w:p>
    <w:p>
      <w:pPr>
        <w:spacing w:line="276" w:lineRule="auto"/>
        <w:ind w:firstLine="560" w:firstLineChars="200"/>
        <w:rPr>
          <w:rFonts w:ascii="仿宋" w:hAnsi="仿宋" w:eastAsia="仿宋"/>
          <w:sz w:val="28"/>
          <w:szCs w:val="28"/>
        </w:rPr>
      </w:pPr>
      <w:r>
        <w:rPr>
          <w:rFonts w:hint="eastAsia" w:ascii="仿宋" w:hAnsi="仿宋" w:eastAsia="仿宋"/>
          <w:sz w:val="28"/>
          <w:szCs w:val="28"/>
        </w:rPr>
        <w:t>按照中央确定的京张承生态涵养区战略，落实《中共北京市委、北京市人民政府关于推动生态涵养区生态保护和绿色发展的实施意见》，强化该区域森林水源涵养、净化空气、生物多样性保护等功能。</w:t>
      </w:r>
    </w:p>
    <w:p>
      <w:pPr>
        <w:spacing w:line="276" w:lineRule="auto"/>
        <w:ind w:firstLine="560" w:firstLineChars="200"/>
        <w:rPr>
          <w:rFonts w:ascii="仿宋" w:hAnsi="仿宋" w:eastAsia="仿宋"/>
          <w:sz w:val="28"/>
          <w:szCs w:val="28"/>
        </w:rPr>
      </w:pPr>
      <w:r>
        <w:rPr>
          <w:rFonts w:hint="eastAsia" w:ascii="仿宋" w:hAnsi="仿宋" w:eastAsia="仿宋"/>
          <w:b/>
          <w:sz w:val="28"/>
          <w:szCs w:val="28"/>
        </w:rPr>
        <w:t>（1）推动生态涵养区的生态保护和绿色发展。</w:t>
      </w:r>
      <w:r>
        <w:rPr>
          <w:rFonts w:hint="eastAsia" w:ascii="仿宋" w:hAnsi="仿宋" w:eastAsia="仿宋"/>
          <w:sz w:val="28"/>
          <w:szCs w:val="28"/>
        </w:rPr>
        <w:t>重点是按照生态涵养区的功能定位和职责，实施生态补偿，强化促进门头沟、平谷、怀柔、密云、延庆、昌平和房山的造林绿化、森林质量提升等。</w:t>
      </w:r>
    </w:p>
    <w:p>
      <w:pPr>
        <w:spacing w:line="276" w:lineRule="auto"/>
        <w:ind w:firstLine="560" w:firstLineChars="200"/>
        <w:rPr>
          <w:rFonts w:ascii="仿宋" w:hAnsi="仿宋" w:eastAsia="仿宋"/>
          <w:sz w:val="28"/>
          <w:szCs w:val="28"/>
        </w:rPr>
      </w:pPr>
      <w:r>
        <w:rPr>
          <w:rFonts w:hint="eastAsia" w:ascii="仿宋" w:hAnsi="仿宋" w:eastAsia="仿宋"/>
          <w:b/>
          <w:sz w:val="28"/>
          <w:szCs w:val="28"/>
        </w:rPr>
        <w:t>（2）加强与承德张家口外围生态涵养区合作。</w:t>
      </w:r>
      <w:r>
        <w:rPr>
          <w:rFonts w:hint="eastAsia" w:ascii="仿宋" w:hAnsi="仿宋" w:eastAsia="仿宋"/>
          <w:sz w:val="28"/>
          <w:szCs w:val="28"/>
        </w:rPr>
        <w:t>发挥北京森林城市建设的引领作用，通过跨区域的植树造林、退耕还林、矿山治理等措施，扎实推进水源保护区植被恢复、风沙源治理等重大生态工程。</w:t>
      </w:r>
    </w:p>
    <w:p>
      <w:pPr>
        <w:pStyle w:val="4"/>
        <w:spacing w:before="0" w:after="0" w:line="276" w:lineRule="auto"/>
        <w:rPr>
          <w:rFonts w:ascii="仿宋" w:hAnsi="仿宋" w:eastAsia="仿宋"/>
        </w:rPr>
      </w:pPr>
      <w:bookmarkStart w:id="330" w:name="_Toc27389955"/>
      <w:r>
        <w:rPr>
          <w:rFonts w:ascii="仿宋" w:hAnsi="仿宋" w:eastAsia="仿宋"/>
        </w:rPr>
        <w:t>3</w:t>
      </w:r>
      <w:r>
        <w:rPr>
          <w:rFonts w:hint="eastAsia" w:ascii="仿宋" w:hAnsi="仿宋" w:eastAsia="仿宋"/>
        </w:rPr>
        <w:t>.冬奥会相关区域生态建设</w:t>
      </w:r>
      <w:bookmarkEnd w:id="330"/>
    </w:p>
    <w:p>
      <w:pPr>
        <w:spacing w:line="276" w:lineRule="auto"/>
        <w:ind w:firstLine="560" w:firstLineChars="200"/>
        <w:rPr>
          <w:rFonts w:ascii="仿宋" w:hAnsi="仿宋" w:eastAsia="仿宋"/>
          <w:b/>
          <w:sz w:val="28"/>
          <w:szCs w:val="28"/>
        </w:rPr>
      </w:pPr>
      <w:r>
        <w:rPr>
          <w:rFonts w:hint="eastAsia" w:ascii="仿宋" w:hAnsi="仿宋" w:eastAsia="仿宋"/>
          <w:b/>
          <w:sz w:val="28"/>
          <w:szCs w:val="28"/>
        </w:rPr>
        <w:t>（1）冬奥会场馆周边景观提升。</w:t>
      </w:r>
      <w:r>
        <w:rPr>
          <w:rFonts w:hint="eastAsia" w:ascii="仿宋" w:hAnsi="仿宋" w:eastAsia="仿宋"/>
          <w:sz w:val="28"/>
          <w:szCs w:val="28"/>
        </w:rPr>
        <w:t>对北京奥林匹克中心区、延庆区及其周边区域（如张山营镇）的森林景观进行增彩添绿，改善森林树种结构，主要选择增加常绿树及耐寒树，形成高质量的四季景观。</w:t>
      </w:r>
      <w:r>
        <w:rPr>
          <w:rFonts w:hint="eastAsia" w:ascii="仿宋" w:hAnsi="仿宋" w:eastAsia="仿宋"/>
          <w:b/>
          <w:sz w:val="28"/>
          <w:szCs w:val="28"/>
        </w:rPr>
        <w:t xml:space="preserve"> </w:t>
      </w:r>
    </w:p>
    <w:p>
      <w:pPr>
        <w:spacing w:line="276" w:lineRule="auto"/>
        <w:ind w:firstLine="560" w:firstLineChars="200"/>
        <w:rPr>
          <w:rFonts w:ascii="仿宋" w:hAnsi="仿宋" w:eastAsia="仿宋"/>
          <w:color w:val="FF0000"/>
          <w:sz w:val="28"/>
          <w:szCs w:val="28"/>
        </w:rPr>
      </w:pPr>
      <w:r>
        <w:rPr>
          <w:rFonts w:hint="eastAsia" w:ascii="仿宋" w:hAnsi="仿宋" w:eastAsia="仿宋"/>
          <w:b/>
          <w:sz w:val="28"/>
          <w:szCs w:val="28"/>
        </w:rPr>
        <w:t>（2）冬奥廊道沿线植被景观优化。</w:t>
      </w:r>
      <w:r>
        <w:rPr>
          <w:rFonts w:hint="eastAsia" w:ascii="仿宋" w:hAnsi="仿宋" w:eastAsia="仿宋"/>
          <w:sz w:val="28"/>
          <w:szCs w:val="28"/>
        </w:rPr>
        <w:t>针对冬奥廊道沿线景观存在的不足，提升改造张承高速、太子城周边、八达岭高速等不同地段的廊道景观质量，打造高标准、高水平、有特色的奥运景观通道。</w:t>
      </w:r>
    </w:p>
    <w:p>
      <w:pPr>
        <w:pStyle w:val="4"/>
        <w:spacing w:before="0" w:after="0" w:line="276" w:lineRule="auto"/>
        <w:rPr>
          <w:rFonts w:ascii="仿宋" w:hAnsi="仿宋" w:eastAsia="仿宋"/>
        </w:rPr>
      </w:pPr>
      <w:bookmarkStart w:id="331" w:name="_Toc27389956"/>
      <w:bookmarkStart w:id="332" w:name="_Toc529001578"/>
      <w:bookmarkStart w:id="333" w:name="_Toc530649091"/>
      <w:r>
        <w:rPr>
          <w:rFonts w:ascii="仿宋" w:hAnsi="仿宋" w:eastAsia="仿宋"/>
        </w:rPr>
        <w:t>4</w:t>
      </w:r>
      <w:r>
        <w:rPr>
          <w:rFonts w:hint="eastAsia" w:ascii="仿宋" w:hAnsi="仿宋" w:eastAsia="仿宋"/>
        </w:rPr>
        <w:t>.京津冀森林城市群建设</w:t>
      </w:r>
      <w:bookmarkEnd w:id="331"/>
      <w:bookmarkEnd w:id="332"/>
      <w:bookmarkEnd w:id="333"/>
    </w:p>
    <w:p>
      <w:pPr>
        <w:spacing w:line="276" w:lineRule="auto"/>
        <w:ind w:firstLine="560" w:firstLineChars="200"/>
        <w:rPr>
          <w:rFonts w:ascii="仿宋" w:hAnsi="仿宋" w:eastAsia="仿宋"/>
          <w:kern w:val="0"/>
          <w:sz w:val="28"/>
          <w:szCs w:val="28"/>
        </w:rPr>
      </w:pPr>
      <w:r>
        <w:rPr>
          <w:rFonts w:hint="eastAsia" w:ascii="仿宋" w:hAnsi="仿宋" w:eastAsia="仿宋"/>
          <w:b/>
          <w:kern w:val="0"/>
          <w:sz w:val="28"/>
          <w:szCs w:val="28"/>
        </w:rPr>
        <w:t>（1）率先建成北京森林城市群。</w:t>
      </w:r>
      <w:r>
        <w:rPr>
          <w:rFonts w:hint="eastAsia" w:ascii="仿宋" w:hAnsi="仿宋" w:eastAsia="仿宋"/>
          <w:kern w:val="0"/>
          <w:sz w:val="28"/>
          <w:szCs w:val="28"/>
        </w:rPr>
        <w:t>全面加快北京市国家森林城市创建速度，力争在2023年，除东城、西城外的14个区建成国家森林城市，确保北京全市域达到国家森林城市标准，在京津冀地区率先建成北京森林城市群。同时，在新城森林建设、首都功能核心区森林建设、平原森林建设等方面，为京津冀森林城市群和雄安新区森林城市建设发挥引领示范作用。</w:t>
      </w:r>
    </w:p>
    <w:p>
      <w:pPr>
        <w:spacing w:line="276" w:lineRule="auto"/>
        <w:ind w:firstLine="560" w:firstLineChars="200"/>
        <w:rPr>
          <w:rFonts w:ascii="仿宋" w:hAnsi="仿宋" w:eastAsia="仿宋"/>
          <w:kern w:val="0"/>
          <w:sz w:val="28"/>
          <w:szCs w:val="28"/>
        </w:rPr>
      </w:pPr>
      <w:r>
        <w:rPr>
          <w:rFonts w:hint="eastAsia" w:ascii="仿宋" w:hAnsi="仿宋" w:eastAsia="仿宋"/>
          <w:b/>
          <w:kern w:val="0"/>
          <w:sz w:val="28"/>
          <w:szCs w:val="28"/>
        </w:rPr>
        <w:t>（2）建设环首都森林圈。</w:t>
      </w:r>
      <w:r>
        <w:rPr>
          <w:rFonts w:hint="eastAsia" w:ascii="仿宋" w:hAnsi="仿宋" w:eastAsia="仿宋"/>
          <w:kern w:val="0"/>
          <w:sz w:val="28"/>
          <w:szCs w:val="28"/>
        </w:rPr>
        <w:t>在北京与河北、天津交界地区营造森林隔离带，建设环首都森林公园，打造区域游憩共享体，构建数公里宽、绵延数百公里的绕首都森林圈，服务整个京津冀地区休闲旅游。</w:t>
      </w:r>
    </w:p>
    <w:p>
      <w:pPr>
        <w:spacing w:line="276" w:lineRule="auto"/>
        <w:ind w:firstLine="560" w:firstLineChars="200"/>
        <w:rPr>
          <w:rFonts w:ascii="仿宋" w:hAnsi="仿宋" w:eastAsia="仿宋"/>
          <w:sz w:val="28"/>
          <w:szCs w:val="28"/>
        </w:rPr>
      </w:pPr>
      <w:r>
        <w:rPr>
          <w:rFonts w:hint="eastAsia" w:ascii="仿宋" w:hAnsi="仿宋" w:eastAsia="仿宋"/>
          <w:b/>
          <w:kern w:val="0"/>
          <w:sz w:val="28"/>
          <w:szCs w:val="28"/>
        </w:rPr>
        <w:t>（3）贯通区域性生态廊道。</w:t>
      </w:r>
      <w:r>
        <w:rPr>
          <w:rFonts w:hint="eastAsia" w:ascii="仿宋" w:hAnsi="仿宋" w:eastAsia="仿宋"/>
          <w:kern w:val="0"/>
          <w:sz w:val="28"/>
          <w:szCs w:val="28"/>
        </w:rPr>
        <w:t>以北京市域骨干生态廊道为依托，加强永定河、温榆河、潮白河等区域性主干河流和高速公路的生态景观林带建设，结合京津冀区域一体化交通网络，构建贯通性的跨区域生态廊道网</w:t>
      </w:r>
      <w:r>
        <w:rPr>
          <w:rFonts w:hint="eastAsia" w:ascii="仿宋" w:hAnsi="仿宋" w:eastAsia="仿宋"/>
          <w:sz w:val="28"/>
          <w:szCs w:val="28"/>
        </w:rPr>
        <w:t>。</w:t>
      </w:r>
    </w:p>
    <w:p>
      <w:pPr>
        <w:widowControl/>
        <w:jc w:val="left"/>
        <w:rPr>
          <w:rFonts w:ascii="Times New Roman" w:hAnsi="Times New Roman" w:cs="Times New Roman"/>
          <w:sz w:val="24"/>
        </w:rPr>
      </w:pPr>
    </w:p>
    <w:p/>
    <w:p>
      <w:pPr>
        <w:sectPr>
          <w:pgSz w:w="11906" w:h="16838"/>
          <w:pgMar w:top="1418" w:right="1701" w:bottom="1418" w:left="1701" w:header="851" w:footer="992" w:gutter="0"/>
          <w:cols w:space="425" w:num="1"/>
          <w:docGrid w:type="linesAndChars" w:linePitch="312" w:charSpace="0"/>
        </w:sectPr>
      </w:pPr>
    </w:p>
    <w:bookmarkEnd w:id="318"/>
    <w:p>
      <w:pPr>
        <w:pStyle w:val="2"/>
        <w:keepLines w:val="0"/>
        <w:widowControl/>
        <w:spacing w:before="0" w:after="435" w:line="276" w:lineRule="auto"/>
        <w:jc w:val="center"/>
        <w:rPr>
          <w:rFonts w:ascii="黑体" w:hAnsi="黑体" w:eastAsia="黑体" w:cs="宋体"/>
          <w:spacing w:val="4"/>
          <w:kern w:val="36"/>
          <w:sz w:val="40"/>
          <w:szCs w:val="40"/>
        </w:rPr>
      </w:pPr>
      <w:bookmarkStart w:id="334" w:name="_Toc27389957"/>
      <w:r>
        <w:rPr>
          <w:rFonts w:hint="eastAsia" w:ascii="黑体" w:hAnsi="黑体" w:eastAsia="黑体" w:cs="宋体"/>
          <w:spacing w:val="4"/>
          <w:kern w:val="36"/>
          <w:sz w:val="40"/>
          <w:szCs w:val="40"/>
        </w:rPr>
        <w:t>第八篇 森林生态文化体系建设</w:t>
      </w:r>
      <w:bookmarkEnd w:id="334"/>
    </w:p>
    <w:p>
      <w:pPr>
        <w:pStyle w:val="3"/>
        <w:spacing w:before="217" w:after="217"/>
        <w:jc w:val="left"/>
        <w:rPr>
          <w:rFonts w:ascii="黑体" w:hAnsi="黑体" w:eastAsia="黑体" w:cs="Times New Roman"/>
          <w:b w:val="0"/>
          <w:bCs w:val="0"/>
        </w:rPr>
      </w:pPr>
      <w:bookmarkStart w:id="335" w:name="_Toc27389958"/>
      <w:r>
        <w:rPr>
          <w:rFonts w:hint="eastAsia" w:ascii="黑体" w:hAnsi="黑体" w:eastAsia="黑体" w:cs="Times New Roman"/>
          <w:b w:val="0"/>
          <w:bCs w:val="0"/>
        </w:rPr>
        <w:t>一、森林湿地体验文化</w:t>
      </w:r>
      <w:bookmarkEnd w:id="335"/>
    </w:p>
    <w:p>
      <w:pPr>
        <w:spacing w:before="217" w:after="217" w:line="264" w:lineRule="auto"/>
        <w:rPr>
          <w:rFonts w:ascii="仿宋" w:hAnsi="仿宋" w:eastAsia="仿宋" w:cs="Times New Roman"/>
          <w:b/>
          <w:spacing w:val="20"/>
          <w:sz w:val="32"/>
          <w:szCs w:val="32"/>
        </w:rPr>
      </w:pPr>
      <w:r>
        <w:rPr>
          <w:rFonts w:ascii="仿宋" w:hAnsi="仿宋" w:eastAsia="仿宋" w:cs="Times New Roman"/>
          <w:b/>
          <w:spacing w:val="20"/>
          <w:sz w:val="32"/>
          <w:szCs w:val="32"/>
        </w:rPr>
        <w:t>（</w:t>
      </w:r>
      <w:r>
        <w:rPr>
          <w:rFonts w:hint="eastAsia" w:ascii="仿宋" w:hAnsi="仿宋" w:eastAsia="仿宋" w:cs="Times New Roman"/>
          <w:b/>
          <w:spacing w:val="20"/>
          <w:sz w:val="32"/>
          <w:szCs w:val="32"/>
        </w:rPr>
        <w:t>一）建设目标</w:t>
      </w:r>
    </w:p>
    <w:p>
      <w:pPr>
        <w:autoSpaceDE w:val="0"/>
        <w:autoSpaceDN w:val="0"/>
        <w:adjustRightInd w:val="0"/>
        <w:spacing w:line="276" w:lineRule="auto"/>
        <w:ind w:firstLine="560" w:firstLineChars="200"/>
        <w:rPr>
          <w:rFonts w:ascii="仿宋" w:hAnsi="仿宋" w:eastAsia="仿宋" w:cs="Times New Roman"/>
          <w:b/>
          <w:sz w:val="32"/>
          <w:szCs w:val="32"/>
        </w:rPr>
      </w:pPr>
      <w:r>
        <w:rPr>
          <w:rFonts w:hint="eastAsia" w:ascii="仿宋" w:hAnsi="仿宋" w:eastAsia="仿宋"/>
          <w:bCs/>
          <w:sz w:val="28"/>
          <w:szCs w:val="28"/>
        </w:rPr>
        <w:t>完善森林文化体验、湿地文化体验建设，</w:t>
      </w:r>
      <w:r>
        <w:rPr>
          <w:rFonts w:hint="eastAsia" w:ascii="仿宋" w:hAnsi="仿宋" w:eastAsia="仿宋"/>
          <w:sz w:val="28"/>
          <w:szCs w:val="24"/>
        </w:rPr>
        <w:t>立足西太行山、北燕山山脉、永定河、潮白河、北运河、拒马河、泃河为基础构架的北京市蓝绿生态空间资源，以自然环境体验为抓手，形成公众生态文化直观感触，提升生态文明意识。该工程重在</w:t>
      </w:r>
      <w:r>
        <w:rPr>
          <w:rFonts w:hint="eastAsia" w:ascii="仿宋" w:hAnsi="仿宋" w:eastAsia="仿宋"/>
          <w:bCs/>
          <w:sz w:val="28"/>
          <w:szCs w:val="28"/>
        </w:rPr>
        <w:t>突出生态文化与自然融合共生的首都生态文化特色。</w:t>
      </w:r>
    </w:p>
    <w:p>
      <w:pPr>
        <w:spacing w:before="217" w:after="217" w:line="264" w:lineRule="auto"/>
        <w:rPr>
          <w:rFonts w:ascii="仿宋" w:hAnsi="仿宋" w:eastAsia="仿宋" w:cs="Times New Roman"/>
          <w:b/>
          <w:spacing w:val="20"/>
          <w:sz w:val="32"/>
          <w:szCs w:val="32"/>
        </w:rPr>
      </w:pPr>
      <w:r>
        <w:rPr>
          <w:rFonts w:ascii="仿宋" w:hAnsi="仿宋" w:eastAsia="仿宋" w:cs="Times New Roman"/>
          <w:b/>
          <w:spacing w:val="20"/>
          <w:sz w:val="32"/>
          <w:szCs w:val="32"/>
        </w:rPr>
        <w:t>（</w:t>
      </w:r>
      <w:r>
        <w:rPr>
          <w:rFonts w:hint="eastAsia" w:ascii="仿宋" w:hAnsi="仿宋" w:eastAsia="仿宋" w:cs="Times New Roman"/>
          <w:b/>
          <w:spacing w:val="20"/>
          <w:sz w:val="32"/>
          <w:szCs w:val="32"/>
        </w:rPr>
        <w:t>二）建设内容</w:t>
      </w:r>
    </w:p>
    <w:p>
      <w:pPr>
        <w:pStyle w:val="4"/>
        <w:spacing w:before="0" w:after="0" w:line="276" w:lineRule="auto"/>
        <w:rPr>
          <w:rFonts w:ascii="仿宋" w:hAnsi="仿宋" w:eastAsia="仿宋"/>
        </w:rPr>
      </w:pPr>
      <w:bookmarkStart w:id="336" w:name="_Toc27389959"/>
      <w:r>
        <w:rPr>
          <w:rFonts w:ascii="仿宋" w:hAnsi="仿宋" w:eastAsia="仿宋"/>
        </w:rPr>
        <w:t>1</w:t>
      </w:r>
      <w:r>
        <w:rPr>
          <w:rFonts w:hint="eastAsia" w:ascii="仿宋" w:hAnsi="仿宋" w:eastAsia="仿宋"/>
        </w:rPr>
        <w:t>.森林文化体验</w:t>
      </w:r>
      <w:bookmarkEnd w:id="336"/>
    </w:p>
    <w:p>
      <w:pPr>
        <w:spacing w:line="276" w:lineRule="auto"/>
        <w:ind w:firstLine="560" w:firstLineChars="200"/>
        <w:rPr>
          <w:rFonts w:ascii="仿宋" w:hAnsi="仿宋" w:eastAsia="仿宋"/>
          <w:sz w:val="28"/>
          <w:szCs w:val="24"/>
        </w:rPr>
      </w:pPr>
      <w:r>
        <w:rPr>
          <w:rFonts w:hint="eastAsia" w:ascii="仿宋" w:hAnsi="仿宋" w:eastAsia="仿宋"/>
          <w:b/>
          <w:sz w:val="28"/>
          <w:szCs w:val="24"/>
        </w:rPr>
        <w:t>（1）森林游憩与康养体验建设</w:t>
      </w:r>
    </w:p>
    <w:p>
      <w:pPr>
        <w:spacing w:line="276" w:lineRule="auto"/>
        <w:ind w:firstLine="560" w:firstLineChars="200"/>
        <w:rPr>
          <w:rFonts w:ascii="仿宋" w:hAnsi="仿宋" w:eastAsia="仿宋"/>
          <w:sz w:val="28"/>
          <w:szCs w:val="24"/>
        </w:rPr>
      </w:pPr>
      <w:r>
        <w:rPr>
          <w:rFonts w:hint="eastAsia" w:ascii="仿宋" w:hAnsi="仿宋" w:eastAsia="仿宋"/>
          <w:sz w:val="28"/>
          <w:szCs w:val="24"/>
        </w:rPr>
        <w:t>依托环首都森林公园环，推进京郊特色森林生态文化游憩与康养体验地建设，因地制宜打造25处具有户外游憩运动、森林医养与康复功能的特色体验空间，形成总量适宜、布局均衡的北京森林游憩与康养体验地。现阶段主要依托北京北部延庆、昌平、怀柔的燕山山脉和西部门头沟、房山的太行山余脉开展森林游憩与康养建设，未来随着平原森林的健康培育和景观稳定，适当增加大兴、通州、海淀、朝阳等平原区森林游憩与康养建设。</w:t>
      </w:r>
    </w:p>
    <w:p>
      <w:pPr>
        <w:spacing w:line="360" w:lineRule="auto"/>
        <w:ind w:firstLine="420" w:firstLineChars="200"/>
        <w:jc w:val="center"/>
        <w:rPr>
          <w:rFonts w:ascii="仿宋" w:hAnsi="仿宋" w:eastAsia="仿宋"/>
          <w:b/>
          <w:sz w:val="24"/>
        </w:rPr>
      </w:pPr>
      <w:r>
        <w:rPr>
          <w:rFonts w:hint="eastAsia" w:ascii="仿宋" w:hAnsi="仿宋" w:eastAsia="仿宋"/>
          <w:b/>
        </w:rPr>
        <w:t>表8-1</w:t>
      </w:r>
      <w:r>
        <w:rPr>
          <w:rFonts w:ascii="仿宋" w:hAnsi="仿宋" w:eastAsia="仿宋"/>
          <w:b/>
        </w:rPr>
        <w:t xml:space="preserve"> </w:t>
      </w:r>
      <w:r>
        <w:rPr>
          <w:rFonts w:hint="eastAsia" w:ascii="仿宋" w:hAnsi="仿宋" w:eastAsia="仿宋"/>
          <w:b/>
        </w:rPr>
        <w:t>北京森林游憩与康养体验地建设概况表</w:t>
      </w:r>
    </w:p>
    <w:tbl>
      <w:tblPr>
        <w:tblStyle w:val="94"/>
        <w:tblW w:w="5000" w:type="pct"/>
        <w:tblInd w:w="0" w:type="dxa"/>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Layout w:type="autofit"/>
        <w:tblCellMar>
          <w:top w:w="0" w:type="dxa"/>
          <w:left w:w="108" w:type="dxa"/>
          <w:bottom w:w="0" w:type="dxa"/>
          <w:right w:w="108" w:type="dxa"/>
        </w:tblCellMar>
      </w:tblPr>
      <w:tblGrid>
        <w:gridCol w:w="797"/>
        <w:gridCol w:w="1061"/>
        <w:gridCol w:w="3431"/>
        <w:gridCol w:w="3431"/>
      </w:tblGrid>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57" w:type="pct"/>
            <w:tcBorders>
              <w:bottom w:val="nil"/>
              <w:right w:val="nil"/>
            </w:tcBorders>
            <w:shd w:val="clear" w:color="auto" w:fill="9BBB59" w:themeFill="accent3"/>
          </w:tcPr>
          <w:p>
            <w:pPr>
              <w:widowControl/>
              <w:jc w:val="center"/>
              <w:rPr>
                <w:rFonts w:ascii="仿宋" w:hAnsi="仿宋" w:eastAsia="仿宋"/>
                <w:b w:val="0"/>
                <w:bCs/>
                <w:color w:val="auto"/>
                <w:kern w:val="0"/>
                <w:szCs w:val="21"/>
              </w:rPr>
            </w:pPr>
            <w:r>
              <w:rPr>
                <w:rFonts w:hint="eastAsia" w:ascii="仿宋" w:hAnsi="仿宋" w:eastAsia="仿宋"/>
                <w:b w:val="0"/>
                <w:bCs/>
                <w:color w:val="auto"/>
                <w:kern w:val="0"/>
                <w:szCs w:val="21"/>
              </w:rPr>
              <w:t>序号</w:t>
            </w:r>
          </w:p>
        </w:tc>
        <w:tc>
          <w:tcPr>
            <w:tcW w:w="608" w:type="pct"/>
            <w:shd w:val="clear" w:color="auto" w:fill="9BBB59" w:themeFill="accent3"/>
          </w:tcPr>
          <w:p>
            <w:pPr>
              <w:widowControl/>
              <w:jc w:val="center"/>
              <w:rPr>
                <w:rFonts w:ascii="仿宋" w:hAnsi="仿宋" w:eastAsia="仿宋"/>
                <w:b w:val="0"/>
                <w:bCs/>
                <w:color w:val="auto"/>
                <w:kern w:val="0"/>
                <w:szCs w:val="21"/>
              </w:rPr>
            </w:pPr>
            <w:r>
              <w:rPr>
                <w:rFonts w:hint="eastAsia" w:ascii="仿宋" w:hAnsi="仿宋" w:eastAsia="仿宋"/>
                <w:b w:val="0"/>
                <w:bCs/>
                <w:color w:val="auto"/>
                <w:kern w:val="0"/>
                <w:szCs w:val="21"/>
              </w:rPr>
              <w:t>所在区</w:t>
            </w:r>
          </w:p>
        </w:tc>
        <w:tc>
          <w:tcPr>
            <w:tcW w:w="1967" w:type="pct"/>
            <w:shd w:val="clear" w:color="auto" w:fill="9BBB59" w:themeFill="accent3"/>
          </w:tcPr>
          <w:p>
            <w:pPr>
              <w:widowControl/>
              <w:jc w:val="center"/>
              <w:rPr>
                <w:rFonts w:ascii="仿宋" w:hAnsi="仿宋" w:eastAsia="仿宋"/>
                <w:b w:val="0"/>
                <w:bCs/>
                <w:color w:val="auto"/>
                <w:kern w:val="0"/>
                <w:szCs w:val="21"/>
              </w:rPr>
            </w:pPr>
            <w:r>
              <w:rPr>
                <w:rFonts w:hint="eastAsia" w:ascii="仿宋" w:hAnsi="仿宋" w:eastAsia="仿宋"/>
                <w:b w:val="0"/>
                <w:bCs/>
                <w:color w:val="auto"/>
                <w:kern w:val="0"/>
                <w:szCs w:val="21"/>
              </w:rPr>
              <w:t>依托地点</w:t>
            </w:r>
          </w:p>
        </w:tc>
        <w:tc>
          <w:tcPr>
            <w:tcW w:w="1967" w:type="pct"/>
            <w:shd w:val="clear" w:color="auto" w:fill="9BBB59" w:themeFill="accent3"/>
          </w:tcPr>
          <w:p>
            <w:pPr>
              <w:widowControl/>
              <w:jc w:val="center"/>
              <w:rPr>
                <w:rFonts w:ascii="仿宋" w:hAnsi="仿宋" w:eastAsia="仿宋"/>
                <w:b w:val="0"/>
                <w:bCs/>
                <w:color w:val="auto"/>
                <w:kern w:val="0"/>
                <w:szCs w:val="21"/>
              </w:rPr>
            </w:pPr>
            <w:r>
              <w:rPr>
                <w:rFonts w:hint="eastAsia" w:ascii="仿宋" w:hAnsi="仿宋" w:eastAsia="仿宋"/>
                <w:b w:val="0"/>
                <w:bCs/>
                <w:color w:val="auto"/>
                <w:kern w:val="0"/>
                <w:szCs w:val="21"/>
              </w:rPr>
              <w:t>建设意向</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57"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widowControl/>
              <w:jc w:val="center"/>
              <w:rPr>
                <w:rFonts w:ascii="仿宋" w:hAnsi="仿宋" w:eastAsia="仿宋"/>
                <w:b/>
                <w:bCs/>
                <w:kern w:val="0"/>
                <w:szCs w:val="21"/>
              </w:rPr>
            </w:pPr>
            <w:r>
              <w:rPr>
                <w:rFonts w:ascii="仿宋" w:hAnsi="仿宋" w:eastAsia="仿宋"/>
                <w:b/>
                <w:bCs/>
                <w:kern w:val="0"/>
                <w:szCs w:val="21"/>
              </w:rPr>
              <w:t>1</w:t>
            </w:r>
          </w:p>
        </w:tc>
        <w:tc>
          <w:tcPr>
            <w:tcW w:w="608"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ascii="仿宋" w:hAnsi="仿宋" w:eastAsia="仿宋"/>
                <w:kern w:val="0"/>
                <w:szCs w:val="21"/>
              </w:rPr>
              <w:t>怀柔</w:t>
            </w:r>
          </w:p>
        </w:tc>
        <w:tc>
          <w:tcPr>
            <w:tcW w:w="1967"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ascii="仿宋" w:hAnsi="仿宋" w:eastAsia="仿宋"/>
                <w:kern w:val="0"/>
                <w:szCs w:val="21"/>
              </w:rPr>
              <w:t>北京喇叭沟门国家森林公园</w:t>
            </w:r>
          </w:p>
        </w:tc>
        <w:tc>
          <w:tcPr>
            <w:tcW w:w="1967" w:type="pct"/>
            <w:vMerge w:val="restart"/>
            <w:tcBorders>
              <w:top w:val="single" w:color="9BBB59" w:themeColor="accent3" w:sz="4" w:space="0"/>
              <w:bottom w:val="single" w:color="9BBB59" w:themeColor="accent3" w:sz="4" w:space="0"/>
              <w:insideH w:val="single" w:sz="4" w:space="0"/>
            </w:tcBorders>
          </w:tcPr>
          <w:p>
            <w:pPr>
              <w:widowControl/>
              <w:rPr>
                <w:rFonts w:ascii="仿宋" w:hAnsi="仿宋" w:eastAsia="仿宋"/>
                <w:kern w:val="0"/>
                <w:szCs w:val="21"/>
              </w:rPr>
            </w:pPr>
            <w:r>
              <w:rPr>
                <w:rFonts w:hint="eastAsia" w:ascii="仿宋" w:hAnsi="仿宋" w:eastAsia="仿宋"/>
                <w:szCs w:val="21"/>
              </w:rPr>
              <w:t>山地植被与气候优势明显，空气负离子浓度、植物有益挥发物等含量较高，主要发展较为专业的森林疗养。一是森林医疗疗养建设，与北京优质医疗资源相结合，</w:t>
            </w:r>
            <w:r>
              <w:rPr>
                <w:rFonts w:ascii="仿宋" w:hAnsi="仿宋" w:eastAsia="仿宋"/>
                <w:szCs w:val="21"/>
              </w:rPr>
              <w:t>完善健全医疗配套设施</w:t>
            </w:r>
            <w:r>
              <w:rPr>
                <w:rFonts w:hint="eastAsia" w:ascii="仿宋" w:hAnsi="仿宋" w:eastAsia="仿宋"/>
                <w:szCs w:val="21"/>
              </w:rPr>
              <w:t>，建设森林疗养场所；二是森林度假疗养建设，结合森林公园周边民宿，健全服务设施</w:t>
            </w:r>
            <w:r>
              <w:rPr>
                <w:rFonts w:ascii="仿宋" w:hAnsi="仿宋" w:eastAsia="仿宋"/>
                <w:szCs w:val="21"/>
              </w:rPr>
              <w:t>，针对广大公众开展</w:t>
            </w:r>
            <w:r>
              <w:rPr>
                <w:rFonts w:hint="eastAsia" w:ascii="仿宋" w:hAnsi="仿宋" w:eastAsia="仿宋"/>
                <w:szCs w:val="21"/>
              </w:rPr>
              <w:t>较</w:t>
            </w:r>
            <w:r>
              <w:rPr>
                <w:rFonts w:ascii="仿宋" w:hAnsi="仿宋" w:eastAsia="仿宋"/>
                <w:szCs w:val="21"/>
              </w:rPr>
              <w:t>长期</w:t>
            </w:r>
            <w:r>
              <w:rPr>
                <w:rFonts w:hint="eastAsia" w:ascii="仿宋" w:hAnsi="仿宋" w:eastAsia="仿宋"/>
                <w:szCs w:val="21"/>
              </w:rPr>
              <w:t>的</w:t>
            </w:r>
            <w:r>
              <w:rPr>
                <w:rFonts w:ascii="仿宋" w:hAnsi="仿宋" w:eastAsia="仿宋"/>
                <w:szCs w:val="21"/>
              </w:rPr>
              <w:t>，以恢复体能、调节亚健康、舒缓压力为主要目的的森林疗养</w:t>
            </w:r>
            <w:r>
              <w:rPr>
                <w:rFonts w:hint="eastAsia" w:ascii="仿宋" w:hAnsi="仿宋" w:eastAsia="仿宋"/>
                <w:szCs w:val="21"/>
              </w:rPr>
              <w:t>。</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457" w:type="pct"/>
            <w:tcBorders>
              <w:right w:val="nil"/>
              <w:insideV w:val="nil"/>
            </w:tcBorders>
            <w:shd w:val="clear" w:color="auto" w:fill="FFFFFF" w:themeFill="background1"/>
          </w:tcPr>
          <w:p>
            <w:pPr>
              <w:widowControl/>
              <w:jc w:val="center"/>
              <w:rPr>
                <w:rFonts w:ascii="仿宋" w:hAnsi="仿宋" w:eastAsia="仿宋"/>
                <w:b/>
                <w:bCs/>
                <w:kern w:val="0"/>
                <w:szCs w:val="21"/>
              </w:rPr>
            </w:pPr>
            <w:r>
              <w:rPr>
                <w:rFonts w:hint="eastAsia" w:ascii="仿宋" w:hAnsi="仿宋" w:eastAsia="仿宋"/>
                <w:b/>
                <w:bCs/>
                <w:kern w:val="0"/>
                <w:szCs w:val="21"/>
              </w:rPr>
              <w:t>2</w:t>
            </w:r>
          </w:p>
        </w:tc>
        <w:tc>
          <w:tcPr>
            <w:tcW w:w="608" w:type="pct"/>
          </w:tcPr>
          <w:p>
            <w:pPr>
              <w:widowControl/>
              <w:jc w:val="center"/>
              <w:rPr>
                <w:rFonts w:ascii="仿宋" w:hAnsi="仿宋" w:eastAsia="仿宋"/>
                <w:kern w:val="0"/>
                <w:szCs w:val="21"/>
              </w:rPr>
            </w:pPr>
            <w:r>
              <w:rPr>
                <w:rFonts w:ascii="仿宋" w:hAnsi="仿宋" w:eastAsia="仿宋"/>
                <w:kern w:val="0"/>
                <w:szCs w:val="21"/>
              </w:rPr>
              <w:t>密云</w:t>
            </w:r>
          </w:p>
        </w:tc>
        <w:tc>
          <w:tcPr>
            <w:tcW w:w="1967" w:type="pct"/>
          </w:tcPr>
          <w:p>
            <w:pPr>
              <w:widowControl/>
              <w:jc w:val="center"/>
              <w:rPr>
                <w:rFonts w:ascii="仿宋" w:hAnsi="仿宋" w:eastAsia="仿宋"/>
                <w:kern w:val="0"/>
                <w:szCs w:val="21"/>
              </w:rPr>
            </w:pPr>
            <w:r>
              <w:rPr>
                <w:rFonts w:ascii="仿宋" w:hAnsi="仿宋" w:eastAsia="仿宋"/>
                <w:kern w:val="0"/>
                <w:szCs w:val="21"/>
              </w:rPr>
              <w:t>北京云蒙山国家森林公园</w:t>
            </w:r>
          </w:p>
        </w:tc>
        <w:tc>
          <w:tcPr>
            <w:tcW w:w="1967" w:type="pct"/>
            <w:vMerge w:val="continue"/>
          </w:tcPr>
          <w:p>
            <w:pPr>
              <w:widowControl/>
              <w:jc w:val="center"/>
              <w:rPr>
                <w:rFonts w:ascii="仿宋" w:hAnsi="仿宋" w:eastAsia="仿宋"/>
                <w:kern w:val="0"/>
                <w:szCs w:val="21"/>
              </w:rPr>
            </w:pP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457"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widowControl/>
              <w:jc w:val="center"/>
              <w:rPr>
                <w:rFonts w:ascii="仿宋" w:hAnsi="仿宋" w:eastAsia="仿宋"/>
                <w:b/>
                <w:bCs/>
                <w:kern w:val="0"/>
                <w:szCs w:val="21"/>
              </w:rPr>
            </w:pPr>
            <w:r>
              <w:rPr>
                <w:rFonts w:hint="eastAsia" w:ascii="仿宋" w:hAnsi="仿宋" w:eastAsia="仿宋"/>
                <w:b/>
                <w:bCs/>
                <w:kern w:val="0"/>
                <w:szCs w:val="21"/>
              </w:rPr>
              <w:t>3</w:t>
            </w:r>
          </w:p>
        </w:tc>
        <w:tc>
          <w:tcPr>
            <w:tcW w:w="608"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ascii="仿宋" w:hAnsi="仿宋" w:eastAsia="仿宋"/>
                <w:kern w:val="0"/>
                <w:szCs w:val="21"/>
              </w:rPr>
              <w:t>密云</w:t>
            </w:r>
          </w:p>
        </w:tc>
        <w:tc>
          <w:tcPr>
            <w:tcW w:w="1967"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ascii="仿宋" w:hAnsi="仿宋" w:eastAsia="仿宋"/>
                <w:kern w:val="0"/>
                <w:szCs w:val="21"/>
              </w:rPr>
              <w:t>北京古北口森林公园</w:t>
            </w:r>
          </w:p>
        </w:tc>
        <w:tc>
          <w:tcPr>
            <w:tcW w:w="1967" w:type="pct"/>
            <w:vMerge w:val="continue"/>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457" w:type="pct"/>
            <w:tcBorders>
              <w:right w:val="nil"/>
              <w:insideV w:val="nil"/>
            </w:tcBorders>
            <w:shd w:val="clear" w:color="auto" w:fill="FFFFFF" w:themeFill="background1"/>
          </w:tcPr>
          <w:p>
            <w:pPr>
              <w:widowControl/>
              <w:jc w:val="center"/>
              <w:rPr>
                <w:rFonts w:ascii="仿宋" w:hAnsi="仿宋" w:eastAsia="仿宋"/>
                <w:b/>
                <w:bCs/>
                <w:kern w:val="0"/>
                <w:szCs w:val="21"/>
              </w:rPr>
            </w:pPr>
            <w:r>
              <w:rPr>
                <w:rFonts w:hint="eastAsia" w:ascii="仿宋" w:hAnsi="仿宋" w:eastAsia="仿宋"/>
                <w:b/>
                <w:bCs/>
                <w:kern w:val="0"/>
                <w:szCs w:val="21"/>
              </w:rPr>
              <w:t>4</w:t>
            </w:r>
          </w:p>
        </w:tc>
        <w:tc>
          <w:tcPr>
            <w:tcW w:w="608" w:type="pct"/>
          </w:tcPr>
          <w:p>
            <w:pPr>
              <w:widowControl/>
              <w:jc w:val="center"/>
              <w:rPr>
                <w:rFonts w:ascii="仿宋" w:hAnsi="仿宋" w:eastAsia="仿宋"/>
                <w:kern w:val="0"/>
                <w:szCs w:val="21"/>
              </w:rPr>
            </w:pPr>
            <w:r>
              <w:rPr>
                <w:rFonts w:ascii="仿宋" w:hAnsi="仿宋" w:eastAsia="仿宋"/>
                <w:kern w:val="0"/>
                <w:szCs w:val="21"/>
              </w:rPr>
              <w:t>平谷</w:t>
            </w:r>
          </w:p>
        </w:tc>
        <w:tc>
          <w:tcPr>
            <w:tcW w:w="1967" w:type="pct"/>
          </w:tcPr>
          <w:p>
            <w:pPr>
              <w:widowControl/>
              <w:jc w:val="center"/>
              <w:rPr>
                <w:rFonts w:ascii="仿宋" w:hAnsi="仿宋" w:eastAsia="仿宋"/>
                <w:kern w:val="0"/>
                <w:szCs w:val="21"/>
              </w:rPr>
            </w:pPr>
            <w:r>
              <w:rPr>
                <w:rFonts w:ascii="仿宋" w:hAnsi="仿宋" w:eastAsia="仿宋"/>
                <w:kern w:val="0"/>
                <w:szCs w:val="21"/>
              </w:rPr>
              <w:t>北京黄松峪森林公园</w:t>
            </w:r>
          </w:p>
        </w:tc>
        <w:tc>
          <w:tcPr>
            <w:tcW w:w="1967" w:type="pct"/>
            <w:vMerge w:val="continue"/>
          </w:tcPr>
          <w:p>
            <w:pPr>
              <w:widowControl/>
              <w:jc w:val="center"/>
              <w:rPr>
                <w:rFonts w:ascii="仿宋" w:hAnsi="仿宋" w:eastAsia="仿宋"/>
                <w:kern w:val="0"/>
                <w:szCs w:val="21"/>
              </w:rPr>
            </w:pP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457"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widowControl/>
              <w:jc w:val="center"/>
              <w:rPr>
                <w:rFonts w:ascii="仿宋" w:hAnsi="仿宋" w:eastAsia="仿宋"/>
                <w:b/>
                <w:bCs/>
                <w:kern w:val="0"/>
                <w:szCs w:val="21"/>
              </w:rPr>
            </w:pPr>
            <w:r>
              <w:rPr>
                <w:rFonts w:hint="eastAsia" w:ascii="仿宋" w:hAnsi="仿宋" w:eastAsia="仿宋"/>
                <w:b/>
                <w:bCs/>
                <w:kern w:val="0"/>
                <w:szCs w:val="21"/>
              </w:rPr>
              <w:t>5</w:t>
            </w:r>
          </w:p>
        </w:tc>
        <w:tc>
          <w:tcPr>
            <w:tcW w:w="608"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hint="eastAsia" w:ascii="仿宋" w:hAnsi="仿宋" w:eastAsia="仿宋"/>
                <w:kern w:val="0"/>
                <w:szCs w:val="21"/>
              </w:rPr>
              <w:t>平谷</w:t>
            </w:r>
          </w:p>
        </w:tc>
        <w:tc>
          <w:tcPr>
            <w:tcW w:w="1967"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ascii="仿宋" w:hAnsi="仿宋" w:eastAsia="仿宋"/>
              </w:rPr>
              <w:t>丫髻山森林公园</w:t>
            </w:r>
          </w:p>
        </w:tc>
        <w:tc>
          <w:tcPr>
            <w:tcW w:w="1967" w:type="pct"/>
            <w:vMerge w:val="continue"/>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rPr>
            </w:pP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57" w:type="pct"/>
            <w:tcBorders>
              <w:right w:val="nil"/>
              <w:insideV w:val="nil"/>
            </w:tcBorders>
            <w:shd w:val="clear" w:color="auto" w:fill="FFFFFF" w:themeFill="background1"/>
          </w:tcPr>
          <w:p>
            <w:pPr>
              <w:widowControl/>
              <w:jc w:val="center"/>
              <w:rPr>
                <w:rFonts w:ascii="仿宋" w:hAnsi="仿宋" w:eastAsia="仿宋"/>
                <w:b/>
                <w:bCs/>
                <w:kern w:val="0"/>
                <w:szCs w:val="21"/>
              </w:rPr>
            </w:pPr>
            <w:r>
              <w:rPr>
                <w:rFonts w:hint="eastAsia" w:ascii="仿宋" w:hAnsi="仿宋" w:eastAsia="仿宋"/>
                <w:b/>
                <w:bCs/>
                <w:kern w:val="0"/>
                <w:szCs w:val="21"/>
              </w:rPr>
              <w:t>6</w:t>
            </w:r>
          </w:p>
        </w:tc>
        <w:tc>
          <w:tcPr>
            <w:tcW w:w="608" w:type="pct"/>
          </w:tcPr>
          <w:p>
            <w:pPr>
              <w:widowControl/>
              <w:jc w:val="center"/>
              <w:rPr>
                <w:rFonts w:ascii="仿宋" w:hAnsi="仿宋" w:eastAsia="仿宋"/>
                <w:kern w:val="0"/>
                <w:szCs w:val="21"/>
              </w:rPr>
            </w:pPr>
            <w:r>
              <w:rPr>
                <w:rFonts w:ascii="仿宋" w:hAnsi="仿宋" w:eastAsia="仿宋"/>
                <w:kern w:val="0"/>
                <w:szCs w:val="21"/>
              </w:rPr>
              <w:t>昌平</w:t>
            </w:r>
          </w:p>
        </w:tc>
        <w:tc>
          <w:tcPr>
            <w:tcW w:w="1967" w:type="pct"/>
          </w:tcPr>
          <w:p>
            <w:pPr>
              <w:widowControl/>
              <w:jc w:val="center"/>
              <w:rPr>
                <w:rFonts w:ascii="仿宋" w:hAnsi="仿宋" w:eastAsia="仿宋"/>
                <w:kern w:val="0"/>
                <w:szCs w:val="21"/>
              </w:rPr>
            </w:pPr>
            <w:r>
              <w:rPr>
                <w:rFonts w:ascii="仿宋" w:hAnsi="仿宋" w:eastAsia="仿宋"/>
                <w:kern w:val="0"/>
                <w:szCs w:val="21"/>
              </w:rPr>
              <w:t>北京蟒山国家森林公园</w:t>
            </w:r>
          </w:p>
        </w:tc>
        <w:tc>
          <w:tcPr>
            <w:tcW w:w="1967" w:type="pct"/>
            <w:vMerge w:val="continue"/>
          </w:tcPr>
          <w:p>
            <w:pPr>
              <w:widowControl/>
              <w:jc w:val="center"/>
              <w:rPr>
                <w:rFonts w:ascii="仿宋" w:hAnsi="仿宋" w:eastAsia="仿宋"/>
                <w:kern w:val="0"/>
                <w:szCs w:val="21"/>
              </w:rPr>
            </w:pP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457"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widowControl/>
              <w:jc w:val="center"/>
              <w:rPr>
                <w:rFonts w:ascii="仿宋" w:hAnsi="仿宋" w:eastAsia="仿宋"/>
                <w:b/>
                <w:bCs/>
                <w:kern w:val="0"/>
                <w:szCs w:val="21"/>
              </w:rPr>
            </w:pPr>
            <w:r>
              <w:rPr>
                <w:rFonts w:hint="eastAsia" w:ascii="仿宋" w:hAnsi="仿宋" w:eastAsia="仿宋"/>
                <w:b/>
                <w:bCs/>
                <w:kern w:val="0"/>
                <w:szCs w:val="21"/>
              </w:rPr>
              <w:t>7</w:t>
            </w:r>
          </w:p>
        </w:tc>
        <w:tc>
          <w:tcPr>
            <w:tcW w:w="608"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ascii="仿宋" w:hAnsi="仿宋" w:eastAsia="仿宋"/>
                <w:kern w:val="0"/>
                <w:szCs w:val="21"/>
              </w:rPr>
              <w:t>昌平</w:t>
            </w:r>
          </w:p>
        </w:tc>
        <w:tc>
          <w:tcPr>
            <w:tcW w:w="1967"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ascii="仿宋" w:hAnsi="仿宋" w:eastAsia="仿宋"/>
                <w:kern w:val="0"/>
                <w:szCs w:val="21"/>
              </w:rPr>
              <w:t>北京大杨山国家森林公园</w:t>
            </w:r>
          </w:p>
        </w:tc>
        <w:tc>
          <w:tcPr>
            <w:tcW w:w="1967" w:type="pct"/>
            <w:vMerge w:val="continue"/>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457" w:type="pct"/>
            <w:tcBorders>
              <w:right w:val="nil"/>
              <w:insideV w:val="nil"/>
            </w:tcBorders>
            <w:shd w:val="clear" w:color="auto" w:fill="FFFFFF" w:themeFill="background1"/>
          </w:tcPr>
          <w:p>
            <w:pPr>
              <w:widowControl/>
              <w:jc w:val="center"/>
              <w:rPr>
                <w:rFonts w:ascii="仿宋" w:hAnsi="仿宋" w:eastAsia="仿宋"/>
                <w:b/>
                <w:bCs/>
                <w:kern w:val="0"/>
                <w:szCs w:val="21"/>
              </w:rPr>
            </w:pPr>
            <w:r>
              <w:rPr>
                <w:rFonts w:hint="eastAsia" w:ascii="仿宋" w:hAnsi="仿宋" w:eastAsia="仿宋"/>
                <w:b/>
                <w:bCs/>
                <w:kern w:val="0"/>
                <w:szCs w:val="21"/>
              </w:rPr>
              <w:t>8</w:t>
            </w:r>
          </w:p>
        </w:tc>
        <w:tc>
          <w:tcPr>
            <w:tcW w:w="608" w:type="pct"/>
          </w:tcPr>
          <w:p>
            <w:pPr>
              <w:widowControl/>
              <w:jc w:val="center"/>
              <w:rPr>
                <w:rFonts w:ascii="仿宋" w:hAnsi="仿宋" w:eastAsia="仿宋"/>
                <w:kern w:val="0"/>
                <w:szCs w:val="21"/>
              </w:rPr>
            </w:pPr>
            <w:r>
              <w:rPr>
                <w:rFonts w:ascii="仿宋" w:hAnsi="仿宋" w:eastAsia="仿宋"/>
                <w:kern w:val="0"/>
                <w:szCs w:val="21"/>
              </w:rPr>
              <w:t>昌平</w:t>
            </w:r>
          </w:p>
        </w:tc>
        <w:tc>
          <w:tcPr>
            <w:tcW w:w="1967" w:type="pct"/>
          </w:tcPr>
          <w:p>
            <w:pPr>
              <w:widowControl/>
              <w:jc w:val="center"/>
              <w:rPr>
                <w:rFonts w:ascii="仿宋" w:hAnsi="仿宋" w:eastAsia="仿宋"/>
                <w:kern w:val="0"/>
                <w:szCs w:val="21"/>
              </w:rPr>
            </w:pPr>
            <w:r>
              <w:rPr>
                <w:rFonts w:ascii="仿宋" w:hAnsi="仿宋" w:eastAsia="仿宋"/>
                <w:kern w:val="0"/>
                <w:szCs w:val="21"/>
              </w:rPr>
              <w:t>北京白虎涧森林公园</w:t>
            </w:r>
          </w:p>
        </w:tc>
        <w:tc>
          <w:tcPr>
            <w:tcW w:w="1967" w:type="pct"/>
            <w:vMerge w:val="continue"/>
          </w:tcPr>
          <w:p>
            <w:pPr>
              <w:widowControl/>
              <w:jc w:val="center"/>
              <w:rPr>
                <w:rFonts w:ascii="仿宋" w:hAnsi="仿宋" w:eastAsia="仿宋"/>
                <w:kern w:val="0"/>
                <w:szCs w:val="21"/>
              </w:rPr>
            </w:pP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457"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widowControl/>
              <w:jc w:val="center"/>
              <w:rPr>
                <w:rFonts w:ascii="仿宋" w:hAnsi="仿宋" w:eastAsia="仿宋"/>
                <w:b/>
                <w:bCs/>
                <w:kern w:val="0"/>
                <w:szCs w:val="21"/>
              </w:rPr>
            </w:pPr>
            <w:r>
              <w:rPr>
                <w:rFonts w:hint="eastAsia" w:ascii="仿宋" w:hAnsi="仿宋" w:eastAsia="仿宋"/>
                <w:b/>
                <w:bCs/>
                <w:kern w:val="0"/>
                <w:szCs w:val="21"/>
              </w:rPr>
              <w:t>9</w:t>
            </w:r>
          </w:p>
        </w:tc>
        <w:tc>
          <w:tcPr>
            <w:tcW w:w="608"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hint="eastAsia" w:ascii="仿宋" w:hAnsi="仿宋" w:eastAsia="仿宋"/>
                <w:kern w:val="0"/>
                <w:szCs w:val="21"/>
              </w:rPr>
              <w:t>昌平</w:t>
            </w:r>
          </w:p>
        </w:tc>
        <w:tc>
          <w:tcPr>
            <w:tcW w:w="1967"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hint="eastAsia" w:ascii="仿宋" w:hAnsi="仿宋" w:eastAsia="仿宋"/>
                <w:kern w:val="0"/>
                <w:szCs w:val="21"/>
              </w:rPr>
              <w:t>北京静之湖森林公园</w:t>
            </w:r>
          </w:p>
        </w:tc>
        <w:tc>
          <w:tcPr>
            <w:tcW w:w="1967" w:type="pct"/>
            <w:vMerge w:val="continue"/>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457" w:type="pct"/>
            <w:tcBorders>
              <w:right w:val="nil"/>
              <w:insideV w:val="nil"/>
            </w:tcBorders>
            <w:shd w:val="clear" w:color="auto" w:fill="FFFFFF" w:themeFill="background1"/>
          </w:tcPr>
          <w:p>
            <w:pPr>
              <w:widowControl/>
              <w:jc w:val="center"/>
              <w:rPr>
                <w:rFonts w:ascii="仿宋" w:hAnsi="仿宋" w:eastAsia="仿宋"/>
                <w:b/>
                <w:bCs/>
                <w:kern w:val="0"/>
                <w:szCs w:val="21"/>
              </w:rPr>
            </w:pPr>
            <w:r>
              <w:rPr>
                <w:rFonts w:hint="eastAsia" w:ascii="仿宋" w:hAnsi="仿宋" w:eastAsia="仿宋"/>
                <w:b/>
                <w:bCs/>
                <w:kern w:val="0"/>
                <w:szCs w:val="21"/>
              </w:rPr>
              <w:t xml:space="preserve">10 </w:t>
            </w:r>
          </w:p>
        </w:tc>
        <w:tc>
          <w:tcPr>
            <w:tcW w:w="608" w:type="pct"/>
          </w:tcPr>
          <w:p>
            <w:pPr>
              <w:widowControl/>
              <w:jc w:val="center"/>
              <w:rPr>
                <w:rFonts w:ascii="仿宋" w:hAnsi="仿宋" w:eastAsia="仿宋"/>
                <w:kern w:val="0"/>
                <w:szCs w:val="21"/>
              </w:rPr>
            </w:pPr>
            <w:r>
              <w:rPr>
                <w:rFonts w:hint="eastAsia" w:ascii="仿宋" w:hAnsi="仿宋" w:eastAsia="仿宋"/>
                <w:kern w:val="0"/>
                <w:szCs w:val="21"/>
              </w:rPr>
              <w:t>延庆</w:t>
            </w:r>
          </w:p>
        </w:tc>
        <w:tc>
          <w:tcPr>
            <w:tcW w:w="1967" w:type="pct"/>
          </w:tcPr>
          <w:p>
            <w:pPr>
              <w:widowControl/>
              <w:jc w:val="center"/>
              <w:rPr>
                <w:rFonts w:ascii="仿宋" w:hAnsi="仿宋" w:eastAsia="仿宋"/>
                <w:kern w:val="0"/>
                <w:szCs w:val="21"/>
              </w:rPr>
            </w:pPr>
            <w:r>
              <w:rPr>
                <w:rFonts w:hint="eastAsia" w:ascii="仿宋" w:hAnsi="仿宋" w:eastAsia="仿宋"/>
                <w:kern w:val="0"/>
                <w:szCs w:val="21"/>
              </w:rPr>
              <w:t>松山自然保护区</w:t>
            </w:r>
          </w:p>
        </w:tc>
        <w:tc>
          <w:tcPr>
            <w:tcW w:w="1967" w:type="pct"/>
            <w:vMerge w:val="continue"/>
          </w:tcPr>
          <w:p>
            <w:pPr>
              <w:widowControl/>
              <w:jc w:val="center"/>
              <w:rPr>
                <w:rFonts w:ascii="仿宋" w:hAnsi="仿宋" w:eastAsia="仿宋"/>
                <w:kern w:val="0"/>
                <w:szCs w:val="21"/>
              </w:rPr>
            </w:pP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457"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widowControl/>
              <w:jc w:val="center"/>
              <w:rPr>
                <w:rFonts w:ascii="仿宋" w:hAnsi="仿宋" w:eastAsia="仿宋"/>
                <w:b/>
                <w:bCs/>
                <w:kern w:val="0"/>
                <w:szCs w:val="21"/>
              </w:rPr>
            </w:pPr>
            <w:r>
              <w:rPr>
                <w:rFonts w:hint="eastAsia" w:ascii="仿宋" w:hAnsi="仿宋" w:eastAsia="仿宋"/>
                <w:b/>
                <w:bCs/>
                <w:kern w:val="0"/>
                <w:szCs w:val="21"/>
              </w:rPr>
              <w:t>11</w:t>
            </w:r>
          </w:p>
        </w:tc>
        <w:tc>
          <w:tcPr>
            <w:tcW w:w="608"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hint="eastAsia" w:ascii="仿宋" w:hAnsi="仿宋" w:eastAsia="仿宋"/>
                <w:kern w:val="0"/>
                <w:szCs w:val="21"/>
              </w:rPr>
              <w:t>延庆</w:t>
            </w:r>
          </w:p>
        </w:tc>
        <w:tc>
          <w:tcPr>
            <w:tcW w:w="1967"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hint="eastAsia" w:ascii="仿宋" w:hAnsi="仿宋" w:eastAsia="仿宋"/>
                <w:kern w:val="0"/>
                <w:szCs w:val="21"/>
              </w:rPr>
              <w:t>八达岭国家森林公园</w:t>
            </w:r>
          </w:p>
        </w:tc>
        <w:tc>
          <w:tcPr>
            <w:tcW w:w="1967" w:type="pct"/>
            <w:vMerge w:val="continue"/>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457" w:type="pct"/>
            <w:tcBorders>
              <w:right w:val="nil"/>
              <w:insideV w:val="nil"/>
            </w:tcBorders>
            <w:shd w:val="clear" w:color="auto" w:fill="FFFFFF" w:themeFill="background1"/>
          </w:tcPr>
          <w:p>
            <w:pPr>
              <w:widowControl/>
              <w:jc w:val="center"/>
              <w:rPr>
                <w:rFonts w:ascii="仿宋" w:hAnsi="仿宋" w:eastAsia="仿宋"/>
                <w:b/>
                <w:bCs/>
                <w:kern w:val="0"/>
                <w:szCs w:val="21"/>
              </w:rPr>
            </w:pPr>
            <w:r>
              <w:rPr>
                <w:rFonts w:hint="eastAsia" w:ascii="仿宋" w:hAnsi="仿宋" w:eastAsia="仿宋"/>
                <w:b/>
                <w:bCs/>
                <w:kern w:val="0"/>
                <w:szCs w:val="21"/>
              </w:rPr>
              <w:t>12</w:t>
            </w:r>
          </w:p>
        </w:tc>
        <w:tc>
          <w:tcPr>
            <w:tcW w:w="608" w:type="pct"/>
          </w:tcPr>
          <w:p>
            <w:pPr>
              <w:widowControl/>
              <w:jc w:val="center"/>
              <w:rPr>
                <w:rFonts w:ascii="仿宋" w:hAnsi="仿宋" w:eastAsia="仿宋"/>
                <w:kern w:val="0"/>
                <w:szCs w:val="21"/>
              </w:rPr>
            </w:pPr>
            <w:r>
              <w:rPr>
                <w:rFonts w:ascii="仿宋" w:hAnsi="仿宋" w:eastAsia="仿宋"/>
                <w:kern w:val="0"/>
                <w:szCs w:val="21"/>
              </w:rPr>
              <w:t>门头沟</w:t>
            </w:r>
          </w:p>
        </w:tc>
        <w:tc>
          <w:tcPr>
            <w:tcW w:w="1967" w:type="pct"/>
          </w:tcPr>
          <w:p>
            <w:pPr>
              <w:widowControl/>
              <w:jc w:val="center"/>
              <w:rPr>
                <w:rFonts w:ascii="仿宋" w:hAnsi="仿宋" w:eastAsia="仿宋"/>
                <w:kern w:val="0"/>
                <w:szCs w:val="21"/>
              </w:rPr>
            </w:pPr>
            <w:r>
              <w:rPr>
                <w:rFonts w:ascii="仿宋" w:hAnsi="仿宋" w:eastAsia="仿宋"/>
                <w:kern w:val="0"/>
                <w:szCs w:val="21"/>
              </w:rPr>
              <w:t>北京天门山国家森林公园</w:t>
            </w:r>
          </w:p>
        </w:tc>
        <w:tc>
          <w:tcPr>
            <w:tcW w:w="1967" w:type="pct"/>
            <w:vMerge w:val="restart"/>
          </w:tcPr>
          <w:p>
            <w:pPr>
              <w:widowControl/>
              <w:jc w:val="left"/>
              <w:rPr>
                <w:rFonts w:ascii="仿宋" w:hAnsi="仿宋" w:eastAsia="仿宋"/>
                <w:kern w:val="0"/>
                <w:szCs w:val="21"/>
              </w:rPr>
            </w:pPr>
            <w:r>
              <w:rPr>
                <w:rFonts w:hint="eastAsia" w:ascii="仿宋" w:hAnsi="仿宋" w:eastAsia="仿宋"/>
                <w:szCs w:val="21"/>
              </w:rPr>
              <w:t>重点</w:t>
            </w:r>
            <w:r>
              <w:rPr>
                <w:rFonts w:ascii="仿宋" w:hAnsi="仿宋" w:eastAsia="仿宋"/>
                <w:szCs w:val="21"/>
              </w:rPr>
              <w:t>开展短中期为主</w:t>
            </w:r>
            <w:r>
              <w:rPr>
                <w:rFonts w:hint="eastAsia" w:ascii="仿宋" w:hAnsi="仿宋" w:eastAsia="仿宋"/>
                <w:szCs w:val="21"/>
              </w:rPr>
              <w:t>的具有</w:t>
            </w:r>
            <w:r>
              <w:rPr>
                <w:rFonts w:ascii="仿宋" w:hAnsi="仿宋" w:eastAsia="仿宋"/>
                <w:szCs w:val="21"/>
              </w:rPr>
              <w:t>恢复体能</w:t>
            </w:r>
            <w:r>
              <w:rPr>
                <w:rFonts w:hint="eastAsia" w:ascii="仿宋" w:hAnsi="仿宋" w:eastAsia="仿宋"/>
                <w:szCs w:val="21"/>
              </w:rPr>
              <w:t>、</w:t>
            </w:r>
            <w:r>
              <w:rPr>
                <w:rFonts w:ascii="仿宋" w:hAnsi="仿宋" w:eastAsia="仿宋"/>
                <w:szCs w:val="21"/>
              </w:rPr>
              <w:t>舒缓压力、恢复注意力的森林</w:t>
            </w:r>
            <w:r>
              <w:rPr>
                <w:rFonts w:hint="eastAsia" w:ascii="仿宋" w:hAnsi="仿宋" w:eastAsia="仿宋"/>
                <w:szCs w:val="21"/>
              </w:rPr>
              <w:t>运动康养建设。并配合开发</w:t>
            </w:r>
            <w:r>
              <w:rPr>
                <w:rFonts w:ascii="仿宋" w:hAnsi="仿宋" w:eastAsia="仿宋"/>
                <w:szCs w:val="21"/>
              </w:rPr>
              <w:t>包括森林登山、野外露营、徒步探险、拓展训练、山地骑行、越野跑、山地马拉松、山地竞走等</w:t>
            </w:r>
            <w:r>
              <w:rPr>
                <w:rFonts w:hint="eastAsia" w:ascii="仿宋" w:hAnsi="仿宋" w:eastAsia="仿宋"/>
                <w:szCs w:val="21"/>
              </w:rPr>
              <w:t>在内的</w:t>
            </w:r>
            <w:r>
              <w:rPr>
                <w:rFonts w:ascii="仿宋" w:hAnsi="仿宋" w:eastAsia="仿宋"/>
                <w:szCs w:val="21"/>
              </w:rPr>
              <w:t>多种</w:t>
            </w:r>
            <w:r>
              <w:rPr>
                <w:rFonts w:hint="eastAsia" w:ascii="仿宋" w:hAnsi="仿宋" w:eastAsia="仿宋"/>
                <w:szCs w:val="21"/>
              </w:rPr>
              <w:t>森林运动</w:t>
            </w:r>
            <w:r>
              <w:rPr>
                <w:rFonts w:ascii="仿宋" w:hAnsi="仿宋" w:eastAsia="仿宋"/>
                <w:szCs w:val="21"/>
              </w:rPr>
              <w:t>活动</w:t>
            </w:r>
            <w:r>
              <w:rPr>
                <w:rFonts w:hint="eastAsia" w:ascii="仿宋" w:hAnsi="仿宋" w:eastAsia="仿宋"/>
                <w:szCs w:val="21"/>
              </w:rPr>
              <w:t>。</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457"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widowControl/>
              <w:jc w:val="center"/>
              <w:rPr>
                <w:rFonts w:ascii="仿宋" w:hAnsi="仿宋" w:eastAsia="仿宋"/>
                <w:b/>
                <w:bCs/>
                <w:kern w:val="0"/>
                <w:szCs w:val="21"/>
              </w:rPr>
            </w:pPr>
            <w:r>
              <w:rPr>
                <w:rFonts w:hint="eastAsia" w:ascii="仿宋" w:hAnsi="仿宋" w:eastAsia="仿宋"/>
                <w:b/>
                <w:bCs/>
                <w:kern w:val="0"/>
                <w:szCs w:val="21"/>
              </w:rPr>
              <w:t>13</w:t>
            </w:r>
          </w:p>
        </w:tc>
        <w:tc>
          <w:tcPr>
            <w:tcW w:w="608"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ascii="仿宋" w:hAnsi="仿宋" w:eastAsia="仿宋"/>
                <w:kern w:val="0"/>
                <w:szCs w:val="21"/>
              </w:rPr>
              <w:t>门头沟</w:t>
            </w:r>
          </w:p>
        </w:tc>
        <w:tc>
          <w:tcPr>
            <w:tcW w:w="1967"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ascii="仿宋" w:hAnsi="仿宋" w:eastAsia="仿宋"/>
                <w:kern w:val="0"/>
                <w:szCs w:val="21"/>
              </w:rPr>
              <w:t>北京小龙门国家森林公园</w:t>
            </w:r>
          </w:p>
        </w:tc>
        <w:tc>
          <w:tcPr>
            <w:tcW w:w="1967" w:type="pct"/>
            <w:vMerge w:val="continue"/>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457" w:type="pct"/>
            <w:tcBorders>
              <w:right w:val="nil"/>
              <w:insideV w:val="nil"/>
            </w:tcBorders>
            <w:shd w:val="clear" w:color="auto" w:fill="FFFFFF" w:themeFill="background1"/>
          </w:tcPr>
          <w:p>
            <w:pPr>
              <w:widowControl/>
              <w:jc w:val="center"/>
              <w:rPr>
                <w:rFonts w:ascii="仿宋" w:hAnsi="仿宋" w:eastAsia="仿宋"/>
                <w:b/>
                <w:bCs/>
                <w:kern w:val="0"/>
                <w:szCs w:val="21"/>
              </w:rPr>
            </w:pPr>
            <w:r>
              <w:rPr>
                <w:rFonts w:hint="eastAsia" w:ascii="仿宋" w:hAnsi="仿宋" w:eastAsia="仿宋"/>
                <w:b/>
                <w:bCs/>
                <w:kern w:val="0"/>
                <w:szCs w:val="21"/>
              </w:rPr>
              <w:t>14</w:t>
            </w:r>
          </w:p>
        </w:tc>
        <w:tc>
          <w:tcPr>
            <w:tcW w:w="608" w:type="pct"/>
          </w:tcPr>
          <w:p>
            <w:pPr>
              <w:widowControl/>
              <w:jc w:val="center"/>
              <w:rPr>
                <w:rFonts w:ascii="仿宋" w:hAnsi="仿宋" w:eastAsia="仿宋"/>
                <w:kern w:val="0"/>
                <w:szCs w:val="21"/>
              </w:rPr>
            </w:pPr>
            <w:r>
              <w:rPr>
                <w:rFonts w:ascii="仿宋" w:hAnsi="仿宋" w:eastAsia="仿宋"/>
                <w:kern w:val="0"/>
                <w:szCs w:val="21"/>
              </w:rPr>
              <w:t>门头沟</w:t>
            </w:r>
          </w:p>
        </w:tc>
        <w:tc>
          <w:tcPr>
            <w:tcW w:w="1967" w:type="pct"/>
          </w:tcPr>
          <w:p>
            <w:pPr>
              <w:widowControl/>
              <w:jc w:val="center"/>
              <w:rPr>
                <w:rFonts w:ascii="仿宋" w:hAnsi="仿宋" w:eastAsia="仿宋"/>
                <w:kern w:val="0"/>
                <w:szCs w:val="21"/>
              </w:rPr>
            </w:pPr>
            <w:r>
              <w:rPr>
                <w:rFonts w:ascii="仿宋" w:hAnsi="仿宋" w:eastAsia="仿宋"/>
                <w:kern w:val="0"/>
                <w:szCs w:val="21"/>
              </w:rPr>
              <w:t>北京妙峰山森林公园</w:t>
            </w:r>
          </w:p>
        </w:tc>
        <w:tc>
          <w:tcPr>
            <w:tcW w:w="1967" w:type="pct"/>
            <w:vMerge w:val="continue"/>
          </w:tcPr>
          <w:p>
            <w:pPr>
              <w:widowControl/>
              <w:jc w:val="center"/>
              <w:rPr>
                <w:rFonts w:ascii="仿宋" w:hAnsi="仿宋" w:eastAsia="仿宋"/>
                <w:kern w:val="0"/>
                <w:szCs w:val="21"/>
              </w:rPr>
            </w:pP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457"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widowControl/>
              <w:jc w:val="center"/>
              <w:rPr>
                <w:rFonts w:ascii="仿宋" w:hAnsi="仿宋" w:eastAsia="仿宋"/>
                <w:b/>
                <w:bCs/>
                <w:kern w:val="0"/>
                <w:szCs w:val="21"/>
              </w:rPr>
            </w:pPr>
            <w:r>
              <w:rPr>
                <w:rFonts w:hint="eastAsia" w:ascii="仿宋" w:hAnsi="仿宋" w:eastAsia="仿宋"/>
                <w:b/>
                <w:bCs/>
                <w:kern w:val="0"/>
                <w:szCs w:val="21"/>
              </w:rPr>
              <w:t>15</w:t>
            </w:r>
          </w:p>
        </w:tc>
        <w:tc>
          <w:tcPr>
            <w:tcW w:w="608"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ascii="仿宋" w:hAnsi="仿宋" w:eastAsia="仿宋"/>
                <w:kern w:val="0"/>
                <w:szCs w:val="21"/>
              </w:rPr>
              <w:t>门头沟</w:t>
            </w:r>
          </w:p>
        </w:tc>
        <w:tc>
          <w:tcPr>
            <w:tcW w:w="1967"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ascii="仿宋" w:hAnsi="仿宋" w:eastAsia="仿宋"/>
                <w:kern w:val="0"/>
                <w:szCs w:val="21"/>
              </w:rPr>
              <w:t>北京马</w:t>
            </w:r>
            <w:r>
              <w:rPr>
                <w:rFonts w:hint="eastAsia" w:ascii="仿宋" w:hAnsi="仿宋" w:eastAsia="仿宋"/>
                <w:kern w:val="0"/>
                <w:szCs w:val="21"/>
              </w:rPr>
              <w:t>兰</w:t>
            </w:r>
            <w:r>
              <w:rPr>
                <w:rFonts w:ascii="仿宋" w:hAnsi="仿宋" w:eastAsia="仿宋"/>
                <w:kern w:val="0"/>
                <w:szCs w:val="21"/>
              </w:rPr>
              <w:t>森林公园</w:t>
            </w:r>
          </w:p>
        </w:tc>
        <w:tc>
          <w:tcPr>
            <w:tcW w:w="1967" w:type="pct"/>
            <w:vMerge w:val="continue"/>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457" w:type="pct"/>
            <w:tcBorders>
              <w:right w:val="nil"/>
              <w:insideV w:val="nil"/>
            </w:tcBorders>
            <w:shd w:val="clear" w:color="auto" w:fill="FFFFFF" w:themeFill="background1"/>
          </w:tcPr>
          <w:p>
            <w:pPr>
              <w:widowControl/>
              <w:jc w:val="center"/>
              <w:rPr>
                <w:rFonts w:ascii="仿宋" w:hAnsi="仿宋" w:eastAsia="仿宋"/>
                <w:b/>
                <w:bCs/>
                <w:kern w:val="0"/>
                <w:szCs w:val="21"/>
              </w:rPr>
            </w:pPr>
            <w:r>
              <w:rPr>
                <w:rFonts w:hint="eastAsia" w:ascii="仿宋" w:hAnsi="仿宋" w:eastAsia="仿宋"/>
                <w:b/>
                <w:bCs/>
                <w:kern w:val="0"/>
                <w:szCs w:val="21"/>
              </w:rPr>
              <w:t>16</w:t>
            </w:r>
          </w:p>
        </w:tc>
        <w:tc>
          <w:tcPr>
            <w:tcW w:w="608" w:type="pct"/>
          </w:tcPr>
          <w:p>
            <w:pPr>
              <w:widowControl/>
              <w:jc w:val="center"/>
              <w:rPr>
                <w:rFonts w:ascii="仿宋" w:hAnsi="仿宋" w:eastAsia="仿宋"/>
                <w:kern w:val="0"/>
                <w:szCs w:val="21"/>
              </w:rPr>
            </w:pPr>
            <w:r>
              <w:rPr>
                <w:rFonts w:hint="eastAsia" w:ascii="仿宋" w:hAnsi="仿宋" w:eastAsia="仿宋"/>
                <w:kern w:val="0"/>
                <w:szCs w:val="21"/>
              </w:rPr>
              <w:t>门头沟</w:t>
            </w:r>
          </w:p>
        </w:tc>
        <w:tc>
          <w:tcPr>
            <w:tcW w:w="1967" w:type="pct"/>
          </w:tcPr>
          <w:p>
            <w:pPr>
              <w:widowControl/>
              <w:jc w:val="center"/>
              <w:rPr>
                <w:rFonts w:ascii="仿宋" w:hAnsi="仿宋" w:eastAsia="仿宋"/>
                <w:kern w:val="0"/>
                <w:szCs w:val="21"/>
              </w:rPr>
            </w:pPr>
            <w:r>
              <w:rPr>
                <w:rFonts w:hint="eastAsia" w:ascii="仿宋" w:hAnsi="仿宋" w:eastAsia="仿宋"/>
                <w:kern w:val="0"/>
                <w:szCs w:val="21"/>
              </w:rPr>
              <w:t>北京双龙峡东山森林公园</w:t>
            </w:r>
          </w:p>
        </w:tc>
        <w:tc>
          <w:tcPr>
            <w:tcW w:w="1967" w:type="pct"/>
            <w:vMerge w:val="continue"/>
          </w:tcPr>
          <w:p>
            <w:pPr>
              <w:widowControl/>
              <w:jc w:val="center"/>
              <w:rPr>
                <w:rFonts w:ascii="仿宋" w:hAnsi="仿宋" w:eastAsia="仿宋"/>
                <w:kern w:val="0"/>
                <w:szCs w:val="21"/>
              </w:rPr>
            </w:pP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457"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widowControl/>
              <w:jc w:val="center"/>
              <w:rPr>
                <w:rFonts w:ascii="仿宋" w:hAnsi="仿宋" w:eastAsia="仿宋"/>
                <w:b/>
                <w:bCs/>
                <w:kern w:val="0"/>
                <w:szCs w:val="21"/>
              </w:rPr>
            </w:pPr>
            <w:r>
              <w:rPr>
                <w:rFonts w:hint="eastAsia" w:ascii="仿宋" w:hAnsi="仿宋" w:eastAsia="仿宋"/>
                <w:b/>
                <w:bCs/>
                <w:kern w:val="0"/>
                <w:szCs w:val="21"/>
              </w:rPr>
              <w:t>17</w:t>
            </w:r>
          </w:p>
        </w:tc>
        <w:tc>
          <w:tcPr>
            <w:tcW w:w="608"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ascii="仿宋" w:hAnsi="仿宋" w:eastAsia="仿宋"/>
                <w:kern w:val="0"/>
                <w:szCs w:val="21"/>
              </w:rPr>
              <w:t>房山</w:t>
            </w:r>
          </w:p>
        </w:tc>
        <w:tc>
          <w:tcPr>
            <w:tcW w:w="1967"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ascii="仿宋" w:hAnsi="仿宋" w:eastAsia="仿宋"/>
                <w:kern w:val="0"/>
                <w:szCs w:val="21"/>
              </w:rPr>
              <w:t>北京霞云岭国家森林公园</w:t>
            </w:r>
          </w:p>
        </w:tc>
        <w:tc>
          <w:tcPr>
            <w:tcW w:w="1967" w:type="pct"/>
            <w:vMerge w:val="continue"/>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457" w:type="pct"/>
            <w:tcBorders>
              <w:right w:val="nil"/>
              <w:insideV w:val="nil"/>
            </w:tcBorders>
            <w:shd w:val="clear" w:color="auto" w:fill="FFFFFF" w:themeFill="background1"/>
          </w:tcPr>
          <w:p>
            <w:pPr>
              <w:widowControl/>
              <w:jc w:val="center"/>
              <w:rPr>
                <w:rFonts w:ascii="仿宋" w:hAnsi="仿宋" w:eastAsia="仿宋"/>
                <w:b/>
                <w:bCs/>
                <w:kern w:val="0"/>
                <w:szCs w:val="21"/>
              </w:rPr>
            </w:pPr>
            <w:r>
              <w:rPr>
                <w:rFonts w:hint="eastAsia" w:ascii="仿宋" w:hAnsi="仿宋" w:eastAsia="仿宋"/>
                <w:b/>
                <w:bCs/>
                <w:kern w:val="0"/>
                <w:szCs w:val="21"/>
              </w:rPr>
              <w:t>18</w:t>
            </w:r>
          </w:p>
        </w:tc>
        <w:tc>
          <w:tcPr>
            <w:tcW w:w="608" w:type="pct"/>
          </w:tcPr>
          <w:p>
            <w:pPr>
              <w:widowControl/>
              <w:jc w:val="center"/>
              <w:rPr>
                <w:rFonts w:ascii="仿宋" w:hAnsi="仿宋" w:eastAsia="仿宋"/>
                <w:kern w:val="0"/>
                <w:szCs w:val="21"/>
              </w:rPr>
            </w:pPr>
            <w:r>
              <w:rPr>
                <w:rFonts w:hint="eastAsia" w:ascii="仿宋" w:hAnsi="仿宋" w:eastAsia="仿宋"/>
                <w:kern w:val="0"/>
                <w:szCs w:val="21"/>
              </w:rPr>
              <w:t>房山</w:t>
            </w:r>
          </w:p>
        </w:tc>
        <w:tc>
          <w:tcPr>
            <w:tcW w:w="1967" w:type="pct"/>
          </w:tcPr>
          <w:p>
            <w:pPr>
              <w:widowControl/>
              <w:jc w:val="center"/>
              <w:rPr>
                <w:rFonts w:ascii="仿宋" w:hAnsi="仿宋" w:eastAsia="仿宋"/>
                <w:kern w:val="0"/>
                <w:szCs w:val="21"/>
              </w:rPr>
            </w:pPr>
            <w:r>
              <w:rPr>
                <w:rFonts w:hint="eastAsia" w:ascii="仿宋" w:hAnsi="仿宋" w:eastAsia="仿宋"/>
                <w:kern w:val="0"/>
                <w:szCs w:val="21"/>
              </w:rPr>
              <w:t>北京上方山国家森林公园</w:t>
            </w:r>
          </w:p>
        </w:tc>
        <w:tc>
          <w:tcPr>
            <w:tcW w:w="1967" w:type="pct"/>
            <w:vMerge w:val="continue"/>
          </w:tcPr>
          <w:p>
            <w:pPr>
              <w:widowControl/>
              <w:jc w:val="center"/>
              <w:rPr>
                <w:rFonts w:ascii="仿宋" w:hAnsi="仿宋" w:eastAsia="仿宋"/>
                <w:kern w:val="0"/>
                <w:szCs w:val="21"/>
              </w:rPr>
            </w:pP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457"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widowControl/>
              <w:jc w:val="center"/>
              <w:rPr>
                <w:rFonts w:ascii="仿宋" w:hAnsi="仿宋" w:eastAsia="仿宋"/>
                <w:b/>
                <w:bCs/>
                <w:kern w:val="0"/>
                <w:szCs w:val="21"/>
              </w:rPr>
            </w:pPr>
            <w:r>
              <w:rPr>
                <w:rFonts w:hint="eastAsia" w:ascii="仿宋" w:hAnsi="仿宋" w:eastAsia="仿宋"/>
                <w:b/>
                <w:bCs/>
                <w:kern w:val="0"/>
                <w:szCs w:val="21"/>
              </w:rPr>
              <w:t>19</w:t>
            </w:r>
          </w:p>
        </w:tc>
        <w:tc>
          <w:tcPr>
            <w:tcW w:w="608"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ascii="仿宋" w:hAnsi="仿宋" w:eastAsia="仿宋"/>
                <w:kern w:val="0"/>
                <w:szCs w:val="21"/>
              </w:rPr>
              <w:t>石景山</w:t>
            </w:r>
          </w:p>
        </w:tc>
        <w:tc>
          <w:tcPr>
            <w:tcW w:w="1967"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ascii="仿宋" w:hAnsi="仿宋" w:eastAsia="仿宋"/>
                <w:kern w:val="0"/>
                <w:szCs w:val="21"/>
              </w:rPr>
              <w:t>北京永定河休闲森林公园</w:t>
            </w:r>
          </w:p>
        </w:tc>
        <w:tc>
          <w:tcPr>
            <w:tcW w:w="1967" w:type="pct"/>
            <w:vMerge w:val="restart"/>
            <w:tcBorders>
              <w:top w:val="single" w:color="9BBB59" w:themeColor="accent3" w:sz="4" w:space="0"/>
              <w:bottom w:val="single" w:color="9BBB59" w:themeColor="accent3" w:sz="4" w:space="0"/>
              <w:insideH w:val="single" w:sz="4" w:space="0"/>
            </w:tcBorders>
          </w:tcPr>
          <w:p>
            <w:pPr>
              <w:widowControl/>
              <w:jc w:val="left"/>
              <w:rPr>
                <w:rFonts w:ascii="仿宋" w:hAnsi="仿宋" w:eastAsia="仿宋"/>
                <w:kern w:val="0"/>
                <w:szCs w:val="21"/>
              </w:rPr>
            </w:pPr>
            <w:r>
              <w:rPr>
                <w:rFonts w:hint="eastAsia" w:ascii="仿宋" w:hAnsi="仿宋" w:eastAsia="仿宋"/>
                <w:szCs w:val="21"/>
              </w:rPr>
              <w:t>随着平原森林的健康培育和景观稳定，一是通过森林浴</w:t>
            </w:r>
            <w:r>
              <w:rPr>
                <w:rFonts w:ascii="仿宋" w:hAnsi="仿宋" w:eastAsia="仿宋"/>
                <w:szCs w:val="21"/>
              </w:rPr>
              <w:t>结合观光农</w:t>
            </w:r>
            <w:r>
              <w:rPr>
                <w:rFonts w:hint="eastAsia" w:ascii="仿宋" w:hAnsi="仿宋" w:eastAsia="仿宋"/>
                <w:szCs w:val="21"/>
              </w:rPr>
              <w:t>林</w:t>
            </w:r>
            <w:r>
              <w:rPr>
                <w:rFonts w:ascii="仿宋" w:hAnsi="仿宋" w:eastAsia="仿宋"/>
                <w:szCs w:val="21"/>
              </w:rPr>
              <w:t>业，</w:t>
            </w:r>
            <w:r>
              <w:rPr>
                <w:rFonts w:hint="eastAsia" w:ascii="仿宋" w:hAnsi="仿宋" w:eastAsia="仿宋"/>
                <w:szCs w:val="21"/>
              </w:rPr>
              <w:t>开发具有特色的</w:t>
            </w:r>
            <w:r>
              <w:rPr>
                <w:rFonts w:ascii="仿宋" w:hAnsi="仿宋" w:eastAsia="仿宋"/>
                <w:szCs w:val="21"/>
              </w:rPr>
              <w:t>森林</w:t>
            </w:r>
            <w:r>
              <w:rPr>
                <w:rFonts w:hint="eastAsia" w:ascii="仿宋" w:hAnsi="仿宋" w:eastAsia="仿宋"/>
                <w:szCs w:val="21"/>
              </w:rPr>
              <w:t>康养</w:t>
            </w:r>
            <w:r>
              <w:rPr>
                <w:rFonts w:ascii="仿宋" w:hAnsi="仿宋" w:eastAsia="仿宋"/>
                <w:szCs w:val="21"/>
              </w:rPr>
              <w:t>体验</w:t>
            </w:r>
            <w:r>
              <w:rPr>
                <w:rFonts w:hint="eastAsia" w:ascii="仿宋" w:hAnsi="仿宋" w:eastAsia="仿宋"/>
                <w:szCs w:val="21"/>
              </w:rPr>
              <w:t>服务</w:t>
            </w:r>
            <w:r>
              <w:rPr>
                <w:rFonts w:ascii="仿宋" w:hAnsi="仿宋" w:eastAsia="仿宋"/>
                <w:szCs w:val="21"/>
              </w:rPr>
              <w:t>产品</w:t>
            </w:r>
            <w:r>
              <w:rPr>
                <w:rFonts w:hint="eastAsia" w:ascii="仿宋" w:hAnsi="仿宋" w:eastAsia="仿宋"/>
                <w:szCs w:val="21"/>
              </w:rPr>
              <w:t>；二是通过康复花园结合观光农林业，形成特色森林康复活动与服务产品</w:t>
            </w:r>
            <w:r>
              <w:rPr>
                <w:rFonts w:ascii="仿宋" w:hAnsi="仿宋" w:eastAsia="仿宋"/>
                <w:szCs w:val="21"/>
              </w:rPr>
              <w:t>。</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457" w:type="pct"/>
            <w:tcBorders>
              <w:right w:val="nil"/>
              <w:insideV w:val="nil"/>
            </w:tcBorders>
            <w:shd w:val="clear" w:color="auto" w:fill="FFFFFF" w:themeFill="background1"/>
          </w:tcPr>
          <w:p>
            <w:pPr>
              <w:widowControl/>
              <w:jc w:val="center"/>
              <w:rPr>
                <w:rFonts w:ascii="仿宋" w:hAnsi="仿宋" w:eastAsia="仿宋"/>
                <w:b/>
                <w:bCs/>
                <w:kern w:val="0"/>
                <w:szCs w:val="21"/>
              </w:rPr>
            </w:pPr>
            <w:r>
              <w:rPr>
                <w:rFonts w:hint="eastAsia" w:ascii="仿宋" w:hAnsi="仿宋" w:eastAsia="仿宋"/>
                <w:b/>
                <w:bCs/>
                <w:kern w:val="0"/>
                <w:szCs w:val="21"/>
              </w:rPr>
              <w:t>20</w:t>
            </w:r>
          </w:p>
        </w:tc>
        <w:tc>
          <w:tcPr>
            <w:tcW w:w="608" w:type="pct"/>
          </w:tcPr>
          <w:p>
            <w:pPr>
              <w:widowControl/>
              <w:jc w:val="center"/>
              <w:rPr>
                <w:rFonts w:ascii="仿宋" w:hAnsi="仿宋" w:eastAsia="仿宋"/>
                <w:kern w:val="0"/>
                <w:szCs w:val="21"/>
              </w:rPr>
            </w:pPr>
            <w:r>
              <w:rPr>
                <w:rFonts w:ascii="仿宋" w:hAnsi="仿宋" w:eastAsia="仿宋"/>
                <w:kern w:val="0"/>
                <w:szCs w:val="21"/>
              </w:rPr>
              <w:t>海淀</w:t>
            </w:r>
          </w:p>
        </w:tc>
        <w:tc>
          <w:tcPr>
            <w:tcW w:w="1967" w:type="pct"/>
          </w:tcPr>
          <w:p>
            <w:pPr>
              <w:widowControl/>
              <w:jc w:val="center"/>
              <w:rPr>
                <w:rFonts w:ascii="仿宋" w:hAnsi="仿宋" w:eastAsia="仿宋"/>
                <w:kern w:val="0"/>
                <w:szCs w:val="21"/>
              </w:rPr>
            </w:pPr>
            <w:r>
              <w:rPr>
                <w:rFonts w:ascii="仿宋" w:hAnsi="仿宋" w:eastAsia="仿宋"/>
                <w:kern w:val="0"/>
                <w:szCs w:val="21"/>
              </w:rPr>
              <w:t>北京西山国家森林公园</w:t>
            </w:r>
          </w:p>
        </w:tc>
        <w:tc>
          <w:tcPr>
            <w:tcW w:w="1967" w:type="pct"/>
            <w:vMerge w:val="continue"/>
          </w:tcPr>
          <w:p>
            <w:pPr>
              <w:widowControl/>
              <w:jc w:val="center"/>
              <w:rPr>
                <w:rFonts w:ascii="仿宋" w:hAnsi="仿宋" w:eastAsia="仿宋"/>
                <w:kern w:val="0"/>
                <w:szCs w:val="21"/>
              </w:rPr>
            </w:pP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457"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widowControl/>
              <w:jc w:val="center"/>
              <w:rPr>
                <w:rFonts w:ascii="仿宋" w:hAnsi="仿宋" w:eastAsia="仿宋"/>
                <w:b/>
                <w:bCs/>
                <w:kern w:val="0"/>
                <w:szCs w:val="21"/>
              </w:rPr>
            </w:pPr>
            <w:r>
              <w:rPr>
                <w:rFonts w:hint="eastAsia" w:ascii="仿宋" w:hAnsi="仿宋" w:eastAsia="仿宋"/>
                <w:b/>
                <w:bCs/>
                <w:kern w:val="0"/>
                <w:szCs w:val="21"/>
              </w:rPr>
              <w:t>21</w:t>
            </w:r>
          </w:p>
        </w:tc>
        <w:tc>
          <w:tcPr>
            <w:tcW w:w="608"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ascii="仿宋" w:hAnsi="仿宋" w:eastAsia="仿宋"/>
                <w:kern w:val="0"/>
                <w:szCs w:val="21"/>
              </w:rPr>
              <w:t>海淀</w:t>
            </w:r>
          </w:p>
        </w:tc>
        <w:tc>
          <w:tcPr>
            <w:tcW w:w="1967"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ascii="仿宋" w:hAnsi="仿宋" w:eastAsia="仿宋"/>
                <w:kern w:val="0"/>
                <w:szCs w:val="21"/>
              </w:rPr>
              <w:t>北京鹫峰国家森林公园</w:t>
            </w:r>
          </w:p>
        </w:tc>
        <w:tc>
          <w:tcPr>
            <w:tcW w:w="1967" w:type="pct"/>
            <w:vMerge w:val="continue"/>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457" w:type="pct"/>
            <w:tcBorders>
              <w:right w:val="nil"/>
              <w:insideV w:val="nil"/>
            </w:tcBorders>
            <w:shd w:val="clear" w:color="auto" w:fill="FFFFFF" w:themeFill="background1"/>
          </w:tcPr>
          <w:p>
            <w:pPr>
              <w:widowControl/>
              <w:jc w:val="center"/>
              <w:rPr>
                <w:rFonts w:ascii="仿宋" w:hAnsi="仿宋" w:eastAsia="仿宋"/>
                <w:b/>
                <w:bCs/>
                <w:kern w:val="0"/>
                <w:szCs w:val="21"/>
              </w:rPr>
            </w:pPr>
            <w:r>
              <w:rPr>
                <w:rFonts w:hint="eastAsia" w:ascii="仿宋" w:hAnsi="仿宋" w:eastAsia="仿宋"/>
                <w:b/>
                <w:bCs/>
                <w:kern w:val="0"/>
                <w:szCs w:val="21"/>
              </w:rPr>
              <w:t>22</w:t>
            </w:r>
          </w:p>
        </w:tc>
        <w:tc>
          <w:tcPr>
            <w:tcW w:w="608" w:type="pct"/>
          </w:tcPr>
          <w:p>
            <w:pPr>
              <w:widowControl/>
              <w:jc w:val="center"/>
              <w:rPr>
                <w:rFonts w:ascii="仿宋" w:hAnsi="仿宋" w:eastAsia="仿宋"/>
                <w:kern w:val="0"/>
                <w:szCs w:val="21"/>
              </w:rPr>
            </w:pPr>
            <w:r>
              <w:rPr>
                <w:rFonts w:ascii="仿宋" w:hAnsi="仿宋" w:eastAsia="仿宋"/>
                <w:kern w:val="0"/>
                <w:szCs w:val="21"/>
              </w:rPr>
              <w:t>海淀</w:t>
            </w:r>
          </w:p>
        </w:tc>
        <w:tc>
          <w:tcPr>
            <w:tcW w:w="1967" w:type="pct"/>
          </w:tcPr>
          <w:p>
            <w:pPr>
              <w:widowControl/>
              <w:jc w:val="center"/>
              <w:rPr>
                <w:rFonts w:ascii="仿宋" w:hAnsi="仿宋" w:eastAsia="仿宋"/>
                <w:kern w:val="0"/>
                <w:szCs w:val="21"/>
              </w:rPr>
            </w:pPr>
            <w:r>
              <w:rPr>
                <w:rFonts w:ascii="仿宋" w:hAnsi="仿宋" w:eastAsia="仿宋"/>
                <w:kern w:val="0"/>
                <w:szCs w:val="21"/>
              </w:rPr>
              <w:t>北京百望山森林公园</w:t>
            </w:r>
          </w:p>
        </w:tc>
        <w:tc>
          <w:tcPr>
            <w:tcW w:w="1967" w:type="pct"/>
            <w:vMerge w:val="continue"/>
          </w:tcPr>
          <w:p>
            <w:pPr>
              <w:widowControl/>
              <w:jc w:val="center"/>
              <w:rPr>
                <w:rFonts w:ascii="仿宋" w:hAnsi="仿宋" w:eastAsia="仿宋"/>
                <w:kern w:val="0"/>
                <w:szCs w:val="21"/>
              </w:rPr>
            </w:pP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457"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tcPr>
          <w:p>
            <w:pPr>
              <w:widowControl/>
              <w:jc w:val="center"/>
              <w:rPr>
                <w:rFonts w:ascii="仿宋" w:hAnsi="仿宋" w:eastAsia="仿宋"/>
                <w:b/>
                <w:bCs/>
                <w:kern w:val="0"/>
                <w:szCs w:val="21"/>
              </w:rPr>
            </w:pPr>
            <w:r>
              <w:rPr>
                <w:rFonts w:hint="eastAsia" w:ascii="仿宋" w:hAnsi="仿宋" w:eastAsia="仿宋"/>
                <w:b/>
                <w:bCs/>
                <w:kern w:val="0"/>
                <w:szCs w:val="21"/>
              </w:rPr>
              <w:t>23</w:t>
            </w:r>
          </w:p>
        </w:tc>
        <w:tc>
          <w:tcPr>
            <w:tcW w:w="608"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ascii="仿宋" w:hAnsi="仿宋" w:eastAsia="仿宋"/>
                <w:kern w:val="0"/>
                <w:szCs w:val="21"/>
              </w:rPr>
              <w:t>大兴</w:t>
            </w:r>
          </w:p>
        </w:tc>
        <w:tc>
          <w:tcPr>
            <w:tcW w:w="1967" w:type="pct"/>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r>
              <w:rPr>
                <w:rFonts w:ascii="仿宋" w:hAnsi="仿宋" w:eastAsia="仿宋"/>
                <w:kern w:val="0"/>
                <w:szCs w:val="21"/>
              </w:rPr>
              <w:t>北京大兴古桑国家森林公园</w:t>
            </w:r>
          </w:p>
        </w:tc>
        <w:tc>
          <w:tcPr>
            <w:tcW w:w="1967" w:type="pct"/>
            <w:vMerge w:val="continue"/>
            <w:tcBorders>
              <w:top w:val="single" w:color="9BBB59" w:themeColor="accent3" w:sz="4" w:space="0"/>
              <w:bottom w:val="single" w:color="9BBB59" w:themeColor="accent3" w:sz="4" w:space="0"/>
              <w:insideH w:val="single" w:sz="4" w:space="0"/>
            </w:tcBorders>
          </w:tcPr>
          <w:p>
            <w:pPr>
              <w:widowControl/>
              <w:jc w:val="center"/>
              <w:rPr>
                <w:rFonts w:ascii="仿宋" w:hAnsi="仿宋" w:eastAsia="仿宋"/>
                <w:kern w:val="0"/>
                <w:szCs w:val="21"/>
              </w:rPr>
            </w:pP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457" w:type="pct"/>
            <w:tcBorders>
              <w:right w:val="nil"/>
              <w:insideV w:val="nil"/>
            </w:tcBorders>
            <w:shd w:val="clear" w:color="auto" w:fill="FFFFFF" w:themeFill="background1"/>
          </w:tcPr>
          <w:p>
            <w:pPr>
              <w:widowControl/>
              <w:jc w:val="center"/>
              <w:rPr>
                <w:rFonts w:ascii="仿宋" w:hAnsi="仿宋" w:eastAsia="仿宋"/>
                <w:b/>
                <w:bCs/>
                <w:kern w:val="0"/>
                <w:szCs w:val="21"/>
              </w:rPr>
            </w:pPr>
            <w:r>
              <w:rPr>
                <w:rFonts w:hint="eastAsia" w:ascii="仿宋" w:hAnsi="仿宋" w:eastAsia="仿宋"/>
                <w:b/>
                <w:bCs/>
                <w:kern w:val="0"/>
                <w:szCs w:val="21"/>
              </w:rPr>
              <w:t>24</w:t>
            </w:r>
          </w:p>
        </w:tc>
        <w:tc>
          <w:tcPr>
            <w:tcW w:w="608" w:type="pct"/>
          </w:tcPr>
          <w:p>
            <w:pPr>
              <w:widowControl/>
              <w:jc w:val="center"/>
              <w:rPr>
                <w:rFonts w:ascii="仿宋" w:hAnsi="仿宋" w:eastAsia="仿宋"/>
                <w:kern w:val="0"/>
                <w:szCs w:val="21"/>
              </w:rPr>
            </w:pPr>
            <w:r>
              <w:rPr>
                <w:rFonts w:ascii="仿宋" w:hAnsi="仿宋" w:eastAsia="仿宋"/>
                <w:kern w:val="0"/>
                <w:szCs w:val="21"/>
              </w:rPr>
              <w:t>丰台</w:t>
            </w:r>
          </w:p>
        </w:tc>
        <w:tc>
          <w:tcPr>
            <w:tcW w:w="1967" w:type="pct"/>
          </w:tcPr>
          <w:p>
            <w:pPr>
              <w:widowControl/>
              <w:jc w:val="center"/>
              <w:rPr>
                <w:rFonts w:ascii="仿宋" w:hAnsi="仿宋" w:eastAsia="仿宋"/>
                <w:kern w:val="0"/>
                <w:szCs w:val="21"/>
              </w:rPr>
            </w:pPr>
            <w:r>
              <w:rPr>
                <w:rFonts w:ascii="仿宋" w:hAnsi="仿宋" w:eastAsia="仿宋"/>
                <w:kern w:val="0"/>
                <w:szCs w:val="21"/>
              </w:rPr>
              <w:t>北京北宫国家森林公园</w:t>
            </w:r>
          </w:p>
        </w:tc>
        <w:tc>
          <w:tcPr>
            <w:tcW w:w="1967" w:type="pct"/>
            <w:vMerge w:val="continue"/>
          </w:tcPr>
          <w:p>
            <w:pPr>
              <w:widowControl/>
              <w:jc w:val="center"/>
              <w:rPr>
                <w:rFonts w:ascii="仿宋" w:hAnsi="仿宋" w:eastAsia="仿宋"/>
                <w:kern w:val="0"/>
                <w:szCs w:val="21"/>
              </w:rPr>
            </w:pPr>
          </w:p>
        </w:tc>
      </w:tr>
    </w:tbl>
    <w:p>
      <w:pPr>
        <w:spacing w:line="360" w:lineRule="auto"/>
        <w:ind w:firstLine="480" w:firstLineChars="200"/>
        <w:rPr>
          <w:rFonts w:ascii="仿宋" w:hAnsi="仿宋" w:eastAsia="仿宋"/>
          <w:b/>
          <w:sz w:val="24"/>
        </w:rPr>
      </w:pPr>
    </w:p>
    <w:p>
      <w:pPr>
        <w:spacing w:line="276" w:lineRule="auto"/>
        <w:ind w:firstLine="560" w:firstLineChars="200"/>
        <w:rPr>
          <w:rFonts w:ascii="仿宋" w:hAnsi="仿宋" w:eastAsia="仿宋"/>
          <w:b/>
          <w:sz w:val="28"/>
          <w:szCs w:val="24"/>
        </w:rPr>
      </w:pPr>
      <w:r>
        <w:rPr>
          <w:rFonts w:hint="eastAsia" w:ascii="仿宋" w:hAnsi="仿宋" w:eastAsia="仿宋"/>
          <w:b/>
          <w:sz w:val="28"/>
          <w:szCs w:val="24"/>
        </w:rPr>
        <w:t>（2）特色红叶文化体验建设</w:t>
      </w:r>
    </w:p>
    <w:p>
      <w:pPr>
        <w:spacing w:line="276" w:lineRule="auto"/>
        <w:ind w:firstLine="560" w:firstLineChars="200"/>
        <w:rPr>
          <w:rFonts w:ascii="仿宋" w:hAnsi="仿宋" w:eastAsia="仿宋"/>
          <w:sz w:val="28"/>
          <w:szCs w:val="24"/>
        </w:rPr>
      </w:pPr>
      <w:r>
        <w:rPr>
          <w:rFonts w:hint="eastAsia" w:ascii="仿宋" w:hAnsi="仿宋" w:eastAsia="仿宋"/>
          <w:sz w:val="28"/>
          <w:szCs w:val="24"/>
        </w:rPr>
        <w:t>重点依托八达岭森林公园、西山森林公园、奥林匹克森林公园、蟒山森林公园、北宫森林公园、香山公园、云蒙山风景区、妙峰山风景区、上方山国家森林公园等9处集中观赏区，打造红叶生态文化体验地，并结合北京红叶文化节系列生态文化活动的开展，塑造北京森林红叶文化标志。</w:t>
      </w:r>
    </w:p>
    <w:p>
      <w:pPr>
        <w:spacing w:line="276" w:lineRule="auto"/>
        <w:ind w:firstLine="560" w:firstLineChars="200"/>
        <w:rPr>
          <w:rFonts w:ascii="仿宋" w:hAnsi="仿宋" w:eastAsia="仿宋"/>
          <w:sz w:val="28"/>
          <w:szCs w:val="24"/>
        </w:rPr>
      </w:pPr>
      <w:r>
        <w:rPr>
          <w:rFonts w:hint="eastAsia" w:ascii="仿宋" w:hAnsi="仿宋" w:eastAsia="仿宋"/>
          <w:b/>
          <w:sz w:val="28"/>
          <w:szCs w:val="24"/>
        </w:rPr>
        <w:t>（3）城市森林文化体验建设</w:t>
      </w:r>
    </w:p>
    <w:p>
      <w:pPr>
        <w:spacing w:line="276" w:lineRule="auto"/>
        <w:ind w:firstLine="560" w:firstLineChars="200"/>
        <w:rPr>
          <w:rFonts w:ascii="仿宋" w:hAnsi="仿宋" w:eastAsia="仿宋"/>
          <w:sz w:val="22"/>
          <w:szCs w:val="24"/>
        </w:rPr>
      </w:pPr>
      <w:r>
        <w:rPr>
          <w:rFonts w:hint="eastAsia" w:ascii="仿宋" w:hAnsi="仿宋" w:eastAsia="仿宋"/>
          <w:sz w:val="28"/>
          <w:szCs w:val="24"/>
        </w:rPr>
        <w:t>依托城市公园环、郊野公园环，重点在副中心城市绿心、奥林匹克森林公园、朝来森林公园、云岗森林公园、中关村森林公园、东小口森林公园、横街子森林公园等大尺度城市森林公园的日常游憩空间，建设完善、开放的森林体验场地和设施，形成贴近群众生活的城市森林文化体验地。</w:t>
      </w:r>
    </w:p>
    <w:p>
      <w:pPr>
        <w:pStyle w:val="4"/>
        <w:spacing w:before="0" w:after="0" w:line="276" w:lineRule="auto"/>
        <w:rPr>
          <w:rFonts w:ascii="仿宋" w:hAnsi="仿宋" w:eastAsia="仿宋"/>
        </w:rPr>
      </w:pPr>
      <w:bookmarkStart w:id="337" w:name="_Toc27389960"/>
      <w:r>
        <w:rPr>
          <w:rFonts w:ascii="仿宋" w:hAnsi="仿宋" w:eastAsia="仿宋"/>
        </w:rPr>
        <w:t>2</w:t>
      </w:r>
      <w:r>
        <w:rPr>
          <w:rFonts w:hint="eastAsia" w:ascii="仿宋" w:hAnsi="仿宋" w:eastAsia="仿宋"/>
        </w:rPr>
        <w:t>.湿地文化体验</w:t>
      </w:r>
      <w:bookmarkEnd w:id="337"/>
    </w:p>
    <w:p>
      <w:pPr>
        <w:spacing w:line="276" w:lineRule="auto"/>
        <w:ind w:firstLine="560" w:firstLineChars="200"/>
        <w:rPr>
          <w:rFonts w:ascii="仿宋" w:hAnsi="仿宋" w:eastAsia="仿宋"/>
          <w:b/>
          <w:sz w:val="28"/>
          <w:szCs w:val="24"/>
        </w:rPr>
      </w:pPr>
      <w:r>
        <w:rPr>
          <w:rFonts w:hint="eastAsia" w:ascii="仿宋" w:hAnsi="仿宋" w:eastAsia="仿宋"/>
          <w:b/>
          <w:sz w:val="28"/>
          <w:szCs w:val="24"/>
        </w:rPr>
        <w:t>（1）湿地文化体验建设</w:t>
      </w:r>
    </w:p>
    <w:p>
      <w:pPr>
        <w:spacing w:line="276" w:lineRule="auto"/>
        <w:ind w:firstLine="560" w:firstLineChars="200"/>
        <w:rPr>
          <w:rFonts w:ascii="仿宋" w:hAnsi="仿宋" w:eastAsia="仿宋"/>
          <w:sz w:val="28"/>
          <w:szCs w:val="24"/>
        </w:rPr>
      </w:pPr>
      <w:r>
        <w:rPr>
          <w:rFonts w:hint="eastAsia" w:ascii="仿宋" w:hAnsi="仿宋" w:eastAsia="仿宋"/>
          <w:sz w:val="28"/>
          <w:szCs w:val="24"/>
        </w:rPr>
        <w:t>依托湿地森林相融合的新城滨河湿地森林公园（昌平新城滨河森林公园、房山新城滨水森林公园、怀柔新城滨河森林公园、平谷新城滨河森林公园、顺义新城滨河森林公园等）、北京重要河流的湿地森林公园（潮白河森林公园、永定河滨水森林公园、大运河森林公园等）、主要城市湿地森林公园（南苑森林湿地公园等），打造10处综合性的湿地文化体验地，并结合“世界湿地日”、“北京湿地日”系列主题活动，丰富湿地文化体验建设。</w:t>
      </w:r>
    </w:p>
    <w:p>
      <w:pPr>
        <w:spacing w:line="276" w:lineRule="auto"/>
        <w:ind w:firstLine="560" w:firstLineChars="200"/>
        <w:rPr>
          <w:rFonts w:ascii="仿宋" w:hAnsi="仿宋" w:eastAsia="仿宋"/>
          <w:b/>
          <w:sz w:val="28"/>
          <w:szCs w:val="24"/>
        </w:rPr>
      </w:pPr>
      <w:r>
        <w:rPr>
          <w:rFonts w:hint="eastAsia" w:ascii="仿宋" w:hAnsi="仿宋" w:eastAsia="仿宋"/>
          <w:b/>
          <w:sz w:val="28"/>
          <w:szCs w:val="24"/>
        </w:rPr>
        <w:t>（2）特色候鸟文化体验建设</w:t>
      </w:r>
    </w:p>
    <w:p>
      <w:pPr>
        <w:spacing w:line="276" w:lineRule="auto"/>
        <w:ind w:firstLine="560" w:firstLineChars="200"/>
        <w:rPr>
          <w:rFonts w:ascii="仿宋" w:hAnsi="仿宋" w:eastAsia="仿宋"/>
          <w:sz w:val="22"/>
          <w:szCs w:val="24"/>
        </w:rPr>
      </w:pPr>
      <w:r>
        <w:rPr>
          <w:rFonts w:hint="eastAsia" w:ascii="仿宋" w:hAnsi="仿宋" w:eastAsia="仿宋"/>
          <w:sz w:val="28"/>
          <w:szCs w:val="24"/>
        </w:rPr>
        <w:t>立足北京特有的候鸟迁徙路线，重点打造官厅水库、密云水库、延庆野鸭湖自然保护区、翠湖湿地公园、沙河水库、房山牛口峪湿地公园、顺义汉石桥湿地自然保护区等7个湿地候鸟文化展示基地。在不干扰其迁徙活动的基础上，科学合理规划观鸟空间、摄影空间、展示科普空间，结合爱鸟周等系列相关主题活动或全民行动的开展与推进，形成北京特色的湿地候鸟文化展示与科普平台。</w:t>
      </w:r>
    </w:p>
    <w:p>
      <w:pPr>
        <w:pStyle w:val="3"/>
        <w:spacing w:before="217" w:after="217"/>
        <w:jc w:val="left"/>
        <w:rPr>
          <w:rFonts w:ascii="黑体" w:hAnsi="黑体" w:eastAsia="黑体" w:cs="Times New Roman"/>
          <w:b w:val="0"/>
          <w:bCs w:val="0"/>
        </w:rPr>
      </w:pPr>
      <w:bookmarkStart w:id="338" w:name="_Toc27389961"/>
      <w:r>
        <w:rPr>
          <w:rFonts w:hint="eastAsia" w:ascii="黑体" w:hAnsi="黑体" w:eastAsia="黑体" w:cs="Times New Roman"/>
          <w:b w:val="0"/>
          <w:bCs w:val="0"/>
        </w:rPr>
        <w:t>二、古都乡愁生态文化</w:t>
      </w:r>
      <w:bookmarkEnd w:id="338"/>
    </w:p>
    <w:p>
      <w:pPr>
        <w:spacing w:before="217" w:after="217" w:line="264"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（一）建设目标</w:t>
      </w:r>
    </w:p>
    <w:p>
      <w:pPr>
        <w:spacing w:line="276" w:lineRule="auto"/>
        <w:ind w:firstLine="560" w:firstLineChars="200"/>
        <w:rPr>
          <w:rFonts w:ascii="仿宋" w:hAnsi="仿宋" w:eastAsia="仿宋"/>
          <w:sz w:val="28"/>
          <w:szCs w:val="24"/>
        </w:rPr>
      </w:pPr>
      <w:r>
        <w:rPr>
          <w:rFonts w:hint="eastAsia" w:ascii="仿宋" w:hAnsi="仿宋" w:eastAsia="仿宋"/>
          <w:sz w:val="28"/>
          <w:szCs w:val="24"/>
        </w:rPr>
        <w:t>完成京韵胡同乡愁文化与千年古都古树文化建设，突出北京生态文化与古城融合共生的生态文化特色，以胡同、古树为载体，形成京韵的乡愁记忆氛围，使城市文脉与城市精神通过城市树木的保存、生长而得以传承升华。该工程是对新总规中关于加强老城整体保护、加强古树文化遗产保护传承与合理利用的落实，也是对强化古都风韵城市特色的推进。</w:t>
      </w:r>
    </w:p>
    <w:p>
      <w:pPr>
        <w:spacing w:before="217" w:after="217" w:line="264" w:lineRule="auto"/>
        <w:rPr>
          <w:rFonts w:ascii="仿宋" w:hAnsi="仿宋" w:eastAsia="仿宋" w:cs="Times New Roman"/>
          <w:b/>
          <w:spacing w:val="20"/>
          <w:sz w:val="32"/>
          <w:szCs w:val="32"/>
        </w:rPr>
      </w:pPr>
      <w:r>
        <w:rPr>
          <w:rFonts w:ascii="仿宋" w:hAnsi="仿宋" w:eastAsia="仿宋" w:cs="Times New Roman"/>
          <w:b/>
          <w:spacing w:val="20"/>
          <w:sz w:val="32"/>
          <w:szCs w:val="32"/>
        </w:rPr>
        <w:t>（</w:t>
      </w:r>
      <w:r>
        <w:rPr>
          <w:rFonts w:hint="eastAsia" w:ascii="仿宋" w:hAnsi="仿宋" w:eastAsia="仿宋" w:cs="Times New Roman"/>
          <w:b/>
          <w:spacing w:val="20"/>
          <w:sz w:val="32"/>
          <w:szCs w:val="32"/>
        </w:rPr>
        <w:t>二）建设内容</w:t>
      </w:r>
    </w:p>
    <w:p>
      <w:pPr>
        <w:pStyle w:val="4"/>
        <w:spacing w:before="0" w:after="0" w:line="276" w:lineRule="auto"/>
        <w:rPr>
          <w:rFonts w:ascii="仿宋" w:hAnsi="仿宋" w:eastAsia="仿宋"/>
        </w:rPr>
      </w:pPr>
      <w:bookmarkStart w:id="339" w:name="_Toc27389962"/>
      <w:r>
        <w:rPr>
          <w:rFonts w:ascii="仿宋" w:hAnsi="仿宋" w:eastAsia="仿宋"/>
        </w:rPr>
        <w:t>1</w:t>
      </w:r>
      <w:r>
        <w:rPr>
          <w:rFonts w:hint="eastAsia" w:ascii="仿宋" w:hAnsi="仿宋" w:eastAsia="仿宋"/>
        </w:rPr>
        <w:t>.京韵胡同乡愁文化</w:t>
      </w:r>
      <w:bookmarkEnd w:id="339"/>
    </w:p>
    <w:p>
      <w:pPr>
        <w:spacing w:line="276" w:lineRule="auto"/>
        <w:ind w:firstLine="560" w:firstLineChars="200"/>
        <w:rPr>
          <w:rFonts w:ascii="仿宋" w:hAnsi="仿宋" w:eastAsia="仿宋"/>
          <w:sz w:val="28"/>
          <w:szCs w:val="24"/>
        </w:rPr>
      </w:pPr>
      <w:r>
        <w:rPr>
          <w:rFonts w:hint="eastAsia" w:ascii="仿宋" w:hAnsi="仿宋" w:eastAsia="仿宋"/>
          <w:b/>
          <w:sz w:val="28"/>
          <w:szCs w:val="24"/>
        </w:rPr>
        <w:t>（1）特色胡同城市记忆慢行系统建设</w:t>
      </w:r>
    </w:p>
    <w:p>
      <w:pPr>
        <w:spacing w:line="276" w:lineRule="auto"/>
        <w:ind w:firstLine="560" w:firstLineChars="200"/>
        <w:rPr>
          <w:rFonts w:ascii="仿宋" w:hAnsi="仿宋" w:eastAsia="仿宋"/>
          <w:sz w:val="28"/>
          <w:szCs w:val="24"/>
        </w:rPr>
      </w:pPr>
      <w:r>
        <w:rPr>
          <w:rFonts w:hint="eastAsia" w:ascii="仿宋" w:hAnsi="仿宋" w:eastAsia="仿宋"/>
          <w:sz w:val="28"/>
          <w:szCs w:val="24"/>
        </w:rPr>
        <w:t>依托现存胡同遗址，结合慢性步道与自行车道设施建设、生态文化标识解说系统建设，串联北京特色胡同小院、民居故里，展示胡同格局随环境顺应变迁过程、胡同植物、胡同社区文化等，形成特色城市记忆的胡同生态文化慢性路径系统，未来还可形成路径系统全视角的互联网、移动互联网</w:t>
      </w:r>
      <w:r>
        <w:rPr>
          <w:rFonts w:ascii="仿宋" w:hAnsi="仿宋" w:eastAsia="仿宋"/>
          <w:sz w:val="28"/>
          <w:szCs w:val="24"/>
        </w:rPr>
        <w:t>APP</w:t>
      </w:r>
      <w:r>
        <w:rPr>
          <w:rFonts w:hint="eastAsia" w:ascii="仿宋" w:hAnsi="仿宋" w:eastAsia="仿宋"/>
          <w:sz w:val="28"/>
          <w:szCs w:val="24"/>
        </w:rPr>
        <w:t>应用端的虚拟场景平台。</w:t>
      </w:r>
    </w:p>
    <w:p>
      <w:pPr>
        <w:spacing w:line="276" w:lineRule="auto"/>
        <w:ind w:firstLine="560" w:firstLineChars="200"/>
        <w:rPr>
          <w:rFonts w:ascii="仿宋" w:hAnsi="仿宋" w:eastAsia="仿宋"/>
          <w:sz w:val="28"/>
          <w:szCs w:val="24"/>
        </w:rPr>
      </w:pPr>
      <w:r>
        <w:rPr>
          <w:rFonts w:hint="eastAsia" w:ascii="仿宋" w:hAnsi="仿宋" w:eastAsia="仿宋"/>
          <w:b/>
          <w:sz w:val="28"/>
          <w:szCs w:val="24"/>
        </w:rPr>
        <w:t>（2）胡同特色乡愁植物文化园建设</w:t>
      </w:r>
    </w:p>
    <w:p>
      <w:pPr>
        <w:spacing w:line="276" w:lineRule="auto"/>
        <w:ind w:firstLine="560" w:firstLineChars="200"/>
        <w:rPr>
          <w:rFonts w:ascii="仿宋" w:hAnsi="仿宋" w:eastAsia="仿宋"/>
          <w:sz w:val="28"/>
          <w:szCs w:val="24"/>
        </w:rPr>
      </w:pPr>
      <w:r>
        <w:rPr>
          <w:rFonts w:hint="eastAsia" w:ascii="仿宋" w:hAnsi="仿宋" w:eastAsia="仿宋"/>
          <w:sz w:val="28"/>
          <w:szCs w:val="24"/>
        </w:rPr>
        <w:t>依托现有胡同、四合院、名人故居的槐树、马缨花、栀子花、茉莉花、银杏、竹子等特有植物，挖掘整理胡同植物蕴含的生态文化和乡愁景观，有条件的地方建设小型文化园，展示槐树等植物的吉祥、祥瑞文化寓意，及其与历代北京胡同居民日常生活和生产息息相关的文化内涵。</w:t>
      </w:r>
    </w:p>
    <w:p>
      <w:pPr>
        <w:pStyle w:val="4"/>
        <w:spacing w:before="0" w:after="0" w:line="276" w:lineRule="auto"/>
        <w:rPr>
          <w:rFonts w:ascii="仿宋" w:hAnsi="仿宋" w:eastAsia="仿宋"/>
        </w:rPr>
      </w:pPr>
      <w:bookmarkStart w:id="340" w:name="_Toc27389963"/>
      <w:r>
        <w:rPr>
          <w:rFonts w:ascii="仿宋" w:hAnsi="仿宋" w:eastAsia="仿宋"/>
        </w:rPr>
        <w:t>2</w:t>
      </w:r>
      <w:r>
        <w:rPr>
          <w:rFonts w:hint="eastAsia" w:ascii="仿宋" w:hAnsi="仿宋" w:eastAsia="仿宋"/>
        </w:rPr>
        <w:t>.千年古都古树文化</w:t>
      </w:r>
      <w:bookmarkEnd w:id="340"/>
    </w:p>
    <w:p>
      <w:pPr>
        <w:spacing w:line="276" w:lineRule="auto"/>
        <w:ind w:firstLine="560" w:firstLineChars="200"/>
        <w:rPr>
          <w:rFonts w:ascii="仿宋" w:hAnsi="仿宋" w:eastAsia="仿宋"/>
          <w:sz w:val="28"/>
          <w:szCs w:val="24"/>
        </w:rPr>
      </w:pPr>
      <w:r>
        <w:rPr>
          <w:rFonts w:hint="eastAsia" w:ascii="仿宋" w:hAnsi="仿宋" w:eastAsia="仿宋"/>
          <w:b/>
          <w:sz w:val="28"/>
          <w:szCs w:val="24"/>
        </w:rPr>
        <w:t>（1）全域古树数字信息平台建设</w:t>
      </w:r>
    </w:p>
    <w:p>
      <w:pPr>
        <w:spacing w:line="276" w:lineRule="auto"/>
        <w:ind w:firstLine="560" w:firstLineChars="200"/>
        <w:rPr>
          <w:rFonts w:ascii="仿宋" w:hAnsi="仿宋" w:eastAsia="仿宋"/>
          <w:b/>
          <w:sz w:val="28"/>
          <w:szCs w:val="24"/>
        </w:rPr>
      </w:pPr>
      <w:r>
        <w:rPr>
          <w:rFonts w:hint="eastAsia" w:ascii="仿宋" w:hAnsi="仿宋" w:eastAsia="仿宋"/>
          <w:sz w:val="28"/>
          <w:szCs w:val="24"/>
        </w:rPr>
        <w:t>建立开放的数字网络平台，实现包括皇城遗址、公园、寺庙、民间乡村等所有类型古树资源的建档与定位，并以互联网+保护模式定期开展全民参与的古树资源清查、监测、保护活动，通过互联网进行参与资金筹措，再由专业队伍与科技人员进行古树调查、保护等研究与实践工作，活动过程可通过数字网络平台实现全程互动。</w:t>
      </w:r>
    </w:p>
    <w:p>
      <w:pPr>
        <w:spacing w:line="276" w:lineRule="auto"/>
        <w:ind w:firstLine="560" w:firstLineChars="200"/>
        <w:rPr>
          <w:rFonts w:ascii="仿宋" w:hAnsi="仿宋" w:eastAsia="仿宋"/>
          <w:b/>
          <w:sz w:val="28"/>
          <w:szCs w:val="24"/>
        </w:rPr>
      </w:pPr>
      <w:r>
        <w:rPr>
          <w:rFonts w:hint="eastAsia" w:ascii="仿宋" w:hAnsi="仿宋" w:eastAsia="仿宋"/>
          <w:b/>
          <w:sz w:val="28"/>
          <w:szCs w:val="24"/>
        </w:rPr>
        <w:t>（2）特色古树主题公园建设</w:t>
      </w:r>
    </w:p>
    <w:p>
      <w:pPr>
        <w:spacing w:line="276" w:lineRule="auto"/>
        <w:ind w:firstLine="560" w:firstLineChars="200"/>
        <w:rPr>
          <w:rFonts w:ascii="仿宋" w:hAnsi="仿宋" w:eastAsia="仿宋"/>
          <w:sz w:val="28"/>
          <w:szCs w:val="24"/>
        </w:rPr>
      </w:pPr>
      <w:r>
        <w:rPr>
          <w:rFonts w:hint="eastAsia" w:ascii="仿宋" w:hAnsi="仿宋" w:eastAsia="仿宋"/>
          <w:sz w:val="28"/>
          <w:szCs w:val="24"/>
        </w:rPr>
        <w:t>依托丰台太子峪白皮松古树群落、公主坟绿地古树群落，结合城市休闲公园、小微绿地建设，以保护和宣传古树名木为主要目的，组织开展古树主题公园建设，改善古树名木生长环境，提升古树名木周边景观，面向社会公众宣传本市古树名木保护工作，展示古都古树名木保护成果。</w:t>
      </w:r>
    </w:p>
    <w:p>
      <w:pPr>
        <w:spacing w:line="276" w:lineRule="auto"/>
        <w:ind w:firstLine="560" w:firstLineChars="200"/>
        <w:rPr>
          <w:rFonts w:ascii="仿宋" w:hAnsi="仿宋" w:eastAsia="仿宋"/>
          <w:sz w:val="28"/>
          <w:szCs w:val="24"/>
        </w:rPr>
      </w:pPr>
      <w:r>
        <w:rPr>
          <w:rFonts w:hint="eastAsia" w:ascii="仿宋" w:hAnsi="仿宋" w:eastAsia="仿宋"/>
          <w:b/>
          <w:sz w:val="28"/>
          <w:szCs w:val="24"/>
        </w:rPr>
        <w:t>（3）寺陵庙坛古树文化园建设</w:t>
      </w:r>
    </w:p>
    <w:p>
      <w:pPr>
        <w:spacing w:line="276" w:lineRule="auto"/>
        <w:ind w:firstLine="560" w:firstLineChars="200"/>
        <w:rPr>
          <w:rFonts w:ascii="仿宋" w:hAnsi="仿宋" w:eastAsia="仿宋"/>
          <w:sz w:val="28"/>
          <w:szCs w:val="24"/>
        </w:rPr>
      </w:pPr>
      <w:r>
        <w:rPr>
          <w:rFonts w:hint="eastAsia" w:ascii="仿宋" w:hAnsi="仿宋" w:eastAsia="仿宋"/>
          <w:sz w:val="28"/>
          <w:szCs w:val="24"/>
        </w:rPr>
        <w:t>立足寺庙、陵园、庙坛中的古树资源，包括社稷坛（中山公园）辽柏，戒台寺古松，武基寺古松、柏，红螺寺古松、柏，大觉寺古银杏、油松、侧柏，静福寺古松、柏，秀峰寺古油松、侧柏、银杏，十三陵古松柏，在保护古树的基础上，结合所属寺院、庙坛文化内涵，集古树景观赏析、古树文化与宗教文化融合传承、公众游憩、禅修疗养等于一体，开展文化展示活动。</w:t>
      </w:r>
    </w:p>
    <w:p>
      <w:pPr>
        <w:pStyle w:val="3"/>
        <w:spacing w:before="217" w:after="217"/>
        <w:jc w:val="left"/>
        <w:rPr>
          <w:rFonts w:ascii="黑体" w:hAnsi="黑体" w:eastAsia="黑体" w:cs="Times New Roman"/>
          <w:b w:val="0"/>
          <w:bCs w:val="0"/>
        </w:rPr>
      </w:pPr>
      <w:bookmarkStart w:id="341" w:name="_Toc27389964"/>
      <w:r>
        <w:rPr>
          <w:rFonts w:hint="eastAsia" w:ascii="黑体" w:hAnsi="黑体" w:eastAsia="黑体" w:cs="Times New Roman"/>
          <w:b w:val="0"/>
          <w:bCs w:val="0"/>
        </w:rPr>
        <w:t>三、北京乡村生态文化</w:t>
      </w:r>
      <w:bookmarkEnd w:id="341"/>
    </w:p>
    <w:p>
      <w:pPr>
        <w:spacing w:before="217" w:after="217" w:line="264"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（一）建设目标</w:t>
      </w:r>
    </w:p>
    <w:p>
      <w:pPr>
        <w:spacing w:line="276" w:lineRule="auto"/>
        <w:ind w:firstLine="560" w:firstLineChars="200"/>
        <w:rPr>
          <w:rFonts w:ascii="仿宋" w:hAnsi="仿宋" w:eastAsia="仿宋"/>
          <w:sz w:val="28"/>
          <w:szCs w:val="24"/>
        </w:rPr>
      </w:pPr>
      <w:r>
        <w:rPr>
          <w:rFonts w:hint="eastAsia" w:ascii="仿宋" w:hAnsi="仿宋" w:eastAsia="仿宋"/>
          <w:sz w:val="28"/>
          <w:szCs w:val="24"/>
        </w:rPr>
        <w:t>以历史文化古村、特色生态乡村建设为抓手，彰显北京地带性乡土风情，突出乡村生态文化内涵，以文化体验与展示为带动，进一步促进乡村的绿色发展。该工程是对北京乡村生态文化的深度挖掘、传承，赋予了北京乡村振兴与建设的本土特色精神文脉。</w:t>
      </w:r>
    </w:p>
    <w:p>
      <w:pPr>
        <w:spacing w:before="217" w:after="217" w:line="264" w:lineRule="auto"/>
        <w:rPr>
          <w:rFonts w:ascii="仿宋" w:hAnsi="仿宋" w:eastAsia="仿宋" w:cs="Times New Roman"/>
          <w:b/>
          <w:spacing w:val="20"/>
          <w:sz w:val="32"/>
          <w:szCs w:val="32"/>
        </w:rPr>
      </w:pPr>
      <w:r>
        <w:rPr>
          <w:rFonts w:ascii="仿宋" w:hAnsi="仿宋" w:eastAsia="仿宋" w:cs="Times New Roman"/>
          <w:b/>
          <w:spacing w:val="20"/>
          <w:sz w:val="32"/>
          <w:szCs w:val="32"/>
        </w:rPr>
        <w:t>（</w:t>
      </w:r>
      <w:r>
        <w:rPr>
          <w:rFonts w:hint="eastAsia" w:ascii="仿宋" w:hAnsi="仿宋" w:eastAsia="仿宋" w:cs="Times New Roman"/>
          <w:b/>
          <w:spacing w:val="20"/>
          <w:sz w:val="32"/>
          <w:szCs w:val="32"/>
        </w:rPr>
        <w:t>二）建设内容</w:t>
      </w:r>
    </w:p>
    <w:p>
      <w:pPr>
        <w:pStyle w:val="4"/>
        <w:spacing w:before="0" w:after="0" w:line="276" w:lineRule="auto"/>
        <w:rPr>
          <w:rFonts w:ascii="仿宋" w:hAnsi="仿宋" w:eastAsia="仿宋"/>
        </w:rPr>
      </w:pPr>
      <w:bookmarkStart w:id="342" w:name="_Toc27389965"/>
      <w:r>
        <w:rPr>
          <w:rFonts w:ascii="仿宋" w:hAnsi="仿宋" w:eastAsia="仿宋"/>
        </w:rPr>
        <w:t>1</w:t>
      </w:r>
      <w:r>
        <w:rPr>
          <w:rFonts w:hint="eastAsia" w:ascii="仿宋" w:hAnsi="仿宋" w:eastAsia="仿宋"/>
        </w:rPr>
        <w:t>.历史文化古村</w:t>
      </w:r>
      <w:bookmarkEnd w:id="342"/>
    </w:p>
    <w:p>
      <w:pPr>
        <w:spacing w:line="276" w:lineRule="auto"/>
        <w:ind w:firstLine="560" w:firstLineChars="200"/>
        <w:rPr>
          <w:rFonts w:ascii="仿宋" w:hAnsi="仿宋" w:eastAsia="仿宋"/>
          <w:sz w:val="28"/>
          <w:szCs w:val="24"/>
        </w:rPr>
      </w:pPr>
      <w:r>
        <w:rPr>
          <w:rFonts w:hint="eastAsia" w:ascii="仿宋" w:hAnsi="仿宋" w:eastAsia="仿宋"/>
          <w:sz w:val="28"/>
          <w:szCs w:val="24"/>
        </w:rPr>
        <w:t>依托门头沟爨底下村、灵水村、琉璃渠村、韭园村、马栏村、桑峪村、黄岭西村，房山水峪村，顺义焦庄户村，延庆柳沟村等北京著名的历史文化名村、古村，通过保护村落原有格局和古建、古树，恢复村居古韵，打造古村特色生态文化旅游地，展示人与自然高度融合的生态人居文化。</w:t>
      </w:r>
    </w:p>
    <w:p>
      <w:pPr>
        <w:pStyle w:val="4"/>
        <w:spacing w:before="0" w:after="0" w:line="276" w:lineRule="auto"/>
        <w:rPr>
          <w:rFonts w:ascii="仿宋" w:hAnsi="仿宋" w:eastAsia="仿宋"/>
        </w:rPr>
      </w:pPr>
      <w:bookmarkStart w:id="343" w:name="_Toc27389966"/>
      <w:r>
        <w:rPr>
          <w:rFonts w:ascii="仿宋" w:hAnsi="仿宋" w:eastAsia="仿宋"/>
        </w:rPr>
        <w:t>2</w:t>
      </w:r>
      <w:r>
        <w:rPr>
          <w:rFonts w:hint="eastAsia" w:ascii="仿宋" w:hAnsi="仿宋" w:eastAsia="仿宋"/>
        </w:rPr>
        <w:t>.特色生态乡村</w:t>
      </w:r>
      <w:bookmarkEnd w:id="343"/>
    </w:p>
    <w:p>
      <w:pPr>
        <w:spacing w:line="276" w:lineRule="auto"/>
        <w:ind w:firstLine="560" w:firstLineChars="200"/>
        <w:rPr>
          <w:rFonts w:ascii="仿宋" w:hAnsi="仿宋" w:eastAsia="仿宋"/>
          <w:sz w:val="28"/>
          <w:szCs w:val="24"/>
        </w:rPr>
      </w:pPr>
      <w:r>
        <w:rPr>
          <w:rFonts w:hint="eastAsia" w:ascii="仿宋" w:hAnsi="仿宋" w:eastAsia="仿宋"/>
          <w:sz w:val="28"/>
          <w:szCs w:val="24"/>
        </w:rPr>
        <w:t>针对大兴、平谷、顺义、房山、昌平等部分平原地区本底环境较好的乡村，以及怀柔、密云、延庆、门头沟、昌平、房山本底环境与交通条件良好乡村，发展乡村民宿与文化体验建设，突出乡村人居院落文化、庭院植物文化等地带性的北京乡土风情，进一步形成北京特色的乡村生态文化休闲品牌，服务北京本地及周边地区，以绿色休闲发展思路促进传统乡村的转型，大力传播绿水青山就是金山银山的生态文明观。</w:t>
      </w:r>
    </w:p>
    <w:p>
      <w:pPr>
        <w:pStyle w:val="3"/>
        <w:spacing w:before="217" w:after="217"/>
        <w:jc w:val="left"/>
        <w:rPr>
          <w:rFonts w:ascii="黑体" w:hAnsi="黑体" w:eastAsia="黑体" w:cs="Times New Roman"/>
          <w:b w:val="0"/>
          <w:bCs w:val="0"/>
        </w:rPr>
      </w:pPr>
      <w:bookmarkStart w:id="344" w:name="_Toc27389967"/>
      <w:r>
        <w:rPr>
          <w:rFonts w:hint="eastAsia" w:ascii="黑体" w:hAnsi="黑体" w:eastAsia="黑体" w:cs="Times New Roman"/>
          <w:b w:val="0"/>
          <w:bCs w:val="0"/>
        </w:rPr>
        <w:t>四、北京特色园林文化</w:t>
      </w:r>
      <w:bookmarkEnd w:id="344"/>
    </w:p>
    <w:p>
      <w:pPr>
        <w:spacing w:line="360" w:lineRule="auto"/>
        <w:rPr>
          <w:rFonts w:ascii="仿宋" w:hAnsi="仿宋" w:eastAsia="仿宋" w:cs="Times New Roman"/>
          <w:b/>
          <w:sz w:val="28"/>
          <w:szCs w:val="28"/>
        </w:rPr>
      </w:pPr>
      <w:r>
        <w:rPr>
          <w:rFonts w:hint="eastAsia" w:ascii="仿宋" w:hAnsi="仿宋" w:eastAsia="仿宋" w:cs="Times New Roman"/>
          <w:b/>
          <w:sz w:val="28"/>
          <w:szCs w:val="28"/>
        </w:rPr>
        <w:t>（一）建设目标</w:t>
      </w:r>
    </w:p>
    <w:p>
      <w:pPr>
        <w:spacing w:line="276" w:lineRule="auto"/>
        <w:ind w:firstLine="560" w:firstLineChars="200"/>
        <w:rPr>
          <w:rFonts w:ascii="仿宋" w:hAnsi="仿宋" w:eastAsia="仿宋"/>
          <w:sz w:val="28"/>
          <w:szCs w:val="24"/>
        </w:rPr>
      </w:pPr>
      <w:r>
        <w:rPr>
          <w:rFonts w:hint="eastAsia" w:ascii="仿宋" w:hAnsi="仿宋" w:eastAsia="仿宋"/>
          <w:sz w:val="28"/>
          <w:szCs w:val="24"/>
        </w:rPr>
        <w:t>完善皇家园林文化品鉴、现代园林文化展示建设，彰显北京古今园林所蕴含的自然理念、自然营造手法，传承古今园林艺术所包含的自然艺术，成为今后城市建设的有效参考。该工程是对新总规中关于加强“三山五园”地区保护的落实，也是对强化首都时代风貌城市特色的推进。</w:t>
      </w:r>
    </w:p>
    <w:p>
      <w:pPr>
        <w:spacing w:line="360" w:lineRule="auto"/>
        <w:rPr>
          <w:rFonts w:ascii="仿宋" w:hAnsi="仿宋" w:eastAsia="仿宋" w:cs="Times New Roman"/>
          <w:b/>
          <w:sz w:val="28"/>
          <w:szCs w:val="28"/>
        </w:rPr>
      </w:pPr>
      <w:r>
        <w:rPr>
          <w:rFonts w:ascii="仿宋" w:hAnsi="仿宋" w:eastAsia="仿宋" w:cs="Times New Roman"/>
          <w:b/>
          <w:sz w:val="28"/>
          <w:szCs w:val="28"/>
        </w:rPr>
        <w:t>（</w:t>
      </w:r>
      <w:r>
        <w:rPr>
          <w:rFonts w:hint="eastAsia" w:ascii="仿宋" w:hAnsi="仿宋" w:eastAsia="仿宋" w:cs="Times New Roman"/>
          <w:b/>
          <w:sz w:val="28"/>
          <w:szCs w:val="28"/>
        </w:rPr>
        <w:t>二）建设内容</w:t>
      </w:r>
    </w:p>
    <w:p>
      <w:pPr>
        <w:pStyle w:val="4"/>
        <w:spacing w:before="0" w:after="0" w:line="276" w:lineRule="auto"/>
        <w:rPr>
          <w:rFonts w:ascii="仿宋" w:hAnsi="仿宋" w:eastAsia="仿宋"/>
        </w:rPr>
      </w:pPr>
      <w:bookmarkStart w:id="345" w:name="_Toc27389968"/>
      <w:r>
        <w:rPr>
          <w:rFonts w:ascii="仿宋" w:hAnsi="仿宋" w:eastAsia="仿宋"/>
        </w:rPr>
        <w:t>1</w:t>
      </w:r>
      <w:r>
        <w:rPr>
          <w:rFonts w:hint="eastAsia" w:ascii="仿宋" w:hAnsi="仿宋" w:eastAsia="仿宋"/>
        </w:rPr>
        <w:t>.皇家园林文化</w:t>
      </w:r>
      <w:bookmarkEnd w:id="345"/>
    </w:p>
    <w:p>
      <w:pPr>
        <w:spacing w:line="276" w:lineRule="auto"/>
        <w:ind w:firstLine="560" w:firstLineChars="200"/>
        <w:rPr>
          <w:rFonts w:ascii="仿宋" w:hAnsi="仿宋" w:eastAsia="仿宋"/>
          <w:sz w:val="28"/>
          <w:szCs w:val="24"/>
        </w:rPr>
      </w:pPr>
      <w:r>
        <w:rPr>
          <w:rFonts w:hint="eastAsia" w:ascii="仿宋" w:hAnsi="仿宋" w:eastAsia="仿宋"/>
          <w:sz w:val="28"/>
          <w:szCs w:val="24"/>
        </w:rPr>
        <w:t>依托静宜园、静明园、颐和园、畅春园、圆明园、天坛、地坛、日坛、景山、北海等北京皇家园林，保护与展示皇家园林理念、建设手法，以及皇家园林所融合的物质文化遗产与非物质文化遗产。</w:t>
      </w:r>
    </w:p>
    <w:p>
      <w:pPr>
        <w:pStyle w:val="4"/>
        <w:spacing w:before="0" w:after="0" w:line="276" w:lineRule="auto"/>
        <w:rPr>
          <w:rFonts w:ascii="仿宋" w:hAnsi="仿宋" w:eastAsia="仿宋"/>
        </w:rPr>
      </w:pPr>
      <w:bookmarkStart w:id="346" w:name="_Toc27389969"/>
      <w:r>
        <w:rPr>
          <w:rFonts w:ascii="仿宋" w:hAnsi="仿宋" w:eastAsia="仿宋"/>
        </w:rPr>
        <w:t>2</w:t>
      </w:r>
      <w:r>
        <w:rPr>
          <w:rFonts w:hint="eastAsia" w:ascii="仿宋" w:hAnsi="仿宋" w:eastAsia="仿宋"/>
        </w:rPr>
        <w:t>.园林文化展园</w:t>
      </w:r>
      <w:bookmarkEnd w:id="346"/>
    </w:p>
    <w:p>
      <w:pPr>
        <w:spacing w:line="276" w:lineRule="auto"/>
        <w:ind w:firstLine="560" w:firstLineChars="200"/>
        <w:rPr>
          <w:rFonts w:ascii="仿宋" w:hAnsi="仿宋" w:eastAsia="仿宋"/>
          <w:color w:val="0000FF"/>
          <w:sz w:val="28"/>
          <w:szCs w:val="24"/>
        </w:rPr>
      </w:pPr>
      <w:r>
        <w:rPr>
          <w:rFonts w:hint="eastAsia" w:ascii="仿宋" w:hAnsi="仿宋" w:eastAsia="仿宋"/>
          <w:sz w:val="28"/>
          <w:szCs w:val="24"/>
        </w:rPr>
        <w:t>依托百望山森林公园建设馆园，全面综合展现北京园林绿化发展建设历史，建设集收藏存储、展览展示、文化交流、研究开发于一体的北京园林绿化文史馆；依托北京园博园，维护好园博园在中国国际园林博览会期间积累的国内外造园艺术和园林绿化新技术、新材料、新成果，打造集园林艺术、园林生态修复技术等综合展园；依托世园会场址，利用世园会场馆与室外高质量的特色展园，进行后世园会时期的生态文化展示建设。</w:t>
      </w:r>
    </w:p>
    <w:p>
      <w:pPr>
        <w:pStyle w:val="3"/>
        <w:spacing w:before="217" w:after="217"/>
        <w:jc w:val="left"/>
        <w:rPr>
          <w:rFonts w:ascii="黑体" w:hAnsi="黑体" w:eastAsia="黑体" w:cs="Times New Roman"/>
          <w:b w:val="0"/>
          <w:bCs w:val="0"/>
        </w:rPr>
      </w:pPr>
      <w:bookmarkStart w:id="347" w:name="_Toc27389970"/>
      <w:r>
        <w:rPr>
          <w:rFonts w:hint="eastAsia" w:ascii="黑体" w:hAnsi="黑体" w:eastAsia="黑体" w:cs="Times New Roman"/>
          <w:b w:val="0"/>
          <w:bCs w:val="0"/>
        </w:rPr>
        <w:t>五、纪念林与名木文化</w:t>
      </w:r>
      <w:bookmarkEnd w:id="347"/>
    </w:p>
    <w:p>
      <w:pPr>
        <w:spacing w:before="217" w:after="217" w:line="264"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（一）建设目标</w:t>
      </w:r>
    </w:p>
    <w:p>
      <w:pPr>
        <w:spacing w:line="276" w:lineRule="auto"/>
        <w:ind w:firstLine="560" w:firstLineChars="200"/>
        <w:rPr>
          <w:rFonts w:ascii="仿宋" w:hAnsi="仿宋" w:eastAsia="仿宋"/>
          <w:sz w:val="28"/>
          <w:szCs w:val="24"/>
        </w:rPr>
      </w:pPr>
      <w:r>
        <w:rPr>
          <w:rFonts w:hint="eastAsia" w:ascii="仿宋" w:hAnsi="仿宋" w:eastAsia="仿宋"/>
          <w:sz w:val="28"/>
          <w:szCs w:val="24"/>
        </w:rPr>
        <w:t>依托北京丰富的纪念林和名木资源，建设纪念林文化园、名木文化园，将北京特色重点纪念林所蕴含的爱绿、植绿、护绿的社会新风尚进一步传递，名木所承载的北京文化内涵进一步发扬，创新北京生态文化建设模式。该工程有利于进一步弘扬北京纪念林文化，落实北京强化生态文明建设的战略。</w:t>
      </w:r>
    </w:p>
    <w:p>
      <w:pPr>
        <w:spacing w:before="217" w:after="217" w:line="264" w:lineRule="auto"/>
        <w:rPr>
          <w:rFonts w:ascii="仿宋" w:hAnsi="仿宋" w:eastAsia="仿宋" w:cs="Times New Roman"/>
          <w:b/>
          <w:spacing w:val="20"/>
          <w:sz w:val="32"/>
          <w:szCs w:val="32"/>
        </w:rPr>
      </w:pPr>
      <w:r>
        <w:rPr>
          <w:rFonts w:ascii="仿宋" w:hAnsi="仿宋" w:eastAsia="仿宋" w:cs="Times New Roman"/>
          <w:b/>
          <w:spacing w:val="20"/>
          <w:sz w:val="32"/>
          <w:szCs w:val="32"/>
        </w:rPr>
        <w:t>（</w:t>
      </w:r>
      <w:r>
        <w:rPr>
          <w:rFonts w:hint="eastAsia" w:ascii="仿宋" w:hAnsi="仿宋" w:eastAsia="仿宋" w:cs="Times New Roman"/>
          <w:b/>
          <w:spacing w:val="20"/>
          <w:sz w:val="32"/>
          <w:szCs w:val="32"/>
        </w:rPr>
        <w:t>二）建设内容</w:t>
      </w:r>
    </w:p>
    <w:p>
      <w:pPr>
        <w:pStyle w:val="4"/>
        <w:spacing w:before="0" w:after="0" w:line="276" w:lineRule="auto"/>
        <w:rPr>
          <w:rFonts w:ascii="仿宋" w:hAnsi="仿宋" w:eastAsia="仿宋"/>
        </w:rPr>
      </w:pPr>
      <w:bookmarkStart w:id="348" w:name="_Toc27389971"/>
      <w:r>
        <w:rPr>
          <w:rFonts w:ascii="仿宋" w:hAnsi="仿宋" w:eastAsia="仿宋"/>
        </w:rPr>
        <w:t>1</w:t>
      </w:r>
      <w:r>
        <w:rPr>
          <w:rFonts w:hint="eastAsia" w:ascii="仿宋" w:hAnsi="仿宋" w:eastAsia="仿宋"/>
        </w:rPr>
        <w:t>.纪念林文化</w:t>
      </w:r>
      <w:bookmarkEnd w:id="348"/>
    </w:p>
    <w:p>
      <w:pPr>
        <w:spacing w:line="276" w:lineRule="auto"/>
        <w:ind w:firstLine="560" w:firstLineChars="200"/>
        <w:rPr>
          <w:rFonts w:ascii="仿宋" w:hAnsi="仿宋" w:eastAsia="仿宋"/>
          <w:b/>
          <w:sz w:val="28"/>
          <w:szCs w:val="24"/>
        </w:rPr>
      </w:pPr>
      <w:r>
        <w:rPr>
          <w:rFonts w:hint="eastAsia" w:ascii="仿宋" w:hAnsi="仿宋" w:eastAsia="仿宋"/>
          <w:b/>
          <w:sz w:val="28"/>
          <w:szCs w:val="24"/>
        </w:rPr>
        <w:t>（1）首都重点纪念林</w:t>
      </w:r>
    </w:p>
    <w:p>
      <w:pPr>
        <w:spacing w:line="276" w:lineRule="auto"/>
        <w:ind w:firstLine="560" w:firstLineChars="200"/>
        <w:rPr>
          <w:rFonts w:ascii="仿宋" w:hAnsi="仿宋" w:eastAsia="仿宋"/>
          <w:sz w:val="28"/>
          <w:szCs w:val="24"/>
        </w:rPr>
      </w:pPr>
      <w:r>
        <w:rPr>
          <w:rFonts w:hint="eastAsia" w:ascii="仿宋" w:hAnsi="仿宋" w:eastAsia="仿宋"/>
          <w:sz w:val="28"/>
          <w:szCs w:val="24"/>
        </w:rPr>
        <w:t>依托分布在北京市13个区的100多处重点纪念林，设计首都纪念林文化标识，推出市民可见、社会可用的首都重点纪念林</w:t>
      </w:r>
      <w:r>
        <w:rPr>
          <w:rFonts w:ascii="仿宋" w:hAnsi="仿宋" w:eastAsia="仿宋"/>
          <w:sz w:val="28"/>
          <w:szCs w:val="24"/>
        </w:rPr>
        <w:t>APP</w:t>
      </w:r>
      <w:r>
        <w:rPr>
          <w:rFonts w:hint="eastAsia" w:ascii="仿宋" w:hAnsi="仿宋" w:eastAsia="仿宋"/>
          <w:sz w:val="28"/>
          <w:szCs w:val="24"/>
        </w:rPr>
        <w:t xml:space="preserve">，及时更新首都纪念林动态，作为首都“互联网+全民义务植树”的平台内容。 </w:t>
      </w:r>
    </w:p>
    <w:p>
      <w:pPr>
        <w:spacing w:line="276" w:lineRule="auto"/>
        <w:ind w:firstLine="560" w:firstLineChars="200"/>
        <w:rPr>
          <w:rFonts w:ascii="仿宋" w:hAnsi="仿宋" w:eastAsia="仿宋"/>
          <w:b/>
          <w:sz w:val="28"/>
          <w:szCs w:val="24"/>
        </w:rPr>
      </w:pPr>
      <w:r>
        <w:rPr>
          <w:rFonts w:hint="eastAsia" w:ascii="仿宋" w:hAnsi="仿宋" w:eastAsia="仿宋"/>
          <w:b/>
          <w:sz w:val="28"/>
          <w:szCs w:val="24"/>
        </w:rPr>
        <w:t>（2）生态文明宣教基地</w:t>
      </w:r>
    </w:p>
    <w:p>
      <w:pPr>
        <w:spacing w:line="276" w:lineRule="auto"/>
        <w:ind w:firstLine="560" w:firstLineChars="200"/>
        <w:rPr>
          <w:rFonts w:ascii="仿宋" w:hAnsi="仿宋" w:eastAsia="仿宋"/>
          <w:sz w:val="28"/>
          <w:szCs w:val="24"/>
        </w:rPr>
      </w:pPr>
      <w:r>
        <w:rPr>
          <w:rFonts w:hint="eastAsia" w:ascii="仿宋" w:hAnsi="仿宋" w:eastAsia="仿宋"/>
          <w:sz w:val="28"/>
          <w:szCs w:val="24"/>
        </w:rPr>
        <w:t>重点在共青林场、</w:t>
      </w:r>
      <w:r>
        <w:rPr>
          <w:rFonts w:ascii="仿宋" w:hAnsi="仿宋" w:eastAsia="仿宋"/>
          <w:sz w:val="28"/>
          <w:szCs w:val="24"/>
        </w:rPr>
        <w:t>大兴区庞各庄镇</w:t>
      </w:r>
      <w:r>
        <w:rPr>
          <w:rFonts w:hint="eastAsia" w:ascii="仿宋" w:hAnsi="仿宋" w:eastAsia="仿宋"/>
          <w:sz w:val="28"/>
          <w:szCs w:val="24"/>
        </w:rPr>
        <w:t>、</w:t>
      </w:r>
      <w:r>
        <w:rPr>
          <w:rFonts w:ascii="仿宋" w:hAnsi="仿宋" w:eastAsia="仿宋"/>
          <w:sz w:val="28"/>
          <w:szCs w:val="24"/>
        </w:rPr>
        <w:t>蟒山森林公园</w:t>
      </w:r>
      <w:r>
        <w:rPr>
          <w:rFonts w:hint="eastAsia" w:ascii="仿宋" w:hAnsi="仿宋" w:eastAsia="仿宋"/>
          <w:sz w:val="28"/>
          <w:szCs w:val="24"/>
        </w:rPr>
        <w:t>、</w:t>
      </w:r>
      <w:r>
        <w:rPr>
          <w:rFonts w:ascii="仿宋" w:hAnsi="仿宋" w:eastAsia="仿宋"/>
          <w:sz w:val="28"/>
          <w:szCs w:val="24"/>
        </w:rPr>
        <w:t>朝阳孙河乡</w:t>
      </w:r>
      <w:r>
        <w:rPr>
          <w:rFonts w:hint="eastAsia" w:ascii="仿宋" w:hAnsi="仿宋" w:eastAsia="仿宋"/>
          <w:sz w:val="28"/>
          <w:szCs w:val="24"/>
        </w:rPr>
        <w:t>、</w:t>
      </w:r>
      <w:r>
        <w:rPr>
          <w:rFonts w:ascii="仿宋" w:hAnsi="仿宋" w:eastAsia="仿宋"/>
          <w:sz w:val="28"/>
          <w:szCs w:val="24"/>
        </w:rPr>
        <w:t>大兴生态文明教育公园</w:t>
      </w:r>
      <w:r>
        <w:rPr>
          <w:rFonts w:hint="eastAsia" w:ascii="仿宋" w:hAnsi="仿宋" w:eastAsia="仿宋"/>
          <w:sz w:val="28"/>
          <w:szCs w:val="24"/>
        </w:rPr>
        <w:t>、</w:t>
      </w:r>
      <w:r>
        <w:rPr>
          <w:rFonts w:ascii="仿宋" w:hAnsi="仿宋" w:eastAsia="仿宋"/>
          <w:sz w:val="28"/>
          <w:szCs w:val="24"/>
        </w:rPr>
        <w:t>朝阳将府公园</w:t>
      </w:r>
      <w:r>
        <w:rPr>
          <w:rFonts w:hint="eastAsia" w:ascii="仿宋" w:hAnsi="仿宋" w:eastAsia="仿宋"/>
          <w:sz w:val="28"/>
          <w:szCs w:val="24"/>
        </w:rPr>
        <w:t>、</w:t>
      </w:r>
      <w:r>
        <w:rPr>
          <w:rFonts w:ascii="仿宋" w:hAnsi="仿宋" w:eastAsia="仿宋"/>
          <w:sz w:val="28"/>
          <w:szCs w:val="24"/>
        </w:rPr>
        <w:t>通州张家湾镇</w:t>
      </w:r>
      <w:r>
        <w:rPr>
          <w:rFonts w:hint="eastAsia" w:ascii="仿宋" w:hAnsi="仿宋" w:eastAsia="仿宋"/>
          <w:sz w:val="28"/>
          <w:szCs w:val="24"/>
        </w:rPr>
        <w:t>、</w:t>
      </w:r>
      <w:r>
        <w:rPr>
          <w:rFonts w:ascii="仿宋" w:hAnsi="仿宋" w:eastAsia="仿宋"/>
          <w:sz w:val="28"/>
          <w:szCs w:val="24"/>
        </w:rPr>
        <w:t>朝阳丹枫公园</w:t>
      </w:r>
      <w:r>
        <w:rPr>
          <w:rFonts w:hint="eastAsia" w:ascii="仿宋" w:hAnsi="仿宋" w:eastAsia="仿宋"/>
          <w:sz w:val="28"/>
          <w:szCs w:val="24"/>
        </w:rPr>
        <w:t>、</w:t>
      </w:r>
      <w:r>
        <w:rPr>
          <w:rFonts w:ascii="仿宋" w:hAnsi="仿宋" w:eastAsia="仿宋"/>
          <w:sz w:val="28"/>
          <w:szCs w:val="24"/>
        </w:rPr>
        <w:t>朝阳十八里店乡小武基公园</w:t>
      </w:r>
      <w:r>
        <w:rPr>
          <w:rFonts w:hint="eastAsia" w:ascii="仿宋" w:hAnsi="仿宋" w:eastAsia="仿宋"/>
          <w:sz w:val="28"/>
          <w:szCs w:val="24"/>
        </w:rPr>
        <w:t>、</w:t>
      </w:r>
      <w:r>
        <w:rPr>
          <w:rFonts w:ascii="仿宋" w:hAnsi="仿宋" w:eastAsia="仿宋"/>
          <w:sz w:val="28"/>
          <w:szCs w:val="24"/>
        </w:rPr>
        <w:t>北宫国家森林公园</w:t>
      </w:r>
      <w:r>
        <w:rPr>
          <w:rFonts w:hint="eastAsia" w:ascii="仿宋" w:hAnsi="仿宋" w:eastAsia="仿宋"/>
          <w:sz w:val="28"/>
          <w:szCs w:val="24"/>
        </w:rPr>
        <w:t>等展开生态文明宣教，与党政机关、重点高校建立宣传教育基地的合作模式，每年定期开展主题活动。</w:t>
      </w:r>
    </w:p>
    <w:p>
      <w:pPr>
        <w:pStyle w:val="4"/>
        <w:spacing w:before="0" w:after="0" w:line="276" w:lineRule="auto"/>
        <w:rPr>
          <w:rFonts w:ascii="仿宋" w:hAnsi="仿宋" w:eastAsia="仿宋"/>
        </w:rPr>
      </w:pPr>
      <w:bookmarkStart w:id="349" w:name="_Toc27389972"/>
      <w:r>
        <w:rPr>
          <w:rFonts w:ascii="仿宋" w:hAnsi="仿宋" w:eastAsia="仿宋"/>
        </w:rPr>
        <w:t>2</w:t>
      </w:r>
      <w:r>
        <w:rPr>
          <w:rFonts w:hint="eastAsia" w:ascii="仿宋" w:hAnsi="仿宋" w:eastAsia="仿宋"/>
        </w:rPr>
        <w:t>.名木文化</w:t>
      </w:r>
      <w:bookmarkEnd w:id="349"/>
    </w:p>
    <w:p>
      <w:pPr>
        <w:spacing w:line="276" w:lineRule="auto"/>
        <w:ind w:firstLine="560" w:firstLineChars="200"/>
        <w:rPr>
          <w:rFonts w:ascii="仿宋" w:hAnsi="仿宋" w:eastAsia="仿宋"/>
          <w:sz w:val="28"/>
          <w:szCs w:val="24"/>
        </w:rPr>
      </w:pPr>
      <w:r>
        <w:rPr>
          <w:rFonts w:hint="eastAsia" w:ascii="仿宋" w:hAnsi="仿宋" w:eastAsia="仿宋"/>
          <w:sz w:val="28"/>
          <w:szCs w:val="24"/>
        </w:rPr>
        <w:t xml:space="preserve">立足北京名木资源打造名木文化园，在资源清查与健康状况普查的基础上建立北京名木信息管理数据库，以及面向公众的线上与移动终端展示窗口，构建北京地域生态文脉传承与北京人文历史纪念相融合的平台，借由名木文化园的展示，突出其承载的北京名人生态文化。 </w:t>
      </w:r>
    </w:p>
    <w:p>
      <w:pPr>
        <w:pStyle w:val="3"/>
        <w:spacing w:before="217" w:after="217"/>
        <w:jc w:val="left"/>
        <w:rPr>
          <w:rFonts w:ascii="黑体" w:hAnsi="黑体" w:eastAsia="黑体" w:cs="Times New Roman"/>
          <w:b w:val="0"/>
          <w:bCs w:val="0"/>
        </w:rPr>
      </w:pPr>
      <w:bookmarkStart w:id="350" w:name="_Toc27389973"/>
      <w:r>
        <w:rPr>
          <w:rFonts w:hint="eastAsia" w:ascii="黑体" w:hAnsi="黑体" w:eastAsia="黑体" w:cs="Times New Roman"/>
          <w:b w:val="0"/>
          <w:bCs w:val="0"/>
        </w:rPr>
        <w:t>六、生态文化创意园区</w:t>
      </w:r>
      <w:bookmarkEnd w:id="350"/>
    </w:p>
    <w:p>
      <w:pPr>
        <w:spacing w:before="217" w:after="217" w:line="264"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（一）建设目标</w:t>
      </w:r>
    </w:p>
    <w:p>
      <w:pPr>
        <w:spacing w:line="276" w:lineRule="auto"/>
        <w:ind w:firstLine="560" w:firstLineChars="200"/>
        <w:rPr>
          <w:rFonts w:ascii="仿宋" w:hAnsi="仿宋" w:eastAsia="仿宋"/>
          <w:sz w:val="28"/>
          <w:szCs w:val="24"/>
        </w:rPr>
      </w:pPr>
      <w:r>
        <w:rPr>
          <w:rFonts w:hint="eastAsia" w:ascii="仿宋" w:hAnsi="仿宋" w:eastAsia="仿宋"/>
          <w:sz w:val="28"/>
          <w:szCs w:val="24"/>
        </w:rPr>
        <w:t>通过生态文化创意产业的培植，利用地域特色自然资源、人文资源，拓展生态文化的传承途径，建设首钢综合生态文化创意产业园、林果综合生态文化创意产业园等</w:t>
      </w:r>
      <w:r>
        <w:rPr>
          <w:rFonts w:hint="eastAsia" w:ascii="仿宋" w:hAnsi="仿宋" w:eastAsia="仿宋"/>
          <w:b/>
          <w:sz w:val="28"/>
          <w:szCs w:val="24"/>
        </w:rPr>
        <w:t>具有北京新地标价值和国际影响力的生态文化创意产业园区</w:t>
      </w:r>
      <w:r>
        <w:rPr>
          <w:rFonts w:hint="eastAsia" w:ascii="仿宋" w:hAnsi="仿宋" w:eastAsia="仿宋"/>
          <w:sz w:val="28"/>
          <w:szCs w:val="24"/>
        </w:rPr>
        <w:t>。该工程是对新总规加强文化建设，提升文化软实力的有效践行，有利于激发文化创意产业创新创造活力，深化北京生态文化传承发展。</w:t>
      </w:r>
    </w:p>
    <w:p>
      <w:pPr>
        <w:spacing w:before="217" w:after="217" w:line="264" w:lineRule="auto"/>
        <w:rPr>
          <w:rFonts w:ascii="仿宋" w:hAnsi="仿宋" w:eastAsia="仿宋" w:cs="Times New Roman"/>
          <w:b/>
          <w:spacing w:val="20"/>
          <w:sz w:val="32"/>
          <w:szCs w:val="32"/>
        </w:rPr>
      </w:pPr>
      <w:r>
        <w:rPr>
          <w:rFonts w:ascii="仿宋" w:hAnsi="仿宋" w:eastAsia="仿宋" w:cs="Times New Roman"/>
          <w:b/>
          <w:spacing w:val="20"/>
          <w:sz w:val="32"/>
          <w:szCs w:val="32"/>
        </w:rPr>
        <w:t>（</w:t>
      </w:r>
      <w:r>
        <w:rPr>
          <w:rFonts w:hint="eastAsia" w:ascii="仿宋" w:hAnsi="仿宋" w:eastAsia="仿宋" w:cs="Times New Roman"/>
          <w:b/>
          <w:spacing w:val="20"/>
          <w:sz w:val="32"/>
          <w:szCs w:val="32"/>
        </w:rPr>
        <w:t>二）建设内容</w:t>
      </w:r>
    </w:p>
    <w:p>
      <w:pPr>
        <w:pStyle w:val="4"/>
        <w:spacing w:before="0" w:after="0" w:line="276" w:lineRule="auto"/>
        <w:rPr>
          <w:rFonts w:ascii="仿宋" w:hAnsi="仿宋" w:eastAsia="仿宋"/>
        </w:rPr>
      </w:pPr>
      <w:bookmarkStart w:id="351" w:name="_Toc27389974"/>
      <w:r>
        <w:rPr>
          <w:rFonts w:ascii="仿宋" w:hAnsi="仿宋" w:eastAsia="仿宋"/>
        </w:rPr>
        <w:t>1</w:t>
      </w:r>
      <w:r>
        <w:rPr>
          <w:rFonts w:hint="eastAsia" w:ascii="仿宋" w:hAnsi="仿宋" w:eastAsia="仿宋"/>
        </w:rPr>
        <w:t>.首钢综合生态文化创意产业园区</w:t>
      </w:r>
      <w:bookmarkEnd w:id="351"/>
    </w:p>
    <w:p>
      <w:pPr>
        <w:spacing w:line="276" w:lineRule="auto"/>
        <w:ind w:firstLine="560" w:firstLineChars="200"/>
        <w:rPr>
          <w:rFonts w:ascii="仿宋" w:hAnsi="仿宋" w:eastAsia="仿宋"/>
          <w:sz w:val="28"/>
          <w:szCs w:val="24"/>
        </w:rPr>
      </w:pPr>
      <w:r>
        <w:rPr>
          <w:rFonts w:hint="eastAsia" w:ascii="仿宋" w:hAnsi="仿宋" w:eastAsia="仿宋"/>
          <w:sz w:val="28"/>
          <w:szCs w:val="24"/>
        </w:rPr>
        <w:t>加强园区植物景观改造提升，与工业遗产景观相结合，科学选择和配置植物景观，建设绿荫掩映、景观优美的森林园区；引入环保与生态方面相关新锐产业的工作室，生态摄影、纪实等艺术工作室，生态艺术展示空间等，突出生态转型与绿色发展，使园区成为直观的工业文明环境警示教育实景课堂，绿色循环产业、环保发展等绿色转型文化驱动展示实地课堂。</w:t>
      </w:r>
    </w:p>
    <w:p>
      <w:pPr>
        <w:pStyle w:val="4"/>
        <w:spacing w:before="0" w:after="0" w:line="276" w:lineRule="auto"/>
        <w:rPr>
          <w:rFonts w:ascii="仿宋" w:hAnsi="仿宋" w:eastAsia="仿宋"/>
        </w:rPr>
      </w:pPr>
      <w:bookmarkStart w:id="352" w:name="_Toc27389975"/>
      <w:r>
        <w:rPr>
          <w:rFonts w:ascii="仿宋" w:hAnsi="仿宋" w:eastAsia="仿宋"/>
        </w:rPr>
        <w:t>2</w:t>
      </w:r>
      <w:r>
        <w:rPr>
          <w:rFonts w:hint="eastAsia" w:ascii="仿宋" w:hAnsi="仿宋" w:eastAsia="仿宋"/>
        </w:rPr>
        <w:t>.林果综合生态文化创意产业园区</w:t>
      </w:r>
      <w:bookmarkEnd w:id="352"/>
    </w:p>
    <w:p>
      <w:pPr>
        <w:spacing w:line="276" w:lineRule="auto"/>
        <w:ind w:firstLine="560" w:firstLineChars="200"/>
        <w:rPr>
          <w:rFonts w:ascii="仿宋" w:hAnsi="仿宋" w:eastAsia="仿宋"/>
          <w:sz w:val="28"/>
          <w:szCs w:val="24"/>
        </w:rPr>
      </w:pPr>
      <w:r>
        <w:rPr>
          <w:rFonts w:hint="eastAsia" w:ascii="仿宋" w:hAnsi="仿宋" w:eastAsia="仿宋"/>
          <w:sz w:val="28"/>
          <w:szCs w:val="24"/>
        </w:rPr>
        <w:t>立足北京地带性的板栗、核桃、苹果、樱桃、京白梨、大桃、葡萄、蜂群等乡土农林资源，重点在怀柔、延庆、密云、昌平、门头沟、平谷的资源种植地、资源小产区、资源原产地，结合建设乡村特色民宿等工作，打造50处集住宿、休闲、娱乐、酒庄、采摘、文化展示、科普功能于一体的精品林果综合生态文化创意产业园区。同时，依托各园区定期举办各类葡萄、蜜蜂等创意文化节，开展蜂产品加工体验、葡萄酒品鉴等一系列相关主题活动，推动地区特色林果创意产业链的形成。</w:t>
      </w:r>
      <w:r>
        <w:rPr>
          <w:rFonts w:ascii="仿宋" w:hAnsi="仿宋" w:eastAsia="仿宋"/>
          <w:sz w:val="28"/>
          <w:szCs w:val="24"/>
        </w:rPr>
        <w:t xml:space="preserve">  </w:t>
      </w:r>
    </w:p>
    <w:p>
      <w:pPr>
        <w:pStyle w:val="3"/>
        <w:spacing w:before="217" w:after="217"/>
        <w:jc w:val="left"/>
        <w:rPr>
          <w:rFonts w:ascii="黑体" w:hAnsi="黑体" w:eastAsia="黑体" w:cs="Times New Roman"/>
          <w:b w:val="0"/>
          <w:bCs w:val="0"/>
        </w:rPr>
      </w:pPr>
      <w:bookmarkStart w:id="353" w:name="_Toc27389976"/>
      <w:r>
        <w:rPr>
          <w:rFonts w:hint="eastAsia" w:ascii="黑体" w:hAnsi="黑体" w:eastAsia="黑体" w:cs="Times New Roman"/>
          <w:b w:val="0"/>
          <w:bCs w:val="0"/>
        </w:rPr>
        <w:t>七、自然教育</w:t>
      </w:r>
      <w:bookmarkEnd w:id="353"/>
    </w:p>
    <w:p>
      <w:pPr>
        <w:spacing w:before="217" w:after="217" w:line="264"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（一）建设目标</w:t>
      </w:r>
    </w:p>
    <w:p>
      <w:pPr>
        <w:spacing w:line="276" w:lineRule="auto"/>
        <w:ind w:firstLine="560" w:firstLineChars="200"/>
        <w:rPr>
          <w:rFonts w:ascii="仿宋" w:hAnsi="仿宋" w:eastAsia="仿宋"/>
          <w:sz w:val="28"/>
          <w:szCs w:val="28"/>
        </w:rPr>
      </w:pPr>
      <w:r>
        <w:rPr>
          <w:rFonts w:hint="eastAsia" w:ascii="仿宋" w:hAnsi="仿宋" w:eastAsia="仿宋"/>
          <w:sz w:val="28"/>
          <w:szCs w:val="28"/>
        </w:rPr>
        <w:t>完成自然教育中心、自然教育学校、自然教育网点的建设，形成层层推进涵盖北京市域的全民自然教育系统，达到国际领先水平。该工程通过自然教育系统，科学高效地传播生态知识，有利于形成全民对自然的直观认识，也是北京全面推进生态文明建设的有效途径。</w:t>
      </w:r>
    </w:p>
    <w:p>
      <w:pPr>
        <w:spacing w:before="217" w:after="217" w:line="264"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（二）建设内容</w:t>
      </w:r>
    </w:p>
    <w:p>
      <w:pPr>
        <w:pStyle w:val="4"/>
        <w:spacing w:before="0" w:after="0" w:line="276" w:lineRule="auto"/>
        <w:rPr>
          <w:rFonts w:ascii="仿宋" w:hAnsi="仿宋" w:eastAsia="仿宋"/>
        </w:rPr>
      </w:pPr>
      <w:bookmarkStart w:id="354" w:name="_Toc27389977"/>
      <w:r>
        <w:rPr>
          <w:rFonts w:ascii="仿宋" w:hAnsi="仿宋" w:eastAsia="仿宋"/>
        </w:rPr>
        <w:t>1</w:t>
      </w:r>
      <w:r>
        <w:rPr>
          <w:rFonts w:hint="eastAsia" w:ascii="仿宋" w:hAnsi="仿宋" w:eastAsia="仿宋"/>
        </w:rPr>
        <w:t>.自然教育中心</w:t>
      </w:r>
      <w:bookmarkEnd w:id="354"/>
    </w:p>
    <w:p>
      <w:pPr>
        <w:spacing w:line="276" w:lineRule="auto"/>
        <w:ind w:firstLine="560" w:firstLineChars="200"/>
        <w:rPr>
          <w:rFonts w:ascii="仿宋" w:hAnsi="仿宋" w:eastAsia="仿宋"/>
          <w:b/>
          <w:sz w:val="28"/>
          <w:szCs w:val="28"/>
        </w:rPr>
      </w:pPr>
      <w:r>
        <w:rPr>
          <w:rFonts w:hint="eastAsia" w:ascii="仿宋" w:hAnsi="仿宋" w:eastAsia="仿宋"/>
          <w:b/>
          <w:sz w:val="28"/>
          <w:szCs w:val="28"/>
        </w:rPr>
        <w:t>（1）北京自然教育中心</w:t>
      </w:r>
    </w:p>
    <w:p>
      <w:pPr>
        <w:spacing w:line="276" w:lineRule="auto"/>
        <w:ind w:firstLine="560" w:firstLineChars="200"/>
        <w:rPr>
          <w:rFonts w:ascii="仿宋" w:hAnsi="仿宋" w:eastAsia="仿宋"/>
          <w:sz w:val="28"/>
          <w:szCs w:val="28"/>
        </w:rPr>
      </w:pPr>
      <w:r>
        <w:rPr>
          <w:rFonts w:hint="eastAsia" w:ascii="仿宋" w:hAnsi="仿宋" w:eastAsia="仿宋"/>
          <w:sz w:val="28"/>
          <w:szCs w:val="28"/>
        </w:rPr>
        <w:t>依托园林绿化系统的学会、协会、学校、科研单位等建设北京自然教育中心，主要建设工作包括：成立北京市自然教育中心课程研究室，</w:t>
      </w:r>
      <w:r>
        <w:rPr>
          <w:rFonts w:ascii="仿宋" w:hAnsi="仿宋" w:eastAsia="仿宋"/>
          <w:sz w:val="28"/>
          <w:szCs w:val="28"/>
        </w:rPr>
        <w:t>负责统筹</w:t>
      </w:r>
      <w:r>
        <w:rPr>
          <w:rFonts w:hint="eastAsia" w:ascii="仿宋" w:hAnsi="仿宋" w:eastAsia="仿宋"/>
          <w:sz w:val="28"/>
          <w:szCs w:val="28"/>
        </w:rPr>
        <w:t>分析全市</w:t>
      </w:r>
      <w:r>
        <w:rPr>
          <w:rFonts w:ascii="仿宋" w:hAnsi="仿宋" w:eastAsia="仿宋"/>
          <w:sz w:val="28"/>
          <w:szCs w:val="28"/>
        </w:rPr>
        <w:t>各项自然教育资源，</w:t>
      </w:r>
      <w:r>
        <w:rPr>
          <w:rFonts w:hint="eastAsia" w:ascii="仿宋" w:hAnsi="仿宋" w:eastAsia="仿宋"/>
          <w:sz w:val="28"/>
          <w:szCs w:val="28"/>
        </w:rPr>
        <w:t>研究符合北京特色的</w:t>
      </w:r>
      <w:r>
        <w:rPr>
          <w:rFonts w:ascii="仿宋" w:hAnsi="仿宋" w:eastAsia="仿宋"/>
          <w:sz w:val="28"/>
          <w:szCs w:val="28"/>
        </w:rPr>
        <w:t>自然教育课程</w:t>
      </w:r>
      <w:r>
        <w:rPr>
          <w:rFonts w:hint="eastAsia" w:ascii="仿宋" w:hAnsi="仿宋" w:eastAsia="仿宋"/>
          <w:sz w:val="28"/>
          <w:szCs w:val="28"/>
        </w:rPr>
        <w:t>设计导则；成立北京市自然教育高级培训中心，</w:t>
      </w:r>
      <w:r>
        <w:rPr>
          <w:rFonts w:ascii="仿宋" w:hAnsi="仿宋" w:eastAsia="仿宋"/>
          <w:sz w:val="28"/>
          <w:szCs w:val="28"/>
        </w:rPr>
        <w:t>负责</w:t>
      </w:r>
      <w:r>
        <w:rPr>
          <w:rFonts w:hint="eastAsia" w:ascii="仿宋" w:hAnsi="仿宋" w:eastAsia="仿宋"/>
          <w:sz w:val="28"/>
          <w:szCs w:val="28"/>
        </w:rPr>
        <w:t>培训、选拔</w:t>
      </w:r>
      <w:r>
        <w:rPr>
          <w:rFonts w:ascii="仿宋" w:hAnsi="仿宋" w:eastAsia="仿宋"/>
          <w:sz w:val="28"/>
          <w:szCs w:val="28"/>
        </w:rPr>
        <w:t>自然教育学校的</w:t>
      </w:r>
      <w:r>
        <w:rPr>
          <w:rFonts w:hint="eastAsia" w:ascii="仿宋" w:hAnsi="仿宋" w:eastAsia="仿宋"/>
          <w:sz w:val="28"/>
          <w:szCs w:val="28"/>
        </w:rPr>
        <w:t>老师；建设植物文化主题教育场所，完善现有基础设施，提升教育服务能力，采用预约、审核等方式，管控人流量，提高精品自然教育质量。</w:t>
      </w:r>
    </w:p>
    <w:p>
      <w:pPr>
        <w:spacing w:line="276" w:lineRule="auto"/>
        <w:ind w:firstLine="560" w:firstLineChars="200"/>
        <w:rPr>
          <w:rFonts w:ascii="仿宋" w:hAnsi="仿宋" w:eastAsia="仿宋"/>
          <w:b/>
          <w:sz w:val="28"/>
          <w:szCs w:val="28"/>
        </w:rPr>
      </w:pPr>
      <w:r>
        <w:rPr>
          <w:rFonts w:hint="eastAsia" w:ascii="仿宋" w:hAnsi="仿宋" w:eastAsia="仿宋"/>
          <w:b/>
          <w:sz w:val="28"/>
          <w:szCs w:val="28"/>
        </w:rPr>
        <w:t>（2）北京自然教育副中心</w:t>
      </w:r>
    </w:p>
    <w:p>
      <w:pPr>
        <w:spacing w:line="276" w:lineRule="auto"/>
        <w:ind w:firstLine="560" w:firstLineChars="200"/>
        <w:rPr>
          <w:rFonts w:ascii="仿宋" w:hAnsi="仿宋" w:eastAsia="仿宋"/>
          <w:sz w:val="28"/>
          <w:szCs w:val="28"/>
        </w:rPr>
      </w:pPr>
      <w:r>
        <w:rPr>
          <w:rFonts w:hint="eastAsia" w:ascii="仿宋" w:hAnsi="仿宋" w:eastAsia="仿宋"/>
          <w:sz w:val="28"/>
          <w:szCs w:val="28"/>
        </w:rPr>
        <w:t xml:space="preserve">依托北京市农林科学研究院、中国林业科学研究院、北京林业大学、中国科学院等单位负责的北京燕山森林生态系统定位观测研究站、北京城市森林生态系统定位观测研究站、北京湿地生态系统定位观测研究站、首都圈森林生态系统定位观测研究站等建立5个自然教育副中心，主要工作是建设山地森林、湿地、城市森林动态监测科研成果教育场所，定期面向部分公众、中小学生进行大众科普。 </w:t>
      </w:r>
    </w:p>
    <w:p>
      <w:pPr>
        <w:pStyle w:val="4"/>
        <w:spacing w:before="0" w:after="0" w:line="276" w:lineRule="auto"/>
        <w:rPr>
          <w:rFonts w:ascii="仿宋" w:hAnsi="仿宋" w:eastAsia="仿宋"/>
        </w:rPr>
      </w:pPr>
      <w:bookmarkStart w:id="355" w:name="_Toc27389978"/>
      <w:r>
        <w:rPr>
          <w:rFonts w:ascii="仿宋" w:hAnsi="仿宋" w:eastAsia="仿宋"/>
        </w:rPr>
        <w:t>2</w:t>
      </w:r>
      <w:r>
        <w:rPr>
          <w:rFonts w:hint="eastAsia" w:ascii="仿宋" w:hAnsi="仿宋" w:eastAsia="仿宋"/>
        </w:rPr>
        <w:t>.自然教育学校</w:t>
      </w:r>
      <w:bookmarkEnd w:id="355"/>
    </w:p>
    <w:p>
      <w:pPr>
        <w:spacing w:line="276" w:lineRule="auto"/>
        <w:ind w:firstLine="560" w:firstLineChars="200"/>
        <w:rPr>
          <w:rFonts w:ascii="仿宋" w:hAnsi="仿宋" w:eastAsia="仿宋"/>
          <w:sz w:val="28"/>
          <w:szCs w:val="28"/>
        </w:rPr>
      </w:pPr>
      <w:r>
        <w:rPr>
          <w:rFonts w:hint="eastAsia" w:ascii="仿宋" w:hAnsi="仿宋" w:eastAsia="仿宋"/>
          <w:sz w:val="28"/>
          <w:szCs w:val="28"/>
        </w:rPr>
        <w:t>现阶段重点建设鹫峰森林公园、百望山森林公园、台湖森林公园、喇叭沟门原始森林公园、鹰山森林公园、八达岭森林公园等6处自然教育学校，负责培训自然教育、环保志愿者，负责定期承接机关企事业单位的自然教育素质拓展培训；突出各自然教育学校自身的核心特点，建立科研、科普、教育展示等功能于一体的自然教育展厅、户外课堂等空间，</w:t>
      </w:r>
      <w:r>
        <w:rPr>
          <w:rFonts w:ascii="仿宋" w:hAnsi="仿宋" w:eastAsia="仿宋"/>
          <w:sz w:val="28"/>
          <w:szCs w:val="28"/>
        </w:rPr>
        <w:t>承担</w:t>
      </w:r>
      <w:r>
        <w:rPr>
          <w:rFonts w:hint="eastAsia" w:ascii="仿宋" w:hAnsi="仿宋" w:eastAsia="仿宋"/>
          <w:sz w:val="28"/>
          <w:szCs w:val="28"/>
        </w:rPr>
        <w:t>面向</w:t>
      </w:r>
      <w:r>
        <w:rPr>
          <w:rFonts w:ascii="仿宋" w:hAnsi="仿宋" w:eastAsia="仿宋"/>
          <w:sz w:val="28"/>
          <w:szCs w:val="28"/>
        </w:rPr>
        <w:t>社会</w:t>
      </w:r>
      <w:r>
        <w:rPr>
          <w:rFonts w:hint="eastAsia" w:ascii="仿宋" w:hAnsi="仿宋" w:eastAsia="仿宋"/>
          <w:sz w:val="28"/>
          <w:szCs w:val="28"/>
        </w:rPr>
        <w:t>，特别是大、中小学生群体的</w:t>
      </w:r>
      <w:r>
        <w:rPr>
          <w:rFonts w:ascii="仿宋" w:hAnsi="仿宋" w:eastAsia="仿宋"/>
          <w:sz w:val="28"/>
          <w:szCs w:val="28"/>
        </w:rPr>
        <w:t>自然教育任务</w:t>
      </w:r>
      <w:r>
        <w:rPr>
          <w:rFonts w:hint="eastAsia" w:ascii="仿宋" w:hAnsi="仿宋" w:eastAsia="仿宋"/>
          <w:sz w:val="28"/>
          <w:szCs w:val="28"/>
        </w:rPr>
        <w:t>，以及社会自然教育活动</w:t>
      </w:r>
      <w:r>
        <w:rPr>
          <w:rFonts w:ascii="仿宋" w:hAnsi="仿宋" w:eastAsia="仿宋"/>
          <w:sz w:val="28"/>
          <w:szCs w:val="28"/>
        </w:rPr>
        <w:t>。</w:t>
      </w:r>
    </w:p>
    <w:p>
      <w:pPr>
        <w:spacing w:line="360" w:lineRule="auto"/>
        <w:ind w:firstLine="480" w:firstLineChars="200"/>
        <w:rPr>
          <w:rFonts w:ascii="仿宋" w:hAnsi="仿宋" w:eastAsia="仿宋"/>
          <w:sz w:val="24"/>
          <w:szCs w:val="24"/>
        </w:rPr>
      </w:pPr>
    </w:p>
    <w:p>
      <w:pPr>
        <w:spacing w:line="360" w:lineRule="auto"/>
        <w:jc w:val="center"/>
        <w:rPr>
          <w:rFonts w:ascii="仿宋" w:hAnsi="仿宋" w:eastAsia="仿宋" w:cs="Times New Roman"/>
          <w:b/>
          <w:szCs w:val="21"/>
        </w:rPr>
      </w:pPr>
      <w:r>
        <w:rPr>
          <w:rFonts w:hint="eastAsia" w:ascii="仿宋" w:hAnsi="仿宋" w:eastAsia="仿宋" w:cs="Times New Roman"/>
          <w:b/>
          <w:szCs w:val="21"/>
        </w:rPr>
        <w:t>表8-2自然教育学校概况表</w:t>
      </w:r>
    </w:p>
    <w:tbl>
      <w:tblPr>
        <w:tblStyle w:val="94"/>
        <w:tblW w:w="5000" w:type="pct"/>
        <w:tblInd w:w="0" w:type="dxa"/>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Layout w:type="autofit"/>
        <w:tblCellMar>
          <w:top w:w="0" w:type="dxa"/>
          <w:left w:w="108" w:type="dxa"/>
          <w:bottom w:w="0" w:type="dxa"/>
          <w:right w:w="108" w:type="dxa"/>
        </w:tblCellMar>
      </w:tblPr>
      <w:tblGrid>
        <w:gridCol w:w="745"/>
        <w:gridCol w:w="2450"/>
        <w:gridCol w:w="5525"/>
      </w:tblGrid>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427" w:type="pct"/>
            <w:tcBorders>
              <w:bottom w:val="nil"/>
              <w:right w:val="nil"/>
            </w:tcBorders>
            <w:shd w:val="clear" w:color="auto" w:fill="9BBB59" w:themeFill="accent3"/>
          </w:tcPr>
          <w:p>
            <w:pPr>
              <w:pStyle w:val="46"/>
              <w:ind w:firstLine="0" w:firstLineChars="0"/>
              <w:jc w:val="center"/>
              <w:rPr>
                <w:rFonts w:ascii="仿宋" w:hAnsi="仿宋" w:eastAsia="仿宋"/>
                <w:b w:val="0"/>
                <w:bCs/>
                <w:color w:val="auto"/>
              </w:rPr>
            </w:pPr>
            <w:r>
              <w:rPr>
                <w:rFonts w:hint="eastAsia" w:ascii="仿宋" w:hAnsi="仿宋" w:eastAsia="仿宋"/>
                <w:b w:val="0"/>
                <w:bCs/>
                <w:color w:val="auto"/>
              </w:rPr>
              <w:t>序号</w:t>
            </w:r>
          </w:p>
        </w:tc>
        <w:tc>
          <w:tcPr>
            <w:tcW w:w="1405" w:type="pct"/>
            <w:shd w:val="clear" w:color="auto" w:fill="9BBB59" w:themeFill="accent3"/>
          </w:tcPr>
          <w:p>
            <w:pPr>
              <w:pStyle w:val="46"/>
              <w:ind w:firstLine="0" w:firstLineChars="0"/>
              <w:jc w:val="center"/>
              <w:rPr>
                <w:rFonts w:ascii="仿宋" w:hAnsi="仿宋" w:eastAsia="仿宋"/>
                <w:b w:val="0"/>
                <w:bCs/>
                <w:color w:val="auto"/>
              </w:rPr>
            </w:pPr>
            <w:r>
              <w:rPr>
                <w:rFonts w:hint="eastAsia" w:ascii="仿宋" w:hAnsi="仿宋" w:eastAsia="仿宋"/>
                <w:b w:val="0"/>
                <w:bCs/>
                <w:color w:val="auto"/>
              </w:rPr>
              <w:t>自然教育学校名称</w:t>
            </w:r>
          </w:p>
        </w:tc>
        <w:tc>
          <w:tcPr>
            <w:tcW w:w="3168" w:type="pct"/>
            <w:shd w:val="clear" w:color="auto" w:fill="9BBB59" w:themeFill="accent3"/>
          </w:tcPr>
          <w:p>
            <w:pPr>
              <w:pStyle w:val="46"/>
              <w:ind w:firstLine="0" w:firstLineChars="0"/>
              <w:jc w:val="center"/>
              <w:rPr>
                <w:rFonts w:ascii="仿宋" w:hAnsi="仿宋" w:eastAsia="仿宋"/>
                <w:b w:val="0"/>
                <w:bCs/>
                <w:color w:val="auto"/>
              </w:rPr>
            </w:pPr>
            <w:r>
              <w:rPr>
                <w:rFonts w:hint="eastAsia" w:ascii="仿宋" w:hAnsi="仿宋" w:eastAsia="仿宋"/>
                <w:b w:val="0"/>
                <w:bCs/>
                <w:color w:val="auto"/>
              </w:rPr>
              <w:t>自然课堂核心内容</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427"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vAlign w:val="center"/>
          </w:tcPr>
          <w:p>
            <w:pPr>
              <w:pStyle w:val="46"/>
              <w:ind w:firstLine="0" w:firstLineChars="0"/>
              <w:jc w:val="center"/>
              <w:rPr>
                <w:rFonts w:ascii="仿宋" w:hAnsi="仿宋" w:eastAsia="仿宋"/>
                <w:b/>
                <w:bCs/>
                <w:szCs w:val="21"/>
              </w:rPr>
            </w:pPr>
            <w:r>
              <w:rPr>
                <w:rFonts w:hint="eastAsia" w:ascii="仿宋" w:hAnsi="仿宋" w:eastAsia="仿宋"/>
                <w:b/>
                <w:bCs/>
                <w:szCs w:val="21"/>
              </w:rPr>
              <w:t>1</w:t>
            </w:r>
          </w:p>
        </w:tc>
        <w:tc>
          <w:tcPr>
            <w:tcW w:w="1405" w:type="pct"/>
            <w:tcBorders>
              <w:top w:val="single" w:color="9BBB59" w:themeColor="accent3" w:sz="4" w:space="0"/>
              <w:bottom w:val="single" w:color="9BBB59" w:themeColor="accent3" w:sz="4" w:space="0"/>
              <w:insideH w:val="single" w:sz="4" w:space="0"/>
            </w:tcBorders>
            <w:vAlign w:val="center"/>
          </w:tcPr>
          <w:p>
            <w:pPr>
              <w:pStyle w:val="46"/>
              <w:ind w:firstLine="0" w:firstLineChars="0"/>
              <w:jc w:val="center"/>
              <w:rPr>
                <w:rFonts w:ascii="仿宋" w:hAnsi="仿宋" w:eastAsia="仿宋"/>
                <w:szCs w:val="21"/>
              </w:rPr>
            </w:pPr>
            <w:r>
              <w:rPr>
                <w:rFonts w:hint="eastAsia" w:ascii="仿宋" w:hAnsi="仿宋" w:eastAsia="仿宋"/>
                <w:szCs w:val="21"/>
              </w:rPr>
              <w:t>鹫峰自然教育学校</w:t>
            </w:r>
          </w:p>
        </w:tc>
        <w:tc>
          <w:tcPr>
            <w:tcW w:w="3168" w:type="pct"/>
            <w:tcBorders>
              <w:top w:val="single" w:color="9BBB59" w:themeColor="accent3" w:sz="4" w:space="0"/>
              <w:bottom w:val="single" w:color="9BBB59" w:themeColor="accent3" w:sz="4" w:space="0"/>
              <w:insideH w:val="single" w:sz="4" w:space="0"/>
            </w:tcBorders>
          </w:tcPr>
          <w:p>
            <w:pPr>
              <w:pStyle w:val="46"/>
              <w:ind w:firstLine="0" w:firstLineChars="0"/>
              <w:rPr>
                <w:rFonts w:ascii="仿宋" w:hAnsi="仿宋" w:eastAsia="仿宋"/>
                <w:szCs w:val="21"/>
              </w:rPr>
            </w:pPr>
            <w:r>
              <w:rPr>
                <w:rFonts w:hint="eastAsia" w:ascii="仿宋" w:hAnsi="仿宋" w:eastAsia="仿宋"/>
                <w:szCs w:val="21"/>
              </w:rPr>
              <w:t>借鉴台湾溪头森林自然园打造教学、实验、观摩等综合自然教育课堂。</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427" w:type="pct"/>
            <w:tcBorders>
              <w:right w:val="nil"/>
              <w:insideV w:val="nil"/>
            </w:tcBorders>
            <w:shd w:val="clear" w:color="auto" w:fill="FFFFFF" w:themeFill="background1"/>
            <w:vAlign w:val="center"/>
          </w:tcPr>
          <w:p>
            <w:pPr>
              <w:pStyle w:val="46"/>
              <w:ind w:firstLine="0" w:firstLineChars="0"/>
              <w:jc w:val="center"/>
              <w:rPr>
                <w:rFonts w:ascii="仿宋" w:hAnsi="仿宋" w:eastAsia="仿宋"/>
                <w:b/>
                <w:bCs/>
                <w:szCs w:val="21"/>
              </w:rPr>
            </w:pPr>
            <w:r>
              <w:rPr>
                <w:rFonts w:hint="eastAsia" w:ascii="仿宋" w:hAnsi="仿宋" w:eastAsia="仿宋"/>
                <w:b/>
                <w:bCs/>
                <w:szCs w:val="21"/>
              </w:rPr>
              <w:t>2</w:t>
            </w:r>
          </w:p>
        </w:tc>
        <w:tc>
          <w:tcPr>
            <w:tcW w:w="1405" w:type="pct"/>
            <w:vAlign w:val="center"/>
          </w:tcPr>
          <w:p>
            <w:pPr>
              <w:pStyle w:val="46"/>
              <w:ind w:firstLine="0" w:firstLineChars="0"/>
              <w:jc w:val="center"/>
              <w:rPr>
                <w:rFonts w:ascii="仿宋" w:hAnsi="仿宋" w:eastAsia="仿宋"/>
                <w:szCs w:val="21"/>
              </w:rPr>
            </w:pPr>
            <w:r>
              <w:rPr>
                <w:rFonts w:hint="eastAsia" w:ascii="仿宋" w:hAnsi="仿宋" w:eastAsia="仿宋"/>
                <w:szCs w:val="21"/>
              </w:rPr>
              <w:t>百望山自然教育学校</w:t>
            </w:r>
          </w:p>
        </w:tc>
        <w:tc>
          <w:tcPr>
            <w:tcW w:w="3168" w:type="pct"/>
          </w:tcPr>
          <w:p>
            <w:pPr>
              <w:pStyle w:val="46"/>
              <w:ind w:firstLine="0" w:firstLineChars="0"/>
              <w:rPr>
                <w:rFonts w:ascii="仿宋" w:hAnsi="仿宋" w:eastAsia="仿宋"/>
                <w:szCs w:val="21"/>
              </w:rPr>
            </w:pPr>
            <w:r>
              <w:rPr>
                <w:rFonts w:hint="eastAsia" w:ascii="仿宋" w:hAnsi="仿宋" w:eastAsia="仿宋"/>
                <w:szCs w:val="21"/>
              </w:rPr>
              <w:t>近市区的公园，具备可达性优势，开展城市森林主题户外课堂建设。</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PrEx>
        <w:tc>
          <w:tcPr>
            <w:tcW w:w="427"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vAlign w:val="center"/>
          </w:tcPr>
          <w:p>
            <w:pPr>
              <w:pStyle w:val="46"/>
              <w:ind w:firstLine="0" w:firstLineChars="0"/>
              <w:jc w:val="center"/>
              <w:rPr>
                <w:rFonts w:ascii="仿宋" w:hAnsi="仿宋" w:eastAsia="仿宋"/>
                <w:b/>
                <w:bCs/>
                <w:szCs w:val="21"/>
              </w:rPr>
            </w:pPr>
            <w:r>
              <w:rPr>
                <w:rFonts w:hint="eastAsia" w:ascii="仿宋" w:hAnsi="仿宋" w:eastAsia="仿宋"/>
                <w:b/>
                <w:bCs/>
                <w:szCs w:val="21"/>
              </w:rPr>
              <w:t>3</w:t>
            </w:r>
          </w:p>
        </w:tc>
        <w:tc>
          <w:tcPr>
            <w:tcW w:w="1405" w:type="pct"/>
            <w:tcBorders>
              <w:top w:val="single" w:color="9BBB59" w:themeColor="accent3" w:sz="4" w:space="0"/>
              <w:bottom w:val="single" w:color="9BBB59" w:themeColor="accent3" w:sz="4" w:space="0"/>
              <w:insideH w:val="single" w:sz="4" w:space="0"/>
            </w:tcBorders>
            <w:vAlign w:val="center"/>
          </w:tcPr>
          <w:p>
            <w:pPr>
              <w:pStyle w:val="46"/>
              <w:ind w:firstLine="0" w:firstLineChars="0"/>
              <w:jc w:val="center"/>
              <w:rPr>
                <w:rFonts w:ascii="仿宋" w:hAnsi="仿宋" w:eastAsia="仿宋"/>
                <w:szCs w:val="21"/>
              </w:rPr>
            </w:pPr>
            <w:r>
              <w:rPr>
                <w:rFonts w:hint="eastAsia" w:ascii="仿宋" w:hAnsi="仿宋" w:eastAsia="仿宋"/>
                <w:szCs w:val="21"/>
              </w:rPr>
              <w:t>鹰山自然教育学校</w:t>
            </w:r>
          </w:p>
        </w:tc>
        <w:tc>
          <w:tcPr>
            <w:tcW w:w="3168" w:type="pct"/>
            <w:tcBorders>
              <w:top w:val="single" w:color="9BBB59" w:themeColor="accent3" w:sz="4" w:space="0"/>
              <w:bottom w:val="single" w:color="9BBB59" w:themeColor="accent3" w:sz="4" w:space="0"/>
              <w:insideH w:val="single" w:sz="4" w:space="0"/>
            </w:tcBorders>
          </w:tcPr>
          <w:p>
            <w:pPr>
              <w:pStyle w:val="46"/>
              <w:ind w:firstLine="0" w:firstLineChars="0"/>
              <w:rPr>
                <w:rFonts w:ascii="仿宋" w:hAnsi="仿宋" w:eastAsia="仿宋"/>
                <w:szCs w:val="21"/>
              </w:rPr>
            </w:pPr>
            <w:r>
              <w:rPr>
                <w:rFonts w:hint="eastAsia" w:ascii="仿宋" w:hAnsi="仿宋" w:eastAsia="仿宋"/>
                <w:szCs w:val="21"/>
              </w:rPr>
              <w:t>北京市野生动物放生基地，建设动物主题自然教育户外课堂。</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427" w:type="pct"/>
            <w:tcBorders>
              <w:right w:val="nil"/>
              <w:insideV w:val="nil"/>
            </w:tcBorders>
            <w:shd w:val="clear" w:color="auto" w:fill="FFFFFF" w:themeFill="background1"/>
            <w:vAlign w:val="center"/>
          </w:tcPr>
          <w:p>
            <w:pPr>
              <w:pStyle w:val="46"/>
              <w:ind w:firstLine="0" w:firstLineChars="0"/>
              <w:jc w:val="center"/>
              <w:rPr>
                <w:rFonts w:ascii="仿宋" w:hAnsi="仿宋" w:eastAsia="仿宋"/>
                <w:b/>
                <w:bCs/>
                <w:szCs w:val="21"/>
              </w:rPr>
            </w:pPr>
            <w:r>
              <w:rPr>
                <w:rFonts w:hint="eastAsia" w:ascii="仿宋" w:hAnsi="仿宋" w:eastAsia="仿宋"/>
                <w:b/>
                <w:bCs/>
                <w:szCs w:val="21"/>
              </w:rPr>
              <w:t>4</w:t>
            </w:r>
          </w:p>
        </w:tc>
        <w:tc>
          <w:tcPr>
            <w:tcW w:w="1405" w:type="pct"/>
            <w:vAlign w:val="center"/>
          </w:tcPr>
          <w:p>
            <w:pPr>
              <w:pStyle w:val="46"/>
              <w:ind w:firstLine="0" w:firstLineChars="0"/>
              <w:jc w:val="center"/>
              <w:rPr>
                <w:rFonts w:ascii="仿宋" w:hAnsi="仿宋" w:eastAsia="仿宋"/>
                <w:szCs w:val="21"/>
              </w:rPr>
            </w:pPr>
            <w:r>
              <w:rPr>
                <w:rFonts w:hint="eastAsia" w:ascii="仿宋" w:hAnsi="仿宋" w:eastAsia="仿宋"/>
                <w:szCs w:val="21"/>
              </w:rPr>
              <w:t>台湖公园自然教育学校</w:t>
            </w:r>
          </w:p>
        </w:tc>
        <w:tc>
          <w:tcPr>
            <w:tcW w:w="3168" w:type="pct"/>
          </w:tcPr>
          <w:p>
            <w:pPr>
              <w:pStyle w:val="46"/>
              <w:ind w:firstLine="0" w:firstLineChars="0"/>
              <w:rPr>
                <w:rFonts w:ascii="仿宋" w:hAnsi="仿宋" w:eastAsia="仿宋"/>
                <w:szCs w:val="21"/>
              </w:rPr>
            </w:pPr>
            <w:r>
              <w:rPr>
                <w:rFonts w:hint="eastAsia" w:ascii="仿宋" w:hAnsi="仿宋" w:eastAsia="仿宋"/>
                <w:szCs w:val="21"/>
              </w:rPr>
              <w:t>环保中水造“湖”，具备生态节能特色，建设中水净化等主题自然教育户外课堂。</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427" w:type="pct"/>
            <w:tcBorders>
              <w:top w:val="single" w:color="9BBB59" w:themeColor="accent3" w:sz="4" w:space="0"/>
              <w:bottom w:val="single" w:color="9BBB59" w:themeColor="accent3" w:sz="4" w:space="0"/>
              <w:right w:val="nil"/>
              <w:insideH w:val="single" w:sz="4" w:space="0"/>
              <w:insideV w:val="nil"/>
            </w:tcBorders>
            <w:shd w:val="clear" w:color="auto" w:fill="FFFFFF" w:themeFill="background1"/>
            <w:vAlign w:val="center"/>
          </w:tcPr>
          <w:p>
            <w:pPr>
              <w:pStyle w:val="46"/>
              <w:ind w:firstLine="0" w:firstLineChars="0"/>
              <w:jc w:val="center"/>
              <w:rPr>
                <w:rFonts w:ascii="仿宋" w:hAnsi="仿宋" w:eastAsia="仿宋"/>
                <w:b/>
                <w:bCs/>
                <w:szCs w:val="21"/>
              </w:rPr>
            </w:pPr>
            <w:r>
              <w:rPr>
                <w:rFonts w:hint="eastAsia" w:ascii="仿宋" w:hAnsi="仿宋" w:eastAsia="仿宋"/>
                <w:b/>
                <w:bCs/>
                <w:szCs w:val="21"/>
              </w:rPr>
              <w:t>5</w:t>
            </w:r>
          </w:p>
        </w:tc>
        <w:tc>
          <w:tcPr>
            <w:tcW w:w="1405" w:type="pct"/>
            <w:tcBorders>
              <w:top w:val="single" w:color="9BBB59" w:themeColor="accent3" w:sz="4" w:space="0"/>
              <w:bottom w:val="single" w:color="9BBB59" w:themeColor="accent3" w:sz="4" w:space="0"/>
              <w:insideH w:val="single" w:sz="4" w:space="0"/>
            </w:tcBorders>
            <w:vAlign w:val="center"/>
          </w:tcPr>
          <w:p>
            <w:pPr>
              <w:pStyle w:val="46"/>
              <w:ind w:firstLine="0" w:firstLineChars="0"/>
              <w:jc w:val="center"/>
              <w:rPr>
                <w:rFonts w:ascii="仿宋" w:hAnsi="仿宋" w:eastAsia="仿宋"/>
                <w:szCs w:val="21"/>
              </w:rPr>
            </w:pPr>
            <w:r>
              <w:rPr>
                <w:rFonts w:hint="eastAsia" w:ascii="仿宋" w:hAnsi="仿宋" w:eastAsia="仿宋"/>
                <w:szCs w:val="21"/>
              </w:rPr>
              <w:t>喇叭沟门自然教育学校</w:t>
            </w:r>
          </w:p>
        </w:tc>
        <w:tc>
          <w:tcPr>
            <w:tcW w:w="3168" w:type="pct"/>
            <w:tcBorders>
              <w:top w:val="single" w:color="9BBB59" w:themeColor="accent3" w:sz="4" w:space="0"/>
              <w:bottom w:val="single" w:color="9BBB59" w:themeColor="accent3" w:sz="4" w:space="0"/>
              <w:insideH w:val="single" w:sz="4" w:space="0"/>
            </w:tcBorders>
          </w:tcPr>
          <w:p>
            <w:pPr>
              <w:pStyle w:val="46"/>
              <w:ind w:firstLine="0" w:firstLineChars="0"/>
              <w:rPr>
                <w:rFonts w:ascii="仿宋" w:hAnsi="仿宋" w:eastAsia="仿宋"/>
                <w:szCs w:val="21"/>
              </w:rPr>
            </w:pPr>
            <w:r>
              <w:rPr>
                <w:rFonts w:hint="eastAsia" w:ascii="仿宋" w:hAnsi="仿宋" w:eastAsia="仿宋"/>
                <w:szCs w:val="21"/>
              </w:rPr>
              <w:t>北京唯一的原始森林，建设森林植被（乔木、灌木、禾类、茅类、厥类、菌类、湿地苔藓）多层立体共生的原始森林植物链体系的展示与户外教育课堂。</w:t>
            </w:r>
          </w:p>
        </w:tc>
      </w:tr>
      <w:tr>
        <w:tblPrEx>
          <w:tblBorders>
            <w:top w:val="single" w:color="9BBB59" w:themeColor="accent3" w:sz="4" w:space="0"/>
            <w:left w:val="single" w:color="9BBB59" w:themeColor="accent3" w:sz="4" w:space="0"/>
            <w:bottom w:val="single" w:color="9BBB59" w:themeColor="accent3" w:sz="4" w:space="0"/>
            <w:right w:val="single" w:color="9BBB59" w:themeColor="accent3" w:sz="4" w:space="0"/>
            <w:insideH w:val="none" w:color="auto" w:sz="0" w:space="0"/>
            <w:insideV w:val="none" w:color="auto" w:sz="0" w:space="0"/>
          </w:tblBorders>
          <w:tblCellMar>
            <w:top w:w="0" w:type="dxa"/>
            <w:left w:w="108" w:type="dxa"/>
            <w:bottom w:w="0" w:type="dxa"/>
            <w:right w:w="108" w:type="dxa"/>
          </w:tblCellMar>
        </w:tblPrEx>
        <w:tc>
          <w:tcPr>
            <w:tcW w:w="427" w:type="pct"/>
            <w:tcBorders>
              <w:right w:val="nil"/>
              <w:insideV w:val="nil"/>
            </w:tcBorders>
            <w:shd w:val="clear" w:color="auto" w:fill="FFFFFF" w:themeFill="background1"/>
            <w:vAlign w:val="center"/>
          </w:tcPr>
          <w:p>
            <w:pPr>
              <w:pStyle w:val="46"/>
              <w:ind w:firstLine="0" w:firstLineChars="0"/>
              <w:jc w:val="center"/>
              <w:rPr>
                <w:rFonts w:ascii="仿宋" w:hAnsi="仿宋" w:eastAsia="仿宋"/>
                <w:b/>
                <w:bCs/>
                <w:szCs w:val="21"/>
              </w:rPr>
            </w:pPr>
            <w:r>
              <w:rPr>
                <w:rFonts w:hint="eastAsia" w:ascii="仿宋" w:hAnsi="仿宋" w:eastAsia="仿宋"/>
                <w:b/>
                <w:bCs/>
                <w:szCs w:val="21"/>
              </w:rPr>
              <w:t>6</w:t>
            </w:r>
          </w:p>
        </w:tc>
        <w:tc>
          <w:tcPr>
            <w:tcW w:w="1405" w:type="pct"/>
            <w:vAlign w:val="center"/>
          </w:tcPr>
          <w:p>
            <w:pPr>
              <w:pStyle w:val="46"/>
              <w:ind w:firstLine="0" w:firstLineChars="0"/>
              <w:jc w:val="center"/>
              <w:rPr>
                <w:rFonts w:ascii="仿宋" w:hAnsi="仿宋" w:eastAsia="仿宋"/>
                <w:szCs w:val="21"/>
              </w:rPr>
            </w:pPr>
            <w:r>
              <w:rPr>
                <w:rFonts w:hint="eastAsia" w:ascii="仿宋" w:hAnsi="仿宋" w:eastAsia="仿宋"/>
                <w:szCs w:val="21"/>
              </w:rPr>
              <w:t>八达岭森林公园</w:t>
            </w:r>
          </w:p>
        </w:tc>
        <w:tc>
          <w:tcPr>
            <w:tcW w:w="3168" w:type="pct"/>
          </w:tcPr>
          <w:p>
            <w:pPr>
              <w:pStyle w:val="46"/>
              <w:ind w:firstLine="0" w:firstLineChars="0"/>
              <w:rPr>
                <w:rFonts w:ascii="仿宋" w:hAnsi="仿宋" w:eastAsia="仿宋"/>
                <w:szCs w:val="21"/>
              </w:rPr>
            </w:pPr>
            <w:r>
              <w:rPr>
                <w:rFonts w:hint="eastAsia" w:ascii="仿宋" w:hAnsi="仿宋" w:eastAsia="仿宋"/>
                <w:szCs w:val="21"/>
              </w:rPr>
              <w:t>具有中国首家通过F</w:t>
            </w:r>
            <w:r>
              <w:rPr>
                <w:rFonts w:ascii="仿宋" w:hAnsi="仿宋" w:eastAsia="仿宋"/>
                <w:szCs w:val="21"/>
              </w:rPr>
              <w:t>SC</w:t>
            </w:r>
            <w:r>
              <w:rPr>
                <w:rFonts w:hint="eastAsia" w:ascii="仿宋" w:hAnsi="仿宋" w:eastAsia="仿宋"/>
                <w:szCs w:val="21"/>
              </w:rPr>
              <w:t>国际认证的生态公益林区，以及独特的人文与生态景观资源。目前已经具备环境教育基地的建设基础，可进一步扩展与提升环境教育基地。</w:t>
            </w:r>
          </w:p>
        </w:tc>
      </w:tr>
    </w:tbl>
    <w:p>
      <w:pPr>
        <w:spacing w:line="360" w:lineRule="auto"/>
        <w:ind w:firstLine="480" w:firstLineChars="200"/>
        <w:rPr>
          <w:rFonts w:ascii="仿宋" w:hAnsi="仿宋" w:eastAsia="仿宋"/>
          <w:sz w:val="24"/>
          <w:szCs w:val="24"/>
        </w:rPr>
      </w:pPr>
    </w:p>
    <w:p>
      <w:pPr>
        <w:pStyle w:val="4"/>
        <w:spacing w:before="0" w:after="0" w:line="276" w:lineRule="auto"/>
        <w:rPr>
          <w:rFonts w:ascii="仿宋" w:hAnsi="仿宋" w:eastAsia="仿宋"/>
        </w:rPr>
      </w:pPr>
      <w:bookmarkStart w:id="356" w:name="_Toc27389979"/>
      <w:r>
        <w:rPr>
          <w:rFonts w:ascii="仿宋" w:hAnsi="仿宋" w:eastAsia="仿宋"/>
        </w:rPr>
        <w:t>3</w:t>
      </w:r>
      <w:r>
        <w:rPr>
          <w:rFonts w:hint="eastAsia" w:ascii="仿宋" w:hAnsi="仿宋" w:eastAsia="仿宋"/>
        </w:rPr>
        <w:t>.自然教育驿站</w:t>
      </w:r>
      <w:bookmarkEnd w:id="356"/>
    </w:p>
    <w:p>
      <w:pPr>
        <w:spacing w:line="276" w:lineRule="auto"/>
        <w:ind w:firstLine="560" w:firstLineChars="200"/>
        <w:rPr>
          <w:rFonts w:ascii="仿宋" w:hAnsi="仿宋" w:eastAsia="仿宋"/>
          <w:sz w:val="28"/>
          <w:szCs w:val="28"/>
        </w:rPr>
      </w:pPr>
      <w:r>
        <w:rPr>
          <w:rFonts w:hint="eastAsia" w:ascii="仿宋" w:hAnsi="仿宋" w:eastAsia="仿宋"/>
          <w:sz w:val="28"/>
          <w:szCs w:val="28"/>
        </w:rPr>
        <w:t>依托现有城市公园、郊野公园、森林公园、湿地公园、风景名胜区等各类生态游憩场所，结合首都园艺驿站、园林驿站、森林驿站的建设，打造若干自然教育网点。定期开展面向社会的自然教育科普活动，</w:t>
      </w:r>
      <w:r>
        <w:rPr>
          <w:rFonts w:ascii="仿宋" w:hAnsi="仿宋" w:eastAsia="仿宋"/>
          <w:sz w:val="28"/>
          <w:szCs w:val="28"/>
        </w:rPr>
        <w:t>组织自然教育</w:t>
      </w:r>
      <w:r>
        <w:rPr>
          <w:rFonts w:hint="eastAsia" w:ascii="仿宋" w:hAnsi="仿宋" w:eastAsia="仿宋"/>
          <w:sz w:val="28"/>
          <w:szCs w:val="28"/>
        </w:rPr>
        <w:t>志愿者深入各网点，生动地、互动地进行生态文化相关内容的传达，如城市森林与居民健康等贴近城区居民生活的生态文化；完善生态文化平面展示设施（展板、展示柱、展示栏等）、生态文化数码展示设施（多媒体影音、地播、移动数码解说设备、LED数码屏等）、生态文化实物模型展示设施（相关主题或含义的物件、趣味模型、还原复制品等）等生态文化标识解说，实现基于日常游憩的公众生态文化自传播。</w:t>
      </w:r>
    </w:p>
    <w:p>
      <w:pPr>
        <w:spacing w:line="276" w:lineRule="auto"/>
        <w:ind w:firstLine="560" w:firstLineChars="200"/>
        <w:rPr>
          <w:sz w:val="28"/>
          <w:szCs w:val="28"/>
        </w:rPr>
      </w:pPr>
    </w:p>
    <w:p>
      <w:pPr>
        <w:pStyle w:val="3"/>
        <w:spacing w:before="217" w:after="217"/>
        <w:jc w:val="left"/>
        <w:rPr>
          <w:rFonts w:ascii="黑体" w:hAnsi="黑体" w:eastAsia="黑体" w:cs="Times New Roman"/>
          <w:b w:val="0"/>
          <w:bCs w:val="0"/>
        </w:rPr>
      </w:pPr>
      <w:bookmarkStart w:id="357" w:name="_Toc27389980"/>
      <w:r>
        <w:rPr>
          <w:rFonts w:hint="eastAsia" w:ascii="黑体" w:hAnsi="黑体" w:eastAsia="黑体" w:cs="Times New Roman"/>
          <w:b w:val="0"/>
          <w:bCs w:val="0"/>
        </w:rPr>
        <w:t>八、绿道网络</w:t>
      </w:r>
      <w:bookmarkEnd w:id="357"/>
    </w:p>
    <w:p>
      <w:pPr>
        <w:spacing w:before="217" w:after="217" w:line="264"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（一）建设目标</w:t>
      </w:r>
    </w:p>
    <w:p>
      <w:pPr>
        <w:spacing w:line="360" w:lineRule="auto"/>
        <w:ind w:firstLine="546" w:firstLineChars="195"/>
        <w:rPr>
          <w:rFonts w:ascii="仿宋" w:hAnsi="仿宋" w:eastAsia="仿宋" w:cs="Times New Roman"/>
          <w:b/>
          <w:sz w:val="32"/>
          <w:szCs w:val="32"/>
        </w:rPr>
      </w:pPr>
      <w:r>
        <w:rPr>
          <w:rFonts w:hint="eastAsia" w:ascii="仿宋" w:hAnsi="仿宋" w:eastAsia="仿宋"/>
          <w:sz w:val="28"/>
          <w:szCs w:val="28"/>
        </w:rPr>
        <w:t>依托城乡景观资源、历史文化资源和绿色空间资源，建设绿道网络，形成多种生态文化的展示网络。该工程既有利于落实新总规“构建多功能、多层次的绿道系统”的要求，又有利于生态文化在市域范围内的系统展示与传播。</w:t>
      </w:r>
    </w:p>
    <w:p>
      <w:pPr>
        <w:spacing w:before="217" w:after="217" w:line="264" w:lineRule="auto"/>
        <w:rPr>
          <w:rFonts w:ascii="仿宋" w:hAnsi="仿宋" w:eastAsia="仿宋" w:cs="Times New Roman"/>
          <w:b/>
          <w:spacing w:val="20"/>
          <w:sz w:val="32"/>
          <w:szCs w:val="32"/>
        </w:rPr>
      </w:pPr>
      <w:r>
        <w:rPr>
          <w:rFonts w:hint="eastAsia" w:ascii="仿宋" w:hAnsi="仿宋" w:eastAsia="仿宋" w:cs="Times New Roman"/>
          <w:b/>
          <w:spacing w:val="20"/>
          <w:sz w:val="32"/>
          <w:szCs w:val="32"/>
        </w:rPr>
        <w:t>（二）建设内容</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5" w:hRule="atLeast"/>
        </w:trPr>
        <w:tc>
          <w:tcPr>
            <w:tcW w:w="8494" w:type="dxa"/>
          </w:tcPr>
          <w:p>
            <w:pPr>
              <w:spacing w:line="360" w:lineRule="auto"/>
              <w:jc w:val="center"/>
              <w:rPr>
                <w:sz w:val="24"/>
                <w:szCs w:val="24"/>
              </w:rPr>
            </w:pPr>
            <w:r>
              <w:rPr>
                <w:sz w:val="24"/>
                <w:szCs w:val="24"/>
              </w:rPr>
              <w:drawing>
                <wp:inline distT="0" distB="0" distL="0" distR="0">
                  <wp:extent cx="3888105" cy="3846830"/>
                  <wp:effectExtent l="0" t="0" r="0" b="127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40" cstate="print">
                            <a:extLst>
                              <a:ext uri="{28A0092B-C50C-407E-A947-70E740481C1C}">
                                <a14:useLocalDpi xmlns:a14="http://schemas.microsoft.com/office/drawing/2010/main" val="false"/>
                              </a:ext>
                            </a:extLst>
                          </a:blip>
                          <a:stretch>
                            <a:fillRect/>
                          </a:stretch>
                        </pic:blipFill>
                        <pic:spPr>
                          <a:xfrm>
                            <a:off x="0" y="0"/>
                            <a:ext cx="3888226" cy="3847072"/>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94" w:type="dxa"/>
          </w:tcPr>
          <w:p>
            <w:pPr>
              <w:spacing w:line="360" w:lineRule="auto"/>
              <w:jc w:val="center"/>
              <w:rPr>
                <w:b/>
                <w:szCs w:val="21"/>
              </w:rPr>
            </w:pPr>
            <w:r>
              <w:rPr>
                <w:rFonts w:hint="eastAsia"/>
                <w:b/>
                <w:szCs w:val="21"/>
              </w:rPr>
              <w:t>图8-1绿道网络示意图</w:t>
            </w:r>
          </w:p>
        </w:tc>
      </w:tr>
    </w:tbl>
    <w:p>
      <w:pPr>
        <w:pStyle w:val="4"/>
        <w:spacing w:before="0" w:after="0" w:line="276" w:lineRule="auto"/>
        <w:rPr>
          <w:rFonts w:ascii="仿宋" w:hAnsi="仿宋" w:eastAsia="仿宋"/>
        </w:rPr>
      </w:pPr>
      <w:bookmarkStart w:id="358" w:name="_Toc27389981"/>
      <w:r>
        <w:rPr>
          <w:rFonts w:hint="eastAsia" w:ascii="仿宋" w:hAnsi="仿宋" w:eastAsia="仿宋"/>
        </w:rPr>
        <w:t>1.核心区绿道</w:t>
      </w:r>
      <w:bookmarkEnd w:id="358"/>
    </w:p>
    <w:p>
      <w:pPr>
        <w:spacing w:line="276" w:lineRule="auto"/>
        <w:ind w:firstLine="546" w:firstLineChars="195"/>
        <w:rPr>
          <w:rFonts w:ascii="仿宋" w:hAnsi="仿宋" w:eastAsia="仿宋"/>
          <w:sz w:val="28"/>
          <w:szCs w:val="28"/>
        </w:rPr>
      </w:pPr>
      <w:r>
        <w:rPr>
          <w:rFonts w:hint="eastAsia" w:ascii="仿宋" w:hAnsi="仿宋" w:eastAsia="仿宋"/>
          <w:sz w:val="28"/>
          <w:szCs w:val="28"/>
        </w:rPr>
        <w:t>主要以北京旧城历史水系为骨干框架，建设内容包括：串联南护城河、北护城河、前三门护城河，以及周边的永定门、德胜门等，有效连接天坛公园、地坛公园、陶然亭公园、皇城根遗址公园等，串联城市记忆，是线性绿色文脉空间，也是老北京城公众日常休闲的绿色福利空间；作为京韵胡同文化线路的整体框架，胡同文化体验路线通过该绿道联通、交换。</w:t>
      </w:r>
    </w:p>
    <w:p>
      <w:pPr>
        <w:pStyle w:val="4"/>
        <w:spacing w:before="0" w:after="0" w:line="276" w:lineRule="auto"/>
        <w:rPr>
          <w:rFonts w:ascii="仿宋" w:hAnsi="仿宋" w:eastAsia="仿宋"/>
        </w:rPr>
      </w:pPr>
      <w:bookmarkStart w:id="359" w:name="_Toc27389982"/>
      <w:r>
        <w:rPr>
          <w:rFonts w:hint="eastAsia" w:ascii="仿宋" w:hAnsi="仿宋" w:eastAsia="仿宋"/>
        </w:rPr>
        <w:t>2.中轴线绿道</w:t>
      </w:r>
      <w:bookmarkEnd w:id="359"/>
    </w:p>
    <w:p>
      <w:pPr>
        <w:spacing w:line="276" w:lineRule="auto"/>
        <w:ind w:firstLine="546" w:firstLineChars="195"/>
        <w:rPr>
          <w:rFonts w:ascii="仿宋" w:hAnsi="仿宋" w:eastAsia="仿宋"/>
          <w:sz w:val="28"/>
          <w:szCs w:val="28"/>
        </w:rPr>
      </w:pPr>
      <w:r>
        <w:rPr>
          <w:rFonts w:hint="eastAsia" w:ascii="仿宋" w:hAnsi="仿宋" w:eastAsia="仿宋"/>
          <w:sz w:val="28"/>
          <w:szCs w:val="28"/>
        </w:rPr>
        <w:t>依托南中轴线、北中轴线、西长安街形成，是北京最具文化特色的绿道生态文化展示路径。</w:t>
      </w:r>
    </w:p>
    <w:p>
      <w:pPr>
        <w:pStyle w:val="4"/>
        <w:spacing w:before="0" w:after="0" w:line="276" w:lineRule="auto"/>
        <w:rPr>
          <w:rFonts w:ascii="仿宋" w:hAnsi="仿宋" w:eastAsia="仿宋"/>
        </w:rPr>
      </w:pPr>
      <w:bookmarkStart w:id="360" w:name="_Toc27389983"/>
      <w:r>
        <w:rPr>
          <w:rFonts w:hint="eastAsia" w:ascii="仿宋" w:hAnsi="仿宋" w:eastAsia="仿宋"/>
        </w:rPr>
        <w:t>3.一道绿隔绿道</w:t>
      </w:r>
      <w:bookmarkEnd w:id="360"/>
    </w:p>
    <w:p>
      <w:pPr>
        <w:spacing w:line="276" w:lineRule="auto"/>
        <w:ind w:firstLine="546" w:firstLineChars="195"/>
        <w:rPr>
          <w:rFonts w:ascii="仿宋" w:hAnsi="仿宋" w:eastAsia="仿宋"/>
          <w:sz w:val="28"/>
          <w:szCs w:val="28"/>
        </w:rPr>
      </w:pPr>
      <w:r>
        <w:rPr>
          <w:rFonts w:hint="eastAsia" w:ascii="仿宋" w:hAnsi="仿宋" w:eastAsia="仿宋"/>
          <w:sz w:val="28"/>
          <w:szCs w:val="28"/>
        </w:rPr>
        <w:t xml:space="preserve">以一道绿隔城市公园作为骨干框架，由颐和园起，沿清河串联清河和天通苑组团，沿北湖渠路、北小河，机场高速和坝河进入并穿过望京组团，向南沿一道绿隔串联东坝、南苑等进入三山五园地区，沿旱河、金河回到颐和园。建设重点：串联一道绿隔重要城市绿地，形成重要绿色枢纽，也是绿隔闭合与落地的重要保障与纽带；联通东西、南北两条城市中轴两端大型绿地斑块，保证南苑城市湿地森林、衙门口城市森林、北部城市森林的有效联通。 </w:t>
      </w:r>
    </w:p>
    <w:p>
      <w:pPr>
        <w:pStyle w:val="4"/>
        <w:spacing w:before="0" w:after="0" w:line="276" w:lineRule="auto"/>
        <w:rPr>
          <w:rFonts w:ascii="仿宋" w:hAnsi="仿宋" w:eastAsia="仿宋"/>
        </w:rPr>
      </w:pPr>
      <w:bookmarkStart w:id="361" w:name="_Toc27389984"/>
      <w:r>
        <w:rPr>
          <w:rFonts w:hint="eastAsia" w:ascii="仿宋" w:hAnsi="仿宋" w:eastAsia="仿宋"/>
        </w:rPr>
        <w:t>4.二道隔离绿道</w:t>
      </w:r>
      <w:bookmarkEnd w:id="361"/>
    </w:p>
    <w:p>
      <w:pPr>
        <w:spacing w:line="276" w:lineRule="auto"/>
        <w:ind w:firstLine="546" w:firstLineChars="195"/>
        <w:rPr>
          <w:rFonts w:ascii="仿宋" w:hAnsi="仿宋" w:eastAsia="仿宋"/>
          <w:sz w:val="28"/>
          <w:szCs w:val="28"/>
        </w:rPr>
      </w:pPr>
      <w:r>
        <w:rPr>
          <w:rFonts w:hint="eastAsia" w:ascii="仿宋" w:hAnsi="仿宋" w:eastAsia="仿宋"/>
          <w:sz w:val="28"/>
          <w:szCs w:val="28"/>
        </w:rPr>
        <w:t>以郊野公园环、大运河、永定河作为骨干框架，串联二道隔离区主要的郊野公园、顺义新城滨河森林公园、大兴新城滨河湿地公园、房山新城滨河湿地公园、门头沟新城滨河湿地公园、昌平新城滨河湿地公园、通州运河森林公园、永定河休闲森林公园，以滨河绿道为主要形式，形成北京中心城区外围的以滨水、郊野为主题的绿道环线户外游憩空间。</w:t>
      </w:r>
    </w:p>
    <w:p>
      <w:pPr>
        <w:pStyle w:val="4"/>
        <w:spacing w:before="0" w:after="0" w:line="276" w:lineRule="auto"/>
        <w:rPr>
          <w:rFonts w:ascii="仿宋" w:hAnsi="仿宋" w:eastAsia="仿宋"/>
        </w:rPr>
      </w:pPr>
      <w:bookmarkStart w:id="362" w:name="_Toc27389985"/>
      <w:r>
        <w:rPr>
          <w:rFonts w:hint="eastAsia" w:ascii="仿宋" w:hAnsi="仿宋" w:eastAsia="仿宋"/>
        </w:rPr>
        <w:t>5.东部山水绿道</w:t>
      </w:r>
      <w:bookmarkEnd w:id="362"/>
    </w:p>
    <w:p>
      <w:pPr>
        <w:spacing w:line="276" w:lineRule="auto"/>
        <w:ind w:firstLine="546" w:firstLineChars="195"/>
        <w:rPr>
          <w:rFonts w:ascii="仿宋" w:hAnsi="仿宋" w:eastAsia="仿宋"/>
          <w:sz w:val="28"/>
          <w:szCs w:val="28"/>
        </w:rPr>
      </w:pPr>
      <w:r>
        <w:rPr>
          <w:rFonts w:hint="eastAsia" w:ascii="仿宋" w:hAnsi="仿宋" w:eastAsia="仿宋"/>
          <w:sz w:val="28"/>
          <w:szCs w:val="28"/>
        </w:rPr>
        <w:t>以潮白河水系作为骨干框架，主要经过潮白河、潮河、怀河、京密引水渠、白河，并延申伸至汤河-白河，由密云向东沿巨各庄进入平谷，再延至雾灵山、金海湖，该绿道主要串联东部山区与平原主要森林公园、风景名胜区，成为北京东部滨河绿色线性空间。</w:t>
      </w:r>
    </w:p>
    <w:p>
      <w:pPr>
        <w:pStyle w:val="4"/>
        <w:spacing w:before="0" w:after="0" w:line="276" w:lineRule="auto"/>
        <w:rPr>
          <w:rFonts w:ascii="仿宋" w:hAnsi="仿宋" w:eastAsia="仿宋"/>
        </w:rPr>
      </w:pPr>
      <w:bookmarkStart w:id="363" w:name="_Toc27389986"/>
      <w:r>
        <w:rPr>
          <w:rFonts w:hint="eastAsia" w:ascii="仿宋" w:hAnsi="仿宋" w:eastAsia="仿宋"/>
        </w:rPr>
        <w:t>6.北部山水绿道</w:t>
      </w:r>
      <w:bookmarkEnd w:id="363"/>
    </w:p>
    <w:p>
      <w:pPr>
        <w:spacing w:line="276" w:lineRule="auto"/>
        <w:ind w:firstLine="546" w:firstLineChars="195"/>
        <w:rPr>
          <w:rFonts w:ascii="仿宋" w:hAnsi="仿宋" w:eastAsia="仿宋"/>
          <w:sz w:val="28"/>
          <w:szCs w:val="28"/>
        </w:rPr>
      </w:pPr>
      <w:r>
        <w:rPr>
          <w:rFonts w:hint="eastAsia" w:ascii="仿宋" w:hAnsi="仿宋" w:eastAsia="仿宋"/>
          <w:sz w:val="28"/>
          <w:szCs w:val="28"/>
        </w:rPr>
        <w:t>由南向北沿东沙河穿过昌平新城至十三陵和十三陵水库，由南口进入山区，并经过居庸关和八达岭进入延庆，串联十三陵、八达岭、野鸭湖、松山国家森林公园、龙庆峡、虎峪风景区、八达岭国家森林公园、莽山国家森林公园等；以燕山、长城为脉，衔接长城文化带，以绿道的体验形式，展示北京特色的长城文化。</w:t>
      </w:r>
    </w:p>
    <w:p>
      <w:pPr>
        <w:pStyle w:val="4"/>
        <w:spacing w:before="0" w:after="0" w:line="276" w:lineRule="auto"/>
        <w:rPr>
          <w:rFonts w:ascii="仿宋" w:hAnsi="仿宋" w:eastAsia="仿宋"/>
        </w:rPr>
      </w:pPr>
      <w:bookmarkStart w:id="364" w:name="_Toc27389987"/>
      <w:r>
        <w:rPr>
          <w:rFonts w:hint="eastAsia" w:ascii="仿宋" w:hAnsi="仿宋" w:eastAsia="仿宋"/>
        </w:rPr>
        <w:t>7.西部山水绿道</w:t>
      </w:r>
      <w:bookmarkEnd w:id="364"/>
    </w:p>
    <w:p>
      <w:pPr>
        <w:spacing w:line="276" w:lineRule="auto"/>
        <w:ind w:firstLine="546" w:firstLineChars="195"/>
        <w:rPr>
          <w:rFonts w:ascii="仿宋" w:hAnsi="仿宋" w:eastAsia="仿宋"/>
          <w:sz w:val="28"/>
          <w:szCs w:val="24"/>
        </w:rPr>
      </w:pPr>
      <w:r>
        <w:rPr>
          <w:rFonts w:hint="eastAsia" w:ascii="仿宋" w:hAnsi="仿宋" w:eastAsia="仿宋"/>
          <w:sz w:val="28"/>
          <w:szCs w:val="28"/>
        </w:rPr>
        <w:t>沿永定河河谷布局，串联青龙湖、潭柘寺、斋堂，灵溪、京西古道等风景区，以及北宫森林公园、天门山等森林公园；串联百花山与十渡，全面形成山水生态文化体验路径。</w:t>
      </w:r>
    </w:p>
    <w:p>
      <w:pPr>
        <w:spacing w:line="360" w:lineRule="auto"/>
        <w:ind w:firstLine="480" w:firstLineChars="200"/>
        <w:rPr>
          <w:sz w:val="24"/>
          <w:szCs w:val="24"/>
        </w:rPr>
        <w:sectPr>
          <w:footerReference r:id="rId7" w:type="default"/>
          <w:pgSz w:w="11906" w:h="16838"/>
          <w:pgMar w:top="1418" w:right="1701" w:bottom="1418" w:left="1701" w:header="851" w:footer="992" w:gutter="0"/>
          <w:cols w:space="425" w:num="1"/>
          <w:docGrid w:type="linesAndChars" w:linePitch="312" w:charSpace="0"/>
        </w:sectPr>
      </w:pPr>
    </w:p>
    <w:p>
      <w:pPr>
        <w:pStyle w:val="2"/>
        <w:keepLines w:val="0"/>
        <w:widowControl/>
        <w:spacing w:before="0" w:after="435" w:line="276" w:lineRule="auto"/>
        <w:jc w:val="center"/>
        <w:rPr>
          <w:rFonts w:ascii="黑体" w:hAnsi="黑体" w:eastAsia="黑体" w:cs="宋体"/>
          <w:spacing w:val="4"/>
          <w:kern w:val="36"/>
          <w:sz w:val="40"/>
          <w:szCs w:val="40"/>
        </w:rPr>
      </w:pPr>
      <w:bookmarkStart w:id="365" w:name="_Toc530649092"/>
      <w:bookmarkStart w:id="366" w:name="_Toc528968948"/>
      <w:bookmarkStart w:id="367" w:name="_Toc27389988"/>
      <w:r>
        <w:rPr>
          <w:rFonts w:hint="eastAsia" w:ascii="黑体" w:hAnsi="黑体" w:eastAsia="黑体" w:cs="宋体"/>
          <w:spacing w:val="4"/>
          <w:kern w:val="36"/>
          <w:sz w:val="40"/>
          <w:szCs w:val="40"/>
        </w:rPr>
        <w:t>第九篇 保障措施</w:t>
      </w:r>
      <w:bookmarkEnd w:id="365"/>
      <w:bookmarkEnd w:id="366"/>
      <w:r>
        <w:rPr>
          <w:rFonts w:hint="eastAsia" w:ascii="黑体" w:hAnsi="黑体" w:eastAsia="黑体" w:cs="宋体"/>
          <w:spacing w:val="4"/>
          <w:kern w:val="36"/>
          <w:sz w:val="40"/>
          <w:szCs w:val="40"/>
        </w:rPr>
        <w:t>与落地建议</w:t>
      </w:r>
      <w:bookmarkEnd w:id="367"/>
    </w:p>
    <w:p>
      <w:pPr>
        <w:pStyle w:val="3"/>
        <w:spacing w:before="217" w:after="217"/>
        <w:jc w:val="left"/>
        <w:rPr>
          <w:rFonts w:ascii="黑体" w:hAnsi="黑体" w:eastAsia="黑体" w:cs="Times New Roman"/>
          <w:b w:val="0"/>
          <w:bCs w:val="0"/>
        </w:rPr>
      </w:pPr>
      <w:bookmarkStart w:id="368" w:name="_Toc27389989"/>
      <w:bookmarkStart w:id="369" w:name="_Toc528968949"/>
      <w:bookmarkStart w:id="370" w:name="_Toc530649093"/>
      <w:r>
        <w:rPr>
          <w:rFonts w:ascii="黑体" w:hAnsi="黑体" w:eastAsia="黑体" w:cs="Times New Roman"/>
          <w:b w:val="0"/>
          <w:bCs w:val="0"/>
        </w:rPr>
        <w:t>一、</w:t>
      </w:r>
      <w:r>
        <w:rPr>
          <w:rFonts w:hint="eastAsia" w:ascii="黑体" w:hAnsi="黑体" w:eastAsia="黑体" w:cs="Times New Roman"/>
          <w:b w:val="0"/>
          <w:bCs w:val="0"/>
        </w:rPr>
        <w:t>加强组织协调</w:t>
      </w:r>
      <w:r>
        <w:rPr>
          <w:rFonts w:ascii="黑体" w:hAnsi="黑体" w:eastAsia="黑体" w:cs="Times New Roman"/>
          <w:b w:val="0"/>
          <w:bCs w:val="0"/>
        </w:rPr>
        <w:t>，统筹推进森林城市</w:t>
      </w:r>
      <w:r>
        <w:rPr>
          <w:rFonts w:hint="eastAsia" w:ascii="黑体" w:hAnsi="黑体" w:eastAsia="黑体" w:cs="Times New Roman"/>
          <w:b w:val="0"/>
          <w:bCs w:val="0"/>
        </w:rPr>
        <w:t>建设</w:t>
      </w:r>
      <w:bookmarkEnd w:id="368"/>
    </w:p>
    <w:p>
      <w:pPr>
        <w:spacing w:line="276" w:lineRule="auto"/>
        <w:ind w:firstLine="560" w:firstLineChars="200"/>
        <w:rPr>
          <w:rFonts w:ascii="仿宋" w:hAnsi="仿宋" w:eastAsia="仿宋"/>
          <w:sz w:val="28"/>
          <w:szCs w:val="24"/>
        </w:rPr>
      </w:pPr>
      <w:r>
        <w:rPr>
          <w:rFonts w:hint="eastAsia" w:ascii="仿宋" w:hAnsi="仿宋" w:eastAsia="仿宋"/>
          <w:sz w:val="28"/>
          <w:szCs w:val="24"/>
        </w:rPr>
        <w:t>1.坚持规划引领。要以《北京城市总体规划（2016年-2035年）》为根本遵循，以</w:t>
      </w:r>
      <w:r>
        <w:rPr>
          <w:rFonts w:ascii="仿宋" w:hAnsi="仿宋" w:eastAsia="仿宋"/>
          <w:sz w:val="28"/>
          <w:szCs w:val="24"/>
        </w:rPr>
        <w:t>《北京森林城市发展规划</w:t>
      </w:r>
      <w:r>
        <w:rPr>
          <w:rFonts w:hint="eastAsia" w:ascii="仿宋" w:hAnsi="仿宋" w:eastAsia="仿宋"/>
          <w:sz w:val="28"/>
          <w:szCs w:val="24"/>
        </w:rPr>
        <w:t>（2018年-2035年）》为抓手，开展森林城市建设，夯实“一屏、三环、五河、九楔”市域绿色空间体系的“四梁八柱”。</w:t>
      </w:r>
    </w:p>
    <w:p>
      <w:pPr>
        <w:spacing w:line="276" w:lineRule="auto"/>
        <w:ind w:firstLine="560" w:firstLineChars="200"/>
        <w:rPr>
          <w:rFonts w:ascii="仿宋" w:hAnsi="仿宋" w:eastAsia="仿宋"/>
          <w:sz w:val="28"/>
          <w:szCs w:val="24"/>
        </w:rPr>
      </w:pPr>
      <w:r>
        <w:rPr>
          <w:rFonts w:hint="eastAsia" w:ascii="仿宋" w:hAnsi="仿宋" w:eastAsia="仿宋"/>
          <w:sz w:val="28"/>
          <w:szCs w:val="24"/>
        </w:rPr>
        <w:t>2.部门联动创森。市、区两级要进一步加强组织协调，健全“政府主导、社会参与、部门配合、整体推进”的创森机制。明确各部门职责分工</w:t>
      </w:r>
      <w:r>
        <w:rPr>
          <w:rFonts w:ascii="仿宋" w:hAnsi="仿宋" w:eastAsia="仿宋"/>
          <w:sz w:val="28"/>
          <w:szCs w:val="24"/>
        </w:rPr>
        <w:t>，</w:t>
      </w:r>
      <w:r>
        <w:rPr>
          <w:rFonts w:hint="eastAsia" w:ascii="仿宋" w:hAnsi="仿宋" w:eastAsia="仿宋"/>
          <w:sz w:val="28"/>
          <w:szCs w:val="24"/>
        </w:rPr>
        <w:t>园林绿化部门要主动担当抓好统筹协调，规自部门要发挥规划的引领保障作用，发改、财政部门要从资金投入等方面给予重点保障，交通、水务、科委、教育、宣传等部门要各司其职、各负其责，形成共同推动森林城市建设的合力。</w:t>
      </w:r>
    </w:p>
    <w:p>
      <w:pPr>
        <w:spacing w:line="276" w:lineRule="auto"/>
        <w:ind w:firstLine="560" w:firstLineChars="200"/>
        <w:rPr>
          <w:rFonts w:ascii="仿宋" w:hAnsi="仿宋" w:eastAsia="仿宋"/>
          <w:sz w:val="28"/>
          <w:szCs w:val="24"/>
        </w:rPr>
      </w:pPr>
      <w:r>
        <w:rPr>
          <w:rFonts w:hint="eastAsia" w:ascii="仿宋" w:hAnsi="仿宋" w:eastAsia="仿宋"/>
          <w:sz w:val="28"/>
          <w:szCs w:val="24"/>
        </w:rPr>
        <w:t>3.完善配套措施</w:t>
      </w:r>
      <w:r>
        <w:rPr>
          <w:rFonts w:ascii="仿宋" w:hAnsi="仿宋" w:eastAsia="仿宋"/>
          <w:sz w:val="28"/>
          <w:szCs w:val="24"/>
        </w:rPr>
        <w:t>。对森林城市建设工程的苗木、</w:t>
      </w:r>
      <w:r>
        <w:rPr>
          <w:rFonts w:hint="eastAsia" w:ascii="仿宋" w:hAnsi="仿宋" w:eastAsia="仿宋"/>
          <w:sz w:val="28"/>
          <w:szCs w:val="24"/>
        </w:rPr>
        <w:t>造林、管护环节</w:t>
      </w:r>
      <w:r>
        <w:rPr>
          <w:rFonts w:ascii="仿宋" w:hAnsi="仿宋" w:eastAsia="仿宋"/>
          <w:sz w:val="28"/>
          <w:szCs w:val="24"/>
        </w:rPr>
        <w:t>，从</w:t>
      </w:r>
      <w:r>
        <w:rPr>
          <w:rFonts w:hint="eastAsia" w:ascii="仿宋" w:hAnsi="仿宋" w:eastAsia="仿宋"/>
          <w:sz w:val="28"/>
          <w:szCs w:val="24"/>
        </w:rPr>
        <w:t>规划设计到竣工验收</w:t>
      </w:r>
      <w:r>
        <w:rPr>
          <w:rFonts w:ascii="仿宋" w:hAnsi="仿宋" w:eastAsia="仿宋"/>
          <w:sz w:val="28"/>
          <w:szCs w:val="24"/>
        </w:rPr>
        <w:t>，</w:t>
      </w:r>
      <w:r>
        <w:rPr>
          <w:rFonts w:hint="eastAsia" w:ascii="仿宋" w:hAnsi="仿宋" w:eastAsia="仿宋"/>
          <w:sz w:val="28"/>
          <w:szCs w:val="24"/>
        </w:rPr>
        <w:t>要</w:t>
      </w:r>
      <w:r>
        <w:rPr>
          <w:rFonts w:ascii="仿宋" w:hAnsi="仿宋" w:eastAsia="仿宋"/>
          <w:sz w:val="28"/>
          <w:szCs w:val="24"/>
        </w:rPr>
        <w:t>强化行业监管职能，建立工程质量监管</w:t>
      </w:r>
      <w:r>
        <w:rPr>
          <w:rFonts w:hint="eastAsia" w:ascii="仿宋" w:hAnsi="仿宋" w:eastAsia="仿宋"/>
          <w:sz w:val="28"/>
          <w:szCs w:val="24"/>
        </w:rPr>
        <w:t>保障机</w:t>
      </w:r>
      <w:r>
        <w:rPr>
          <w:rFonts w:ascii="仿宋" w:hAnsi="仿宋" w:eastAsia="仿宋"/>
          <w:sz w:val="28"/>
          <w:szCs w:val="24"/>
        </w:rPr>
        <w:t>制，保证森林城市建设工程质量。</w:t>
      </w:r>
    </w:p>
    <w:p>
      <w:pPr>
        <w:spacing w:line="276" w:lineRule="auto"/>
        <w:ind w:firstLine="560" w:firstLineChars="200"/>
        <w:rPr>
          <w:rFonts w:ascii="仿宋" w:hAnsi="仿宋" w:eastAsia="仿宋"/>
          <w:sz w:val="28"/>
          <w:szCs w:val="24"/>
        </w:rPr>
      </w:pPr>
      <w:r>
        <w:rPr>
          <w:rFonts w:hint="eastAsia" w:ascii="仿宋" w:hAnsi="仿宋" w:eastAsia="仿宋"/>
          <w:sz w:val="28"/>
          <w:szCs w:val="24"/>
        </w:rPr>
        <w:t>4.加强督查评估。</w:t>
      </w:r>
      <w:r>
        <w:rPr>
          <w:rFonts w:ascii="仿宋" w:hAnsi="仿宋" w:eastAsia="仿宋"/>
          <w:sz w:val="28"/>
          <w:szCs w:val="24"/>
        </w:rPr>
        <w:t>明确</w:t>
      </w:r>
      <w:r>
        <w:rPr>
          <w:rFonts w:hint="eastAsia" w:ascii="仿宋" w:hAnsi="仿宋" w:eastAsia="仿宋"/>
          <w:sz w:val="28"/>
          <w:szCs w:val="24"/>
        </w:rPr>
        <w:t>各区政府是推动森林城市建设的责任主体</w:t>
      </w:r>
      <w:r>
        <w:rPr>
          <w:rFonts w:ascii="仿宋" w:hAnsi="仿宋" w:eastAsia="仿宋"/>
          <w:sz w:val="28"/>
          <w:szCs w:val="24"/>
        </w:rPr>
        <w:t>，</w:t>
      </w:r>
      <w:r>
        <w:rPr>
          <w:rFonts w:hint="eastAsia" w:ascii="仿宋" w:hAnsi="仿宋" w:eastAsia="仿宋"/>
          <w:sz w:val="28"/>
          <w:szCs w:val="24"/>
        </w:rPr>
        <w:t>将森林城市建设任务纳入五年绿化目标责任书，注重建设过程、工作实效，有序推进，进一步完善森林城市绩效考核、督查评估机制。</w:t>
      </w:r>
    </w:p>
    <w:p>
      <w:pPr>
        <w:pStyle w:val="3"/>
        <w:spacing w:before="217" w:after="217"/>
        <w:jc w:val="left"/>
        <w:rPr>
          <w:rFonts w:ascii="黑体" w:hAnsi="黑体" w:eastAsia="黑体" w:cs="Times New Roman"/>
          <w:b w:val="0"/>
          <w:bCs w:val="0"/>
        </w:rPr>
      </w:pPr>
      <w:bookmarkStart w:id="371" w:name="_Toc27389990"/>
      <w:r>
        <w:rPr>
          <w:rFonts w:ascii="黑体" w:hAnsi="黑体" w:eastAsia="黑体" w:cs="Times New Roman"/>
          <w:b w:val="0"/>
          <w:bCs w:val="0"/>
        </w:rPr>
        <w:t>二</w:t>
      </w:r>
      <w:r>
        <w:rPr>
          <w:rFonts w:hint="eastAsia" w:ascii="黑体" w:hAnsi="黑体" w:eastAsia="黑体" w:cs="Times New Roman"/>
          <w:b w:val="0"/>
          <w:bCs w:val="0"/>
        </w:rPr>
        <w:t>、</w:t>
      </w:r>
      <w:r>
        <w:rPr>
          <w:rFonts w:ascii="黑体" w:hAnsi="黑体" w:eastAsia="黑体" w:cs="Times New Roman"/>
          <w:b w:val="0"/>
          <w:bCs w:val="0"/>
        </w:rPr>
        <w:t>挖掘土地潜力，优先保障生态建设用地</w:t>
      </w:r>
      <w:bookmarkEnd w:id="371"/>
    </w:p>
    <w:p>
      <w:pPr>
        <w:spacing w:line="276" w:lineRule="auto"/>
        <w:ind w:firstLine="560" w:firstLineChars="200"/>
        <w:rPr>
          <w:rFonts w:ascii="仿宋" w:hAnsi="仿宋" w:eastAsia="仿宋"/>
          <w:sz w:val="28"/>
          <w:szCs w:val="24"/>
        </w:rPr>
      </w:pPr>
      <w:r>
        <w:rPr>
          <w:rFonts w:hint="eastAsia" w:ascii="仿宋" w:hAnsi="仿宋" w:eastAsia="仿宋"/>
          <w:sz w:val="28"/>
          <w:szCs w:val="24"/>
        </w:rPr>
        <w:t>1.保障</w:t>
      </w:r>
      <w:r>
        <w:rPr>
          <w:rFonts w:ascii="仿宋" w:hAnsi="仿宋" w:eastAsia="仿宋"/>
          <w:sz w:val="28"/>
          <w:szCs w:val="24"/>
        </w:rPr>
        <w:t>绿化造林规划用地。</w:t>
      </w:r>
      <w:r>
        <w:rPr>
          <w:rFonts w:hint="eastAsia" w:ascii="仿宋" w:hAnsi="仿宋" w:eastAsia="仿宋"/>
          <w:sz w:val="28"/>
          <w:szCs w:val="24"/>
        </w:rPr>
        <w:t>以</w:t>
      </w:r>
      <w:r>
        <w:rPr>
          <w:rFonts w:ascii="仿宋" w:hAnsi="仿宋" w:eastAsia="仿宋"/>
          <w:sz w:val="28"/>
          <w:szCs w:val="24"/>
        </w:rPr>
        <w:t>建设</w:t>
      </w:r>
      <w:r>
        <w:rPr>
          <w:rFonts w:hint="eastAsia" w:ascii="仿宋" w:hAnsi="仿宋" w:eastAsia="仿宋"/>
          <w:sz w:val="28"/>
          <w:szCs w:val="24"/>
        </w:rPr>
        <w:t>国际一流和谐宜居之都的战略目标</w:t>
      </w:r>
      <w:r>
        <w:rPr>
          <w:rFonts w:ascii="仿宋" w:hAnsi="仿宋" w:eastAsia="仿宋"/>
          <w:sz w:val="28"/>
          <w:szCs w:val="24"/>
        </w:rPr>
        <w:t>为</w:t>
      </w:r>
      <w:r>
        <w:rPr>
          <w:rFonts w:hint="eastAsia" w:ascii="仿宋" w:hAnsi="仿宋" w:eastAsia="仿宋"/>
          <w:sz w:val="28"/>
          <w:szCs w:val="24"/>
        </w:rPr>
        <w:t>出发点</w:t>
      </w:r>
      <w:r>
        <w:rPr>
          <w:rFonts w:ascii="仿宋" w:hAnsi="仿宋" w:eastAsia="仿宋"/>
          <w:sz w:val="28"/>
          <w:szCs w:val="24"/>
        </w:rPr>
        <w:t>，</w:t>
      </w:r>
      <w:r>
        <w:rPr>
          <w:rFonts w:hint="eastAsia" w:ascii="仿宋" w:hAnsi="仿宋" w:eastAsia="仿宋"/>
          <w:sz w:val="28"/>
          <w:szCs w:val="24"/>
        </w:rPr>
        <w:t>坚持</w:t>
      </w:r>
      <w:r>
        <w:rPr>
          <w:rFonts w:ascii="仿宋" w:hAnsi="仿宋" w:eastAsia="仿宋"/>
          <w:sz w:val="28"/>
          <w:szCs w:val="24"/>
        </w:rPr>
        <w:t>以人民为中心的宗旨</w:t>
      </w:r>
      <w:r>
        <w:rPr>
          <w:rFonts w:hint="eastAsia" w:ascii="仿宋" w:hAnsi="仿宋" w:eastAsia="仿宋"/>
          <w:sz w:val="28"/>
          <w:szCs w:val="24"/>
        </w:rPr>
        <w:t>，</w:t>
      </w:r>
      <w:r>
        <w:rPr>
          <w:rFonts w:ascii="仿宋" w:hAnsi="仿宋" w:eastAsia="仿宋"/>
          <w:sz w:val="28"/>
          <w:szCs w:val="24"/>
        </w:rPr>
        <w:t>树立创新意识、超前意识和精品意识，</w:t>
      </w:r>
      <w:r>
        <w:rPr>
          <w:rFonts w:hint="eastAsia" w:ascii="仿宋" w:hAnsi="仿宋" w:eastAsia="仿宋"/>
          <w:sz w:val="28"/>
          <w:szCs w:val="24"/>
        </w:rPr>
        <w:t>科学整合土地资源，严守生态红线，保障绿线，在不占用永久基本农田和尽量少占耕地的前提下，优先满足生态建设用地需求，提升人民绿色福祉</w:t>
      </w:r>
      <w:r>
        <w:rPr>
          <w:rFonts w:ascii="仿宋" w:hAnsi="仿宋" w:eastAsia="仿宋"/>
          <w:sz w:val="28"/>
          <w:szCs w:val="24"/>
        </w:rPr>
        <w:t>。</w:t>
      </w:r>
    </w:p>
    <w:p>
      <w:pPr>
        <w:spacing w:line="276" w:lineRule="auto"/>
        <w:ind w:firstLine="560" w:firstLineChars="200"/>
        <w:rPr>
          <w:rFonts w:ascii="仿宋" w:hAnsi="仿宋" w:eastAsia="仿宋"/>
          <w:sz w:val="28"/>
          <w:szCs w:val="24"/>
        </w:rPr>
      </w:pPr>
      <w:r>
        <w:rPr>
          <w:rFonts w:hint="eastAsia" w:ascii="仿宋" w:hAnsi="仿宋" w:eastAsia="仿宋"/>
          <w:sz w:val="28"/>
          <w:szCs w:val="24"/>
        </w:rPr>
        <w:t>2.优化城乡森林格局。加大胡同街巷生态重塑力度；围绕乡村振兴，充分挖掘</w:t>
      </w:r>
      <w:r>
        <w:rPr>
          <w:rFonts w:ascii="仿宋" w:hAnsi="仿宋" w:eastAsia="仿宋"/>
          <w:sz w:val="28"/>
          <w:szCs w:val="24"/>
        </w:rPr>
        <w:t>村庄零散空</w:t>
      </w:r>
      <w:r>
        <w:rPr>
          <w:rFonts w:hint="eastAsia" w:ascii="仿宋" w:hAnsi="仿宋" w:eastAsia="仿宋"/>
          <w:sz w:val="28"/>
          <w:szCs w:val="24"/>
        </w:rPr>
        <w:t>闲</w:t>
      </w:r>
      <w:r>
        <w:rPr>
          <w:rFonts w:ascii="仿宋" w:hAnsi="仿宋" w:eastAsia="仿宋"/>
          <w:sz w:val="28"/>
          <w:szCs w:val="24"/>
        </w:rPr>
        <w:t>地</w:t>
      </w:r>
      <w:r>
        <w:rPr>
          <w:rFonts w:hint="eastAsia" w:ascii="仿宋" w:hAnsi="仿宋" w:eastAsia="仿宋"/>
          <w:sz w:val="28"/>
          <w:szCs w:val="24"/>
        </w:rPr>
        <w:t>潜力</w:t>
      </w:r>
      <w:r>
        <w:rPr>
          <w:rFonts w:ascii="仿宋" w:hAnsi="仿宋" w:eastAsia="仿宋"/>
          <w:sz w:val="28"/>
          <w:szCs w:val="24"/>
        </w:rPr>
        <w:t>，</w:t>
      </w:r>
      <w:r>
        <w:rPr>
          <w:rFonts w:hint="eastAsia" w:ascii="仿宋" w:hAnsi="仿宋" w:eastAsia="仿宋"/>
          <w:sz w:val="28"/>
          <w:szCs w:val="24"/>
        </w:rPr>
        <w:t>补齐北京乡村景观短板，打造具有北京乡愁感的乡村森林景观，</w:t>
      </w:r>
      <w:r>
        <w:rPr>
          <w:rFonts w:ascii="仿宋" w:hAnsi="仿宋" w:eastAsia="仿宋"/>
          <w:sz w:val="28"/>
          <w:szCs w:val="24"/>
        </w:rPr>
        <w:t>为</w:t>
      </w:r>
      <w:r>
        <w:rPr>
          <w:rFonts w:hint="eastAsia" w:ascii="仿宋" w:hAnsi="仿宋" w:eastAsia="仿宋"/>
          <w:sz w:val="28"/>
          <w:szCs w:val="24"/>
        </w:rPr>
        <w:t>城乡居</w:t>
      </w:r>
      <w:r>
        <w:rPr>
          <w:rFonts w:ascii="仿宋" w:hAnsi="仿宋" w:eastAsia="仿宋"/>
          <w:sz w:val="28"/>
          <w:szCs w:val="24"/>
        </w:rPr>
        <w:t>民提供</w:t>
      </w:r>
      <w:r>
        <w:rPr>
          <w:rFonts w:hint="eastAsia" w:ascii="仿宋" w:hAnsi="仿宋" w:eastAsia="仿宋"/>
          <w:sz w:val="28"/>
          <w:szCs w:val="24"/>
        </w:rPr>
        <w:t>休闲</w:t>
      </w:r>
      <w:r>
        <w:rPr>
          <w:rFonts w:ascii="仿宋" w:hAnsi="仿宋" w:eastAsia="仿宋"/>
          <w:sz w:val="28"/>
          <w:szCs w:val="24"/>
        </w:rPr>
        <w:t>游憩场所。</w:t>
      </w:r>
    </w:p>
    <w:p>
      <w:pPr>
        <w:spacing w:line="276" w:lineRule="auto"/>
        <w:ind w:firstLine="560" w:firstLineChars="200"/>
        <w:rPr>
          <w:rFonts w:ascii="仿宋" w:hAnsi="仿宋" w:eastAsia="仿宋"/>
          <w:sz w:val="28"/>
          <w:szCs w:val="24"/>
        </w:rPr>
      </w:pPr>
      <w:r>
        <w:rPr>
          <w:rFonts w:hint="eastAsia" w:ascii="仿宋" w:hAnsi="仿宋" w:eastAsia="仿宋"/>
          <w:sz w:val="28"/>
          <w:szCs w:val="24"/>
        </w:rPr>
        <w:t>3.利用疏解腾退的空间最大限度地布局城市森林。依据“先白后绿、非白即绿、亦白亦绿”的原则，落实战略留白政策，为未来城市发展预留弹性战略空间。</w:t>
      </w:r>
    </w:p>
    <w:p>
      <w:pPr>
        <w:spacing w:line="276" w:lineRule="auto"/>
        <w:ind w:firstLine="560" w:firstLineChars="200"/>
        <w:rPr>
          <w:rFonts w:ascii="仿宋" w:hAnsi="仿宋" w:eastAsia="仿宋"/>
          <w:sz w:val="28"/>
          <w:szCs w:val="24"/>
        </w:rPr>
      </w:pPr>
      <w:r>
        <w:rPr>
          <w:rFonts w:hint="eastAsia" w:ascii="仿宋" w:hAnsi="仿宋" w:eastAsia="仿宋"/>
          <w:sz w:val="28"/>
          <w:szCs w:val="24"/>
        </w:rPr>
        <w:t>4.注重精准提升。进一步</w:t>
      </w:r>
      <w:r>
        <w:rPr>
          <w:rFonts w:ascii="仿宋" w:hAnsi="仿宋" w:eastAsia="仿宋"/>
          <w:sz w:val="28"/>
          <w:szCs w:val="24"/>
        </w:rPr>
        <w:t>摸清</w:t>
      </w:r>
      <w:r>
        <w:rPr>
          <w:rFonts w:hint="eastAsia" w:ascii="仿宋" w:hAnsi="仿宋" w:eastAsia="仿宋"/>
          <w:sz w:val="28"/>
          <w:szCs w:val="24"/>
        </w:rPr>
        <w:t>郊区宜林荒山荒</w:t>
      </w:r>
      <w:r>
        <w:rPr>
          <w:rFonts w:ascii="仿宋" w:hAnsi="仿宋" w:eastAsia="仿宋"/>
          <w:sz w:val="28"/>
          <w:szCs w:val="24"/>
        </w:rPr>
        <w:t>地</w:t>
      </w:r>
      <w:r>
        <w:rPr>
          <w:rFonts w:hint="eastAsia" w:ascii="仿宋" w:hAnsi="仿宋" w:eastAsia="仿宋"/>
          <w:sz w:val="28"/>
          <w:szCs w:val="24"/>
        </w:rPr>
        <w:t>、低效林和中幼林</w:t>
      </w:r>
      <w:r>
        <w:rPr>
          <w:rFonts w:ascii="仿宋" w:hAnsi="仿宋" w:eastAsia="仿宋"/>
          <w:sz w:val="28"/>
          <w:szCs w:val="24"/>
        </w:rPr>
        <w:t>情况，</w:t>
      </w:r>
      <w:r>
        <w:rPr>
          <w:rFonts w:hint="eastAsia" w:ascii="仿宋" w:hAnsi="仿宋" w:eastAsia="仿宋"/>
          <w:sz w:val="28"/>
          <w:szCs w:val="24"/>
        </w:rPr>
        <w:t>实施精准森林质量提升工程，提高现有林地资源利用效率和生态效益</w:t>
      </w:r>
      <w:r>
        <w:rPr>
          <w:rFonts w:ascii="仿宋" w:hAnsi="仿宋" w:eastAsia="仿宋"/>
          <w:sz w:val="28"/>
          <w:szCs w:val="24"/>
        </w:rPr>
        <w:t>。</w:t>
      </w:r>
    </w:p>
    <w:p>
      <w:pPr>
        <w:pStyle w:val="3"/>
        <w:spacing w:before="217" w:after="217"/>
        <w:jc w:val="left"/>
        <w:rPr>
          <w:rFonts w:ascii="黑体" w:hAnsi="黑体" w:eastAsia="黑体" w:cs="Times New Roman"/>
          <w:b w:val="0"/>
          <w:bCs w:val="0"/>
        </w:rPr>
      </w:pPr>
      <w:bookmarkStart w:id="372" w:name="_Toc27389991"/>
      <w:r>
        <w:rPr>
          <w:rFonts w:hint="eastAsia" w:ascii="黑体" w:hAnsi="黑体" w:eastAsia="黑体" w:cs="Times New Roman"/>
          <w:b w:val="0"/>
          <w:bCs w:val="0"/>
        </w:rPr>
        <w:t>三、强化科技支撑，提高森林城市建设质量</w:t>
      </w:r>
      <w:bookmarkEnd w:id="372"/>
    </w:p>
    <w:p>
      <w:pPr>
        <w:spacing w:line="276" w:lineRule="auto"/>
        <w:ind w:firstLine="560" w:firstLineChars="200"/>
        <w:rPr>
          <w:rFonts w:ascii="仿宋" w:hAnsi="仿宋" w:eastAsia="仿宋"/>
          <w:sz w:val="28"/>
          <w:szCs w:val="24"/>
        </w:rPr>
      </w:pPr>
      <w:r>
        <w:rPr>
          <w:rFonts w:ascii="仿宋" w:hAnsi="仿宋" w:eastAsia="仿宋"/>
          <w:sz w:val="28"/>
          <w:szCs w:val="24"/>
        </w:rPr>
        <w:t>1.加强人才培</w:t>
      </w:r>
      <w:r>
        <w:rPr>
          <w:rFonts w:hint="eastAsia" w:ascii="仿宋" w:hAnsi="仿宋" w:eastAsia="仿宋"/>
          <w:sz w:val="28"/>
          <w:szCs w:val="24"/>
        </w:rPr>
        <w:t>养</w:t>
      </w:r>
      <w:r>
        <w:rPr>
          <w:rFonts w:ascii="仿宋" w:hAnsi="仿宋" w:eastAsia="仿宋"/>
          <w:sz w:val="28"/>
          <w:szCs w:val="24"/>
        </w:rPr>
        <w:t>。森林城市建设涉及林业、规划、生态、园林、康养等多领域、多学科知识与技术的交叉融合，需要在建设理念、建设技术、工程管理等方面提升水平，需要加强城市森林建设专</w:t>
      </w:r>
      <w:r>
        <w:rPr>
          <w:rFonts w:hint="eastAsia" w:ascii="仿宋" w:hAnsi="仿宋" w:eastAsia="仿宋"/>
          <w:sz w:val="28"/>
          <w:szCs w:val="24"/>
        </w:rPr>
        <w:t>业</w:t>
      </w:r>
      <w:r>
        <w:rPr>
          <w:rFonts w:ascii="仿宋" w:hAnsi="仿宋" w:eastAsia="仿宋"/>
          <w:sz w:val="28"/>
          <w:szCs w:val="24"/>
        </w:rPr>
        <w:t>人才的培养</w:t>
      </w:r>
      <w:r>
        <w:rPr>
          <w:rFonts w:hint="eastAsia" w:ascii="仿宋" w:hAnsi="仿宋" w:eastAsia="仿宋"/>
          <w:sz w:val="28"/>
          <w:szCs w:val="24"/>
        </w:rPr>
        <w:t>、储备等基础工作</w:t>
      </w:r>
      <w:r>
        <w:rPr>
          <w:rFonts w:ascii="仿宋" w:hAnsi="仿宋" w:eastAsia="仿宋"/>
          <w:sz w:val="28"/>
          <w:szCs w:val="24"/>
        </w:rPr>
        <w:t>。</w:t>
      </w:r>
    </w:p>
    <w:p>
      <w:pPr>
        <w:spacing w:line="276" w:lineRule="auto"/>
        <w:ind w:firstLine="560" w:firstLineChars="200"/>
        <w:rPr>
          <w:rFonts w:ascii="仿宋" w:hAnsi="仿宋" w:eastAsia="仿宋"/>
          <w:sz w:val="28"/>
          <w:szCs w:val="24"/>
        </w:rPr>
      </w:pPr>
      <w:r>
        <w:rPr>
          <w:rFonts w:ascii="仿宋" w:hAnsi="仿宋" w:eastAsia="仿宋"/>
          <w:sz w:val="28"/>
          <w:szCs w:val="24"/>
        </w:rPr>
        <w:t>2.强化科技研</w:t>
      </w:r>
      <w:r>
        <w:rPr>
          <w:rFonts w:hint="eastAsia" w:ascii="仿宋" w:hAnsi="仿宋" w:eastAsia="仿宋"/>
          <w:sz w:val="28"/>
          <w:szCs w:val="24"/>
        </w:rPr>
        <w:t>发</w:t>
      </w:r>
      <w:r>
        <w:rPr>
          <w:rFonts w:ascii="仿宋" w:hAnsi="仿宋" w:eastAsia="仿宋"/>
          <w:sz w:val="28"/>
          <w:szCs w:val="24"/>
        </w:rPr>
        <w:t>与推广。围绕北京森林城市建设的重点</w:t>
      </w:r>
      <w:r>
        <w:rPr>
          <w:rFonts w:hint="eastAsia" w:ascii="仿宋" w:hAnsi="仿宋" w:eastAsia="仿宋"/>
          <w:sz w:val="28"/>
          <w:szCs w:val="24"/>
        </w:rPr>
        <w:t>、难点问题</w:t>
      </w:r>
      <w:r>
        <w:rPr>
          <w:rFonts w:ascii="仿宋" w:hAnsi="仿宋" w:eastAsia="仿宋"/>
          <w:sz w:val="28"/>
          <w:szCs w:val="24"/>
        </w:rPr>
        <w:t>，</w:t>
      </w:r>
      <w:r>
        <w:rPr>
          <w:rFonts w:hint="eastAsia" w:ascii="仿宋" w:hAnsi="仿宋" w:eastAsia="仿宋"/>
          <w:sz w:val="28"/>
          <w:szCs w:val="24"/>
        </w:rPr>
        <w:t>加强科技攻关</w:t>
      </w:r>
      <w:r>
        <w:rPr>
          <w:rFonts w:ascii="仿宋" w:hAnsi="仿宋" w:eastAsia="仿宋"/>
          <w:sz w:val="28"/>
          <w:szCs w:val="24"/>
        </w:rPr>
        <w:t>，推</w:t>
      </w:r>
      <w:r>
        <w:rPr>
          <w:rFonts w:hint="eastAsia" w:ascii="仿宋" w:hAnsi="仿宋" w:eastAsia="仿宋"/>
          <w:sz w:val="28"/>
          <w:szCs w:val="24"/>
        </w:rPr>
        <w:t>广新</w:t>
      </w:r>
      <w:r>
        <w:rPr>
          <w:rFonts w:ascii="仿宋" w:hAnsi="仿宋" w:eastAsia="仿宋"/>
          <w:sz w:val="28"/>
          <w:szCs w:val="24"/>
        </w:rPr>
        <w:t>技术</w:t>
      </w:r>
      <w:r>
        <w:rPr>
          <w:rFonts w:hint="eastAsia" w:ascii="仿宋" w:hAnsi="仿宋" w:eastAsia="仿宋"/>
          <w:sz w:val="28"/>
          <w:szCs w:val="24"/>
        </w:rPr>
        <w:t>、新材料、新成果，广泛运用城市森林建设的先进理念，</w:t>
      </w:r>
      <w:r>
        <w:rPr>
          <w:rFonts w:ascii="仿宋" w:hAnsi="仿宋" w:eastAsia="仿宋"/>
          <w:sz w:val="28"/>
          <w:szCs w:val="24"/>
        </w:rPr>
        <w:t>提升</w:t>
      </w:r>
      <w:r>
        <w:rPr>
          <w:rFonts w:hint="eastAsia" w:ascii="仿宋" w:hAnsi="仿宋" w:eastAsia="仿宋"/>
          <w:sz w:val="28"/>
          <w:szCs w:val="24"/>
        </w:rPr>
        <w:t>北京</w:t>
      </w:r>
      <w:r>
        <w:rPr>
          <w:rFonts w:ascii="仿宋" w:hAnsi="仿宋" w:eastAsia="仿宋"/>
          <w:sz w:val="28"/>
          <w:szCs w:val="24"/>
        </w:rPr>
        <w:t>森林城市建设与</w:t>
      </w:r>
      <w:r>
        <w:rPr>
          <w:rFonts w:hint="eastAsia" w:ascii="仿宋" w:hAnsi="仿宋" w:eastAsia="仿宋"/>
          <w:sz w:val="28"/>
          <w:szCs w:val="24"/>
        </w:rPr>
        <w:t>管理</w:t>
      </w:r>
      <w:r>
        <w:rPr>
          <w:rFonts w:ascii="仿宋" w:hAnsi="仿宋" w:eastAsia="仿宋"/>
          <w:sz w:val="28"/>
          <w:szCs w:val="24"/>
        </w:rPr>
        <w:t>能力。</w:t>
      </w:r>
    </w:p>
    <w:p>
      <w:pPr>
        <w:spacing w:line="276" w:lineRule="auto"/>
        <w:ind w:firstLine="560" w:firstLineChars="200"/>
        <w:rPr>
          <w:rFonts w:ascii="仿宋" w:hAnsi="仿宋" w:eastAsia="仿宋"/>
          <w:sz w:val="28"/>
          <w:szCs w:val="24"/>
        </w:rPr>
      </w:pPr>
      <w:r>
        <w:rPr>
          <w:rFonts w:hint="eastAsia" w:ascii="仿宋" w:hAnsi="仿宋" w:eastAsia="仿宋"/>
          <w:sz w:val="28"/>
          <w:szCs w:val="24"/>
        </w:rPr>
        <w:t>3.加强城市森林生态用水研究。科学制定北京森林供水策略，依据林木生长需求，分阶段测算生态用水量，实行精准供给，北京森林建设的初期阶段，主要是协调外部水资源和区域自供水相结合外部协调水资源和区域自供水；中期阶段利用城市中水资源，以及少量的河流和外调水资源补充；后期阶段主要依靠天然降水实现自维持，旱季用城市中水维护，雨季城市森林本身可以为城市涵养水源。</w:t>
      </w:r>
    </w:p>
    <w:p>
      <w:pPr>
        <w:spacing w:line="276" w:lineRule="auto"/>
        <w:ind w:firstLine="560" w:firstLineChars="200"/>
        <w:rPr>
          <w:rFonts w:ascii="仿宋" w:hAnsi="仿宋" w:eastAsia="仿宋"/>
          <w:sz w:val="28"/>
          <w:szCs w:val="24"/>
        </w:rPr>
      </w:pPr>
      <w:r>
        <w:rPr>
          <w:rFonts w:ascii="仿宋" w:hAnsi="仿宋" w:eastAsia="仿宋"/>
          <w:sz w:val="28"/>
          <w:szCs w:val="24"/>
        </w:rPr>
        <w:t>4.开展科技合作。</w:t>
      </w:r>
      <w:r>
        <w:rPr>
          <w:rFonts w:hint="eastAsia" w:ascii="仿宋" w:hAnsi="仿宋" w:eastAsia="仿宋"/>
          <w:sz w:val="28"/>
          <w:szCs w:val="24"/>
        </w:rPr>
        <w:t>依托</w:t>
      </w:r>
      <w:r>
        <w:rPr>
          <w:rFonts w:ascii="仿宋" w:hAnsi="仿宋" w:eastAsia="仿宋"/>
          <w:sz w:val="28"/>
          <w:szCs w:val="24"/>
        </w:rPr>
        <w:t>北京得天独厚的科技</w:t>
      </w:r>
      <w:r>
        <w:rPr>
          <w:rFonts w:hint="eastAsia" w:ascii="仿宋" w:hAnsi="仿宋" w:eastAsia="仿宋"/>
          <w:sz w:val="28"/>
          <w:szCs w:val="24"/>
        </w:rPr>
        <w:t>优势</w:t>
      </w:r>
      <w:r>
        <w:rPr>
          <w:rFonts w:ascii="仿宋" w:hAnsi="仿宋" w:eastAsia="仿宋"/>
          <w:sz w:val="28"/>
          <w:szCs w:val="24"/>
        </w:rPr>
        <w:t>，针对北京森林城市建设存在的技术</w:t>
      </w:r>
      <w:r>
        <w:rPr>
          <w:rFonts w:hint="eastAsia" w:ascii="仿宋" w:hAnsi="仿宋" w:eastAsia="仿宋"/>
          <w:sz w:val="28"/>
          <w:szCs w:val="24"/>
        </w:rPr>
        <w:t>瓶颈</w:t>
      </w:r>
      <w:r>
        <w:rPr>
          <w:rFonts w:ascii="仿宋" w:hAnsi="仿宋" w:eastAsia="仿宋"/>
          <w:sz w:val="28"/>
          <w:szCs w:val="24"/>
        </w:rPr>
        <w:t>，加强与城市森林科研院所的交流与合作，</w:t>
      </w:r>
      <w:r>
        <w:rPr>
          <w:rFonts w:hint="eastAsia" w:ascii="仿宋" w:hAnsi="仿宋" w:eastAsia="仿宋"/>
          <w:sz w:val="28"/>
          <w:szCs w:val="24"/>
        </w:rPr>
        <w:t>借鉴国外森林城市建设先进理念，将</w:t>
      </w:r>
      <w:r>
        <w:rPr>
          <w:rFonts w:ascii="仿宋" w:hAnsi="仿宋" w:eastAsia="仿宋"/>
          <w:sz w:val="28"/>
          <w:szCs w:val="24"/>
        </w:rPr>
        <w:t>科技支撑贯穿森林城市建设的全过程。</w:t>
      </w:r>
    </w:p>
    <w:p>
      <w:pPr>
        <w:pStyle w:val="3"/>
        <w:spacing w:before="217" w:after="217"/>
        <w:jc w:val="left"/>
        <w:rPr>
          <w:rFonts w:ascii="黑体" w:hAnsi="黑体" w:eastAsia="黑体" w:cs="Times New Roman"/>
          <w:b w:val="0"/>
          <w:bCs w:val="0"/>
        </w:rPr>
      </w:pPr>
      <w:bookmarkStart w:id="373" w:name="_Toc27389992"/>
      <w:r>
        <w:rPr>
          <w:rFonts w:hint="eastAsia" w:ascii="黑体" w:hAnsi="黑体" w:eastAsia="黑体" w:cs="Times New Roman"/>
          <w:b w:val="0"/>
          <w:bCs w:val="0"/>
        </w:rPr>
        <w:t>四</w:t>
      </w:r>
      <w:r>
        <w:rPr>
          <w:rFonts w:ascii="黑体" w:hAnsi="黑体" w:eastAsia="黑体" w:cs="Times New Roman"/>
          <w:b w:val="0"/>
          <w:bCs w:val="0"/>
        </w:rPr>
        <w:t>、</w:t>
      </w:r>
      <w:r>
        <w:rPr>
          <w:rFonts w:hint="eastAsia" w:ascii="黑体" w:hAnsi="黑体" w:eastAsia="黑体" w:cs="Times New Roman"/>
          <w:b w:val="0"/>
          <w:bCs w:val="0"/>
        </w:rPr>
        <w:t>创新管理生态资源</w:t>
      </w:r>
      <w:r>
        <w:rPr>
          <w:rFonts w:ascii="黑体" w:hAnsi="黑体" w:eastAsia="黑体" w:cs="Times New Roman"/>
          <w:b w:val="0"/>
          <w:bCs w:val="0"/>
        </w:rPr>
        <w:t>，</w:t>
      </w:r>
      <w:r>
        <w:rPr>
          <w:rFonts w:hint="eastAsia" w:ascii="黑体" w:hAnsi="黑体" w:eastAsia="黑体" w:cs="Times New Roman"/>
          <w:b w:val="0"/>
          <w:bCs w:val="0"/>
        </w:rPr>
        <w:t>提高惠民服务能力</w:t>
      </w:r>
      <w:bookmarkEnd w:id="373"/>
    </w:p>
    <w:p>
      <w:pPr>
        <w:spacing w:line="276" w:lineRule="auto"/>
        <w:ind w:firstLine="560" w:firstLineChars="200"/>
        <w:rPr>
          <w:rFonts w:ascii="仿宋" w:hAnsi="仿宋" w:eastAsia="仿宋"/>
          <w:sz w:val="28"/>
          <w:szCs w:val="24"/>
        </w:rPr>
      </w:pPr>
      <w:r>
        <w:rPr>
          <w:rFonts w:hint="eastAsia" w:ascii="仿宋" w:hAnsi="仿宋" w:eastAsia="仿宋"/>
          <w:sz w:val="28"/>
          <w:szCs w:val="24"/>
        </w:rPr>
        <w:t>1.注重城区绿地专业化养护。吸引社会资金投入到城区绿化建设及管护工作中，开展政府向社会组织或个人购买绿化资源养护、病虫害疫情防治、监测调查等专业服务，引导城市绿化向精细化、市场化、专业化方向发展，提高城市绿化资源整体养护水平。</w:t>
      </w:r>
    </w:p>
    <w:p>
      <w:pPr>
        <w:spacing w:line="276" w:lineRule="auto"/>
        <w:ind w:firstLine="560" w:firstLineChars="200"/>
        <w:rPr>
          <w:rFonts w:ascii="仿宋" w:hAnsi="仿宋" w:eastAsia="仿宋"/>
          <w:sz w:val="28"/>
          <w:szCs w:val="24"/>
        </w:rPr>
      </w:pPr>
      <w:r>
        <w:rPr>
          <w:rFonts w:hint="eastAsia" w:ascii="仿宋" w:hAnsi="仿宋" w:eastAsia="仿宋"/>
          <w:sz w:val="28"/>
          <w:szCs w:val="24"/>
        </w:rPr>
        <w:t>2.注重吸纳当地农民参与山区森林管护。进一步落实山区生态林管护、生态效益补偿政策，尽快完善退耕还林后续政策，探索湿地生态效益补偿、森林康养配套设施建设等政策机制</w:t>
      </w:r>
      <w:r>
        <w:rPr>
          <w:rFonts w:ascii="仿宋" w:hAnsi="仿宋" w:eastAsia="仿宋"/>
          <w:sz w:val="28"/>
          <w:szCs w:val="24"/>
        </w:rPr>
        <w:t>，</w:t>
      </w:r>
      <w:r>
        <w:rPr>
          <w:rFonts w:hint="eastAsia" w:ascii="仿宋" w:hAnsi="仿宋" w:eastAsia="仿宋"/>
          <w:sz w:val="28"/>
          <w:szCs w:val="24"/>
        </w:rPr>
        <w:t>全面推行绿岗就业</w:t>
      </w:r>
      <w:r>
        <w:rPr>
          <w:rFonts w:ascii="仿宋" w:hAnsi="仿宋" w:eastAsia="仿宋"/>
          <w:sz w:val="28"/>
          <w:szCs w:val="24"/>
        </w:rPr>
        <w:t>，</w:t>
      </w:r>
      <w:r>
        <w:rPr>
          <w:rFonts w:hint="eastAsia" w:ascii="仿宋" w:hAnsi="仿宋" w:eastAsia="仿宋"/>
          <w:sz w:val="28"/>
          <w:szCs w:val="24"/>
        </w:rPr>
        <w:t>尽量</w:t>
      </w:r>
      <w:r>
        <w:rPr>
          <w:rFonts w:ascii="仿宋" w:hAnsi="仿宋" w:eastAsia="仿宋"/>
          <w:sz w:val="28"/>
          <w:szCs w:val="24"/>
        </w:rPr>
        <w:t>吸纳当地农民参与</w:t>
      </w:r>
      <w:r>
        <w:rPr>
          <w:rFonts w:hint="eastAsia" w:ascii="仿宋" w:hAnsi="仿宋" w:eastAsia="仿宋"/>
          <w:sz w:val="28"/>
          <w:szCs w:val="24"/>
        </w:rPr>
        <w:t>植树造林和森林管护工作，形成生态保护与农民增收的双赢格局。</w:t>
      </w:r>
    </w:p>
    <w:p>
      <w:pPr>
        <w:spacing w:line="276" w:lineRule="auto"/>
        <w:ind w:firstLine="560" w:firstLineChars="200"/>
        <w:rPr>
          <w:rFonts w:ascii="仿宋" w:hAnsi="仿宋" w:eastAsia="仿宋"/>
          <w:sz w:val="28"/>
          <w:szCs w:val="24"/>
        </w:rPr>
      </w:pPr>
      <w:r>
        <w:rPr>
          <w:rFonts w:hint="eastAsia" w:ascii="仿宋" w:hAnsi="仿宋" w:eastAsia="仿宋"/>
          <w:sz w:val="28"/>
          <w:szCs w:val="24"/>
        </w:rPr>
        <w:t>3.注重平原森林生态化、低碳化养护。围绕打造千年景观，</w:t>
      </w:r>
      <w:r>
        <w:rPr>
          <w:rFonts w:ascii="仿宋" w:hAnsi="仿宋" w:eastAsia="仿宋"/>
          <w:sz w:val="28"/>
          <w:szCs w:val="24"/>
        </w:rPr>
        <w:t>加强平原</w:t>
      </w:r>
      <w:r>
        <w:rPr>
          <w:rFonts w:hint="eastAsia" w:ascii="仿宋" w:hAnsi="仿宋" w:eastAsia="仿宋"/>
          <w:sz w:val="28"/>
          <w:szCs w:val="24"/>
        </w:rPr>
        <w:t>生态</w:t>
      </w:r>
      <w:r>
        <w:rPr>
          <w:rFonts w:ascii="仿宋" w:hAnsi="仿宋" w:eastAsia="仿宋"/>
          <w:sz w:val="28"/>
          <w:szCs w:val="24"/>
        </w:rPr>
        <w:t>林管护机制</w:t>
      </w:r>
      <w:r>
        <w:rPr>
          <w:rFonts w:hint="eastAsia" w:ascii="仿宋" w:hAnsi="仿宋" w:eastAsia="仿宋"/>
          <w:sz w:val="28"/>
          <w:szCs w:val="24"/>
        </w:rPr>
        <w:t>研究，推广集体林场管护模式，逐步实现生态化、低碳化管</w:t>
      </w:r>
      <w:r>
        <w:rPr>
          <w:rFonts w:ascii="仿宋" w:hAnsi="仿宋" w:eastAsia="仿宋"/>
          <w:sz w:val="28"/>
          <w:szCs w:val="24"/>
        </w:rPr>
        <w:t>护</w:t>
      </w:r>
      <w:r>
        <w:rPr>
          <w:rFonts w:hint="eastAsia" w:ascii="仿宋" w:hAnsi="仿宋" w:eastAsia="仿宋"/>
          <w:sz w:val="28"/>
          <w:szCs w:val="24"/>
        </w:rPr>
        <w:t>，着力把现有平原森林培育成生态高效、景观优美的近自然城市森林。</w:t>
      </w:r>
    </w:p>
    <w:p>
      <w:pPr>
        <w:spacing w:line="276" w:lineRule="auto"/>
        <w:ind w:firstLine="560" w:firstLineChars="200"/>
        <w:rPr>
          <w:rFonts w:ascii="仿宋" w:hAnsi="仿宋" w:eastAsia="仿宋"/>
          <w:sz w:val="28"/>
          <w:szCs w:val="24"/>
        </w:rPr>
      </w:pPr>
      <w:r>
        <w:rPr>
          <w:rFonts w:hint="eastAsia" w:ascii="仿宋" w:hAnsi="仿宋" w:eastAsia="仿宋"/>
          <w:sz w:val="28"/>
          <w:szCs w:val="24"/>
        </w:rPr>
        <w:t>4.创新林地、绿地等生态用地中各类设施用地的供给政策机制。围绕把符合设计规范要求的生态服务设施建设用地列入非建设用地范围，加强政策探索研究，为生态服务空间配置完整、合理、可持续的自然游憩系统提供机制支撑，适应现代生态游憩发展的新需求。</w:t>
      </w:r>
    </w:p>
    <w:p>
      <w:pPr>
        <w:pStyle w:val="3"/>
        <w:spacing w:before="217" w:after="217"/>
        <w:jc w:val="left"/>
        <w:rPr>
          <w:rFonts w:ascii="黑体" w:hAnsi="黑体" w:eastAsia="黑体" w:cs="Times New Roman"/>
          <w:b w:val="0"/>
          <w:bCs w:val="0"/>
        </w:rPr>
      </w:pPr>
      <w:bookmarkStart w:id="374" w:name="_Toc27389993"/>
      <w:r>
        <w:rPr>
          <w:rFonts w:hint="eastAsia" w:ascii="黑体" w:hAnsi="黑体" w:eastAsia="黑体" w:cs="Times New Roman"/>
          <w:b w:val="0"/>
          <w:bCs w:val="0"/>
        </w:rPr>
        <w:t>五</w:t>
      </w:r>
      <w:r>
        <w:rPr>
          <w:rFonts w:ascii="黑体" w:hAnsi="黑体" w:eastAsia="黑体" w:cs="Times New Roman"/>
          <w:b w:val="0"/>
          <w:bCs w:val="0"/>
        </w:rPr>
        <w:t>、</w:t>
      </w:r>
      <w:r>
        <w:rPr>
          <w:rFonts w:hint="eastAsia" w:ascii="黑体" w:hAnsi="黑体" w:eastAsia="黑体" w:cs="Times New Roman"/>
          <w:b w:val="0"/>
          <w:bCs w:val="0"/>
        </w:rPr>
        <w:t>开展</w:t>
      </w:r>
      <w:r>
        <w:rPr>
          <w:rFonts w:ascii="黑体" w:hAnsi="黑体" w:eastAsia="黑体" w:cs="Times New Roman"/>
          <w:b w:val="0"/>
          <w:bCs w:val="0"/>
        </w:rPr>
        <w:t>宣传</w:t>
      </w:r>
      <w:r>
        <w:rPr>
          <w:rFonts w:hint="eastAsia" w:ascii="黑体" w:hAnsi="黑体" w:eastAsia="黑体" w:cs="Times New Roman"/>
          <w:b w:val="0"/>
          <w:bCs w:val="0"/>
        </w:rPr>
        <w:t>活动</w:t>
      </w:r>
      <w:r>
        <w:rPr>
          <w:rFonts w:ascii="黑体" w:hAnsi="黑体" w:eastAsia="黑体" w:cs="Times New Roman"/>
          <w:b w:val="0"/>
          <w:bCs w:val="0"/>
        </w:rPr>
        <w:t>，营造良好社会氛围</w:t>
      </w:r>
      <w:bookmarkEnd w:id="374"/>
    </w:p>
    <w:p>
      <w:pPr>
        <w:spacing w:line="276" w:lineRule="auto"/>
        <w:ind w:firstLine="560" w:firstLineChars="200"/>
        <w:rPr>
          <w:rFonts w:ascii="仿宋" w:hAnsi="仿宋" w:eastAsia="仿宋"/>
          <w:sz w:val="28"/>
          <w:szCs w:val="24"/>
        </w:rPr>
      </w:pPr>
      <w:r>
        <w:rPr>
          <w:rFonts w:hint="eastAsia" w:ascii="仿宋" w:hAnsi="仿宋" w:eastAsia="仿宋"/>
          <w:sz w:val="28"/>
          <w:szCs w:val="24"/>
        </w:rPr>
        <w:t>1.着力抓好国家</w:t>
      </w:r>
      <w:r>
        <w:rPr>
          <w:rFonts w:ascii="仿宋" w:hAnsi="仿宋" w:eastAsia="仿宋"/>
          <w:sz w:val="28"/>
          <w:szCs w:val="24"/>
        </w:rPr>
        <w:t>森林城市</w:t>
      </w:r>
      <w:r>
        <w:rPr>
          <w:rFonts w:hint="eastAsia" w:ascii="仿宋" w:hAnsi="仿宋" w:eastAsia="仿宋"/>
          <w:sz w:val="28"/>
          <w:szCs w:val="24"/>
        </w:rPr>
        <w:t>创建</w:t>
      </w:r>
      <w:r>
        <w:rPr>
          <w:rFonts w:ascii="仿宋" w:hAnsi="仿宋" w:eastAsia="仿宋"/>
          <w:sz w:val="28"/>
          <w:szCs w:val="24"/>
        </w:rPr>
        <w:t>活动</w:t>
      </w:r>
      <w:r>
        <w:rPr>
          <w:rFonts w:hint="eastAsia" w:ascii="仿宋" w:hAnsi="仿宋" w:eastAsia="仿宋"/>
          <w:sz w:val="28"/>
          <w:szCs w:val="24"/>
        </w:rPr>
        <w:t>宣传。充分利用首都宣传资源优势，统筹把办好世园会、冬奥会残奥会、建设北京城市副中心和森林城市等大事喜事协同进行宣传推介，提升北京森林城市的国内外影响力。</w:t>
      </w:r>
    </w:p>
    <w:p>
      <w:pPr>
        <w:spacing w:line="276" w:lineRule="auto"/>
        <w:ind w:firstLine="560" w:firstLineChars="200"/>
        <w:rPr>
          <w:rFonts w:ascii="仿宋" w:hAnsi="仿宋" w:eastAsia="仿宋"/>
          <w:sz w:val="28"/>
          <w:szCs w:val="24"/>
        </w:rPr>
      </w:pPr>
      <w:r>
        <w:rPr>
          <w:rFonts w:ascii="仿宋" w:hAnsi="仿宋" w:eastAsia="仿宋"/>
          <w:sz w:val="28"/>
          <w:szCs w:val="24"/>
        </w:rPr>
        <w:t>2.举办北京森林城市建设系列</w:t>
      </w:r>
      <w:r>
        <w:rPr>
          <w:rFonts w:hint="eastAsia" w:ascii="仿宋" w:hAnsi="仿宋" w:eastAsia="仿宋"/>
          <w:sz w:val="28"/>
          <w:szCs w:val="24"/>
        </w:rPr>
        <w:t>宣传</w:t>
      </w:r>
      <w:r>
        <w:rPr>
          <w:rFonts w:ascii="仿宋" w:hAnsi="仿宋" w:eastAsia="仿宋"/>
          <w:sz w:val="28"/>
          <w:szCs w:val="24"/>
        </w:rPr>
        <w:t>活动</w:t>
      </w:r>
      <w:r>
        <w:rPr>
          <w:rFonts w:hint="eastAsia" w:ascii="仿宋" w:hAnsi="仿宋" w:eastAsia="仿宋"/>
          <w:sz w:val="28"/>
          <w:szCs w:val="24"/>
        </w:rPr>
        <w:t>。广泛依托</w:t>
      </w:r>
      <w:r>
        <w:rPr>
          <w:rFonts w:ascii="仿宋" w:hAnsi="仿宋" w:eastAsia="仿宋"/>
          <w:sz w:val="28"/>
          <w:szCs w:val="24"/>
        </w:rPr>
        <w:t>生态旅游、</w:t>
      </w:r>
      <w:r>
        <w:rPr>
          <w:rFonts w:hint="eastAsia" w:ascii="仿宋" w:hAnsi="仿宋" w:eastAsia="仿宋"/>
          <w:sz w:val="28"/>
          <w:szCs w:val="24"/>
        </w:rPr>
        <w:t>生态</w:t>
      </w:r>
      <w:r>
        <w:rPr>
          <w:rFonts w:ascii="仿宋" w:hAnsi="仿宋" w:eastAsia="仿宋"/>
          <w:sz w:val="28"/>
          <w:szCs w:val="24"/>
        </w:rPr>
        <w:t>文化节庆</w:t>
      </w:r>
      <w:r>
        <w:rPr>
          <w:rFonts w:hint="eastAsia" w:ascii="仿宋" w:hAnsi="仿宋" w:eastAsia="仿宋"/>
          <w:sz w:val="28"/>
          <w:szCs w:val="24"/>
        </w:rPr>
        <w:t>等活动</w:t>
      </w:r>
      <w:r>
        <w:rPr>
          <w:rFonts w:ascii="仿宋" w:hAnsi="仿宋" w:eastAsia="仿宋"/>
          <w:sz w:val="28"/>
          <w:szCs w:val="24"/>
        </w:rPr>
        <w:t>，搭建公众</w:t>
      </w:r>
      <w:r>
        <w:rPr>
          <w:rFonts w:hint="eastAsia" w:ascii="仿宋" w:hAnsi="仿宋" w:eastAsia="仿宋"/>
          <w:sz w:val="28"/>
          <w:szCs w:val="24"/>
        </w:rPr>
        <w:t>参与平台</w:t>
      </w:r>
      <w:r>
        <w:rPr>
          <w:rFonts w:ascii="仿宋" w:hAnsi="仿宋" w:eastAsia="仿宋"/>
          <w:sz w:val="28"/>
          <w:szCs w:val="24"/>
        </w:rPr>
        <w:t>，</w:t>
      </w:r>
      <w:r>
        <w:rPr>
          <w:rFonts w:hint="eastAsia" w:ascii="仿宋" w:hAnsi="仿宋" w:eastAsia="仿宋"/>
          <w:sz w:val="28"/>
          <w:szCs w:val="24"/>
        </w:rPr>
        <w:t>通过</w:t>
      </w:r>
      <w:r>
        <w:rPr>
          <w:rFonts w:ascii="仿宋" w:hAnsi="仿宋" w:eastAsia="仿宋"/>
          <w:sz w:val="28"/>
          <w:szCs w:val="24"/>
        </w:rPr>
        <w:t>多层次、多渠道、多形式</w:t>
      </w:r>
      <w:r>
        <w:rPr>
          <w:rFonts w:hint="eastAsia" w:ascii="仿宋" w:hAnsi="仿宋" w:eastAsia="仿宋"/>
          <w:sz w:val="28"/>
          <w:szCs w:val="24"/>
        </w:rPr>
        <w:t>，宣传</w:t>
      </w:r>
      <w:r>
        <w:rPr>
          <w:rFonts w:ascii="仿宋" w:hAnsi="仿宋" w:eastAsia="仿宋"/>
          <w:sz w:val="28"/>
          <w:szCs w:val="24"/>
        </w:rPr>
        <w:t>共建共享的森林城市建设理念。</w:t>
      </w:r>
    </w:p>
    <w:p>
      <w:pPr>
        <w:spacing w:line="276" w:lineRule="auto"/>
        <w:ind w:firstLine="560" w:firstLineChars="200"/>
        <w:rPr>
          <w:rFonts w:ascii="仿宋" w:hAnsi="仿宋" w:eastAsia="仿宋"/>
          <w:sz w:val="28"/>
          <w:szCs w:val="24"/>
        </w:rPr>
      </w:pPr>
      <w:r>
        <w:rPr>
          <w:rFonts w:ascii="仿宋" w:hAnsi="仿宋" w:eastAsia="仿宋"/>
          <w:sz w:val="28"/>
          <w:szCs w:val="24"/>
        </w:rPr>
        <w:t>3.举办生态文化</w:t>
      </w:r>
      <w:r>
        <w:rPr>
          <w:rFonts w:hint="eastAsia" w:ascii="仿宋" w:hAnsi="仿宋" w:eastAsia="仿宋"/>
          <w:sz w:val="28"/>
          <w:szCs w:val="24"/>
        </w:rPr>
        <w:t>知识科谱和</w:t>
      </w:r>
      <w:r>
        <w:rPr>
          <w:rFonts w:ascii="仿宋" w:hAnsi="仿宋" w:eastAsia="仿宋"/>
          <w:sz w:val="28"/>
          <w:szCs w:val="24"/>
        </w:rPr>
        <w:t>展示</w:t>
      </w:r>
      <w:r>
        <w:rPr>
          <w:rFonts w:hint="eastAsia" w:ascii="仿宋" w:hAnsi="仿宋" w:eastAsia="仿宋"/>
          <w:sz w:val="28"/>
          <w:szCs w:val="24"/>
        </w:rPr>
        <w:t>系列</w:t>
      </w:r>
      <w:r>
        <w:rPr>
          <w:rFonts w:ascii="仿宋" w:hAnsi="仿宋" w:eastAsia="仿宋"/>
          <w:sz w:val="28"/>
          <w:szCs w:val="24"/>
        </w:rPr>
        <w:t>活动</w:t>
      </w:r>
      <w:r>
        <w:rPr>
          <w:rFonts w:hint="eastAsia" w:ascii="仿宋" w:hAnsi="仿宋" w:eastAsia="仿宋"/>
          <w:sz w:val="28"/>
          <w:szCs w:val="24"/>
        </w:rPr>
        <w:t>。充分利</w:t>
      </w:r>
      <w:r>
        <w:rPr>
          <w:rFonts w:ascii="仿宋" w:hAnsi="仿宋" w:eastAsia="仿宋"/>
          <w:sz w:val="28"/>
          <w:szCs w:val="24"/>
        </w:rPr>
        <w:t>用“</w:t>
      </w:r>
      <w:r>
        <w:rPr>
          <w:rFonts w:hint="eastAsia" w:ascii="仿宋" w:hAnsi="仿宋" w:eastAsia="仿宋"/>
          <w:sz w:val="28"/>
          <w:szCs w:val="24"/>
        </w:rPr>
        <w:t>首都</w:t>
      </w:r>
      <w:r>
        <w:rPr>
          <w:rFonts w:ascii="仿宋" w:hAnsi="仿宋" w:eastAsia="仿宋"/>
          <w:sz w:val="28"/>
          <w:szCs w:val="24"/>
        </w:rPr>
        <w:t>义务植树日”、</w:t>
      </w:r>
      <w:r>
        <w:rPr>
          <w:rFonts w:hint="eastAsia" w:ascii="仿宋" w:hAnsi="仿宋" w:eastAsia="仿宋"/>
          <w:sz w:val="28"/>
          <w:szCs w:val="24"/>
        </w:rPr>
        <w:t>“国际森林日”、</w:t>
      </w:r>
      <w:r>
        <w:rPr>
          <w:rFonts w:ascii="仿宋" w:hAnsi="仿宋" w:eastAsia="仿宋"/>
          <w:sz w:val="28"/>
          <w:szCs w:val="24"/>
        </w:rPr>
        <w:t>“世界环境日”、“世界湿地日”</w:t>
      </w:r>
      <w:r>
        <w:rPr>
          <w:rFonts w:hint="eastAsia" w:ascii="仿宋" w:hAnsi="仿宋" w:eastAsia="仿宋"/>
          <w:sz w:val="28"/>
          <w:szCs w:val="24"/>
        </w:rPr>
        <w:t>、“爱鸟周”</w:t>
      </w:r>
      <w:r>
        <w:rPr>
          <w:rFonts w:ascii="仿宋" w:hAnsi="仿宋" w:eastAsia="仿宋"/>
          <w:sz w:val="28"/>
          <w:szCs w:val="24"/>
        </w:rPr>
        <w:t>等生态纪念日</w:t>
      </w:r>
      <w:r>
        <w:rPr>
          <w:rFonts w:hint="eastAsia" w:ascii="仿宋" w:hAnsi="仿宋" w:eastAsia="仿宋"/>
          <w:sz w:val="28"/>
          <w:szCs w:val="24"/>
        </w:rPr>
        <w:t>，</w:t>
      </w:r>
      <w:r>
        <w:rPr>
          <w:rFonts w:ascii="仿宋" w:hAnsi="仿宋" w:eastAsia="仿宋"/>
          <w:sz w:val="28"/>
          <w:szCs w:val="24"/>
        </w:rPr>
        <w:t>开展宣传展示活动，</w:t>
      </w:r>
      <w:r>
        <w:rPr>
          <w:rFonts w:hint="eastAsia" w:ascii="仿宋" w:hAnsi="仿宋" w:eastAsia="仿宋"/>
          <w:sz w:val="28"/>
          <w:szCs w:val="24"/>
        </w:rPr>
        <w:t>广泛</w:t>
      </w:r>
      <w:r>
        <w:rPr>
          <w:rFonts w:ascii="仿宋" w:hAnsi="仿宋" w:eastAsia="仿宋"/>
          <w:sz w:val="28"/>
          <w:szCs w:val="24"/>
        </w:rPr>
        <w:t>宣传</w:t>
      </w:r>
      <w:r>
        <w:rPr>
          <w:rFonts w:hint="eastAsia" w:ascii="仿宋" w:hAnsi="仿宋" w:eastAsia="仿宋"/>
          <w:sz w:val="28"/>
          <w:szCs w:val="24"/>
        </w:rPr>
        <w:t>习近平生态文明思想、“大地植绿、心中播绿”的</w:t>
      </w:r>
      <w:r>
        <w:rPr>
          <w:rFonts w:ascii="仿宋" w:hAnsi="仿宋" w:eastAsia="仿宋"/>
          <w:sz w:val="28"/>
          <w:szCs w:val="24"/>
        </w:rPr>
        <w:t>森林城市建设</w:t>
      </w:r>
      <w:r>
        <w:rPr>
          <w:rFonts w:hint="eastAsia" w:ascii="仿宋" w:hAnsi="仿宋" w:eastAsia="仿宋"/>
          <w:sz w:val="28"/>
          <w:szCs w:val="24"/>
        </w:rPr>
        <w:t>理念</w:t>
      </w:r>
      <w:r>
        <w:rPr>
          <w:rFonts w:ascii="仿宋" w:hAnsi="仿宋" w:eastAsia="仿宋"/>
          <w:sz w:val="28"/>
          <w:szCs w:val="24"/>
        </w:rPr>
        <w:t>，</w:t>
      </w:r>
      <w:r>
        <w:rPr>
          <w:rFonts w:hint="eastAsia" w:ascii="仿宋" w:hAnsi="仿宋" w:eastAsia="仿宋"/>
          <w:sz w:val="28"/>
          <w:szCs w:val="24"/>
        </w:rPr>
        <w:t>强化公众对生物多样性的关注与重视，实现生态文化与生态建设相互促进的良好格局</w:t>
      </w:r>
      <w:r>
        <w:rPr>
          <w:rFonts w:ascii="仿宋" w:hAnsi="仿宋" w:eastAsia="仿宋"/>
          <w:sz w:val="28"/>
          <w:szCs w:val="24"/>
        </w:rPr>
        <w:t>。</w:t>
      </w:r>
    </w:p>
    <w:p>
      <w:pPr>
        <w:pStyle w:val="3"/>
        <w:spacing w:before="217" w:after="217"/>
        <w:jc w:val="left"/>
        <w:rPr>
          <w:rFonts w:ascii="黑体" w:hAnsi="黑体" w:eastAsia="黑体" w:cs="Times New Roman"/>
          <w:b w:val="0"/>
          <w:bCs w:val="0"/>
        </w:rPr>
      </w:pPr>
      <w:bookmarkStart w:id="375" w:name="_Toc27389994"/>
      <w:r>
        <w:rPr>
          <w:rFonts w:hint="eastAsia" w:ascii="黑体" w:hAnsi="黑体" w:eastAsia="黑体" w:cs="Times New Roman"/>
          <w:b w:val="0"/>
          <w:bCs w:val="0"/>
        </w:rPr>
        <w:t>六</w:t>
      </w:r>
      <w:r>
        <w:rPr>
          <w:rFonts w:ascii="黑体" w:hAnsi="黑体" w:eastAsia="黑体" w:cs="Times New Roman"/>
          <w:b w:val="0"/>
          <w:bCs w:val="0"/>
        </w:rPr>
        <w:t>、</w:t>
      </w:r>
      <w:r>
        <w:rPr>
          <w:rFonts w:hint="eastAsia" w:ascii="黑体" w:hAnsi="黑体" w:eastAsia="黑体" w:cs="Times New Roman"/>
          <w:b w:val="0"/>
          <w:bCs w:val="0"/>
        </w:rPr>
        <w:t>健全规章制度，依法保障北京</w:t>
      </w:r>
      <w:r>
        <w:rPr>
          <w:rFonts w:ascii="黑体" w:hAnsi="黑体" w:eastAsia="黑体" w:cs="Times New Roman"/>
          <w:b w:val="0"/>
          <w:bCs w:val="0"/>
        </w:rPr>
        <w:t>森林城市</w:t>
      </w:r>
      <w:r>
        <w:rPr>
          <w:rFonts w:hint="eastAsia" w:ascii="黑体" w:hAnsi="黑体" w:eastAsia="黑体" w:cs="Times New Roman"/>
          <w:b w:val="0"/>
          <w:bCs w:val="0"/>
        </w:rPr>
        <w:t>建设成果</w:t>
      </w:r>
      <w:bookmarkEnd w:id="375"/>
    </w:p>
    <w:p>
      <w:pPr>
        <w:spacing w:line="276" w:lineRule="auto"/>
        <w:ind w:firstLine="560" w:firstLineChars="200"/>
        <w:rPr>
          <w:rFonts w:ascii="仿宋" w:hAnsi="仿宋" w:eastAsia="仿宋" w:cs="Times New Roman"/>
          <w:sz w:val="28"/>
          <w:szCs w:val="24"/>
        </w:rPr>
      </w:pPr>
      <w:r>
        <w:rPr>
          <w:rFonts w:ascii="仿宋" w:hAnsi="仿宋" w:eastAsia="仿宋" w:cs="Times New Roman"/>
          <w:sz w:val="28"/>
          <w:szCs w:val="24"/>
        </w:rPr>
        <w:t xml:space="preserve">1.推动北京森林城市的结构优化与质量提升。根据北京森林城市建设的新需求，逐步完善城市森林建设、管护等方面的技术规范、规章制度，加快构建适应北京森林城市高质量发展的空间规划体系、标准规范体系和综合管理体系，保障北京森林城市持续快速健康发展。 </w:t>
      </w:r>
    </w:p>
    <w:p>
      <w:pPr>
        <w:spacing w:line="276" w:lineRule="auto"/>
        <w:ind w:firstLine="560" w:firstLineChars="200"/>
        <w:rPr>
          <w:rFonts w:ascii="仿宋" w:hAnsi="仿宋" w:eastAsia="仿宋" w:cs="Times New Roman"/>
          <w:sz w:val="28"/>
          <w:szCs w:val="24"/>
        </w:rPr>
      </w:pPr>
      <w:r>
        <w:rPr>
          <w:rFonts w:ascii="仿宋" w:hAnsi="仿宋" w:eastAsia="仿宋" w:cs="Times New Roman"/>
          <w:sz w:val="28"/>
          <w:szCs w:val="24"/>
        </w:rPr>
        <w:t>2.建立健全全市园林绿化执法体制和队伍。促进相关政策法规的落地实施，加强对破坏森林、湿地、绿地资源违法行为的打击力度，加强生物多样性保护执法，依法治绿，巩固森林城市建设成果。</w:t>
      </w:r>
    </w:p>
    <w:p>
      <w:pPr>
        <w:pStyle w:val="3"/>
        <w:spacing w:before="217" w:after="217"/>
        <w:jc w:val="left"/>
        <w:rPr>
          <w:rFonts w:ascii="黑体" w:hAnsi="黑体" w:eastAsia="黑体" w:cs="Times New Roman"/>
          <w:b w:val="0"/>
          <w:bCs w:val="0"/>
        </w:rPr>
      </w:pPr>
      <w:bookmarkStart w:id="376" w:name="_Toc27389995"/>
      <w:r>
        <w:rPr>
          <w:rFonts w:ascii="黑体" w:hAnsi="黑体" w:eastAsia="黑体" w:cs="Times New Roman"/>
          <w:b w:val="0"/>
          <w:bCs w:val="0"/>
        </w:rPr>
        <w:t>七、实行区域联动，促进京津冀生态建设协同发展</w:t>
      </w:r>
      <w:bookmarkEnd w:id="376"/>
    </w:p>
    <w:p>
      <w:pPr>
        <w:spacing w:line="276" w:lineRule="auto"/>
        <w:ind w:firstLine="560" w:firstLineChars="200"/>
        <w:rPr>
          <w:rFonts w:ascii="仿宋" w:hAnsi="仿宋" w:eastAsia="仿宋" w:cs="Times New Roman"/>
          <w:sz w:val="28"/>
          <w:szCs w:val="24"/>
        </w:rPr>
      </w:pPr>
      <w:r>
        <w:rPr>
          <w:rFonts w:ascii="仿宋" w:hAnsi="仿宋" w:eastAsia="仿宋" w:cs="Times New Roman"/>
          <w:sz w:val="28"/>
          <w:szCs w:val="24"/>
        </w:rPr>
        <w:t>1.积极推动各区之间森林城市联动建设。主要是规划衔接，共同投资建设，基于永定河与西山的环境整体，形成城镇用地空间与生态空间的联动平衡，实现门头沟与石景山森林城市的联动建设；基于大运河及其流域的生态整体性，形成城市疏解和建设的联动平衡，实现朝阳与通州森林城市的联动建设。</w:t>
      </w:r>
    </w:p>
    <w:p>
      <w:pPr>
        <w:spacing w:line="276" w:lineRule="auto"/>
        <w:ind w:firstLine="560" w:firstLineChars="200"/>
        <w:rPr>
          <w:rFonts w:ascii="仿宋" w:hAnsi="仿宋" w:eastAsia="仿宋" w:cs="Times New Roman"/>
          <w:sz w:val="28"/>
          <w:szCs w:val="24"/>
        </w:rPr>
      </w:pPr>
      <w:r>
        <w:rPr>
          <w:rFonts w:ascii="仿宋" w:hAnsi="仿宋" w:eastAsia="仿宋" w:cs="Times New Roman"/>
          <w:sz w:val="28"/>
          <w:szCs w:val="24"/>
        </w:rPr>
        <w:t>2.建立京津冀整体协同发展机制。加强京津冀森林城市群建设总体规划的统一，调整优化京津冀生态资源布局和空间结构；加强森林城市建设工程的衔接，推动京津冀森林生态空间扩容、太行山森林质量提升、区域水系治理、湿地保护与恢复等区域性重点工程的共同投资、共同实施。</w:t>
      </w:r>
      <w:bookmarkEnd w:id="369"/>
      <w:bookmarkEnd w:id="370"/>
    </w:p>
    <w:p>
      <w:pPr>
        <w:pStyle w:val="3"/>
        <w:spacing w:before="217" w:after="217"/>
        <w:jc w:val="left"/>
        <w:rPr>
          <w:rFonts w:ascii="黑体" w:hAnsi="黑体" w:eastAsia="黑体" w:cs="Times New Roman"/>
          <w:b w:val="0"/>
          <w:bCs w:val="0"/>
        </w:rPr>
      </w:pPr>
      <w:bookmarkStart w:id="377" w:name="_Toc27389996"/>
      <w:r>
        <w:rPr>
          <w:rFonts w:ascii="黑体" w:hAnsi="黑体" w:eastAsia="黑体" w:cs="Times New Roman"/>
          <w:b w:val="0"/>
          <w:bCs w:val="0"/>
        </w:rPr>
        <w:t>八、建立乡土实生苗圃，保障长寿森林景观苗木储备</w:t>
      </w:r>
      <w:bookmarkEnd w:id="377"/>
    </w:p>
    <w:p>
      <w:pPr>
        <w:spacing w:line="276" w:lineRule="auto"/>
        <w:ind w:firstLine="560" w:firstLineChars="200"/>
        <w:rPr>
          <w:rFonts w:ascii="仿宋" w:hAnsi="仿宋" w:eastAsia="仿宋" w:cs="Times New Roman"/>
          <w:sz w:val="28"/>
          <w:szCs w:val="24"/>
        </w:rPr>
      </w:pPr>
      <w:r>
        <w:rPr>
          <w:rFonts w:ascii="仿宋" w:hAnsi="仿宋" w:eastAsia="仿宋" w:cs="Times New Roman"/>
          <w:sz w:val="28"/>
          <w:szCs w:val="24"/>
        </w:rPr>
        <w:t>1.加强乡土树种培育，整合本地苗木的优势资源，完善规模化苗圃长效发展机制，加快推进附属设施等相关政策落地，搭建种苗行业交流平台，创造北京本土苗木产业健康有序的发展环境，为后续优化现有森林结构提供苗木储备。</w:t>
      </w:r>
    </w:p>
    <w:p>
      <w:pPr>
        <w:spacing w:line="276" w:lineRule="auto"/>
        <w:ind w:firstLine="560" w:firstLineChars="200"/>
        <w:rPr>
          <w:rFonts w:ascii="仿宋" w:hAnsi="仿宋" w:eastAsia="仿宋" w:cs="Times New Roman"/>
          <w:sz w:val="22"/>
          <w:szCs w:val="24"/>
        </w:rPr>
      </w:pPr>
      <w:r>
        <w:rPr>
          <w:rFonts w:ascii="仿宋" w:hAnsi="仿宋" w:eastAsia="仿宋" w:cs="Times New Roman"/>
          <w:sz w:val="28"/>
          <w:szCs w:val="24"/>
        </w:rPr>
        <w:t>2.注重培育种子繁殖的实生苗，鼓励本土苗圃科技创新，扶持实生苗生产龙头企业，培育本土实生种苗品牌，以助于培育北京长寿森林景观，增加森林树木的遗传多样性。</w:t>
      </w:r>
    </w:p>
    <w:p>
      <w:pPr>
        <w:spacing w:line="560" w:lineRule="exact"/>
        <w:rPr>
          <w:rFonts w:ascii="Times New Roman" w:hAnsi="Times New Roman"/>
          <w:sz w:val="24"/>
        </w:rPr>
      </w:pPr>
    </w:p>
    <w:sectPr>
      <w:pgSz w:w="11906" w:h="16838"/>
      <w:pgMar w:top="1418" w:right="1701" w:bottom="1418" w:left="1701"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0000000" w:usb3="00000000" w:csb0="0000019F" w:csb1="00000000"/>
  </w:font>
  <w:font w:name="微软雅黑">
    <w:altName w:val="黑体"/>
    <w:panose1 w:val="020B0503020204020204"/>
    <w:charset w:val="86"/>
    <w:family w:val="swiss"/>
    <w:pitch w:val="default"/>
    <w:sig w:usb0="00000000" w:usb1="0000000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Verdana">
    <w:altName w:val="DejaVu Sans"/>
    <w:panose1 w:val="020B0604030504040204"/>
    <w:charset w:val="00"/>
    <w:family w:val="swiss"/>
    <w:pitch w:val="default"/>
    <w:sig w:usb0="00000000" w:usb1="00000000" w:usb2="00000010" w:usb3="00000000" w:csb0="0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anumGothic">
    <w:panose1 w:val="020D0604000000000000"/>
    <w:charset w:val="81"/>
    <w:family w:val="auto"/>
    <w:pitch w:val="default"/>
    <w:sig w:usb0="900002A7" w:usb1="29D7FCFB" w:usb2="00000010" w:usb3="00000000" w:csb0="00080001" w:csb1="00000000"/>
  </w:font>
  <w:font w:name="方正仿宋_GBK">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4022571"/>
      <w:docPartObj>
        <w:docPartGallery w:val="autotext"/>
      </w:docPartObj>
    </w:sdtPr>
    <w:sdtContent>
      <w:p>
        <w:pPr>
          <w:pStyle w:val="15"/>
          <w:jc w:val="right"/>
        </w:pPr>
        <w:r>
          <w:fldChar w:fldCharType="begin"/>
        </w:r>
        <w:r>
          <w:instrText xml:space="preserve">PAGE   \* MERGEFORMAT</w:instrText>
        </w:r>
        <w:r>
          <w:fldChar w:fldCharType="separate"/>
        </w:r>
        <w:r>
          <w:rPr>
            <w:lang w:val="zh-CN"/>
          </w:rPr>
          <w:t>2</w:t>
        </w:r>
        <w:r>
          <w:fldChar w:fldCharType="end"/>
        </w:r>
      </w:p>
    </w:sdtContent>
  </w:sdt>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6996832"/>
      <w:docPartObj>
        <w:docPartGallery w:val="autotext"/>
      </w:docPartObj>
    </w:sdtPr>
    <w:sdtContent>
      <w:p>
        <w:pPr>
          <w:pStyle w:val="15"/>
          <w:jc w:val="center"/>
        </w:pPr>
        <w:r>
          <w:fldChar w:fldCharType="begin"/>
        </w:r>
        <w:r>
          <w:instrText xml:space="preserve">PAGE   \* MERGEFORMAT</w:instrText>
        </w:r>
        <w:r>
          <w:fldChar w:fldCharType="separate"/>
        </w:r>
        <w:r>
          <w:rPr>
            <w:lang w:val="zh-CN"/>
          </w:rPr>
          <w:t>78</w:t>
        </w:r>
        <w:r>
          <w:fldChar w:fldCharType="end"/>
        </w:r>
      </w:p>
    </w:sdtContent>
  </w:sdt>
  <w:p>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0990278"/>
      <w:docPartObj>
        <w:docPartGallery w:val="autotext"/>
      </w:docPartObj>
    </w:sdtPr>
    <w:sdtContent>
      <w:p>
        <w:pPr>
          <w:pStyle w:val="15"/>
          <w:jc w:val="center"/>
        </w:pPr>
        <w:r>
          <w:fldChar w:fldCharType="begin"/>
        </w:r>
        <w:r>
          <w:instrText xml:space="preserve">PAGE   \* MERGEFORMAT</w:instrText>
        </w:r>
        <w:r>
          <w:fldChar w:fldCharType="separate"/>
        </w:r>
        <w:r>
          <w:rPr>
            <w:lang w:val="zh-CN"/>
          </w:rPr>
          <w:t>99</w:t>
        </w:r>
        <w:r>
          <w:fldChar w:fldCharType="end"/>
        </w:r>
      </w:p>
    </w:sdtContent>
  </w:sdt>
  <w:p>
    <w:pPr>
      <w:pStyle w:val="1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883118"/>
    <w:multiLevelType w:val="multilevel"/>
    <w:tmpl w:val="0688311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70D1E9A"/>
    <w:multiLevelType w:val="multilevel"/>
    <w:tmpl w:val="070D1E9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
    <w:nsid w:val="07D1158F"/>
    <w:multiLevelType w:val="multilevel"/>
    <w:tmpl w:val="07D1158F"/>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021693A"/>
    <w:multiLevelType w:val="multilevel"/>
    <w:tmpl w:val="1021693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12AE5E30"/>
    <w:multiLevelType w:val="multilevel"/>
    <w:tmpl w:val="12AE5E3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1C965A25"/>
    <w:multiLevelType w:val="multilevel"/>
    <w:tmpl w:val="1C965A25"/>
    <w:lvl w:ilvl="0" w:tentative="0">
      <w:start w:val="1"/>
      <w:numFmt w:val="decimal"/>
      <w:lvlText w:val="（%1）"/>
      <w:lvlJc w:val="left"/>
      <w:pPr>
        <w:ind w:left="840" w:hanging="420"/>
      </w:pPr>
      <w:rPr>
        <w:rFonts w:hint="eastAsia"/>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1E2D61B8"/>
    <w:multiLevelType w:val="multilevel"/>
    <w:tmpl w:val="1E2D61B8"/>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1FC91163"/>
    <w:multiLevelType w:val="multilevel"/>
    <w:tmpl w:val="1FC91163"/>
    <w:lvl w:ilvl="0" w:tentative="0">
      <w:start w:val="1"/>
      <w:numFmt w:val="decimal"/>
      <w:pStyle w:val="80"/>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79"/>
      <w:suff w:val="nothing"/>
      <w:lvlText w:val="%1.%2　"/>
      <w:lvlJc w:val="left"/>
      <w:pPr>
        <w:ind w:left="2126"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81"/>
      <w:suff w:val="nothing"/>
      <w:lvlText w:val="%1.%2.%3　"/>
      <w:lvlJc w:val="left"/>
      <w:pPr>
        <w:ind w:left="0" w:firstLine="0"/>
      </w:pPr>
      <w:rPr>
        <w:rFonts w:hint="eastAsia" w:ascii="黑体" w:hAnsi="Times New Roman" w:eastAsia="黑体"/>
        <w:b w:val="0"/>
        <w:i w:val="0"/>
        <w:sz w:val="21"/>
      </w:rPr>
    </w:lvl>
    <w:lvl w:ilvl="3" w:tentative="0">
      <w:start w:val="1"/>
      <w:numFmt w:val="decimal"/>
      <w:pStyle w:val="82"/>
      <w:suff w:val="nothing"/>
      <w:lvlText w:val="%1.%2.%3.%4　"/>
      <w:lvlJc w:val="left"/>
      <w:pPr>
        <w:ind w:left="568" w:firstLine="0"/>
      </w:pPr>
      <w:rPr>
        <w:rFonts w:hint="eastAsia" w:ascii="黑体" w:hAnsi="Times New Roman" w:eastAsia="黑体"/>
        <w:b w:val="0"/>
        <w:i w:val="0"/>
        <w:sz w:val="21"/>
      </w:rPr>
    </w:lvl>
    <w:lvl w:ilvl="4" w:tentative="0">
      <w:start w:val="1"/>
      <w:numFmt w:val="decimal"/>
      <w:pStyle w:val="83"/>
      <w:suff w:val="nothing"/>
      <w:lvlText w:val="%1.%2.%3.%4.%5　"/>
      <w:lvlJc w:val="left"/>
      <w:pPr>
        <w:ind w:left="0" w:firstLine="0"/>
      </w:pPr>
      <w:rPr>
        <w:rFonts w:hint="eastAsia" w:ascii="黑体" w:hAnsi="Times New Roman" w:eastAsia="黑体"/>
        <w:b w:val="0"/>
        <w:i w:val="0"/>
        <w:sz w:val="21"/>
      </w:rPr>
    </w:lvl>
    <w:lvl w:ilvl="5" w:tentative="0">
      <w:start w:val="1"/>
      <w:numFmt w:val="decimal"/>
      <w:pStyle w:val="84"/>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8">
    <w:nsid w:val="20905BBD"/>
    <w:multiLevelType w:val="multilevel"/>
    <w:tmpl w:val="20905BBD"/>
    <w:lvl w:ilvl="0" w:tentative="0">
      <w:start w:val="1"/>
      <w:numFmt w:val="decimal"/>
      <w:lvlText w:val="（%1）"/>
      <w:lvlJc w:val="left"/>
      <w:pPr>
        <w:ind w:left="1128" w:hanging="420"/>
      </w:pPr>
      <w:rPr>
        <w:rFonts w:hint="eastAsia"/>
        <w:lang w:val="en-U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
    <w:nsid w:val="22820B43"/>
    <w:multiLevelType w:val="multilevel"/>
    <w:tmpl w:val="22820B4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52D7217"/>
    <w:multiLevelType w:val="multilevel"/>
    <w:tmpl w:val="252D7217"/>
    <w:lvl w:ilvl="0" w:tentative="0">
      <w:start w:val="1"/>
      <w:numFmt w:val="decimal"/>
      <w:lvlText w:val="（%1）"/>
      <w:lvlJc w:val="left"/>
      <w:pPr>
        <w:ind w:left="846"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47C814F4"/>
    <w:multiLevelType w:val="multilevel"/>
    <w:tmpl w:val="47C814F4"/>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35B397E"/>
    <w:multiLevelType w:val="multilevel"/>
    <w:tmpl w:val="735B397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6"/>
  </w:num>
  <w:num w:numId="3">
    <w:abstractNumId w:val="8"/>
  </w:num>
  <w:num w:numId="4">
    <w:abstractNumId w:val="11"/>
  </w:num>
  <w:num w:numId="5">
    <w:abstractNumId w:val="5"/>
  </w:num>
  <w:num w:numId="6">
    <w:abstractNumId w:val="2"/>
  </w:num>
  <w:num w:numId="7">
    <w:abstractNumId w:val="10"/>
  </w:num>
  <w:num w:numId="8">
    <w:abstractNumId w:val="9"/>
  </w:num>
  <w:num w:numId="9">
    <w:abstractNumId w:val="0"/>
  </w:num>
  <w:num w:numId="10">
    <w:abstractNumId w:val="1"/>
  </w:num>
  <w:num w:numId="11">
    <w:abstractNumId w:val="4"/>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true"/>
  <w:bordersDoNotSurroundFooter w:val="true"/>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B3A"/>
    <w:rsid w:val="00000631"/>
    <w:rsid w:val="00001382"/>
    <w:rsid w:val="0000186F"/>
    <w:rsid w:val="0000199E"/>
    <w:rsid w:val="000025BC"/>
    <w:rsid w:val="00003A49"/>
    <w:rsid w:val="000048AB"/>
    <w:rsid w:val="000062B0"/>
    <w:rsid w:val="00006561"/>
    <w:rsid w:val="00007995"/>
    <w:rsid w:val="00011301"/>
    <w:rsid w:val="00012EA8"/>
    <w:rsid w:val="00013297"/>
    <w:rsid w:val="00015D68"/>
    <w:rsid w:val="0001786E"/>
    <w:rsid w:val="00022EEA"/>
    <w:rsid w:val="00024045"/>
    <w:rsid w:val="000241F9"/>
    <w:rsid w:val="00025F20"/>
    <w:rsid w:val="000279A1"/>
    <w:rsid w:val="00027E9F"/>
    <w:rsid w:val="00030C16"/>
    <w:rsid w:val="00030E48"/>
    <w:rsid w:val="00032A9F"/>
    <w:rsid w:val="0003312A"/>
    <w:rsid w:val="00033D58"/>
    <w:rsid w:val="0003615A"/>
    <w:rsid w:val="00036C34"/>
    <w:rsid w:val="00040E83"/>
    <w:rsid w:val="00042A6A"/>
    <w:rsid w:val="0004333A"/>
    <w:rsid w:val="00043493"/>
    <w:rsid w:val="00045432"/>
    <w:rsid w:val="00045AC5"/>
    <w:rsid w:val="00045ED8"/>
    <w:rsid w:val="00046414"/>
    <w:rsid w:val="00046B9B"/>
    <w:rsid w:val="00046F4B"/>
    <w:rsid w:val="0004767B"/>
    <w:rsid w:val="00051BE3"/>
    <w:rsid w:val="00052AD0"/>
    <w:rsid w:val="0005375C"/>
    <w:rsid w:val="000546B8"/>
    <w:rsid w:val="000556B5"/>
    <w:rsid w:val="00055861"/>
    <w:rsid w:val="00056EB4"/>
    <w:rsid w:val="000574BB"/>
    <w:rsid w:val="00061782"/>
    <w:rsid w:val="000627B1"/>
    <w:rsid w:val="00063877"/>
    <w:rsid w:val="00064537"/>
    <w:rsid w:val="00064668"/>
    <w:rsid w:val="0006632F"/>
    <w:rsid w:val="00071C6A"/>
    <w:rsid w:val="00072775"/>
    <w:rsid w:val="0007590E"/>
    <w:rsid w:val="0007714D"/>
    <w:rsid w:val="000779CF"/>
    <w:rsid w:val="00080412"/>
    <w:rsid w:val="000819C8"/>
    <w:rsid w:val="00081DFC"/>
    <w:rsid w:val="000821C8"/>
    <w:rsid w:val="00082C31"/>
    <w:rsid w:val="0008309A"/>
    <w:rsid w:val="00083116"/>
    <w:rsid w:val="00083A14"/>
    <w:rsid w:val="00085871"/>
    <w:rsid w:val="00085CC5"/>
    <w:rsid w:val="000879FF"/>
    <w:rsid w:val="00087B4F"/>
    <w:rsid w:val="0009001A"/>
    <w:rsid w:val="00090358"/>
    <w:rsid w:val="00090949"/>
    <w:rsid w:val="000912D8"/>
    <w:rsid w:val="00094CEC"/>
    <w:rsid w:val="00094D47"/>
    <w:rsid w:val="00096082"/>
    <w:rsid w:val="00097000"/>
    <w:rsid w:val="000979A0"/>
    <w:rsid w:val="000A0BE8"/>
    <w:rsid w:val="000A0EFA"/>
    <w:rsid w:val="000A1D09"/>
    <w:rsid w:val="000A1E6D"/>
    <w:rsid w:val="000A2717"/>
    <w:rsid w:val="000A3DDE"/>
    <w:rsid w:val="000A6206"/>
    <w:rsid w:val="000A70AD"/>
    <w:rsid w:val="000A7A40"/>
    <w:rsid w:val="000B0610"/>
    <w:rsid w:val="000B09EF"/>
    <w:rsid w:val="000B0FB7"/>
    <w:rsid w:val="000B1490"/>
    <w:rsid w:val="000B1F64"/>
    <w:rsid w:val="000B2ACC"/>
    <w:rsid w:val="000B2C53"/>
    <w:rsid w:val="000B2E91"/>
    <w:rsid w:val="000B3B3D"/>
    <w:rsid w:val="000B4A06"/>
    <w:rsid w:val="000B54C0"/>
    <w:rsid w:val="000B5F75"/>
    <w:rsid w:val="000B6C59"/>
    <w:rsid w:val="000C1402"/>
    <w:rsid w:val="000C16DD"/>
    <w:rsid w:val="000C4E88"/>
    <w:rsid w:val="000C544B"/>
    <w:rsid w:val="000C5508"/>
    <w:rsid w:val="000C594F"/>
    <w:rsid w:val="000C69FA"/>
    <w:rsid w:val="000D0154"/>
    <w:rsid w:val="000D059F"/>
    <w:rsid w:val="000D0C21"/>
    <w:rsid w:val="000D0E34"/>
    <w:rsid w:val="000D1B33"/>
    <w:rsid w:val="000D2528"/>
    <w:rsid w:val="000D2BFD"/>
    <w:rsid w:val="000D3AEC"/>
    <w:rsid w:val="000D3C60"/>
    <w:rsid w:val="000D4462"/>
    <w:rsid w:val="000D53F5"/>
    <w:rsid w:val="000D5CB1"/>
    <w:rsid w:val="000D6954"/>
    <w:rsid w:val="000D7BAD"/>
    <w:rsid w:val="000D7EBF"/>
    <w:rsid w:val="000E1BF2"/>
    <w:rsid w:val="000E1F90"/>
    <w:rsid w:val="000E23AB"/>
    <w:rsid w:val="000E282F"/>
    <w:rsid w:val="000E2E0C"/>
    <w:rsid w:val="000E35CF"/>
    <w:rsid w:val="000E5379"/>
    <w:rsid w:val="000E742C"/>
    <w:rsid w:val="000F0FCD"/>
    <w:rsid w:val="000F3123"/>
    <w:rsid w:val="000F5C54"/>
    <w:rsid w:val="000F68F0"/>
    <w:rsid w:val="000F6B3A"/>
    <w:rsid w:val="001011B1"/>
    <w:rsid w:val="00102864"/>
    <w:rsid w:val="001030B5"/>
    <w:rsid w:val="001046AA"/>
    <w:rsid w:val="00105003"/>
    <w:rsid w:val="00105EA0"/>
    <w:rsid w:val="001061B9"/>
    <w:rsid w:val="00106D79"/>
    <w:rsid w:val="001101EB"/>
    <w:rsid w:val="001104A9"/>
    <w:rsid w:val="00110B09"/>
    <w:rsid w:val="00111BFE"/>
    <w:rsid w:val="00111C7F"/>
    <w:rsid w:val="00112D25"/>
    <w:rsid w:val="00114393"/>
    <w:rsid w:val="00115312"/>
    <w:rsid w:val="00115362"/>
    <w:rsid w:val="00121E6B"/>
    <w:rsid w:val="0012304C"/>
    <w:rsid w:val="0012445D"/>
    <w:rsid w:val="001303B8"/>
    <w:rsid w:val="00130D4F"/>
    <w:rsid w:val="00130EA5"/>
    <w:rsid w:val="00130F99"/>
    <w:rsid w:val="00131BEC"/>
    <w:rsid w:val="00132350"/>
    <w:rsid w:val="001329AD"/>
    <w:rsid w:val="001334EF"/>
    <w:rsid w:val="00133A80"/>
    <w:rsid w:val="001350C8"/>
    <w:rsid w:val="00136EAC"/>
    <w:rsid w:val="00137148"/>
    <w:rsid w:val="00140307"/>
    <w:rsid w:val="00141133"/>
    <w:rsid w:val="001437F5"/>
    <w:rsid w:val="00143D05"/>
    <w:rsid w:val="00147950"/>
    <w:rsid w:val="00147A48"/>
    <w:rsid w:val="001525FF"/>
    <w:rsid w:val="00153F76"/>
    <w:rsid w:val="001560E7"/>
    <w:rsid w:val="0015618D"/>
    <w:rsid w:val="00156D2D"/>
    <w:rsid w:val="001574E0"/>
    <w:rsid w:val="00157B4C"/>
    <w:rsid w:val="00157DFE"/>
    <w:rsid w:val="00160543"/>
    <w:rsid w:val="0016055B"/>
    <w:rsid w:val="0016189C"/>
    <w:rsid w:val="00162354"/>
    <w:rsid w:val="00162780"/>
    <w:rsid w:val="00163B86"/>
    <w:rsid w:val="001649F9"/>
    <w:rsid w:val="00164BB8"/>
    <w:rsid w:val="00164FA2"/>
    <w:rsid w:val="00167BEE"/>
    <w:rsid w:val="00170A01"/>
    <w:rsid w:val="001730D5"/>
    <w:rsid w:val="00173386"/>
    <w:rsid w:val="00173A34"/>
    <w:rsid w:val="00175C4F"/>
    <w:rsid w:val="001760B1"/>
    <w:rsid w:val="00176FB3"/>
    <w:rsid w:val="00176FEF"/>
    <w:rsid w:val="00181CBD"/>
    <w:rsid w:val="00181CD2"/>
    <w:rsid w:val="00183223"/>
    <w:rsid w:val="00183BD3"/>
    <w:rsid w:val="001853A3"/>
    <w:rsid w:val="001853D4"/>
    <w:rsid w:val="00186F7F"/>
    <w:rsid w:val="00187594"/>
    <w:rsid w:val="0019080C"/>
    <w:rsid w:val="0019241A"/>
    <w:rsid w:val="00192F15"/>
    <w:rsid w:val="001937BD"/>
    <w:rsid w:val="00193F2C"/>
    <w:rsid w:val="00194071"/>
    <w:rsid w:val="0019469B"/>
    <w:rsid w:val="00195069"/>
    <w:rsid w:val="001A1C19"/>
    <w:rsid w:val="001A1D39"/>
    <w:rsid w:val="001A2841"/>
    <w:rsid w:val="001A2ABF"/>
    <w:rsid w:val="001A3470"/>
    <w:rsid w:val="001A41F6"/>
    <w:rsid w:val="001A6C08"/>
    <w:rsid w:val="001B0082"/>
    <w:rsid w:val="001B02D0"/>
    <w:rsid w:val="001B12F5"/>
    <w:rsid w:val="001B19A4"/>
    <w:rsid w:val="001B1BBE"/>
    <w:rsid w:val="001B1CC7"/>
    <w:rsid w:val="001B4C5D"/>
    <w:rsid w:val="001B76CB"/>
    <w:rsid w:val="001B7B8A"/>
    <w:rsid w:val="001B7D37"/>
    <w:rsid w:val="001C0B14"/>
    <w:rsid w:val="001C10C9"/>
    <w:rsid w:val="001C18EF"/>
    <w:rsid w:val="001C32F4"/>
    <w:rsid w:val="001C38D8"/>
    <w:rsid w:val="001C6838"/>
    <w:rsid w:val="001D06B9"/>
    <w:rsid w:val="001D1FE3"/>
    <w:rsid w:val="001D298E"/>
    <w:rsid w:val="001D2B5B"/>
    <w:rsid w:val="001D469F"/>
    <w:rsid w:val="001D482F"/>
    <w:rsid w:val="001D556C"/>
    <w:rsid w:val="001D6583"/>
    <w:rsid w:val="001D7D42"/>
    <w:rsid w:val="001E0FAB"/>
    <w:rsid w:val="001E144D"/>
    <w:rsid w:val="001E229A"/>
    <w:rsid w:val="001E3283"/>
    <w:rsid w:val="001E352C"/>
    <w:rsid w:val="001E392F"/>
    <w:rsid w:val="001E4198"/>
    <w:rsid w:val="001E4672"/>
    <w:rsid w:val="001E6EB0"/>
    <w:rsid w:val="001E7ABB"/>
    <w:rsid w:val="001F03BF"/>
    <w:rsid w:val="001F134E"/>
    <w:rsid w:val="001F1EA8"/>
    <w:rsid w:val="001F292A"/>
    <w:rsid w:val="001F3F93"/>
    <w:rsid w:val="001F4BBE"/>
    <w:rsid w:val="001F4D9E"/>
    <w:rsid w:val="001F5235"/>
    <w:rsid w:val="001F571C"/>
    <w:rsid w:val="001F58AD"/>
    <w:rsid w:val="001F5971"/>
    <w:rsid w:val="001F69E7"/>
    <w:rsid w:val="00200EC7"/>
    <w:rsid w:val="0020142D"/>
    <w:rsid w:val="002020F3"/>
    <w:rsid w:val="00203112"/>
    <w:rsid w:val="00206CEB"/>
    <w:rsid w:val="00207557"/>
    <w:rsid w:val="00207688"/>
    <w:rsid w:val="0021139D"/>
    <w:rsid w:val="00212260"/>
    <w:rsid w:val="0021692F"/>
    <w:rsid w:val="00217262"/>
    <w:rsid w:val="00217FFD"/>
    <w:rsid w:val="00221E97"/>
    <w:rsid w:val="002220C4"/>
    <w:rsid w:val="002220D1"/>
    <w:rsid w:val="00222E8F"/>
    <w:rsid w:val="002261EA"/>
    <w:rsid w:val="00230256"/>
    <w:rsid w:val="00230FAD"/>
    <w:rsid w:val="00232B55"/>
    <w:rsid w:val="00232D27"/>
    <w:rsid w:val="00232D8A"/>
    <w:rsid w:val="0023363A"/>
    <w:rsid w:val="0023368C"/>
    <w:rsid w:val="00233D6A"/>
    <w:rsid w:val="002347ED"/>
    <w:rsid w:val="0023498E"/>
    <w:rsid w:val="00235BDD"/>
    <w:rsid w:val="00235C2F"/>
    <w:rsid w:val="002379C0"/>
    <w:rsid w:val="00240473"/>
    <w:rsid w:val="0024053C"/>
    <w:rsid w:val="00242452"/>
    <w:rsid w:val="00242A2A"/>
    <w:rsid w:val="00243A88"/>
    <w:rsid w:val="00246BBB"/>
    <w:rsid w:val="002471D4"/>
    <w:rsid w:val="00251306"/>
    <w:rsid w:val="00251597"/>
    <w:rsid w:val="00251889"/>
    <w:rsid w:val="00251936"/>
    <w:rsid w:val="00251D04"/>
    <w:rsid w:val="002529FE"/>
    <w:rsid w:val="00252CC9"/>
    <w:rsid w:val="00253B90"/>
    <w:rsid w:val="00254034"/>
    <w:rsid w:val="00255689"/>
    <w:rsid w:val="002568C2"/>
    <w:rsid w:val="00256B7E"/>
    <w:rsid w:val="00263C66"/>
    <w:rsid w:val="00264ECA"/>
    <w:rsid w:val="00270FB3"/>
    <w:rsid w:val="002711CD"/>
    <w:rsid w:val="00271E51"/>
    <w:rsid w:val="00273A81"/>
    <w:rsid w:val="00273B95"/>
    <w:rsid w:val="00274B3F"/>
    <w:rsid w:val="00275A9D"/>
    <w:rsid w:val="00276142"/>
    <w:rsid w:val="00277372"/>
    <w:rsid w:val="00277743"/>
    <w:rsid w:val="00282A31"/>
    <w:rsid w:val="00282F74"/>
    <w:rsid w:val="0028394F"/>
    <w:rsid w:val="00284A92"/>
    <w:rsid w:val="00285234"/>
    <w:rsid w:val="00285BEB"/>
    <w:rsid w:val="002866D9"/>
    <w:rsid w:val="0028766F"/>
    <w:rsid w:val="00291A64"/>
    <w:rsid w:val="002928A9"/>
    <w:rsid w:val="00293959"/>
    <w:rsid w:val="00295114"/>
    <w:rsid w:val="002968B1"/>
    <w:rsid w:val="00297974"/>
    <w:rsid w:val="00297DAD"/>
    <w:rsid w:val="002A0164"/>
    <w:rsid w:val="002A1EDF"/>
    <w:rsid w:val="002A7333"/>
    <w:rsid w:val="002B10B3"/>
    <w:rsid w:val="002B11A8"/>
    <w:rsid w:val="002B1AE1"/>
    <w:rsid w:val="002B1B70"/>
    <w:rsid w:val="002B1E86"/>
    <w:rsid w:val="002B27E3"/>
    <w:rsid w:val="002B4F21"/>
    <w:rsid w:val="002B594D"/>
    <w:rsid w:val="002B7158"/>
    <w:rsid w:val="002C16B8"/>
    <w:rsid w:val="002C19B2"/>
    <w:rsid w:val="002C2A18"/>
    <w:rsid w:val="002C3F46"/>
    <w:rsid w:val="002C41BB"/>
    <w:rsid w:val="002C48EE"/>
    <w:rsid w:val="002C4C81"/>
    <w:rsid w:val="002C67D9"/>
    <w:rsid w:val="002C7264"/>
    <w:rsid w:val="002C7E48"/>
    <w:rsid w:val="002D1F2B"/>
    <w:rsid w:val="002D2878"/>
    <w:rsid w:val="002D5017"/>
    <w:rsid w:val="002E0151"/>
    <w:rsid w:val="002E115D"/>
    <w:rsid w:val="002E1853"/>
    <w:rsid w:val="002E1F85"/>
    <w:rsid w:val="002E27B2"/>
    <w:rsid w:val="002E34A5"/>
    <w:rsid w:val="002E428C"/>
    <w:rsid w:val="002E515B"/>
    <w:rsid w:val="002E66DD"/>
    <w:rsid w:val="002E7B8F"/>
    <w:rsid w:val="002E7E6F"/>
    <w:rsid w:val="002F2D97"/>
    <w:rsid w:val="002F37E6"/>
    <w:rsid w:val="002F3A89"/>
    <w:rsid w:val="002F6683"/>
    <w:rsid w:val="00301176"/>
    <w:rsid w:val="00302712"/>
    <w:rsid w:val="00302732"/>
    <w:rsid w:val="00302A03"/>
    <w:rsid w:val="00303DB0"/>
    <w:rsid w:val="00304479"/>
    <w:rsid w:val="003059F7"/>
    <w:rsid w:val="003072A7"/>
    <w:rsid w:val="00310314"/>
    <w:rsid w:val="00312359"/>
    <w:rsid w:val="00312384"/>
    <w:rsid w:val="0031290F"/>
    <w:rsid w:val="0031329E"/>
    <w:rsid w:val="0031412A"/>
    <w:rsid w:val="00314262"/>
    <w:rsid w:val="0031428B"/>
    <w:rsid w:val="0031733C"/>
    <w:rsid w:val="00317473"/>
    <w:rsid w:val="0031765E"/>
    <w:rsid w:val="00321DE0"/>
    <w:rsid w:val="00323CA4"/>
    <w:rsid w:val="003262F0"/>
    <w:rsid w:val="00327EA6"/>
    <w:rsid w:val="0033056D"/>
    <w:rsid w:val="00330926"/>
    <w:rsid w:val="00332694"/>
    <w:rsid w:val="00332AD3"/>
    <w:rsid w:val="00332DF5"/>
    <w:rsid w:val="00332E33"/>
    <w:rsid w:val="00334756"/>
    <w:rsid w:val="00334B85"/>
    <w:rsid w:val="00334F8B"/>
    <w:rsid w:val="0033601B"/>
    <w:rsid w:val="00340C56"/>
    <w:rsid w:val="003419F4"/>
    <w:rsid w:val="00341F30"/>
    <w:rsid w:val="003427EC"/>
    <w:rsid w:val="00343702"/>
    <w:rsid w:val="0034461F"/>
    <w:rsid w:val="0034641B"/>
    <w:rsid w:val="00346D1E"/>
    <w:rsid w:val="00350149"/>
    <w:rsid w:val="003507A4"/>
    <w:rsid w:val="00350C93"/>
    <w:rsid w:val="003531E4"/>
    <w:rsid w:val="0035464E"/>
    <w:rsid w:val="003558AF"/>
    <w:rsid w:val="00355E6C"/>
    <w:rsid w:val="00356AAD"/>
    <w:rsid w:val="00356DD5"/>
    <w:rsid w:val="003573A4"/>
    <w:rsid w:val="003607BF"/>
    <w:rsid w:val="0036244D"/>
    <w:rsid w:val="0036318A"/>
    <w:rsid w:val="00363317"/>
    <w:rsid w:val="003634AD"/>
    <w:rsid w:val="00363CC4"/>
    <w:rsid w:val="00365088"/>
    <w:rsid w:val="0036530B"/>
    <w:rsid w:val="003653C0"/>
    <w:rsid w:val="00367819"/>
    <w:rsid w:val="00371602"/>
    <w:rsid w:val="003720B7"/>
    <w:rsid w:val="0037214D"/>
    <w:rsid w:val="00373B42"/>
    <w:rsid w:val="0037581A"/>
    <w:rsid w:val="00377E96"/>
    <w:rsid w:val="00380438"/>
    <w:rsid w:val="0038055C"/>
    <w:rsid w:val="00381720"/>
    <w:rsid w:val="003826E4"/>
    <w:rsid w:val="00382EF0"/>
    <w:rsid w:val="00383026"/>
    <w:rsid w:val="003833AC"/>
    <w:rsid w:val="00383842"/>
    <w:rsid w:val="00383979"/>
    <w:rsid w:val="00385678"/>
    <w:rsid w:val="00385CCD"/>
    <w:rsid w:val="00385D9D"/>
    <w:rsid w:val="00386FFC"/>
    <w:rsid w:val="00387AFB"/>
    <w:rsid w:val="00387F7B"/>
    <w:rsid w:val="00391CBE"/>
    <w:rsid w:val="00392AB9"/>
    <w:rsid w:val="00392C28"/>
    <w:rsid w:val="0039319C"/>
    <w:rsid w:val="003950C1"/>
    <w:rsid w:val="00396EC7"/>
    <w:rsid w:val="00396EDE"/>
    <w:rsid w:val="00397F03"/>
    <w:rsid w:val="003A0CD4"/>
    <w:rsid w:val="003A10E7"/>
    <w:rsid w:val="003A1807"/>
    <w:rsid w:val="003A21B1"/>
    <w:rsid w:val="003A2317"/>
    <w:rsid w:val="003A2531"/>
    <w:rsid w:val="003A2C81"/>
    <w:rsid w:val="003A2D59"/>
    <w:rsid w:val="003A42DA"/>
    <w:rsid w:val="003A4C6F"/>
    <w:rsid w:val="003A4CE6"/>
    <w:rsid w:val="003A51C5"/>
    <w:rsid w:val="003A5533"/>
    <w:rsid w:val="003A7397"/>
    <w:rsid w:val="003A760E"/>
    <w:rsid w:val="003B0B71"/>
    <w:rsid w:val="003B2EE6"/>
    <w:rsid w:val="003B3740"/>
    <w:rsid w:val="003B5543"/>
    <w:rsid w:val="003B648D"/>
    <w:rsid w:val="003B74C1"/>
    <w:rsid w:val="003B7CFE"/>
    <w:rsid w:val="003C090E"/>
    <w:rsid w:val="003C0F28"/>
    <w:rsid w:val="003C10C5"/>
    <w:rsid w:val="003C1863"/>
    <w:rsid w:val="003C18B4"/>
    <w:rsid w:val="003C1D35"/>
    <w:rsid w:val="003C3DF5"/>
    <w:rsid w:val="003C5562"/>
    <w:rsid w:val="003C59E2"/>
    <w:rsid w:val="003C7BB9"/>
    <w:rsid w:val="003C7C2D"/>
    <w:rsid w:val="003D117D"/>
    <w:rsid w:val="003D1FD5"/>
    <w:rsid w:val="003D2C7F"/>
    <w:rsid w:val="003D3815"/>
    <w:rsid w:val="003D438B"/>
    <w:rsid w:val="003D568C"/>
    <w:rsid w:val="003D5764"/>
    <w:rsid w:val="003D5B21"/>
    <w:rsid w:val="003D5F95"/>
    <w:rsid w:val="003D6494"/>
    <w:rsid w:val="003D69CB"/>
    <w:rsid w:val="003E1FE6"/>
    <w:rsid w:val="003E5295"/>
    <w:rsid w:val="003E5C6A"/>
    <w:rsid w:val="003E6528"/>
    <w:rsid w:val="003E69F0"/>
    <w:rsid w:val="003E712D"/>
    <w:rsid w:val="003E751D"/>
    <w:rsid w:val="003F2073"/>
    <w:rsid w:val="003F2633"/>
    <w:rsid w:val="003F335D"/>
    <w:rsid w:val="003F48C0"/>
    <w:rsid w:val="003F5068"/>
    <w:rsid w:val="003F6124"/>
    <w:rsid w:val="003F7663"/>
    <w:rsid w:val="003F7CDA"/>
    <w:rsid w:val="003F7E68"/>
    <w:rsid w:val="004010BA"/>
    <w:rsid w:val="004020F3"/>
    <w:rsid w:val="00402F0C"/>
    <w:rsid w:val="00402F4A"/>
    <w:rsid w:val="004046AD"/>
    <w:rsid w:val="00404A81"/>
    <w:rsid w:val="00404E71"/>
    <w:rsid w:val="00405462"/>
    <w:rsid w:val="004059D8"/>
    <w:rsid w:val="00405CF4"/>
    <w:rsid w:val="004078AB"/>
    <w:rsid w:val="00407CDA"/>
    <w:rsid w:val="00407D23"/>
    <w:rsid w:val="0041086E"/>
    <w:rsid w:val="00411CE3"/>
    <w:rsid w:val="00414195"/>
    <w:rsid w:val="00414600"/>
    <w:rsid w:val="004151DE"/>
    <w:rsid w:val="004155C6"/>
    <w:rsid w:val="00420382"/>
    <w:rsid w:val="004210A7"/>
    <w:rsid w:val="004223C0"/>
    <w:rsid w:val="00422431"/>
    <w:rsid w:val="00422660"/>
    <w:rsid w:val="004227F7"/>
    <w:rsid w:val="00422A8D"/>
    <w:rsid w:val="00422BCF"/>
    <w:rsid w:val="0042303E"/>
    <w:rsid w:val="004230DF"/>
    <w:rsid w:val="00423967"/>
    <w:rsid w:val="004246D1"/>
    <w:rsid w:val="00424E6B"/>
    <w:rsid w:val="00425B13"/>
    <w:rsid w:val="00425E4C"/>
    <w:rsid w:val="00426E50"/>
    <w:rsid w:val="00427043"/>
    <w:rsid w:val="0042757D"/>
    <w:rsid w:val="0042764E"/>
    <w:rsid w:val="00427A82"/>
    <w:rsid w:val="00430A4C"/>
    <w:rsid w:val="004346DF"/>
    <w:rsid w:val="00435CB7"/>
    <w:rsid w:val="0043639D"/>
    <w:rsid w:val="00436E74"/>
    <w:rsid w:val="004412DA"/>
    <w:rsid w:val="00441554"/>
    <w:rsid w:val="00441842"/>
    <w:rsid w:val="00441BEA"/>
    <w:rsid w:val="004448E0"/>
    <w:rsid w:val="00445623"/>
    <w:rsid w:val="00445E1C"/>
    <w:rsid w:val="00446715"/>
    <w:rsid w:val="00446A14"/>
    <w:rsid w:val="00446BAC"/>
    <w:rsid w:val="00446DA0"/>
    <w:rsid w:val="004501D1"/>
    <w:rsid w:val="004513F6"/>
    <w:rsid w:val="0045302F"/>
    <w:rsid w:val="00454E93"/>
    <w:rsid w:val="0045617A"/>
    <w:rsid w:val="004575C4"/>
    <w:rsid w:val="0046127D"/>
    <w:rsid w:val="00461708"/>
    <w:rsid w:val="00462352"/>
    <w:rsid w:val="004642CE"/>
    <w:rsid w:val="00466E7E"/>
    <w:rsid w:val="0046737B"/>
    <w:rsid w:val="00470762"/>
    <w:rsid w:val="00470A48"/>
    <w:rsid w:val="004718B7"/>
    <w:rsid w:val="0047200C"/>
    <w:rsid w:val="00472DA4"/>
    <w:rsid w:val="0047390B"/>
    <w:rsid w:val="004752A2"/>
    <w:rsid w:val="00475A41"/>
    <w:rsid w:val="004773F4"/>
    <w:rsid w:val="0048086D"/>
    <w:rsid w:val="004813AA"/>
    <w:rsid w:val="00481ED9"/>
    <w:rsid w:val="00482024"/>
    <w:rsid w:val="00482683"/>
    <w:rsid w:val="00482AD8"/>
    <w:rsid w:val="0048543B"/>
    <w:rsid w:val="00485B52"/>
    <w:rsid w:val="00486140"/>
    <w:rsid w:val="00487003"/>
    <w:rsid w:val="0048791F"/>
    <w:rsid w:val="0049189E"/>
    <w:rsid w:val="004922BB"/>
    <w:rsid w:val="00492E3B"/>
    <w:rsid w:val="00496D76"/>
    <w:rsid w:val="0049774F"/>
    <w:rsid w:val="004A0B8F"/>
    <w:rsid w:val="004A0D18"/>
    <w:rsid w:val="004A15A9"/>
    <w:rsid w:val="004A192E"/>
    <w:rsid w:val="004A7DCE"/>
    <w:rsid w:val="004B0FFA"/>
    <w:rsid w:val="004B3674"/>
    <w:rsid w:val="004B4B83"/>
    <w:rsid w:val="004C1C88"/>
    <w:rsid w:val="004C20A5"/>
    <w:rsid w:val="004C23CC"/>
    <w:rsid w:val="004C2B27"/>
    <w:rsid w:val="004C5AEB"/>
    <w:rsid w:val="004C6B61"/>
    <w:rsid w:val="004C7661"/>
    <w:rsid w:val="004C7E69"/>
    <w:rsid w:val="004D054D"/>
    <w:rsid w:val="004D0CA3"/>
    <w:rsid w:val="004D1659"/>
    <w:rsid w:val="004D1B2E"/>
    <w:rsid w:val="004D306F"/>
    <w:rsid w:val="004D34F9"/>
    <w:rsid w:val="004D4CD7"/>
    <w:rsid w:val="004D4D42"/>
    <w:rsid w:val="004D5C71"/>
    <w:rsid w:val="004D64C6"/>
    <w:rsid w:val="004D6BAC"/>
    <w:rsid w:val="004D7957"/>
    <w:rsid w:val="004E1D88"/>
    <w:rsid w:val="004E275D"/>
    <w:rsid w:val="004E2843"/>
    <w:rsid w:val="004E4CD4"/>
    <w:rsid w:val="004E572D"/>
    <w:rsid w:val="004E576F"/>
    <w:rsid w:val="004F0535"/>
    <w:rsid w:val="004F07B1"/>
    <w:rsid w:val="004F0C5A"/>
    <w:rsid w:val="004F0D29"/>
    <w:rsid w:val="004F1DEB"/>
    <w:rsid w:val="004F33EF"/>
    <w:rsid w:val="004F3CE5"/>
    <w:rsid w:val="004F579C"/>
    <w:rsid w:val="004F6F26"/>
    <w:rsid w:val="004F6FDA"/>
    <w:rsid w:val="004F7988"/>
    <w:rsid w:val="004F7FF7"/>
    <w:rsid w:val="00500E7F"/>
    <w:rsid w:val="005013F1"/>
    <w:rsid w:val="0050200C"/>
    <w:rsid w:val="005024BC"/>
    <w:rsid w:val="00503320"/>
    <w:rsid w:val="005034F1"/>
    <w:rsid w:val="00505DB7"/>
    <w:rsid w:val="00506751"/>
    <w:rsid w:val="00510DD3"/>
    <w:rsid w:val="00511217"/>
    <w:rsid w:val="005113F6"/>
    <w:rsid w:val="00511D09"/>
    <w:rsid w:val="00512679"/>
    <w:rsid w:val="00512EEE"/>
    <w:rsid w:val="00513057"/>
    <w:rsid w:val="00514E05"/>
    <w:rsid w:val="00514E84"/>
    <w:rsid w:val="005158F6"/>
    <w:rsid w:val="005200EE"/>
    <w:rsid w:val="00520C0B"/>
    <w:rsid w:val="00521658"/>
    <w:rsid w:val="00524377"/>
    <w:rsid w:val="00524669"/>
    <w:rsid w:val="00525266"/>
    <w:rsid w:val="0052722F"/>
    <w:rsid w:val="00527357"/>
    <w:rsid w:val="00527C52"/>
    <w:rsid w:val="005305D7"/>
    <w:rsid w:val="00530B12"/>
    <w:rsid w:val="005317C1"/>
    <w:rsid w:val="005326BE"/>
    <w:rsid w:val="00532EE2"/>
    <w:rsid w:val="00534867"/>
    <w:rsid w:val="005357DA"/>
    <w:rsid w:val="0053634D"/>
    <w:rsid w:val="005375B9"/>
    <w:rsid w:val="0054052A"/>
    <w:rsid w:val="00540D97"/>
    <w:rsid w:val="00541006"/>
    <w:rsid w:val="005419DC"/>
    <w:rsid w:val="00542631"/>
    <w:rsid w:val="00542B7D"/>
    <w:rsid w:val="0054313A"/>
    <w:rsid w:val="00543A07"/>
    <w:rsid w:val="00544313"/>
    <w:rsid w:val="00547FBB"/>
    <w:rsid w:val="00550677"/>
    <w:rsid w:val="00550BF5"/>
    <w:rsid w:val="005568DE"/>
    <w:rsid w:val="00556C9E"/>
    <w:rsid w:val="0055739A"/>
    <w:rsid w:val="00557894"/>
    <w:rsid w:val="00557A0E"/>
    <w:rsid w:val="00557C0D"/>
    <w:rsid w:val="0056066E"/>
    <w:rsid w:val="00561327"/>
    <w:rsid w:val="00563365"/>
    <w:rsid w:val="00563F75"/>
    <w:rsid w:val="005645A0"/>
    <w:rsid w:val="005671F1"/>
    <w:rsid w:val="00567C19"/>
    <w:rsid w:val="00567D9E"/>
    <w:rsid w:val="0057170B"/>
    <w:rsid w:val="00572B3B"/>
    <w:rsid w:val="00573AE0"/>
    <w:rsid w:val="00573EF5"/>
    <w:rsid w:val="0057489F"/>
    <w:rsid w:val="005771FC"/>
    <w:rsid w:val="00577384"/>
    <w:rsid w:val="00580422"/>
    <w:rsid w:val="00580DB1"/>
    <w:rsid w:val="00581919"/>
    <w:rsid w:val="00582E9E"/>
    <w:rsid w:val="00583284"/>
    <w:rsid w:val="00585303"/>
    <w:rsid w:val="00585427"/>
    <w:rsid w:val="00586255"/>
    <w:rsid w:val="0058674E"/>
    <w:rsid w:val="0058782E"/>
    <w:rsid w:val="00587FE3"/>
    <w:rsid w:val="0059073E"/>
    <w:rsid w:val="00596E3A"/>
    <w:rsid w:val="00597A1E"/>
    <w:rsid w:val="00597C15"/>
    <w:rsid w:val="005A2499"/>
    <w:rsid w:val="005A3C8A"/>
    <w:rsid w:val="005A4820"/>
    <w:rsid w:val="005A609C"/>
    <w:rsid w:val="005A61FE"/>
    <w:rsid w:val="005B1728"/>
    <w:rsid w:val="005B189F"/>
    <w:rsid w:val="005B1AFC"/>
    <w:rsid w:val="005B1EDE"/>
    <w:rsid w:val="005B7DE9"/>
    <w:rsid w:val="005B7E5E"/>
    <w:rsid w:val="005C17B3"/>
    <w:rsid w:val="005C431C"/>
    <w:rsid w:val="005C43AD"/>
    <w:rsid w:val="005C7548"/>
    <w:rsid w:val="005D005F"/>
    <w:rsid w:val="005D0F45"/>
    <w:rsid w:val="005D0F9F"/>
    <w:rsid w:val="005D3BB7"/>
    <w:rsid w:val="005D515F"/>
    <w:rsid w:val="005D7C8E"/>
    <w:rsid w:val="005E0B1A"/>
    <w:rsid w:val="005E1B8E"/>
    <w:rsid w:val="005E2E8E"/>
    <w:rsid w:val="005E30AD"/>
    <w:rsid w:val="005E32D6"/>
    <w:rsid w:val="005E3AE6"/>
    <w:rsid w:val="005E3EA6"/>
    <w:rsid w:val="005E41F1"/>
    <w:rsid w:val="005E56C8"/>
    <w:rsid w:val="005E5E1B"/>
    <w:rsid w:val="005E6661"/>
    <w:rsid w:val="005F0C64"/>
    <w:rsid w:val="005F0C7E"/>
    <w:rsid w:val="005F1FD4"/>
    <w:rsid w:val="005F3001"/>
    <w:rsid w:val="005F3830"/>
    <w:rsid w:val="0060179B"/>
    <w:rsid w:val="00601FFE"/>
    <w:rsid w:val="00603449"/>
    <w:rsid w:val="00604081"/>
    <w:rsid w:val="00604344"/>
    <w:rsid w:val="00604D39"/>
    <w:rsid w:val="00605607"/>
    <w:rsid w:val="006057B2"/>
    <w:rsid w:val="00606BB6"/>
    <w:rsid w:val="006112F2"/>
    <w:rsid w:val="00611447"/>
    <w:rsid w:val="00611951"/>
    <w:rsid w:val="006138AD"/>
    <w:rsid w:val="00613C4A"/>
    <w:rsid w:val="00614ADF"/>
    <w:rsid w:val="00614AFA"/>
    <w:rsid w:val="00614F04"/>
    <w:rsid w:val="00614F5F"/>
    <w:rsid w:val="00616313"/>
    <w:rsid w:val="00616B25"/>
    <w:rsid w:val="006201A7"/>
    <w:rsid w:val="00620218"/>
    <w:rsid w:val="00620F22"/>
    <w:rsid w:val="00621627"/>
    <w:rsid w:val="0062374F"/>
    <w:rsid w:val="00624B23"/>
    <w:rsid w:val="00625E20"/>
    <w:rsid w:val="006265F4"/>
    <w:rsid w:val="00631400"/>
    <w:rsid w:val="00632D56"/>
    <w:rsid w:val="006334E5"/>
    <w:rsid w:val="00634190"/>
    <w:rsid w:val="0063650D"/>
    <w:rsid w:val="006369DF"/>
    <w:rsid w:val="00642064"/>
    <w:rsid w:val="00643F03"/>
    <w:rsid w:val="00643FE5"/>
    <w:rsid w:val="00644D5B"/>
    <w:rsid w:val="00645CD7"/>
    <w:rsid w:val="00645F20"/>
    <w:rsid w:val="00647898"/>
    <w:rsid w:val="006501E6"/>
    <w:rsid w:val="00650288"/>
    <w:rsid w:val="006510C0"/>
    <w:rsid w:val="00654D11"/>
    <w:rsid w:val="00655503"/>
    <w:rsid w:val="00655A91"/>
    <w:rsid w:val="00655BA1"/>
    <w:rsid w:val="00657993"/>
    <w:rsid w:val="006600C7"/>
    <w:rsid w:val="00661EA3"/>
    <w:rsid w:val="00663408"/>
    <w:rsid w:val="0066443D"/>
    <w:rsid w:val="006648BD"/>
    <w:rsid w:val="0066557E"/>
    <w:rsid w:val="0066660D"/>
    <w:rsid w:val="00667A9A"/>
    <w:rsid w:val="00670CAB"/>
    <w:rsid w:val="00670E67"/>
    <w:rsid w:val="00671967"/>
    <w:rsid w:val="00674FB8"/>
    <w:rsid w:val="00675FB5"/>
    <w:rsid w:val="00676A5D"/>
    <w:rsid w:val="00677550"/>
    <w:rsid w:val="00677B5A"/>
    <w:rsid w:val="0068126D"/>
    <w:rsid w:val="00681F59"/>
    <w:rsid w:val="0068244F"/>
    <w:rsid w:val="006830B2"/>
    <w:rsid w:val="006830C4"/>
    <w:rsid w:val="00683B2B"/>
    <w:rsid w:val="00683CCA"/>
    <w:rsid w:val="006845F0"/>
    <w:rsid w:val="00685E2C"/>
    <w:rsid w:val="00686B26"/>
    <w:rsid w:val="006874DE"/>
    <w:rsid w:val="00691147"/>
    <w:rsid w:val="00691A0E"/>
    <w:rsid w:val="00691DEA"/>
    <w:rsid w:val="00692FEC"/>
    <w:rsid w:val="00695558"/>
    <w:rsid w:val="00695DC6"/>
    <w:rsid w:val="006961AC"/>
    <w:rsid w:val="006A1028"/>
    <w:rsid w:val="006A26A0"/>
    <w:rsid w:val="006A6119"/>
    <w:rsid w:val="006A6CBC"/>
    <w:rsid w:val="006A6DA2"/>
    <w:rsid w:val="006A6F56"/>
    <w:rsid w:val="006A76EF"/>
    <w:rsid w:val="006B00FD"/>
    <w:rsid w:val="006B2E2E"/>
    <w:rsid w:val="006B3C2B"/>
    <w:rsid w:val="006B6C53"/>
    <w:rsid w:val="006B6F5D"/>
    <w:rsid w:val="006C0DC1"/>
    <w:rsid w:val="006C2858"/>
    <w:rsid w:val="006C2D89"/>
    <w:rsid w:val="006C38BC"/>
    <w:rsid w:val="006C39E3"/>
    <w:rsid w:val="006C5492"/>
    <w:rsid w:val="006C5855"/>
    <w:rsid w:val="006C7716"/>
    <w:rsid w:val="006D00DC"/>
    <w:rsid w:val="006D11EE"/>
    <w:rsid w:val="006D1D20"/>
    <w:rsid w:val="006D1DE0"/>
    <w:rsid w:val="006D26CE"/>
    <w:rsid w:val="006D2B50"/>
    <w:rsid w:val="006D321C"/>
    <w:rsid w:val="006D36BA"/>
    <w:rsid w:val="006D36FB"/>
    <w:rsid w:val="006D3B79"/>
    <w:rsid w:val="006D3B8C"/>
    <w:rsid w:val="006D51BF"/>
    <w:rsid w:val="006D60C2"/>
    <w:rsid w:val="006D62C7"/>
    <w:rsid w:val="006D630F"/>
    <w:rsid w:val="006D642E"/>
    <w:rsid w:val="006D6576"/>
    <w:rsid w:val="006D68F4"/>
    <w:rsid w:val="006D7054"/>
    <w:rsid w:val="006E23B1"/>
    <w:rsid w:val="006E2CF6"/>
    <w:rsid w:val="006E430F"/>
    <w:rsid w:val="006E4AF1"/>
    <w:rsid w:val="006E4BED"/>
    <w:rsid w:val="006E4BF1"/>
    <w:rsid w:val="006E5E7B"/>
    <w:rsid w:val="006E70FD"/>
    <w:rsid w:val="006F07C6"/>
    <w:rsid w:val="006F127F"/>
    <w:rsid w:val="006F1AD1"/>
    <w:rsid w:val="006F2348"/>
    <w:rsid w:val="006F2E79"/>
    <w:rsid w:val="006F3A3D"/>
    <w:rsid w:val="006F6063"/>
    <w:rsid w:val="006F7627"/>
    <w:rsid w:val="006F7CD8"/>
    <w:rsid w:val="00700E18"/>
    <w:rsid w:val="00700E9B"/>
    <w:rsid w:val="007059E8"/>
    <w:rsid w:val="0070608B"/>
    <w:rsid w:val="007062FC"/>
    <w:rsid w:val="00707050"/>
    <w:rsid w:val="00707C19"/>
    <w:rsid w:val="00710B10"/>
    <w:rsid w:val="00710D9D"/>
    <w:rsid w:val="00713578"/>
    <w:rsid w:val="00713BF3"/>
    <w:rsid w:val="00715E5E"/>
    <w:rsid w:val="00716F64"/>
    <w:rsid w:val="00717434"/>
    <w:rsid w:val="007174C8"/>
    <w:rsid w:val="0072084B"/>
    <w:rsid w:val="00720BAB"/>
    <w:rsid w:val="00721B07"/>
    <w:rsid w:val="00721BB4"/>
    <w:rsid w:val="00722240"/>
    <w:rsid w:val="0072374C"/>
    <w:rsid w:val="007238D1"/>
    <w:rsid w:val="00726326"/>
    <w:rsid w:val="00726B27"/>
    <w:rsid w:val="00730879"/>
    <w:rsid w:val="0073087E"/>
    <w:rsid w:val="007311ED"/>
    <w:rsid w:val="00733DEE"/>
    <w:rsid w:val="00736387"/>
    <w:rsid w:val="007424D6"/>
    <w:rsid w:val="00745F6D"/>
    <w:rsid w:val="007470F4"/>
    <w:rsid w:val="00747D53"/>
    <w:rsid w:val="00750980"/>
    <w:rsid w:val="0075118C"/>
    <w:rsid w:val="007513FF"/>
    <w:rsid w:val="007519D3"/>
    <w:rsid w:val="007548AA"/>
    <w:rsid w:val="007559E8"/>
    <w:rsid w:val="00755C2E"/>
    <w:rsid w:val="007562A9"/>
    <w:rsid w:val="00756D8F"/>
    <w:rsid w:val="0075796A"/>
    <w:rsid w:val="00760985"/>
    <w:rsid w:val="00760DE6"/>
    <w:rsid w:val="00761151"/>
    <w:rsid w:val="00761179"/>
    <w:rsid w:val="00762EEB"/>
    <w:rsid w:val="0076512C"/>
    <w:rsid w:val="007660DE"/>
    <w:rsid w:val="007663AA"/>
    <w:rsid w:val="00766F84"/>
    <w:rsid w:val="0077085B"/>
    <w:rsid w:val="007708C2"/>
    <w:rsid w:val="007717D1"/>
    <w:rsid w:val="0077187D"/>
    <w:rsid w:val="00771B6F"/>
    <w:rsid w:val="007721D9"/>
    <w:rsid w:val="00772BF4"/>
    <w:rsid w:val="00773D12"/>
    <w:rsid w:val="00775272"/>
    <w:rsid w:val="00777A98"/>
    <w:rsid w:val="007809FC"/>
    <w:rsid w:val="00782295"/>
    <w:rsid w:val="00782FF6"/>
    <w:rsid w:val="00783835"/>
    <w:rsid w:val="00783F45"/>
    <w:rsid w:val="00784D54"/>
    <w:rsid w:val="00785976"/>
    <w:rsid w:val="00786726"/>
    <w:rsid w:val="00790FBC"/>
    <w:rsid w:val="00791E1A"/>
    <w:rsid w:val="00791ED1"/>
    <w:rsid w:val="00793366"/>
    <w:rsid w:val="007933DA"/>
    <w:rsid w:val="0079368E"/>
    <w:rsid w:val="00793AA1"/>
    <w:rsid w:val="007945E8"/>
    <w:rsid w:val="00795682"/>
    <w:rsid w:val="007962CD"/>
    <w:rsid w:val="00797EA2"/>
    <w:rsid w:val="007A0E36"/>
    <w:rsid w:val="007A0F9A"/>
    <w:rsid w:val="007A2CDC"/>
    <w:rsid w:val="007A381C"/>
    <w:rsid w:val="007A38A4"/>
    <w:rsid w:val="007A4B8E"/>
    <w:rsid w:val="007A5C06"/>
    <w:rsid w:val="007A6CDE"/>
    <w:rsid w:val="007A74C4"/>
    <w:rsid w:val="007B037C"/>
    <w:rsid w:val="007B128F"/>
    <w:rsid w:val="007B29FD"/>
    <w:rsid w:val="007B35A2"/>
    <w:rsid w:val="007B37DF"/>
    <w:rsid w:val="007B4CF9"/>
    <w:rsid w:val="007B50BF"/>
    <w:rsid w:val="007B652A"/>
    <w:rsid w:val="007B667E"/>
    <w:rsid w:val="007B70B1"/>
    <w:rsid w:val="007B7EFB"/>
    <w:rsid w:val="007C1599"/>
    <w:rsid w:val="007C15AC"/>
    <w:rsid w:val="007C1F7C"/>
    <w:rsid w:val="007C2C11"/>
    <w:rsid w:val="007C4E20"/>
    <w:rsid w:val="007C5067"/>
    <w:rsid w:val="007C5A4E"/>
    <w:rsid w:val="007C660E"/>
    <w:rsid w:val="007D2945"/>
    <w:rsid w:val="007D35D4"/>
    <w:rsid w:val="007D36F8"/>
    <w:rsid w:val="007D3A18"/>
    <w:rsid w:val="007D3EAF"/>
    <w:rsid w:val="007D5157"/>
    <w:rsid w:val="007D69BE"/>
    <w:rsid w:val="007D71A9"/>
    <w:rsid w:val="007E084E"/>
    <w:rsid w:val="007E136F"/>
    <w:rsid w:val="007E2898"/>
    <w:rsid w:val="007E3240"/>
    <w:rsid w:val="007E3416"/>
    <w:rsid w:val="007E3A13"/>
    <w:rsid w:val="007E3CB4"/>
    <w:rsid w:val="007E4E09"/>
    <w:rsid w:val="007E5B36"/>
    <w:rsid w:val="007E6839"/>
    <w:rsid w:val="007E6C16"/>
    <w:rsid w:val="007F3013"/>
    <w:rsid w:val="007F3500"/>
    <w:rsid w:val="007F6CD4"/>
    <w:rsid w:val="007F6F16"/>
    <w:rsid w:val="00803DA0"/>
    <w:rsid w:val="00806551"/>
    <w:rsid w:val="008079E2"/>
    <w:rsid w:val="00810FEF"/>
    <w:rsid w:val="00811ADF"/>
    <w:rsid w:val="00814482"/>
    <w:rsid w:val="00814787"/>
    <w:rsid w:val="00814CC8"/>
    <w:rsid w:val="00815B9C"/>
    <w:rsid w:val="00815CF9"/>
    <w:rsid w:val="008167A0"/>
    <w:rsid w:val="008175AA"/>
    <w:rsid w:val="00817965"/>
    <w:rsid w:val="008200E6"/>
    <w:rsid w:val="00820682"/>
    <w:rsid w:val="0082081E"/>
    <w:rsid w:val="00821950"/>
    <w:rsid w:val="008219B9"/>
    <w:rsid w:val="00821AB7"/>
    <w:rsid w:val="00822919"/>
    <w:rsid w:val="008243AA"/>
    <w:rsid w:val="00824C11"/>
    <w:rsid w:val="00825D07"/>
    <w:rsid w:val="0082673F"/>
    <w:rsid w:val="00826F48"/>
    <w:rsid w:val="008271C9"/>
    <w:rsid w:val="00827232"/>
    <w:rsid w:val="0083056B"/>
    <w:rsid w:val="00831BF8"/>
    <w:rsid w:val="008330DE"/>
    <w:rsid w:val="008346BE"/>
    <w:rsid w:val="00834E4A"/>
    <w:rsid w:val="008352A7"/>
    <w:rsid w:val="008353F4"/>
    <w:rsid w:val="00835C21"/>
    <w:rsid w:val="0083691A"/>
    <w:rsid w:val="00837144"/>
    <w:rsid w:val="008374F5"/>
    <w:rsid w:val="0084059F"/>
    <w:rsid w:val="008405C1"/>
    <w:rsid w:val="00841673"/>
    <w:rsid w:val="00843D53"/>
    <w:rsid w:val="0084461D"/>
    <w:rsid w:val="00844B7B"/>
    <w:rsid w:val="00844D32"/>
    <w:rsid w:val="00845B4D"/>
    <w:rsid w:val="00845C46"/>
    <w:rsid w:val="00847674"/>
    <w:rsid w:val="00847D6C"/>
    <w:rsid w:val="0085053A"/>
    <w:rsid w:val="008506A4"/>
    <w:rsid w:val="00850C5C"/>
    <w:rsid w:val="00851ED4"/>
    <w:rsid w:val="00853421"/>
    <w:rsid w:val="00854FD4"/>
    <w:rsid w:val="00855267"/>
    <w:rsid w:val="00856532"/>
    <w:rsid w:val="00856D6A"/>
    <w:rsid w:val="00857903"/>
    <w:rsid w:val="008637AC"/>
    <w:rsid w:val="00863B93"/>
    <w:rsid w:val="00863EAB"/>
    <w:rsid w:val="00866110"/>
    <w:rsid w:val="00867DE7"/>
    <w:rsid w:val="0087147B"/>
    <w:rsid w:val="00871A5A"/>
    <w:rsid w:val="00871CC1"/>
    <w:rsid w:val="00871DB5"/>
    <w:rsid w:val="00872A66"/>
    <w:rsid w:val="00872F87"/>
    <w:rsid w:val="00873852"/>
    <w:rsid w:val="008755F0"/>
    <w:rsid w:val="0087753C"/>
    <w:rsid w:val="0088125D"/>
    <w:rsid w:val="008816A6"/>
    <w:rsid w:val="00883BB4"/>
    <w:rsid w:val="008840D0"/>
    <w:rsid w:val="00885A1C"/>
    <w:rsid w:val="008863BC"/>
    <w:rsid w:val="00886E46"/>
    <w:rsid w:val="008878C1"/>
    <w:rsid w:val="008900B0"/>
    <w:rsid w:val="00890C57"/>
    <w:rsid w:val="0089358A"/>
    <w:rsid w:val="0089495E"/>
    <w:rsid w:val="00894BBB"/>
    <w:rsid w:val="00894BDD"/>
    <w:rsid w:val="00895FD5"/>
    <w:rsid w:val="00897D50"/>
    <w:rsid w:val="00897F75"/>
    <w:rsid w:val="008A07DA"/>
    <w:rsid w:val="008A0CCF"/>
    <w:rsid w:val="008A17F6"/>
    <w:rsid w:val="008A2324"/>
    <w:rsid w:val="008A357F"/>
    <w:rsid w:val="008A3655"/>
    <w:rsid w:val="008A3F71"/>
    <w:rsid w:val="008A6421"/>
    <w:rsid w:val="008A6831"/>
    <w:rsid w:val="008A6F59"/>
    <w:rsid w:val="008B05A9"/>
    <w:rsid w:val="008B17FF"/>
    <w:rsid w:val="008B30D0"/>
    <w:rsid w:val="008B4DD8"/>
    <w:rsid w:val="008B5B80"/>
    <w:rsid w:val="008C1D8B"/>
    <w:rsid w:val="008C2349"/>
    <w:rsid w:val="008C2359"/>
    <w:rsid w:val="008C2B6B"/>
    <w:rsid w:val="008C4105"/>
    <w:rsid w:val="008C6CB9"/>
    <w:rsid w:val="008C75F3"/>
    <w:rsid w:val="008C787A"/>
    <w:rsid w:val="008D0D07"/>
    <w:rsid w:val="008D2251"/>
    <w:rsid w:val="008D3313"/>
    <w:rsid w:val="008D4E2D"/>
    <w:rsid w:val="008D4E40"/>
    <w:rsid w:val="008D4FC2"/>
    <w:rsid w:val="008D5E96"/>
    <w:rsid w:val="008D6BC6"/>
    <w:rsid w:val="008D7216"/>
    <w:rsid w:val="008D7266"/>
    <w:rsid w:val="008D7430"/>
    <w:rsid w:val="008D76AC"/>
    <w:rsid w:val="008E05AC"/>
    <w:rsid w:val="008E06BC"/>
    <w:rsid w:val="008E1CD9"/>
    <w:rsid w:val="008E1FCE"/>
    <w:rsid w:val="008E3587"/>
    <w:rsid w:val="008E6FA0"/>
    <w:rsid w:val="008F29E3"/>
    <w:rsid w:val="008F2D6D"/>
    <w:rsid w:val="008F37D3"/>
    <w:rsid w:val="008F41E8"/>
    <w:rsid w:val="008F622F"/>
    <w:rsid w:val="008F6647"/>
    <w:rsid w:val="008F6B62"/>
    <w:rsid w:val="008F7356"/>
    <w:rsid w:val="00900148"/>
    <w:rsid w:val="00901648"/>
    <w:rsid w:val="009023FF"/>
    <w:rsid w:val="009026D0"/>
    <w:rsid w:val="00902C2D"/>
    <w:rsid w:val="009039C2"/>
    <w:rsid w:val="00903CFC"/>
    <w:rsid w:val="00904560"/>
    <w:rsid w:val="009051F2"/>
    <w:rsid w:val="00906558"/>
    <w:rsid w:val="009066E8"/>
    <w:rsid w:val="009072BA"/>
    <w:rsid w:val="0090766A"/>
    <w:rsid w:val="0091525B"/>
    <w:rsid w:val="0091680D"/>
    <w:rsid w:val="009200D6"/>
    <w:rsid w:val="00920439"/>
    <w:rsid w:val="0092092E"/>
    <w:rsid w:val="00921321"/>
    <w:rsid w:val="009229BA"/>
    <w:rsid w:val="00923075"/>
    <w:rsid w:val="00923D74"/>
    <w:rsid w:val="00923DE2"/>
    <w:rsid w:val="00924D8E"/>
    <w:rsid w:val="00925BE7"/>
    <w:rsid w:val="009323ED"/>
    <w:rsid w:val="009328D1"/>
    <w:rsid w:val="00933372"/>
    <w:rsid w:val="00933AF5"/>
    <w:rsid w:val="0093413F"/>
    <w:rsid w:val="009349CF"/>
    <w:rsid w:val="00934B0D"/>
    <w:rsid w:val="009358A1"/>
    <w:rsid w:val="00935926"/>
    <w:rsid w:val="00935945"/>
    <w:rsid w:val="00935CB9"/>
    <w:rsid w:val="0093700B"/>
    <w:rsid w:val="00937CC8"/>
    <w:rsid w:val="009409F3"/>
    <w:rsid w:val="009423FC"/>
    <w:rsid w:val="00943500"/>
    <w:rsid w:val="00944F7A"/>
    <w:rsid w:val="00946518"/>
    <w:rsid w:val="00950457"/>
    <w:rsid w:val="009525D1"/>
    <w:rsid w:val="00953B3F"/>
    <w:rsid w:val="0095564A"/>
    <w:rsid w:val="00955EDA"/>
    <w:rsid w:val="00955FCE"/>
    <w:rsid w:val="009565AD"/>
    <w:rsid w:val="00957183"/>
    <w:rsid w:val="00960B1B"/>
    <w:rsid w:val="00960BB1"/>
    <w:rsid w:val="00961A74"/>
    <w:rsid w:val="009631D1"/>
    <w:rsid w:val="00963963"/>
    <w:rsid w:val="00964D90"/>
    <w:rsid w:val="009652D4"/>
    <w:rsid w:val="0096539F"/>
    <w:rsid w:val="00965451"/>
    <w:rsid w:val="0096560F"/>
    <w:rsid w:val="00965F8C"/>
    <w:rsid w:val="00966886"/>
    <w:rsid w:val="0097014E"/>
    <w:rsid w:val="009717B3"/>
    <w:rsid w:val="00971939"/>
    <w:rsid w:val="0097291E"/>
    <w:rsid w:val="009739E5"/>
    <w:rsid w:val="00974B38"/>
    <w:rsid w:val="00974E53"/>
    <w:rsid w:val="0097532F"/>
    <w:rsid w:val="00975872"/>
    <w:rsid w:val="00980D24"/>
    <w:rsid w:val="009817B2"/>
    <w:rsid w:val="00982432"/>
    <w:rsid w:val="00982718"/>
    <w:rsid w:val="00983331"/>
    <w:rsid w:val="00983477"/>
    <w:rsid w:val="0098381D"/>
    <w:rsid w:val="00984299"/>
    <w:rsid w:val="00984E0C"/>
    <w:rsid w:val="009854A1"/>
    <w:rsid w:val="00985A27"/>
    <w:rsid w:val="00986180"/>
    <w:rsid w:val="009864FE"/>
    <w:rsid w:val="00986AF2"/>
    <w:rsid w:val="009905E1"/>
    <w:rsid w:val="00990886"/>
    <w:rsid w:val="00990E7F"/>
    <w:rsid w:val="009918B0"/>
    <w:rsid w:val="00991B2E"/>
    <w:rsid w:val="00991E04"/>
    <w:rsid w:val="00992210"/>
    <w:rsid w:val="00993707"/>
    <w:rsid w:val="00994AA9"/>
    <w:rsid w:val="0099512D"/>
    <w:rsid w:val="009A4B7E"/>
    <w:rsid w:val="009A59FE"/>
    <w:rsid w:val="009A738E"/>
    <w:rsid w:val="009B13E5"/>
    <w:rsid w:val="009B1EE7"/>
    <w:rsid w:val="009B3929"/>
    <w:rsid w:val="009B4A48"/>
    <w:rsid w:val="009B4A60"/>
    <w:rsid w:val="009B5A08"/>
    <w:rsid w:val="009B5CE9"/>
    <w:rsid w:val="009B5EF0"/>
    <w:rsid w:val="009B711C"/>
    <w:rsid w:val="009B7E7C"/>
    <w:rsid w:val="009C2628"/>
    <w:rsid w:val="009C2E76"/>
    <w:rsid w:val="009C30FC"/>
    <w:rsid w:val="009C315C"/>
    <w:rsid w:val="009C38B9"/>
    <w:rsid w:val="009C3CA5"/>
    <w:rsid w:val="009C532E"/>
    <w:rsid w:val="009C5CC6"/>
    <w:rsid w:val="009D20F9"/>
    <w:rsid w:val="009D2142"/>
    <w:rsid w:val="009D2F71"/>
    <w:rsid w:val="009D4490"/>
    <w:rsid w:val="009D49CD"/>
    <w:rsid w:val="009D5C46"/>
    <w:rsid w:val="009D5D5A"/>
    <w:rsid w:val="009D5DF0"/>
    <w:rsid w:val="009D61D9"/>
    <w:rsid w:val="009D643B"/>
    <w:rsid w:val="009D654B"/>
    <w:rsid w:val="009D6949"/>
    <w:rsid w:val="009E0290"/>
    <w:rsid w:val="009E0393"/>
    <w:rsid w:val="009E188B"/>
    <w:rsid w:val="009E1F1C"/>
    <w:rsid w:val="009E1F46"/>
    <w:rsid w:val="009E22B6"/>
    <w:rsid w:val="009E3E07"/>
    <w:rsid w:val="009E4074"/>
    <w:rsid w:val="009E43A9"/>
    <w:rsid w:val="009E43FF"/>
    <w:rsid w:val="009E4639"/>
    <w:rsid w:val="009E47A6"/>
    <w:rsid w:val="009E4F13"/>
    <w:rsid w:val="009E5017"/>
    <w:rsid w:val="009E5948"/>
    <w:rsid w:val="009F0E33"/>
    <w:rsid w:val="009F0E35"/>
    <w:rsid w:val="009F53EF"/>
    <w:rsid w:val="009F5A4A"/>
    <w:rsid w:val="009F625E"/>
    <w:rsid w:val="009F6EA9"/>
    <w:rsid w:val="009F768F"/>
    <w:rsid w:val="009F7A7B"/>
    <w:rsid w:val="00A008C8"/>
    <w:rsid w:val="00A00A2C"/>
    <w:rsid w:val="00A019C7"/>
    <w:rsid w:val="00A022BD"/>
    <w:rsid w:val="00A027B2"/>
    <w:rsid w:val="00A02B09"/>
    <w:rsid w:val="00A0368E"/>
    <w:rsid w:val="00A04CB1"/>
    <w:rsid w:val="00A05FC3"/>
    <w:rsid w:val="00A0728E"/>
    <w:rsid w:val="00A109D1"/>
    <w:rsid w:val="00A11046"/>
    <w:rsid w:val="00A12318"/>
    <w:rsid w:val="00A12B59"/>
    <w:rsid w:val="00A12D7E"/>
    <w:rsid w:val="00A1448C"/>
    <w:rsid w:val="00A1487D"/>
    <w:rsid w:val="00A16397"/>
    <w:rsid w:val="00A1781D"/>
    <w:rsid w:val="00A22714"/>
    <w:rsid w:val="00A22F32"/>
    <w:rsid w:val="00A240B7"/>
    <w:rsid w:val="00A248CE"/>
    <w:rsid w:val="00A24D7A"/>
    <w:rsid w:val="00A2510C"/>
    <w:rsid w:val="00A26080"/>
    <w:rsid w:val="00A260D8"/>
    <w:rsid w:val="00A276A5"/>
    <w:rsid w:val="00A27890"/>
    <w:rsid w:val="00A27B94"/>
    <w:rsid w:val="00A30303"/>
    <w:rsid w:val="00A343E9"/>
    <w:rsid w:val="00A3445E"/>
    <w:rsid w:val="00A35E0A"/>
    <w:rsid w:val="00A3627F"/>
    <w:rsid w:val="00A36A6C"/>
    <w:rsid w:val="00A36E8D"/>
    <w:rsid w:val="00A37A30"/>
    <w:rsid w:val="00A42330"/>
    <w:rsid w:val="00A44D58"/>
    <w:rsid w:val="00A4637C"/>
    <w:rsid w:val="00A47D69"/>
    <w:rsid w:val="00A519BE"/>
    <w:rsid w:val="00A546B3"/>
    <w:rsid w:val="00A5588F"/>
    <w:rsid w:val="00A55CEF"/>
    <w:rsid w:val="00A563DA"/>
    <w:rsid w:val="00A56FB3"/>
    <w:rsid w:val="00A60D51"/>
    <w:rsid w:val="00A63DFA"/>
    <w:rsid w:val="00A64293"/>
    <w:rsid w:val="00A64AE2"/>
    <w:rsid w:val="00A656B0"/>
    <w:rsid w:val="00A67667"/>
    <w:rsid w:val="00A706F4"/>
    <w:rsid w:val="00A713FB"/>
    <w:rsid w:val="00A7226D"/>
    <w:rsid w:val="00A72D73"/>
    <w:rsid w:val="00A73144"/>
    <w:rsid w:val="00A742FB"/>
    <w:rsid w:val="00A7432E"/>
    <w:rsid w:val="00A743D2"/>
    <w:rsid w:val="00A74ED2"/>
    <w:rsid w:val="00A74F29"/>
    <w:rsid w:val="00A7665C"/>
    <w:rsid w:val="00A771AD"/>
    <w:rsid w:val="00A77CF0"/>
    <w:rsid w:val="00A82C86"/>
    <w:rsid w:val="00A82CCF"/>
    <w:rsid w:val="00A83603"/>
    <w:rsid w:val="00A83BC7"/>
    <w:rsid w:val="00A84554"/>
    <w:rsid w:val="00A84DC1"/>
    <w:rsid w:val="00A85842"/>
    <w:rsid w:val="00A86926"/>
    <w:rsid w:val="00A87A5A"/>
    <w:rsid w:val="00A9293E"/>
    <w:rsid w:val="00A92A25"/>
    <w:rsid w:val="00A93346"/>
    <w:rsid w:val="00A954F9"/>
    <w:rsid w:val="00A97510"/>
    <w:rsid w:val="00AA0BD3"/>
    <w:rsid w:val="00AA1DFF"/>
    <w:rsid w:val="00AA4011"/>
    <w:rsid w:val="00AA57CF"/>
    <w:rsid w:val="00AA6156"/>
    <w:rsid w:val="00AA7EDE"/>
    <w:rsid w:val="00AB1BC2"/>
    <w:rsid w:val="00AB1C74"/>
    <w:rsid w:val="00AB1CF0"/>
    <w:rsid w:val="00AB2658"/>
    <w:rsid w:val="00AB3828"/>
    <w:rsid w:val="00AB44D0"/>
    <w:rsid w:val="00AB542D"/>
    <w:rsid w:val="00AB54D4"/>
    <w:rsid w:val="00AB6DC6"/>
    <w:rsid w:val="00AB6E0A"/>
    <w:rsid w:val="00AB7457"/>
    <w:rsid w:val="00AC0429"/>
    <w:rsid w:val="00AC090C"/>
    <w:rsid w:val="00AC19AB"/>
    <w:rsid w:val="00AC2109"/>
    <w:rsid w:val="00AC2705"/>
    <w:rsid w:val="00AC5686"/>
    <w:rsid w:val="00AC5C85"/>
    <w:rsid w:val="00AC7609"/>
    <w:rsid w:val="00AC7690"/>
    <w:rsid w:val="00AC79BA"/>
    <w:rsid w:val="00AD1C62"/>
    <w:rsid w:val="00AD3285"/>
    <w:rsid w:val="00AD3393"/>
    <w:rsid w:val="00AD378C"/>
    <w:rsid w:val="00AD5E9B"/>
    <w:rsid w:val="00AE1A6C"/>
    <w:rsid w:val="00AE1AC2"/>
    <w:rsid w:val="00AE36C9"/>
    <w:rsid w:val="00AE54C7"/>
    <w:rsid w:val="00AE59B9"/>
    <w:rsid w:val="00AE5D9B"/>
    <w:rsid w:val="00AE79DD"/>
    <w:rsid w:val="00AF1119"/>
    <w:rsid w:val="00AF1B70"/>
    <w:rsid w:val="00AF1C3F"/>
    <w:rsid w:val="00AF2299"/>
    <w:rsid w:val="00AF277A"/>
    <w:rsid w:val="00AF48DC"/>
    <w:rsid w:val="00AF4A7C"/>
    <w:rsid w:val="00AF4E87"/>
    <w:rsid w:val="00AF7709"/>
    <w:rsid w:val="00AF7E33"/>
    <w:rsid w:val="00B01008"/>
    <w:rsid w:val="00B0264C"/>
    <w:rsid w:val="00B03DF2"/>
    <w:rsid w:val="00B03EE2"/>
    <w:rsid w:val="00B05EAC"/>
    <w:rsid w:val="00B0645C"/>
    <w:rsid w:val="00B070FA"/>
    <w:rsid w:val="00B07AE7"/>
    <w:rsid w:val="00B10C70"/>
    <w:rsid w:val="00B13DBA"/>
    <w:rsid w:val="00B14EC5"/>
    <w:rsid w:val="00B152BC"/>
    <w:rsid w:val="00B16703"/>
    <w:rsid w:val="00B17FB8"/>
    <w:rsid w:val="00B2055A"/>
    <w:rsid w:val="00B20C67"/>
    <w:rsid w:val="00B21257"/>
    <w:rsid w:val="00B2132D"/>
    <w:rsid w:val="00B22D15"/>
    <w:rsid w:val="00B24713"/>
    <w:rsid w:val="00B24755"/>
    <w:rsid w:val="00B2763E"/>
    <w:rsid w:val="00B27A38"/>
    <w:rsid w:val="00B30DB7"/>
    <w:rsid w:val="00B30F1E"/>
    <w:rsid w:val="00B33412"/>
    <w:rsid w:val="00B3434F"/>
    <w:rsid w:val="00B348A7"/>
    <w:rsid w:val="00B352F9"/>
    <w:rsid w:val="00B3586E"/>
    <w:rsid w:val="00B36206"/>
    <w:rsid w:val="00B36BF2"/>
    <w:rsid w:val="00B3740F"/>
    <w:rsid w:val="00B4051E"/>
    <w:rsid w:val="00B40CB7"/>
    <w:rsid w:val="00B415FD"/>
    <w:rsid w:val="00B42435"/>
    <w:rsid w:val="00B43349"/>
    <w:rsid w:val="00B45BD2"/>
    <w:rsid w:val="00B50737"/>
    <w:rsid w:val="00B50E4F"/>
    <w:rsid w:val="00B519EB"/>
    <w:rsid w:val="00B521CB"/>
    <w:rsid w:val="00B539F5"/>
    <w:rsid w:val="00B53C00"/>
    <w:rsid w:val="00B54226"/>
    <w:rsid w:val="00B542FB"/>
    <w:rsid w:val="00B5453B"/>
    <w:rsid w:val="00B551D5"/>
    <w:rsid w:val="00B55450"/>
    <w:rsid w:val="00B55657"/>
    <w:rsid w:val="00B55F1E"/>
    <w:rsid w:val="00B5639E"/>
    <w:rsid w:val="00B564B1"/>
    <w:rsid w:val="00B56B84"/>
    <w:rsid w:val="00B57A71"/>
    <w:rsid w:val="00B60B38"/>
    <w:rsid w:val="00B61077"/>
    <w:rsid w:val="00B61752"/>
    <w:rsid w:val="00B62D65"/>
    <w:rsid w:val="00B65183"/>
    <w:rsid w:val="00B66AF7"/>
    <w:rsid w:val="00B67078"/>
    <w:rsid w:val="00B67205"/>
    <w:rsid w:val="00B67DA8"/>
    <w:rsid w:val="00B70517"/>
    <w:rsid w:val="00B71022"/>
    <w:rsid w:val="00B71CEB"/>
    <w:rsid w:val="00B73513"/>
    <w:rsid w:val="00B7455A"/>
    <w:rsid w:val="00B74C88"/>
    <w:rsid w:val="00B75148"/>
    <w:rsid w:val="00B769EF"/>
    <w:rsid w:val="00B779F4"/>
    <w:rsid w:val="00B77D80"/>
    <w:rsid w:val="00B81985"/>
    <w:rsid w:val="00B81CFE"/>
    <w:rsid w:val="00B82CC6"/>
    <w:rsid w:val="00B847A4"/>
    <w:rsid w:val="00B86EAC"/>
    <w:rsid w:val="00B90073"/>
    <w:rsid w:val="00B91511"/>
    <w:rsid w:val="00B94C6A"/>
    <w:rsid w:val="00B970FC"/>
    <w:rsid w:val="00B97191"/>
    <w:rsid w:val="00BA32BB"/>
    <w:rsid w:val="00BA4F84"/>
    <w:rsid w:val="00BA555B"/>
    <w:rsid w:val="00BA6AE4"/>
    <w:rsid w:val="00BA6FF9"/>
    <w:rsid w:val="00BA7424"/>
    <w:rsid w:val="00BB05DA"/>
    <w:rsid w:val="00BB24A1"/>
    <w:rsid w:val="00BB2E6F"/>
    <w:rsid w:val="00BB69B9"/>
    <w:rsid w:val="00BB6C2F"/>
    <w:rsid w:val="00BC0BCF"/>
    <w:rsid w:val="00BC0E59"/>
    <w:rsid w:val="00BC2388"/>
    <w:rsid w:val="00BC3221"/>
    <w:rsid w:val="00BC3691"/>
    <w:rsid w:val="00BC3C7F"/>
    <w:rsid w:val="00BC3CF4"/>
    <w:rsid w:val="00BC4199"/>
    <w:rsid w:val="00BC5A28"/>
    <w:rsid w:val="00BC5AB7"/>
    <w:rsid w:val="00BC5D2D"/>
    <w:rsid w:val="00BC6598"/>
    <w:rsid w:val="00BC666A"/>
    <w:rsid w:val="00BD0C98"/>
    <w:rsid w:val="00BD0D0B"/>
    <w:rsid w:val="00BD1975"/>
    <w:rsid w:val="00BD1D70"/>
    <w:rsid w:val="00BD29F1"/>
    <w:rsid w:val="00BD35FD"/>
    <w:rsid w:val="00BD413E"/>
    <w:rsid w:val="00BD5E5F"/>
    <w:rsid w:val="00BD6CE9"/>
    <w:rsid w:val="00BD6F47"/>
    <w:rsid w:val="00BD7E4C"/>
    <w:rsid w:val="00BE01C9"/>
    <w:rsid w:val="00BE13E9"/>
    <w:rsid w:val="00BE16C5"/>
    <w:rsid w:val="00BE1797"/>
    <w:rsid w:val="00BE2C2B"/>
    <w:rsid w:val="00BE3A9B"/>
    <w:rsid w:val="00BE3CB6"/>
    <w:rsid w:val="00BE4181"/>
    <w:rsid w:val="00BE41B6"/>
    <w:rsid w:val="00BE499A"/>
    <w:rsid w:val="00BE5DF1"/>
    <w:rsid w:val="00BE65D7"/>
    <w:rsid w:val="00BE6C67"/>
    <w:rsid w:val="00BF0858"/>
    <w:rsid w:val="00BF1814"/>
    <w:rsid w:val="00BF248A"/>
    <w:rsid w:val="00BF28E0"/>
    <w:rsid w:val="00BF421E"/>
    <w:rsid w:val="00BF485E"/>
    <w:rsid w:val="00BF4B87"/>
    <w:rsid w:val="00BF6322"/>
    <w:rsid w:val="00BF66E4"/>
    <w:rsid w:val="00BF68BF"/>
    <w:rsid w:val="00BF6A78"/>
    <w:rsid w:val="00BF7557"/>
    <w:rsid w:val="00BF7AE3"/>
    <w:rsid w:val="00BF7F47"/>
    <w:rsid w:val="00C01499"/>
    <w:rsid w:val="00C0179D"/>
    <w:rsid w:val="00C01A3E"/>
    <w:rsid w:val="00C03367"/>
    <w:rsid w:val="00C04F97"/>
    <w:rsid w:val="00C05542"/>
    <w:rsid w:val="00C05D9A"/>
    <w:rsid w:val="00C10CDF"/>
    <w:rsid w:val="00C110EC"/>
    <w:rsid w:val="00C11515"/>
    <w:rsid w:val="00C130C1"/>
    <w:rsid w:val="00C13B0F"/>
    <w:rsid w:val="00C1462F"/>
    <w:rsid w:val="00C14EA5"/>
    <w:rsid w:val="00C1670E"/>
    <w:rsid w:val="00C16DE2"/>
    <w:rsid w:val="00C205D5"/>
    <w:rsid w:val="00C20D9C"/>
    <w:rsid w:val="00C2183E"/>
    <w:rsid w:val="00C21D56"/>
    <w:rsid w:val="00C2580C"/>
    <w:rsid w:val="00C265A0"/>
    <w:rsid w:val="00C26A69"/>
    <w:rsid w:val="00C310D9"/>
    <w:rsid w:val="00C3206F"/>
    <w:rsid w:val="00C333D3"/>
    <w:rsid w:val="00C34A2D"/>
    <w:rsid w:val="00C34F58"/>
    <w:rsid w:val="00C35265"/>
    <w:rsid w:val="00C40303"/>
    <w:rsid w:val="00C41629"/>
    <w:rsid w:val="00C42C46"/>
    <w:rsid w:val="00C52A16"/>
    <w:rsid w:val="00C53727"/>
    <w:rsid w:val="00C54DDD"/>
    <w:rsid w:val="00C55CBF"/>
    <w:rsid w:val="00C566C3"/>
    <w:rsid w:val="00C602D5"/>
    <w:rsid w:val="00C61382"/>
    <w:rsid w:val="00C61A4E"/>
    <w:rsid w:val="00C622C2"/>
    <w:rsid w:val="00C63EA1"/>
    <w:rsid w:val="00C65CDA"/>
    <w:rsid w:val="00C660A5"/>
    <w:rsid w:val="00C66F17"/>
    <w:rsid w:val="00C67A85"/>
    <w:rsid w:val="00C70F49"/>
    <w:rsid w:val="00C73792"/>
    <w:rsid w:val="00C738DD"/>
    <w:rsid w:val="00C741E1"/>
    <w:rsid w:val="00C74733"/>
    <w:rsid w:val="00C76537"/>
    <w:rsid w:val="00C80134"/>
    <w:rsid w:val="00C807C9"/>
    <w:rsid w:val="00C808E9"/>
    <w:rsid w:val="00C8146E"/>
    <w:rsid w:val="00C81A50"/>
    <w:rsid w:val="00C822FE"/>
    <w:rsid w:val="00C82A6C"/>
    <w:rsid w:val="00C83919"/>
    <w:rsid w:val="00C84204"/>
    <w:rsid w:val="00C842B7"/>
    <w:rsid w:val="00C857C1"/>
    <w:rsid w:val="00C87824"/>
    <w:rsid w:val="00C91500"/>
    <w:rsid w:val="00C919FD"/>
    <w:rsid w:val="00C926F3"/>
    <w:rsid w:val="00C92AFE"/>
    <w:rsid w:val="00C931B0"/>
    <w:rsid w:val="00C9385E"/>
    <w:rsid w:val="00C94B35"/>
    <w:rsid w:val="00C955BB"/>
    <w:rsid w:val="00C9775D"/>
    <w:rsid w:val="00CA3BEA"/>
    <w:rsid w:val="00CA41FE"/>
    <w:rsid w:val="00CA4292"/>
    <w:rsid w:val="00CA4FD8"/>
    <w:rsid w:val="00CA547C"/>
    <w:rsid w:val="00CA5B25"/>
    <w:rsid w:val="00CA7E25"/>
    <w:rsid w:val="00CB38B3"/>
    <w:rsid w:val="00CB480C"/>
    <w:rsid w:val="00CB7892"/>
    <w:rsid w:val="00CC0C38"/>
    <w:rsid w:val="00CC233B"/>
    <w:rsid w:val="00CC4916"/>
    <w:rsid w:val="00CC4D76"/>
    <w:rsid w:val="00CC5FF3"/>
    <w:rsid w:val="00CD156B"/>
    <w:rsid w:val="00CD218F"/>
    <w:rsid w:val="00CD32DF"/>
    <w:rsid w:val="00CD36D0"/>
    <w:rsid w:val="00CD4425"/>
    <w:rsid w:val="00CD579E"/>
    <w:rsid w:val="00CD7066"/>
    <w:rsid w:val="00CD7EE2"/>
    <w:rsid w:val="00CE0089"/>
    <w:rsid w:val="00CE14C6"/>
    <w:rsid w:val="00CE1BA8"/>
    <w:rsid w:val="00CE28D4"/>
    <w:rsid w:val="00CE3654"/>
    <w:rsid w:val="00CE5A21"/>
    <w:rsid w:val="00CE68BE"/>
    <w:rsid w:val="00CE7F84"/>
    <w:rsid w:val="00CF19B4"/>
    <w:rsid w:val="00CF3050"/>
    <w:rsid w:val="00CF343B"/>
    <w:rsid w:val="00CF38E1"/>
    <w:rsid w:val="00CF519C"/>
    <w:rsid w:val="00CF5BBA"/>
    <w:rsid w:val="00D00643"/>
    <w:rsid w:val="00D00D77"/>
    <w:rsid w:val="00D015A7"/>
    <w:rsid w:val="00D018AF"/>
    <w:rsid w:val="00D038D9"/>
    <w:rsid w:val="00D06B0A"/>
    <w:rsid w:val="00D07DF6"/>
    <w:rsid w:val="00D1082C"/>
    <w:rsid w:val="00D12E89"/>
    <w:rsid w:val="00D13C9D"/>
    <w:rsid w:val="00D149ED"/>
    <w:rsid w:val="00D14AD3"/>
    <w:rsid w:val="00D1607C"/>
    <w:rsid w:val="00D16E10"/>
    <w:rsid w:val="00D2001F"/>
    <w:rsid w:val="00D21623"/>
    <w:rsid w:val="00D22014"/>
    <w:rsid w:val="00D224D6"/>
    <w:rsid w:val="00D22C94"/>
    <w:rsid w:val="00D23982"/>
    <w:rsid w:val="00D23B14"/>
    <w:rsid w:val="00D25119"/>
    <w:rsid w:val="00D267B4"/>
    <w:rsid w:val="00D26917"/>
    <w:rsid w:val="00D27992"/>
    <w:rsid w:val="00D27C80"/>
    <w:rsid w:val="00D301EA"/>
    <w:rsid w:val="00D3322B"/>
    <w:rsid w:val="00D35193"/>
    <w:rsid w:val="00D35410"/>
    <w:rsid w:val="00D36B12"/>
    <w:rsid w:val="00D36E8F"/>
    <w:rsid w:val="00D40D9C"/>
    <w:rsid w:val="00D420BC"/>
    <w:rsid w:val="00D422B2"/>
    <w:rsid w:val="00D45D6D"/>
    <w:rsid w:val="00D50036"/>
    <w:rsid w:val="00D51995"/>
    <w:rsid w:val="00D51D63"/>
    <w:rsid w:val="00D52384"/>
    <w:rsid w:val="00D52B44"/>
    <w:rsid w:val="00D52D76"/>
    <w:rsid w:val="00D53470"/>
    <w:rsid w:val="00D53A7A"/>
    <w:rsid w:val="00D5584F"/>
    <w:rsid w:val="00D55E62"/>
    <w:rsid w:val="00D57588"/>
    <w:rsid w:val="00D575C2"/>
    <w:rsid w:val="00D6023C"/>
    <w:rsid w:val="00D6097E"/>
    <w:rsid w:val="00D61E97"/>
    <w:rsid w:val="00D636D7"/>
    <w:rsid w:val="00D63A1B"/>
    <w:rsid w:val="00D63BD1"/>
    <w:rsid w:val="00D63EAE"/>
    <w:rsid w:val="00D643FA"/>
    <w:rsid w:val="00D644B5"/>
    <w:rsid w:val="00D6661F"/>
    <w:rsid w:val="00D703C0"/>
    <w:rsid w:val="00D7192E"/>
    <w:rsid w:val="00D73197"/>
    <w:rsid w:val="00D7665F"/>
    <w:rsid w:val="00D76DA1"/>
    <w:rsid w:val="00D774B3"/>
    <w:rsid w:val="00D77C63"/>
    <w:rsid w:val="00D80173"/>
    <w:rsid w:val="00D80798"/>
    <w:rsid w:val="00D81B19"/>
    <w:rsid w:val="00D8335B"/>
    <w:rsid w:val="00D84B23"/>
    <w:rsid w:val="00D84F5B"/>
    <w:rsid w:val="00D84F94"/>
    <w:rsid w:val="00D86CC2"/>
    <w:rsid w:val="00D87C6A"/>
    <w:rsid w:val="00D91B79"/>
    <w:rsid w:val="00D923F1"/>
    <w:rsid w:val="00D92914"/>
    <w:rsid w:val="00D93025"/>
    <w:rsid w:val="00D94F0B"/>
    <w:rsid w:val="00D9568E"/>
    <w:rsid w:val="00D95AA9"/>
    <w:rsid w:val="00D96BB6"/>
    <w:rsid w:val="00D971A8"/>
    <w:rsid w:val="00DA1A52"/>
    <w:rsid w:val="00DA23FB"/>
    <w:rsid w:val="00DA3C7D"/>
    <w:rsid w:val="00DA4185"/>
    <w:rsid w:val="00DA5C51"/>
    <w:rsid w:val="00DA5E68"/>
    <w:rsid w:val="00DA6200"/>
    <w:rsid w:val="00DA6413"/>
    <w:rsid w:val="00DA660F"/>
    <w:rsid w:val="00DA7953"/>
    <w:rsid w:val="00DA7DD4"/>
    <w:rsid w:val="00DB15AE"/>
    <w:rsid w:val="00DB1F50"/>
    <w:rsid w:val="00DB33C7"/>
    <w:rsid w:val="00DC0CA1"/>
    <w:rsid w:val="00DC3BAA"/>
    <w:rsid w:val="00DC4A8D"/>
    <w:rsid w:val="00DC64F6"/>
    <w:rsid w:val="00DC7AAB"/>
    <w:rsid w:val="00DD08A2"/>
    <w:rsid w:val="00DD26D2"/>
    <w:rsid w:val="00DD5122"/>
    <w:rsid w:val="00DD56C1"/>
    <w:rsid w:val="00DD6254"/>
    <w:rsid w:val="00DE28CB"/>
    <w:rsid w:val="00DE45D0"/>
    <w:rsid w:val="00DE65D3"/>
    <w:rsid w:val="00DE676F"/>
    <w:rsid w:val="00DE76DB"/>
    <w:rsid w:val="00DF1348"/>
    <w:rsid w:val="00DF1953"/>
    <w:rsid w:val="00DF36CF"/>
    <w:rsid w:val="00DF38C4"/>
    <w:rsid w:val="00DF474F"/>
    <w:rsid w:val="00DF4B5E"/>
    <w:rsid w:val="00DF4D7E"/>
    <w:rsid w:val="00DF5028"/>
    <w:rsid w:val="00DF5318"/>
    <w:rsid w:val="00DF56B7"/>
    <w:rsid w:val="00DF5C86"/>
    <w:rsid w:val="00DF6E83"/>
    <w:rsid w:val="00DF7295"/>
    <w:rsid w:val="00DF7BAC"/>
    <w:rsid w:val="00E002FE"/>
    <w:rsid w:val="00E01971"/>
    <w:rsid w:val="00E01FE2"/>
    <w:rsid w:val="00E0218C"/>
    <w:rsid w:val="00E0335A"/>
    <w:rsid w:val="00E04A62"/>
    <w:rsid w:val="00E04BE9"/>
    <w:rsid w:val="00E102E9"/>
    <w:rsid w:val="00E11AC8"/>
    <w:rsid w:val="00E128B4"/>
    <w:rsid w:val="00E12B12"/>
    <w:rsid w:val="00E1355C"/>
    <w:rsid w:val="00E13665"/>
    <w:rsid w:val="00E13C5D"/>
    <w:rsid w:val="00E1501A"/>
    <w:rsid w:val="00E16041"/>
    <w:rsid w:val="00E1684B"/>
    <w:rsid w:val="00E168C9"/>
    <w:rsid w:val="00E16B60"/>
    <w:rsid w:val="00E16D71"/>
    <w:rsid w:val="00E200DF"/>
    <w:rsid w:val="00E211BE"/>
    <w:rsid w:val="00E21E9B"/>
    <w:rsid w:val="00E252E1"/>
    <w:rsid w:val="00E25F8C"/>
    <w:rsid w:val="00E2660B"/>
    <w:rsid w:val="00E26ADA"/>
    <w:rsid w:val="00E27CF3"/>
    <w:rsid w:val="00E27FB5"/>
    <w:rsid w:val="00E31162"/>
    <w:rsid w:val="00E3127A"/>
    <w:rsid w:val="00E32766"/>
    <w:rsid w:val="00E34178"/>
    <w:rsid w:val="00E34AEB"/>
    <w:rsid w:val="00E34E86"/>
    <w:rsid w:val="00E35970"/>
    <w:rsid w:val="00E371CD"/>
    <w:rsid w:val="00E37E5E"/>
    <w:rsid w:val="00E402F4"/>
    <w:rsid w:val="00E41069"/>
    <w:rsid w:val="00E43D10"/>
    <w:rsid w:val="00E442AC"/>
    <w:rsid w:val="00E443B5"/>
    <w:rsid w:val="00E447CB"/>
    <w:rsid w:val="00E44DF0"/>
    <w:rsid w:val="00E450F1"/>
    <w:rsid w:val="00E47048"/>
    <w:rsid w:val="00E50F97"/>
    <w:rsid w:val="00E513D2"/>
    <w:rsid w:val="00E5172D"/>
    <w:rsid w:val="00E5286B"/>
    <w:rsid w:val="00E52E75"/>
    <w:rsid w:val="00E547B5"/>
    <w:rsid w:val="00E55E35"/>
    <w:rsid w:val="00E56B1F"/>
    <w:rsid w:val="00E56E30"/>
    <w:rsid w:val="00E571B3"/>
    <w:rsid w:val="00E57224"/>
    <w:rsid w:val="00E57B89"/>
    <w:rsid w:val="00E61DE5"/>
    <w:rsid w:val="00E6377E"/>
    <w:rsid w:val="00E63A8E"/>
    <w:rsid w:val="00E649ED"/>
    <w:rsid w:val="00E64B25"/>
    <w:rsid w:val="00E653F2"/>
    <w:rsid w:val="00E65D48"/>
    <w:rsid w:val="00E66563"/>
    <w:rsid w:val="00E66758"/>
    <w:rsid w:val="00E70BB5"/>
    <w:rsid w:val="00E71BA7"/>
    <w:rsid w:val="00E71BBF"/>
    <w:rsid w:val="00E720B4"/>
    <w:rsid w:val="00E75795"/>
    <w:rsid w:val="00E764DF"/>
    <w:rsid w:val="00E773CE"/>
    <w:rsid w:val="00E77A7A"/>
    <w:rsid w:val="00E80922"/>
    <w:rsid w:val="00E81646"/>
    <w:rsid w:val="00E819BA"/>
    <w:rsid w:val="00E825C1"/>
    <w:rsid w:val="00E83B13"/>
    <w:rsid w:val="00E84A8D"/>
    <w:rsid w:val="00E84C64"/>
    <w:rsid w:val="00E8566A"/>
    <w:rsid w:val="00E859E6"/>
    <w:rsid w:val="00E86D99"/>
    <w:rsid w:val="00E91F5D"/>
    <w:rsid w:val="00E9421E"/>
    <w:rsid w:val="00E943F7"/>
    <w:rsid w:val="00E9513F"/>
    <w:rsid w:val="00E9586B"/>
    <w:rsid w:val="00E9693D"/>
    <w:rsid w:val="00E96E59"/>
    <w:rsid w:val="00E96FB7"/>
    <w:rsid w:val="00EA0DB7"/>
    <w:rsid w:val="00EA40A2"/>
    <w:rsid w:val="00EA5C95"/>
    <w:rsid w:val="00EA5CD1"/>
    <w:rsid w:val="00EA660A"/>
    <w:rsid w:val="00EA7F9C"/>
    <w:rsid w:val="00EB1F17"/>
    <w:rsid w:val="00EB30B1"/>
    <w:rsid w:val="00EB3FE2"/>
    <w:rsid w:val="00EB4E43"/>
    <w:rsid w:val="00EB6257"/>
    <w:rsid w:val="00EB783F"/>
    <w:rsid w:val="00EC2A8F"/>
    <w:rsid w:val="00EC39C4"/>
    <w:rsid w:val="00EC3BC9"/>
    <w:rsid w:val="00EC4470"/>
    <w:rsid w:val="00EC693C"/>
    <w:rsid w:val="00EC6A0D"/>
    <w:rsid w:val="00EC7A3F"/>
    <w:rsid w:val="00ED1744"/>
    <w:rsid w:val="00ED1CFB"/>
    <w:rsid w:val="00ED23BD"/>
    <w:rsid w:val="00ED3A43"/>
    <w:rsid w:val="00ED3BA3"/>
    <w:rsid w:val="00ED50AF"/>
    <w:rsid w:val="00ED50F0"/>
    <w:rsid w:val="00ED7FFE"/>
    <w:rsid w:val="00EE2319"/>
    <w:rsid w:val="00EE2D57"/>
    <w:rsid w:val="00EE3B7F"/>
    <w:rsid w:val="00EE5FEC"/>
    <w:rsid w:val="00EE7B64"/>
    <w:rsid w:val="00EF01CD"/>
    <w:rsid w:val="00EF0908"/>
    <w:rsid w:val="00EF1560"/>
    <w:rsid w:val="00EF2C36"/>
    <w:rsid w:val="00EF2EE7"/>
    <w:rsid w:val="00EF44D8"/>
    <w:rsid w:val="00EF7084"/>
    <w:rsid w:val="00EF70D5"/>
    <w:rsid w:val="00F00CF8"/>
    <w:rsid w:val="00F02595"/>
    <w:rsid w:val="00F03B14"/>
    <w:rsid w:val="00F10789"/>
    <w:rsid w:val="00F112BA"/>
    <w:rsid w:val="00F114F2"/>
    <w:rsid w:val="00F11784"/>
    <w:rsid w:val="00F11AD3"/>
    <w:rsid w:val="00F12492"/>
    <w:rsid w:val="00F124C1"/>
    <w:rsid w:val="00F1409B"/>
    <w:rsid w:val="00F14218"/>
    <w:rsid w:val="00F158E5"/>
    <w:rsid w:val="00F15BD2"/>
    <w:rsid w:val="00F15F19"/>
    <w:rsid w:val="00F21217"/>
    <w:rsid w:val="00F21859"/>
    <w:rsid w:val="00F24B1C"/>
    <w:rsid w:val="00F25FD8"/>
    <w:rsid w:val="00F27E00"/>
    <w:rsid w:val="00F304E3"/>
    <w:rsid w:val="00F319A2"/>
    <w:rsid w:val="00F320C1"/>
    <w:rsid w:val="00F33BAB"/>
    <w:rsid w:val="00F36C9F"/>
    <w:rsid w:val="00F4386C"/>
    <w:rsid w:val="00F443DF"/>
    <w:rsid w:val="00F44EE0"/>
    <w:rsid w:val="00F4568D"/>
    <w:rsid w:val="00F464C7"/>
    <w:rsid w:val="00F473AD"/>
    <w:rsid w:val="00F474BA"/>
    <w:rsid w:val="00F50FAC"/>
    <w:rsid w:val="00F52F97"/>
    <w:rsid w:val="00F549DD"/>
    <w:rsid w:val="00F55DAA"/>
    <w:rsid w:val="00F55EBB"/>
    <w:rsid w:val="00F578AB"/>
    <w:rsid w:val="00F60D78"/>
    <w:rsid w:val="00F61FA4"/>
    <w:rsid w:val="00F62A92"/>
    <w:rsid w:val="00F63570"/>
    <w:rsid w:val="00F63F91"/>
    <w:rsid w:val="00F64A51"/>
    <w:rsid w:val="00F64C07"/>
    <w:rsid w:val="00F6697C"/>
    <w:rsid w:val="00F6794E"/>
    <w:rsid w:val="00F67BC0"/>
    <w:rsid w:val="00F709AA"/>
    <w:rsid w:val="00F70F66"/>
    <w:rsid w:val="00F71296"/>
    <w:rsid w:val="00F7321F"/>
    <w:rsid w:val="00F74905"/>
    <w:rsid w:val="00F75FB1"/>
    <w:rsid w:val="00F75FCA"/>
    <w:rsid w:val="00F7787F"/>
    <w:rsid w:val="00F81DAC"/>
    <w:rsid w:val="00F82FD9"/>
    <w:rsid w:val="00F90749"/>
    <w:rsid w:val="00F90B85"/>
    <w:rsid w:val="00F922F1"/>
    <w:rsid w:val="00F93BBF"/>
    <w:rsid w:val="00F9439E"/>
    <w:rsid w:val="00F94594"/>
    <w:rsid w:val="00F9469B"/>
    <w:rsid w:val="00F947B3"/>
    <w:rsid w:val="00F94F21"/>
    <w:rsid w:val="00F957A6"/>
    <w:rsid w:val="00F95E70"/>
    <w:rsid w:val="00F96F57"/>
    <w:rsid w:val="00F979C4"/>
    <w:rsid w:val="00F97D48"/>
    <w:rsid w:val="00FA2574"/>
    <w:rsid w:val="00FA437D"/>
    <w:rsid w:val="00FA72FA"/>
    <w:rsid w:val="00FB2207"/>
    <w:rsid w:val="00FB2E54"/>
    <w:rsid w:val="00FB34A0"/>
    <w:rsid w:val="00FB5190"/>
    <w:rsid w:val="00FB5C80"/>
    <w:rsid w:val="00FB5E05"/>
    <w:rsid w:val="00FB7A7D"/>
    <w:rsid w:val="00FC0F9E"/>
    <w:rsid w:val="00FC105E"/>
    <w:rsid w:val="00FC1A0B"/>
    <w:rsid w:val="00FC1BDD"/>
    <w:rsid w:val="00FC2564"/>
    <w:rsid w:val="00FC3C40"/>
    <w:rsid w:val="00FC4A84"/>
    <w:rsid w:val="00FC4ED4"/>
    <w:rsid w:val="00FC54E4"/>
    <w:rsid w:val="00FC646C"/>
    <w:rsid w:val="00FC68AF"/>
    <w:rsid w:val="00FC76D8"/>
    <w:rsid w:val="00FC7EF8"/>
    <w:rsid w:val="00FD0C50"/>
    <w:rsid w:val="00FD0F8F"/>
    <w:rsid w:val="00FD0FFD"/>
    <w:rsid w:val="00FD1D50"/>
    <w:rsid w:val="00FD44F3"/>
    <w:rsid w:val="00FD6BAF"/>
    <w:rsid w:val="00FD6BBA"/>
    <w:rsid w:val="00FD6F5F"/>
    <w:rsid w:val="00FD72EC"/>
    <w:rsid w:val="00FE1373"/>
    <w:rsid w:val="00FE13F4"/>
    <w:rsid w:val="00FE2788"/>
    <w:rsid w:val="00FE4B55"/>
    <w:rsid w:val="00FE4C33"/>
    <w:rsid w:val="00FE5188"/>
    <w:rsid w:val="00FE5253"/>
    <w:rsid w:val="00FE72E5"/>
    <w:rsid w:val="00FE7FDE"/>
    <w:rsid w:val="00FF0979"/>
    <w:rsid w:val="00FF0B89"/>
    <w:rsid w:val="00FF0D69"/>
    <w:rsid w:val="00FF195E"/>
    <w:rsid w:val="00FF1B94"/>
    <w:rsid w:val="00FF28A8"/>
    <w:rsid w:val="00FF2AFE"/>
    <w:rsid w:val="00FF2FB6"/>
    <w:rsid w:val="00FF323D"/>
    <w:rsid w:val="00FF4EE1"/>
    <w:rsid w:val="7DFB8817"/>
    <w:rsid w:val="7EEF05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qFormat="1"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qFormat="1" w:unhideWhenUsed="0" w:uiPriority="71" w:semiHidden="0" w:name="Colorful Shading Accent 5"/>
    <w:lsdException w:unhideWhenUsed="0" w:uiPriority="72" w:semiHidden="0" w:name="Colorful List Accent 5"/>
    <w:lsdException w:qFormat="1"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qFormat="1"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4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8">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sz w:val="18"/>
      <w:szCs w:val="18"/>
    </w:rPr>
  </w:style>
  <w:style w:type="paragraph" w:styleId="7">
    <w:name w:val="annotation text"/>
    <w:basedOn w:val="1"/>
    <w:link w:val="99"/>
    <w:semiHidden/>
    <w:unhideWhenUsed/>
    <w:qFormat/>
    <w:uiPriority w:val="99"/>
    <w:pPr>
      <w:jc w:val="left"/>
    </w:pPr>
  </w:style>
  <w:style w:type="paragraph" w:styleId="8">
    <w:name w:val="Body Text"/>
    <w:basedOn w:val="1"/>
    <w:link w:val="101"/>
    <w:semiHidden/>
    <w:unhideWhenUsed/>
    <w:qFormat/>
    <w:uiPriority w:val="99"/>
    <w:pPr>
      <w:spacing w:after="120"/>
    </w:pPr>
  </w:style>
  <w:style w:type="paragraph" w:styleId="9">
    <w:name w:val="Body Text Indent"/>
    <w:basedOn w:val="1"/>
    <w:link w:val="73"/>
    <w:qFormat/>
    <w:uiPriority w:val="0"/>
    <w:pPr>
      <w:spacing w:line="360" w:lineRule="auto"/>
      <w:ind w:firstLine="560" w:firstLineChars="200"/>
    </w:pPr>
    <w:rPr>
      <w:rFonts w:ascii="Times New Roman" w:hAnsi="Times New Roman" w:eastAsia="宋体"/>
      <w:sz w:val="18"/>
      <w:szCs w:val="18"/>
    </w:rPr>
  </w:style>
  <w:style w:type="paragraph" w:styleId="10">
    <w:name w:val="toc 5"/>
    <w:basedOn w:val="1"/>
    <w:next w:val="1"/>
    <w:unhideWhenUsed/>
    <w:qFormat/>
    <w:uiPriority w:val="39"/>
    <w:pPr>
      <w:ind w:left="840"/>
      <w:jc w:val="left"/>
    </w:pPr>
    <w:rPr>
      <w:sz w:val="18"/>
      <w:szCs w:val="18"/>
    </w:rPr>
  </w:style>
  <w:style w:type="paragraph" w:styleId="11">
    <w:name w:val="toc 3"/>
    <w:basedOn w:val="1"/>
    <w:next w:val="1"/>
    <w:unhideWhenUsed/>
    <w:qFormat/>
    <w:uiPriority w:val="39"/>
    <w:pPr>
      <w:ind w:left="420"/>
      <w:jc w:val="left"/>
    </w:pPr>
    <w:rPr>
      <w:i/>
      <w:iCs/>
      <w:sz w:val="20"/>
      <w:szCs w:val="20"/>
    </w:rPr>
  </w:style>
  <w:style w:type="paragraph" w:styleId="12">
    <w:name w:val="Plain Text"/>
    <w:basedOn w:val="1"/>
    <w:link w:val="74"/>
    <w:qFormat/>
    <w:uiPriority w:val="0"/>
    <w:rPr>
      <w:rFonts w:ascii="宋体" w:hAnsi="Courier New"/>
    </w:rPr>
  </w:style>
  <w:style w:type="paragraph" w:styleId="13">
    <w:name w:val="toc 8"/>
    <w:basedOn w:val="1"/>
    <w:next w:val="1"/>
    <w:unhideWhenUsed/>
    <w:qFormat/>
    <w:uiPriority w:val="39"/>
    <w:pPr>
      <w:ind w:left="1470"/>
      <w:jc w:val="left"/>
    </w:pPr>
    <w:rPr>
      <w:sz w:val="18"/>
      <w:szCs w:val="18"/>
    </w:rPr>
  </w:style>
  <w:style w:type="paragraph" w:styleId="14">
    <w:name w:val="Balloon Text"/>
    <w:basedOn w:val="1"/>
    <w:link w:val="47"/>
    <w:semiHidden/>
    <w:unhideWhenUsed/>
    <w:qFormat/>
    <w:uiPriority w:val="99"/>
    <w:rPr>
      <w:sz w:val="18"/>
      <w:szCs w:val="18"/>
    </w:rPr>
  </w:style>
  <w:style w:type="paragraph" w:styleId="15">
    <w:name w:val="footer"/>
    <w:basedOn w:val="1"/>
    <w:link w:val="49"/>
    <w:unhideWhenUsed/>
    <w:qFormat/>
    <w:uiPriority w:val="99"/>
    <w:pPr>
      <w:tabs>
        <w:tab w:val="center" w:pos="4153"/>
        <w:tab w:val="right" w:pos="8306"/>
      </w:tabs>
      <w:snapToGrid w:val="0"/>
      <w:jc w:val="left"/>
    </w:pPr>
    <w:rPr>
      <w:sz w:val="18"/>
      <w:szCs w:val="18"/>
    </w:rPr>
  </w:style>
  <w:style w:type="paragraph" w:styleId="16">
    <w:name w:val="header"/>
    <w:basedOn w:val="1"/>
    <w:link w:val="48"/>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spacing w:before="120" w:after="120"/>
      <w:jc w:val="left"/>
    </w:pPr>
    <w:rPr>
      <w:b/>
      <w:bCs/>
      <w:caps/>
      <w:sz w:val="20"/>
      <w:szCs w:val="20"/>
    </w:rPr>
  </w:style>
  <w:style w:type="paragraph" w:styleId="18">
    <w:name w:val="toc 4"/>
    <w:basedOn w:val="1"/>
    <w:next w:val="1"/>
    <w:unhideWhenUsed/>
    <w:qFormat/>
    <w:uiPriority w:val="39"/>
    <w:pPr>
      <w:ind w:left="630"/>
      <w:jc w:val="left"/>
    </w:pPr>
    <w:rPr>
      <w:sz w:val="18"/>
      <w:szCs w:val="18"/>
    </w:rPr>
  </w:style>
  <w:style w:type="paragraph" w:styleId="19">
    <w:name w:val="Subtitle"/>
    <w:basedOn w:val="20"/>
    <w:next w:val="1"/>
    <w:link w:val="91"/>
    <w:qFormat/>
    <w:uiPriority w:val="11"/>
    <w:pPr>
      <w:autoSpaceDE w:val="0"/>
      <w:autoSpaceDN w:val="0"/>
      <w:adjustRightInd w:val="0"/>
      <w:spacing w:after="50" w:afterLines="50" w:line="280" w:lineRule="exact"/>
      <w:textAlignment w:val="center"/>
    </w:pPr>
    <w:rPr>
      <w:rFonts w:cs="微软雅黑"/>
      <w:b/>
      <w:color w:val="000000"/>
      <w:kern w:val="0"/>
      <w:sz w:val="28"/>
      <w:szCs w:val="24"/>
      <w:lang w:val="zh-CN"/>
    </w:rPr>
  </w:style>
  <w:style w:type="paragraph" w:styleId="20">
    <w:name w:val="No Spacing"/>
    <w:qFormat/>
    <w:uiPriority w:val="1"/>
    <w:pPr>
      <w:widowControl w:val="0"/>
      <w:jc w:val="center"/>
    </w:pPr>
    <w:rPr>
      <w:rFonts w:ascii="Times New Roman" w:hAnsi="Times New Roman" w:eastAsia="宋体" w:cstheme="minorBidi"/>
      <w:kern w:val="2"/>
      <w:sz w:val="24"/>
      <w:szCs w:val="22"/>
      <w:lang w:val="en-US" w:eastAsia="zh-CN" w:bidi="ar-SA"/>
    </w:rPr>
  </w:style>
  <w:style w:type="paragraph" w:styleId="21">
    <w:name w:val="toc 6"/>
    <w:basedOn w:val="1"/>
    <w:next w:val="1"/>
    <w:unhideWhenUsed/>
    <w:qFormat/>
    <w:uiPriority w:val="39"/>
    <w:pPr>
      <w:ind w:left="1050"/>
      <w:jc w:val="left"/>
    </w:pPr>
    <w:rPr>
      <w:sz w:val="18"/>
      <w:szCs w:val="18"/>
    </w:rPr>
  </w:style>
  <w:style w:type="paragraph" w:styleId="22">
    <w:name w:val="table of figures"/>
    <w:basedOn w:val="1"/>
    <w:next w:val="1"/>
    <w:unhideWhenUsed/>
    <w:qFormat/>
    <w:uiPriority w:val="0"/>
    <w:pPr>
      <w:ind w:left="200" w:leftChars="200" w:hanging="200" w:hangingChars="200"/>
    </w:pPr>
  </w:style>
  <w:style w:type="paragraph" w:styleId="23">
    <w:name w:val="toc 2"/>
    <w:basedOn w:val="1"/>
    <w:next w:val="1"/>
    <w:unhideWhenUsed/>
    <w:qFormat/>
    <w:uiPriority w:val="39"/>
    <w:pPr>
      <w:ind w:left="210"/>
      <w:jc w:val="left"/>
    </w:pPr>
    <w:rPr>
      <w:smallCaps/>
      <w:sz w:val="20"/>
      <w:szCs w:val="20"/>
    </w:rPr>
  </w:style>
  <w:style w:type="paragraph" w:styleId="24">
    <w:name w:val="toc 9"/>
    <w:basedOn w:val="1"/>
    <w:next w:val="1"/>
    <w:unhideWhenUsed/>
    <w:qFormat/>
    <w:uiPriority w:val="39"/>
    <w:pPr>
      <w:ind w:left="1680"/>
      <w:jc w:val="left"/>
    </w:pPr>
    <w:rPr>
      <w:sz w:val="18"/>
      <w:szCs w:val="18"/>
    </w:rPr>
  </w:style>
  <w:style w:type="paragraph" w:styleId="25">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26">
    <w:name w:val="annotation subject"/>
    <w:basedOn w:val="7"/>
    <w:next w:val="7"/>
    <w:link w:val="100"/>
    <w:semiHidden/>
    <w:unhideWhenUsed/>
    <w:qFormat/>
    <w:uiPriority w:val="99"/>
    <w:rPr>
      <w:b/>
      <w:bCs/>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9">
    <w:name w:val="Light List Accent 3"/>
    <w:basedOn w:val="27"/>
    <w:qFormat/>
    <w:uiPriority w:val="61"/>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30">
    <w:name w:val="Medium Shading 1 Accent 1"/>
    <w:basedOn w:val="27"/>
    <w:qFormat/>
    <w:uiPriority w:val="63"/>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1">
    <w:name w:val="Medium Shading 1 Accent 5"/>
    <w:basedOn w:val="27"/>
    <w:qFormat/>
    <w:uiPriority w:val="63"/>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32">
    <w:name w:val="Medium Shading 2 Accent 5"/>
    <w:basedOn w:val="27"/>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33">
    <w:name w:val="Medium Grid 3 Accent 1"/>
    <w:basedOn w:val="27"/>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34">
    <w:name w:val="Medium Grid 3 Accent 5"/>
    <w:basedOn w:val="27"/>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35">
    <w:name w:val="Colorful Shading Accent 5"/>
    <w:basedOn w:val="27"/>
    <w:qFormat/>
    <w:uiPriority w:val="71"/>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36">
    <w:name w:val="Colorful Grid Accent 5"/>
    <w:basedOn w:val="27"/>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37">
    <w:name w:val="Colorful Grid Accent 6"/>
    <w:basedOn w:val="27"/>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39">
    <w:name w:val="Strong"/>
    <w:qFormat/>
    <w:uiPriority w:val="0"/>
    <w:rPr>
      <w:rFonts w:cs="Times New Roman"/>
      <w:b/>
      <w:bCs/>
    </w:rPr>
  </w:style>
  <w:style w:type="character" w:styleId="40">
    <w:name w:val="Hyperlink"/>
    <w:basedOn w:val="38"/>
    <w:unhideWhenUsed/>
    <w:qFormat/>
    <w:uiPriority w:val="99"/>
    <w:rPr>
      <w:color w:val="8D8D8D"/>
      <w:u w:val="none"/>
    </w:rPr>
  </w:style>
  <w:style w:type="character" w:styleId="41">
    <w:name w:val="annotation reference"/>
    <w:basedOn w:val="38"/>
    <w:semiHidden/>
    <w:unhideWhenUsed/>
    <w:qFormat/>
    <w:uiPriority w:val="99"/>
    <w:rPr>
      <w:sz w:val="21"/>
      <w:szCs w:val="21"/>
    </w:rPr>
  </w:style>
  <w:style w:type="character" w:customStyle="1" w:styleId="42">
    <w:name w:val="标题 1 Char"/>
    <w:basedOn w:val="38"/>
    <w:link w:val="2"/>
    <w:qFormat/>
    <w:uiPriority w:val="0"/>
    <w:rPr>
      <w:b/>
      <w:bCs/>
      <w:kern w:val="44"/>
      <w:sz w:val="44"/>
      <w:szCs w:val="44"/>
    </w:rPr>
  </w:style>
  <w:style w:type="character" w:customStyle="1" w:styleId="43">
    <w:name w:val="标题 2 Char"/>
    <w:basedOn w:val="38"/>
    <w:link w:val="3"/>
    <w:qFormat/>
    <w:uiPriority w:val="0"/>
    <w:rPr>
      <w:rFonts w:asciiTheme="majorHAnsi" w:hAnsiTheme="majorHAnsi" w:eastAsiaTheme="majorEastAsia" w:cstheme="majorBidi"/>
      <w:b/>
      <w:bCs/>
      <w:sz w:val="32"/>
      <w:szCs w:val="32"/>
    </w:rPr>
  </w:style>
  <w:style w:type="character" w:customStyle="1" w:styleId="44">
    <w:name w:val="标题 3 Char"/>
    <w:basedOn w:val="38"/>
    <w:link w:val="4"/>
    <w:qFormat/>
    <w:uiPriority w:val="9"/>
    <w:rPr>
      <w:b/>
      <w:bCs/>
      <w:sz w:val="32"/>
      <w:szCs w:val="32"/>
    </w:rPr>
  </w:style>
  <w:style w:type="character" w:customStyle="1" w:styleId="45">
    <w:name w:val="标题 4 Char"/>
    <w:basedOn w:val="38"/>
    <w:link w:val="5"/>
    <w:qFormat/>
    <w:uiPriority w:val="9"/>
    <w:rPr>
      <w:rFonts w:asciiTheme="majorHAnsi" w:hAnsiTheme="majorHAnsi" w:eastAsiaTheme="majorEastAsia" w:cstheme="majorBidi"/>
      <w:b/>
      <w:bCs/>
      <w:sz w:val="28"/>
      <w:szCs w:val="28"/>
    </w:rPr>
  </w:style>
  <w:style w:type="paragraph" w:styleId="46">
    <w:name w:val="List Paragraph"/>
    <w:basedOn w:val="1"/>
    <w:qFormat/>
    <w:uiPriority w:val="34"/>
    <w:pPr>
      <w:ind w:firstLine="420" w:firstLineChars="200"/>
    </w:pPr>
  </w:style>
  <w:style w:type="character" w:customStyle="1" w:styleId="47">
    <w:name w:val="批注框文本 Char"/>
    <w:basedOn w:val="38"/>
    <w:link w:val="14"/>
    <w:semiHidden/>
    <w:qFormat/>
    <w:uiPriority w:val="99"/>
    <w:rPr>
      <w:sz w:val="18"/>
      <w:szCs w:val="18"/>
    </w:rPr>
  </w:style>
  <w:style w:type="character" w:customStyle="1" w:styleId="48">
    <w:name w:val="页眉 Char"/>
    <w:basedOn w:val="38"/>
    <w:link w:val="16"/>
    <w:qFormat/>
    <w:uiPriority w:val="99"/>
    <w:rPr>
      <w:sz w:val="18"/>
      <w:szCs w:val="18"/>
    </w:rPr>
  </w:style>
  <w:style w:type="character" w:customStyle="1" w:styleId="49">
    <w:name w:val="页脚 Char"/>
    <w:basedOn w:val="38"/>
    <w:link w:val="15"/>
    <w:qFormat/>
    <w:uiPriority w:val="99"/>
    <w:rPr>
      <w:sz w:val="18"/>
      <w:szCs w:val="18"/>
    </w:rPr>
  </w:style>
  <w:style w:type="paragraph" w:customStyle="1" w:styleId="50">
    <w:name w:val="Default"/>
    <w:qFormat/>
    <w:uiPriority w:val="0"/>
    <w:pPr>
      <w:widowControl w:val="0"/>
      <w:autoSpaceDE w:val="0"/>
      <w:autoSpaceDN w:val="0"/>
      <w:adjustRightInd w:val="0"/>
    </w:pPr>
    <w:rPr>
      <w:rFonts w:ascii="仿宋_GB2312" w:eastAsia="仿宋_GB2312" w:cs="仿宋_GB2312" w:hAnsiTheme="minorHAnsi"/>
      <w:color w:val="000000"/>
      <w:kern w:val="0"/>
      <w:sz w:val="24"/>
      <w:szCs w:val="24"/>
      <w:lang w:val="en-US" w:eastAsia="zh-CN" w:bidi="ar-SA"/>
    </w:rPr>
  </w:style>
  <w:style w:type="paragraph" w:customStyle="1" w:styleId="51">
    <w:name w:val="样式 标题 2标题 2 Char2nd levelh22Header 2l2Titre2Head 2H2se..."/>
    <w:basedOn w:val="3"/>
    <w:next w:val="11"/>
    <w:qFormat/>
    <w:uiPriority w:val="0"/>
    <w:pPr>
      <w:spacing w:before="156" w:beforeLines="50" w:after="156" w:line="360" w:lineRule="auto"/>
    </w:pPr>
    <w:rPr>
      <w:rFonts w:ascii="Times New Roman" w:hAnsi="Times New Roman" w:eastAsia="黑体" w:cs="Times New Roman"/>
      <w:lang w:val="zh-CN"/>
    </w:rPr>
  </w:style>
  <w:style w:type="character" w:customStyle="1" w:styleId="52">
    <w:name w:val="username"/>
    <w:basedOn w:val="38"/>
    <w:qFormat/>
    <w:uiPriority w:val="0"/>
    <w:rPr>
      <w:color w:val="888888"/>
      <w:sz w:val="21"/>
      <w:szCs w:val="21"/>
    </w:rPr>
  </w:style>
  <w:style w:type="character" w:customStyle="1" w:styleId="53">
    <w:name w:val="clampword2"/>
    <w:basedOn w:val="38"/>
    <w:qFormat/>
    <w:uiPriority w:val="0"/>
  </w:style>
  <w:style w:type="paragraph" w:customStyle="1" w:styleId="54">
    <w:name w:val="Y正文"/>
    <w:basedOn w:val="1"/>
    <w:qFormat/>
    <w:uiPriority w:val="0"/>
    <w:pPr>
      <w:tabs>
        <w:tab w:val="left" w:pos="567"/>
      </w:tabs>
      <w:spacing w:line="360" w:lineRule="auto"/>
      <w:ind w:firstLine="200" w:firstLineChars="200"/>
    </w:pPr>
    <w:rPr>
      <w:rFonts w:ascii="Calibri" w:hAnsi="Calibri"/>
      <w:sz w:val="24"/>
      <w:szCs w:val="24"/>
    </w:rPr>
  </w:style>
  <w:style w:type="paragraph" w:customStyle="1" w:styleId="55">
    <w:name w:val="标题3"/>
    <w:basedOn w:val="4"/>
    <w:next w:val="1"/>
    <w:qFormat/>
    <w:uiPriority w:val="0"/>
    <w:pPr>
      <w:spacing w:before="156" w:beforeLines="50" w:after="0" w:line="240" w:lineRule="auto"/>
      <w:ind w:firstLine="643"/>
    </w:pPr>
    <w:rPr>
      <w:rFonts w:eastAsia="楷体_GB2312"/>
      <w:bCs w:val="0"/>
    </w:rPr>
  </w:style>
  <w:style w:type="paragraph" w:customStyle="1" w:styleId="56">
    <w:name w:val="Y样式（1）"/>
    <w:basedOn w:val="1"/>
    <w:link w:val="57"/>
    <w:qFormat/>
    <w:uiPriority w:val="0"/>
    <w:pPr>
      <w:widowControl/>
      <w:spacing w:line="360" w:lineRule="auto"/>
      <w:ind w:left="900"/>
    </w:pPr>
    <w:rPr>
      <w:rFonts w:ascii="Calibri" w:hAnsi="Calibri" w:eastAsia="宋体" w:cs="Times New Roman"/>
      <w:b/>
      <w:sz w:val="24"/>
      <w:szCs w:val="24"/>
    </w:rPr>
  </w:style>
  <w:style w:type="character" w:customStyle="1" w:styleId="57">
    <w:name w:val="Y样式（1） Char"/>
    <w:basedOn w:val="38"/>
    <w:link w:val="56"/>
    <w:qFormat/>
    <w:uiPriority w:val="0"/>
    <w:rPr>
      <w:rFonts w:ascii="Calibri" w:hAnsi="Calibri" w:eastAsia="宋体" w:cs="Times New Roman"/>
      <w:b/>
      <w:sz w:val="24"/>
      <w:szCs w:val="24"/>
    </w:rPr>
  </w:style>
  <w:style w:type="paragraph" w:customStyle="1" w:styleId="58">
    <w:name w:val="表格内容"/>
    <w:basedOn w:val="1"/>
    <w:link w:val="59"/>
    <w:qFormat/>
    <w:uiPriority w:val="0"/>
    <w:pPr>
      <w:adjustRightInd w:val="0"/>
      <w:snapToGrid w:val="0"/>
      <w:jc w:val="center"/>
    </w:pPr>
    <w:rPr>
      <w:rFonts w:ascii="仿宋" w:hAnsi="仿宋" w:eastAsia="仿宋"/>
      <w:sz w:val="24"/>
    </w:rPr>
  </w:style>
  <w:style w:type="character" w:customStyle="1" w:styleId="59">
    <w:name w:val="表格内容 字符"/>
    <w:basedOn w:val="38"/>
    <w:link w:val="58"/>
    <w:qFormat/>
    <w:uiPriority w:val="0"/>
    <w:rPr>
      <w:rFonts w:ascii="仿宋" w:hAnsi="仿宋" w:eastAsia="仿宋"/>
      <w:sz w:val="24"/>
    </w:rPr>
  </w:style>
  <w:style w:type="paragraph" w:customStyle="1" w:styleId="60">
    <w:name w:val="表格标题"/>
    <w:basedOn w:val="1"/>
    <w:link w:val="61"/>
    <w:qFormat/>
    <w:uiPriority w:val="0"/>
    <w:pPr>
      <w:keepNext/>
      <w:adjustRightInd w:val="0"/>
      <w:snapToGrid w:val="0"/>
      <w:spacing w:beforeLines="50" w:afterLines="50" w:line="360" w:lineRule="auto"/>
      <w:jc w:val="center"/>
    </w:pPr>
    <w:rPr>
      <w:rFonts w:ascii="仿宋" w:hAnsi="仿宋" w:eastAsia="仿宋"/>
      <w:b/>
      <w:sz w:val="24"/>
    </w:rPr>
  </w:style>
  <w:style w:type="character" w:customStyle="1" w:styleId="61">
    <w:name w:val="表格标题 字符"/>
    <w:basedOn w:val="38"/>
    <w:link w:val="60"/>
    <w:qFormat/>
    <w:uiPriority w:val="0"/>
    <w:rPr>
      <w:rFonts w:ascii="仿宋" w:hAnsi="仿宋" w:eastAsia="仿宋"/>
      <w:b/>
      <w:sz w:val="24"/>
    </w:rPr>
  </w:style>
  <w:style w:type="paragraph" w:customStyle="1" w:styleId="62">
    <w:name w:val="表头"/>
    <w:basedOn w:val="22"/>
    <w:link w:val="63"/>
    <w:qFormat/>
    <w:uiPriority w:val="0"/>
    <w:pPr>
      <w:spacing w:beforeLines="50" w:afterLines="50" w:line="360" w:lineRule="auto"/>
      <w:ind w:firstLine="0" w:firstLineChars="0"/>
      <w:jc w:val="center"/>
    </w:pPr>
    <w:rPr>
      <w:rFonts w:ascii="Times New Roman" w:hAnsi="Times New Roman" w:eastAsia="宋体" w:cs="Times New Roman"/>
      <w:b/>
      <w:sz w:val="24"/>
      <w:szCs w:val="21"/>
    </w:rPr>
  </w:style>
  <w:style w:type="character" w:customStyle="1" w:styleId="63">
    <w:name w:val="表头 Char"/>
    <w:link w:val="62"/>
    <w:qFormat/>
    <w:locked/>
    <w:uiPriority w:val="0"/>
    <w:rPr>
      <w:rFonts w:ascii="Times New Roman" w:hAnsi="Times New Roman" w:eastAsia="宋体" w:cs="Times New Roman"/>
      <w:b/>
      <w:sz w:val="24"/>
      <w:szCs w:val="21"/>
    </w:rPr>
  </w:style>
  <w:style w:type="paragraph" w:customStyle="1" w:styleId="64">
    <w:name w:val="样式 样式 标题 3王成 + (中文) 黑体 + 自定义颜(RGB(131313))"/>
    <w:next w:val="24"/>
    <w:qFormat/>
    <w:uiPriority w:val="0"/>
    <w:pPr>
      <w:keepNext/>
      <w:keepLines/>
      <w:widowControl w:val="0"/>
      <w:spacing w:before="211" w:beforeLines="50" w:after="156" w:line="360" w:lineRule="auto"/>
      <w:jc w:val="both"/>
      <w:outlineLvl w:val="2"/>
    </w:pPr>
    <w:rPr>
      <w:rFonts w:ascii="Times New Roman" w:hAnsi="Times New Roman" w:eastAsia="黑体" w:cs="Times New Roman"/>
      <w:b/>
      <w:color w:val="0D0D0D"/>
      <w:kern w:val="0"/>
      <w:sz w:val="28"/>
      <w:szCs w:val="20"/>
      <w:lang w:val="en-US" w:eastAsia="zh-CN" w:bidi="ar-SA"/>
    </w:rPr>
  </w:style>
  <w:style w:type="paragraph" w:customStyle="1" w:styleId="65">
    <w:name w:val="列出段落1"/>
    <w:basedOn w:val="1"/>
    <w:qFormat/>
    <w:uiPriority w:val="34"/>
    <w:pPr>
      <w:spacing w:line="360" w:lineRule="auto"/>
      <w:ind w:firstLine="420" w:firstLineChars="200"/>
    </w:pPr>
    <w:rPr>
      <w:rFonts w:ascii="Calibri" w:hAnsi="Calibri" w:eastAsia="宋体" w:cs="Times New Roman"/>
      <w:sz w:val="28"/>
    </w:rPr>
  </w:style>
  <w:style w:type="character" w:customStyle="1" w:styleId="66">
    <w:name w:val="font41"/>
    <w:basedOn w:val="38"/>
    <w:qFormat/>
    <w:uiPriority w:val="0"/>
    <w:rPr>
      <w:rFonts w:hint="default" w:ascii="Times New Roman" w:hAnsi="Times New Roman" w:cs="Times New Roman"/>
      <w:b/>
      <w:color w:val="000000"/>
      <w:sz w:val="21"/>
      <w:szCs w:val="21"/>
      <w:u w:val="none"/>
    </w:rPr>
  </w:style>
  <w:style w:type="character" w:customStyle="1" w:styleId="67">
    <w:name w:val="font61"/>
    <w:basedOn w:val="38"/>
    <w:qFormat/>
    <w:uiPriority w:val="0"/>
    <w:rPr>
      <w:rFonts w:hint="eastAsia" w:ascii="宋体" w:hAnsi="宋体" w:eastAsia="宋体" w:cs="宋体"/>
      <w:b/>
      <w:color w:val="000000"/>
      <w:sz w:val="21"/>
      <w:szCs w:val="21"/>
      <w:u w:val="none"/>
    </w:rPr>
  </w:style>
  <w:style w:type="paragraph" w:customStyle="1" w:styleId="68">
    <w:name w:val="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6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70">
    <w:name w:val="apple-converted-space"/>
    <w:basedOn w:val="38"/>
    <w:qFormat/>
    <w:uiPriority w:val="0"/>
  </w:style>
  <w:style w:type="paragraph" w:customStyle="1" w:styleId="71">
    <w:name w:val="森林正文11"/>
    <w:basedOn w:val="1"/>
    <w:qFormat/>
    <w:uiPriority w:val="0"/>
    <w:pPr>
      <w:spacing w:line="360" w:lineRule="auto"/>
      <w:ind w:firstLine="880" w:firstLineChars="200"/>
    </w:pPr>
    <w:rPr>
      <w:rFonts w:ascii="Times New Roman" w:hAnsi="Times New Roman" w:eastAsia="宋体" w:cs="Times New Roman"/>
      <w:sz w:val="24"/>
      <w:szCs w:val="20"/>
    </w:rPr>
  </w:style>
  <w:style w:type="paragraph" w:customStyle="1" w:styleId="72">
    <w:name w:val="msonormal"/>
    <w:basedOn w:val="1"/>
    <w:qFormat/>
    <w:uiPriority w:val="0"/>
    <w:pPr>
      <w:spacing w:before="100" w:beforeAutospacing="1" w:after="100" w:afterAutospacing="1" w:line="360" w:lineRule="auto"/>
      <w:jc w:val="left"/>
    </w:pPr>
    <w:rPr>
      <w:rFonts w:ascii="Times New Roman" w:hAnsi="Times New Roman" w:eastAsia="宋体" w:cs="Times New Roman"/>
      <w:kern w:val="0"/>
      <w:sz w:val="24"/>
      <w:szCs w:val="24"/>
    </w:rPr>
  </w:style>
  <w:style w:type="character" w:customStyle="1" w:styleId="73">
    <w:name w:val="正文文本缩进 Char2"/>
    <w:basedOn w:val="38"/>
    <w:link w:val="9"/>
    <w:qFormat/>
    <w:uiPriority w:val="0"/>
    <w:rPr>
      <w:rFonts w:ascii="Times New Roman" w:hAnsi="Times New Roman" w:eastAsia="宋体"/>
      <w:sz w:val="18"/>
      <w:szCs w:val="18"/>
    </w:rPr>
  </w:style>
  <w:style w:type="character" w:customStyle="1" w:styleId="74">
    <w:name w:val="纯文本 Char"/>
    <w:link w:val="12"/>
    <w:qFormat/>
    <w:uiPriority w:val="0"/>
    <w:rPr>
      <w:rFonts w:ascii="宋体" w:hAnsi="Courier New"/>
    </w:rPr>
  </w:style>
  <w:style w:type="character" w:customStyle="1" w:styleId="75">
    <w:name w:val="纯文本 Char1"/>
    <w:basedOn w:val="38"/>
    <w:semiHidden/>
    <w:qFormat/>
    <w:uiPriority w:val="99"/>
    <w:rPr>
      <w:rFonts w:ascii="宋体" w:hAnsi="Courier New" w:eastAsia="宋体" w:cs="Courier New"/>
      <w:szCs w:val="21"/>
    </w:rPr>
  </w:style>
  <w:style w:type="paragraph" w:customStyle="1" w:styleId="76">
    <w:name w:val="leaidx"/>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77">
    <w:name w:val="纯文本 Char2"/>
    <w:qFormat/>
    <w:uiPriority w:val="0"/>
    <w:rPr>
      <w:rFonts w:ascii="宋体" w:hAnsi="Courier New"/>
    </w:rPr>
  </w:style>
  <w:style w:type="character" w:customStyle="1" w:styleId="78">
    <w:name w:val="纯文本 字符1"/>
    <w:basedOn w:val="38"/>
    <w:semiHidden/>
    <w:qFormat/>
    <w:uiPriority w:val="99"/>
    <w:rPr>
      <w:rFonts w:hAnsi="Courier New" w:cs="Courier New" w:asciiTheme="minorEastAsia"/>
    </w:rPr>
  </w:style>
  <w:style w:type="paragraph" w:customStyle="1" w:styleId="79">
    <w:name w:val="一级条标题"/>
    <w:next w:val="1"/>
    <w:qFormat/>
    <w:uiPriority w:val="0"/>
    <w:pPr>
      <w:numPr>
        <w:ilvl w:val="1"/>
        <w:numId w:val="1"/>
      </w:numPr>
      <w:spacing w:before="156" w:beforeLines="50" w:after="156" w:afterLines="50"/>
      <w:outlineLvl w:val="2"/>
    </w:pPr>
    <w:rPr>
      <w:rFonts w:ascii="黑体" w:hAnsi="Times New Roman" w:eastAsia="黑体" w:cs="Times New Roman"/>
      <w:kern w:val="0"/>
      <w:sz w:val="21"/>
      <w:szCs w:val="21"/>
      <w:lang w:val="en-US" w:eastAsia="zh-CN" w:bidi="ar-SA"/>
    </w:rPr>
  </w:style>
  <w:style w:type="paragraph" w:customStyle="1" w:styleId="80">
    <w:name w:val="章标题"/>
    <w:next w:val="1"/>
    <w:qFormat/>
    <w:uiPriority w:val="0"/>
    <w:pPr>
      <w:numPr>
        <w:ilvl w:val="0"/>
        <w:numId w:val="1"/>
      </w:numPr>
      <w:spacing w:before="312" w:beforeLines="100" w:after="312" w:afterLines="100"/>
      <w:jc w:val="both"/>
      <w:outlineLvl w:val="1"/>
    </w:pPr>
    <w:rPr>
      <w:rFonts w:ascii="黑体" w:hAnsi="Times New Roman" w:eastAsia="黑体" w:cs="Times New Roman"/>
      <w:kern w:val="0"/>
      <w:sz w:val="21"/>
      <w:szCs w:val="20"/>
      <w:lang w:val="en-US" w:eastAsia="zh-CN" w:bidi="ar-SA"/>
    </w:rPr>
  </w:style>
  <w:style w:type="paragraph" w:customStyle="1" w:styleId="81">
    <w:name w:val="二级条标题"/>
    <w:basedOn w:val="79"/>
    <w:next w:val="1"/>
    <w:qFormat/>
    <w:uiPriority w:val="0"/>
    <w:pPr>
      <w:numPr>
        <w:ilvl w:val="2"/>
      </w:numPr>
      <w:spacing w:before="50" w:after="50"/>
      <w:outlineLvl w:val="3"/>
    </w:pPr>
  </w:style>
  <w:style w:type="paragraph" w:customStyle="1" w:styleId="82">
    <w:name w:val="三级条标题"/>
    <w:basedOn w:val="81"/>
    <w:next w:val="1"/>
    <w:qFormat/>
    <w:uiPriority w:val="0"/>
    <w:pPr>
      <w:numPr>
        <w:ilvl w:val="3"/>
      </w:numPr>
      <w:outlineLvl w:val="4"/>
    </w:pPr>
  </w:style>
  <w:style w:type="paragraph" w:customStyle="1" w:styleId="83">
    <w:name w:val="四级条标题"/>
    <w:basedOn w:val="82"/>
    <w:next w:val="1"/>
    <w:qFormat/>
    <w:uiPriority w:val="0"/>
    <w:pPr>
      <w:numPr>
        <w:ilvl w:val="4"/>
      </w:numPr>
      <w:outlineLvl w:val="5"/>
    </w:pPr>
  </w:style>
  <w:style w:type="paragraph" w:customStyle="1" w:styleId="84">
    <w:name w:val="五级条标题"/>
    <w:basedOn w:val="83"/>
    <w:next w:val="1"/>
    <w:qFormat/>
    <w:uiPriority w:val="0"/>
    <w:pPr>
      <w:numPr>
        <w:ilvl w:val="5"/>
      </w:numPr>
      <w:outlineLvl w:val="6"/>
    </w:pPr>
  </w:style>
  <w:style w:type="table" w:customStyle="1" w:styleId="85">
    <w:name w:val="网格型1"/>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6">
    <w:name w:val="正文文本缩进 Char1"/>
    <w:basedOn w:val="38"/>
    <w:qFormat/>
    <w:uiPriority w:val="0"/>
    <w:rPr>
      <w:rFonts w:ascii="Times New Roman" w:hAnsi="Times New Roman" w:eastAsia="宋体"/>
      <w:sz w:val="18"/>
      <w:szCs w:val="18"/>
    </w:rPr>
  </w:style>
  <w:style w:type="table" w:customStyle="1" w:styleId="87">
    <w:name w:val="网格表 5 深色 - 着色 61"/>
    <w:basedOn w:val="2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79646"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79646"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79646"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79646" w:themeFill="accent6"/>
      </w:tcPr>
    </w:tblStylePr>
    <w:tblStylePr w:type="band1Vert">
      <w:tcPr>
        <w:shd w:val="clear" w:color="auto" w:fill="FBD4B4" w:themeFill="accent6" w:themeFillTint="66"/>
      </w:tcPr>
    </w:tblStylePr>
    <w:tblStylePr w:type="band1Horz">
      <w:tcPr>
        <w:shd w:val="clear" w:color="auto" w:fill="FBD4B4" w:themeFill="accent6" w:themeFillTint="66"/>
      </w:tcPr>
    </w:tblStylePr>
  </w:style>
  <w:style w:type="character" w:customStyle="1" w:styleId="88">
    <w:name w:val="正文文本缩进 Char"/>
    <w:basedOn w:val="38"/>
    <w:qFormat/>
    <w:uiPriority w:val="0"/>
    <w:rPr>
      <w:rFonts w:ascii="Times New Roman" w:hAnsi="Times New Roman" w:eastAsia="宋体"/>
      <w:sz w:val="28"/>
    </w:rPr>
  </w:style>
  <w:style w:type="paragraph" w:customStyle="1" w:styleId="8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90">
    <w:name w:val="number2"/>
    <w:basedOn w:val="38"/>
    <w:qFormat/>
    <w:uiPriority w:val="0"/>
  </w:style>
  <w:style w:type="character" w:customStyle="1" w:styleId="91">
    <w:name w:val="副标题 Char"/>
    <w:basedOn w:val="38"/>
    <w:link w:val="19"/>
    <w:qFormat/>
    <w:uiPriority w:val="11"/>
    <w:rPr>
      <w:rFonts w:ascii="Times New Roman" w:hAnsi="Times New Roman" w:eastAsia="宋体" w:cs="微软雅黑"/>
      <w:b/>
      <w:color w:val="000000"/>
      <w:kern w:val="0"/>
      <w:sz w:val="28"/>
      <w:szCs w:val="24"/>
      <w:lang w:val="zh-CN"/>
    </w:rPr>
  </w:style>
  <w:style w:type="table" w:customStyle="1" w:styleId="92">
    <w:name w:val="网格表 5 深色 - 着色 31"/>
    <w:basedOn w:val="2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BBB59"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BBB59"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9BBB59"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BBB59" w:themeFill="accent3"/>
      </w:tcPr>
    </w:tblStylePr>
    <w:tblStylePr w:type="band1Vert">
      <w:tcPr>
        <w:shd w:val="clear" w:color="auto" w:fill="D6E3BC" w:themeFill="accent3" w:themeFillTint="66"/>
      </w:tcPr>
    </w:tblStylePr>
    <w:tblStylePr w:type="band1Horz">
      <w:tcPr>
        <w:shd w:val="clear" w:color="auto" w:fill="D6E3BC" w:themeFill="accent3" w:themeFillTint="66"/>
      </w:tcPr>
    </w:tblStylePr>
  </w:style>
  <w:style w:type="table" w:customStyle="1" w:styleId="93">
    <w:name w:val="清单表 4 - 着色 31"/>
    <w:basedOn w:val="27"/>
    <w:qFormat/>
    <w:uiPriority w:val="49"/>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tcBorders>
        <w:shd w:val="clear" w:color="auto" w:fill="9BBB59" w:themeFill="accent3"/>
      </w:tcPr>
    </w:tblStylePr>
    <w:tblStylePr w:type="lastRow">
      <w:rPr>
        <w:b/>
        <w:bCs/>
      </w:rPr>
      <w:tcPr>
        <w:tcBorders>
          <w:top w:val="double" w:color="C2D69B" w:themeColor="accent3" w:themeTint="99"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94">
    <w:name w:val="清单表 3 - 着色 31"/>
    <w:basedOn w:val="27"/>
    <w:qFormat/>
    <w:uiPriority w:val="48"/>
    <w:tblPr>
      <w:tblBorders>
        <w:top w:val="single" w:color="9BBB59" w:themeColor="accent3" w:sz="4" w:space="0"/>
        <w:left w:val="single" w:color="9BBB59" w:themeColor="accent3" w:sz="4" w:space="0"/>
        <w:bottom w:val="single" w:color="9BBB59" w:themeColor="accent3" w:sz="4" w:space="0"/>
        <w:right w:val="single" w:color="9BBB59" w:themeColor="accent3"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9BBB59" w:themeFill="accent3"/>
      </w:tcPr>
    </w:tblStylePr>
    <w:tblStylePr w:type="lastRow">
      <w:rPr>
        <w:b/>
        <w:bCs/>
      </w:rPr>
      <w:tcPr>
        <w:tcBorders>
          <w:top w:val="double" w:color="9BBB59"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9BBB59" w:themeColor="accent3" w:sz="4" w:space="0"/>
          <w:right w:val="single" w:color="9BBB59" w:themeColor="accent3" w:sz="4" w:space="0"/>
        </w:tcBorders>
      </w:tcPr>
    </w:tblStylePr>
    <w:tblStylePr w:type="band1Horz">
      <w:tcPr>
        <w:tcBorders>
          <w:top w:val="single" w:color="9BBB59" w:themeColor="accent3" w:sz="4" w:space="0"/>
          <w:bottom w:val="single" w:color="9BBB59"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9BBB59" w:themeColor="accent3" w:sz="4" w:space="0"/>
          <w:left w:val="nil"/>
        </w:tcBorders>
      </w:tcPr>
    </w:tblStylePr>
    <w:tblStylePr w:type="swCell">
      <w:tcPr>
        <w:tcBorders>
          <w:top w:val="double" w:color="9BBB59" w:themeColor="accent3" w:sz="4" w:space="0"/>
          <w:right w:val="nil"/>
        </w:tcBorders>
      </w:tcPr>
    </w:tblStylePr>
  </w:style>
  <w:style w:type="table" w:customStyle="1" w:styleId="95">
    <w:name w:val="网格表 5 深色 - 着色 11"/>
    <w:basedOn w:val="2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cPr>
        <w:shd w:val="clear" w:color="auto" w:fill="B8CCE4" w:themeFill="accent1" w:themeFillTint="66"/>
      </w:tcPr>
    </w:tblStylePr>
    <w:tblStylePr w:type="band1Horz">
      <w:tcPr>
        <w:shd w:val="clear" w:color="auto" w:fill="B8CCE4" w:themeFill="accent1" w:themeFillTint="66"/>
      </w:tcPr>
    </w:tblStylePr>
  </w:style>
  <w:style w:type="table" w:customStyle="1" w:styleId="96">
    <w:name w:val="网格表 1 浅色 - 着色 51"/>
    <w:basedOn w:val="27"/>
    <w:qFormat/>
    <w:uiPriority w:val="46"/>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CellMar>
        <w:top w:w="0" w:type="dxa"/>
        <w:left w:w="108" w:type="dxa"/>
        <w:bottom w:w="0" w:type="dxa"/>
        <w:right w:w="108" w:type="dxa"/>
      </w:tblCellMar>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97">
    <w:name w:val="网格型浅色1"/>
    <w:basedOn w:val="27"/>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table" w:customStyle="1" w:styleId="98">
    <w:name w:val="网格表 4 - 着色 31"/>
    <w:basedOn w:val="27"/>
    <w:qFormat/>
    <w:uiPriority w:val="49"/>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insideV w:val="nil"/>
        </w:tcBorders>
        <w:shd w:val="clear" w:color="auto" w:fill="9BBB59" w:themeFill="accent3"/>
      </w:tcPr>
    </w:tblStylePr>
    <w:tblStylePr w:type="lastRow">
      <w:rPr>
        <w:b/>
        <w:bCs/>
      </w:rPr>
      <w:tcPr>
        <w:tcBorders>
          <w:top w:val="double" w:color="9BBB59" w:themeColor="accent3"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character" w:customStyle="1" w:styleId="99">
    <w:name w:val="批注文字 Char"/>
    <w:basedOn w:val="38"/>
    <w:link w:val="7"/>
    <w:semiHidden/>
    <w:qFormat/>
    <w:uiPriority w:val="99"/>
  </w:style>
  <w:style w:type="character" w:customStyle="1" w:styleId="100">
    <w:name w:val="批注主题 Char"/>
    <w:basedOn w:val="99"/>
    <w:link w:val="26"/>
    <w:semiHidden/>
    <w:qFormat/>
    <w:uiPriority w:val="99"/>
    <w:rPr>
      <w:b/>
      <w:bCs/>
    </w:rPr>
  </w:style>
  <w:style w:type="character" w:customStyle="1" w:styleId="101">
    <w:name w:val="正文文本 Char"/>
    <w:basedOn w:val="38"/>
    <w:link w:val="8"/>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1.jpeg"/><Relationship Id="rId4" Type="http://schemas.openxmlformats.org/officeDocument/2006/relationships/footer" Target="footer2.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pn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jpeg"/><Relationship Id="rId17" Type="http://schemas.openxmlformats.org/officeDocument/2006/relationships/chart" Target="charts/chart1.xml"/><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N:\B-&#21271;&#20140;\&#25991;&#26412;\&#26032;&#24314;%20Microsoft%20Excel%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5"/>
    </mc:Choice>
    <mc:Fallback>
      <c:style val="5"/>
    </mc:Fallback>
  </mc:AlternateContent>
  <c:chart>
    <c:autoTitleDeleted val="true"/>
    <c:plotArea>
      <c:layout/>
      <c:pieChart>
        <c:varyColors val="true"/>
        <c:ser>
          <c:idx val="0"/>
          <c:order val="0"/>
          <c:explosion val="3"/>
          <c:dPt>
            <c:idx val="0"/>
            <c:bubble3D val="false"/>
            <c:spPr>
              <a:solidFill>
                <a:schemeClr val="accent3">
                  <a:shade val="50000"/>
                </a:schemeClr>
              </a:solidFill>
              <a:ln w="19050">
                <a:solidFill>
                  <a:schemeClr val="lt1"/>
                </a:solidFill>
              </a:ln>
              <a:effectLst/>
            </c:spPr>
          </c:dPt>
          <c:dPt>
            <c:idx val="1"/>
            <c:bubble3D val="false"/>
            <c:spPr>
              <a:solidFill>
                <a:schemeClr val="accent3">
                  <a:shade val="70000"/>
                </a:schemeClr>
              </a:solidFill>
              <a:ln w="19050">
                <a:solidFill>
                  <a:schemeClr val="lt1"/>
                </a:solidFill>
              </a:ln>
              <a:effectLst/>
            </c:spPr>
          </c:dPt>
          <c:dPt>
            <c:idx val="2"/>
            <c:bubble3D val="false"/>
            <c:spPr>
              <a:solidFill>
                <a:schemeClr val="accent3">
                  <a:shade val="90000"/>
                </a:schemeClr>
              </a:solidFill>
              <a:ln w="19050">
                <a:solidFill>
                  <a:schemeClr val="lt1"/>
                </a:solidFill>
              </a:ln>
              <a:effectLst/>
            </c:spPr>
          </c:dPt>
          <c:dPt>
            <c:idx val="3"/>
            <c:bubble3D val="false"/>
            <c:spPr>
              <a:solidFill>
                <a:schemeClr val="accent3">
                  <a:tint val="90000"/>
                </a:schemeClr>
              </a:solidFill>
              <a:ln w="19050">
                <a:solidFill>
                  <a:schemeClr val="lt1"/>
                </a:solidFill>
              </a:ln>
              <a:effectLst/>
            </c:spPr>
          </c:dPt>
          <c:dPt>
            <c:idx val="4"/>
            <c:bubble3D val="false"/>
            <c:spPr>
              <a:solidFill>
                <a:schemeClr val="accent3">
                  <a:tint val="70000"/>
                </a:schemeClr>
              </a:solidFill>
              <a:ln w="19050">
                <a:solidFill>
                  <a:schemeClr val="lt1"/>
                </a:solidFill>
              </a:ln>
              <a:effectLst/>
            </c:spPr>
          </c:dPt>
          <c:dPt>
            <c:idx val="5"/>
            <c:bubble3D val="false"/>
            <c:spPr>
              <a:solidFill>
                <a:schemeClr val="accent3">
                  <a:tint val="50000"/>
                </a:schemeClr>
              </a:solidFill>
              <a:ln w="19050">
                <a:solidFill>
                  <a:schemeClr val="lt1"/>
                </a:solidFill>
              </a:ln>
              <a:effectLst/>
            </c:spPr>
          </c:dPt>
          <c:dLbls>
            <c:dLbl>
              <c:idx val="0"/>
              <c:layout>
                <c:manualLayout>
                  <c:x val="0.0618152887139108"/>
                  <c:y val="0.0226983085447652"/>
                </c:manualLayout>
              </c:layout>
              <c:dLblPos val="bestFit"/>
              <c:showLegendKey val="false"/>
              <c:showVal val="false"/>
              <c:showCatName val="true"/>
              <c:showSerName val="false"/>
              <c:showPercent val="true"/>
              <c:showBubbleSize val="false"/>
              <c:separator>
</c:separator>
              <c:extLst>
                <c:ext xmlns:c15="http://schemas.microsoft.com/office/drawing/2012/chart" uri="{CE6537A1-D6FC-4f65-9D91-7224C49458BB}">
                  <c15:layout/>
                </c:ext>
              </c:extLst>
            </c:dLbl>
            <c:dLbl>
              <c:idx val="1"/>
              <c:layout>
                <c:manualLayout>
                  <c:x val="0.290592519685039"/>
                  <c:y val="-0.0372451881014873"/>
                </c:manualLayout>
              </c:layout>
              <c:dLblPos val="bestFit"/>
              <c:showLegendKey val="false"/>
              <c:showVal val="false"/>
              <c:showCatName val="true"/>
              <c:showSerName val="false"/>
              <c:showPercent val="true"/>
              <c:showBubbleSize val="false"/>
              <c:separator>
</c:separator>
              <c:extLst>
                <c:ext xmlns:c15="http://schemas.microsoft.com/office/drawing/2012/chart" uri="{CE6537A1-D6FC-4f65-9D91-7224C49458BB}">
                  <c15:layout/>
                </c:ext>
              </c:extLst>
            </c:dLbl>
            <c:dLbl>
              <c:idx val="2"/>
              <c:layout>
                <c:manualLayout>
                  <c:x val="-0.0315579615048119"/>
                  <c:y val="0.319254884806066"/>
                </c:manualLayout>
              </c:layout>
              <c:dLblPos val="bestFit"/>
              <c:showLegendKey val="false"/>
              <c:showVal val="false"/>
              <c:showCatName val="true"/>
              <c:showSerName val="false"/>
              <c:showPercent val="true"/>
              <c:showBubbleSize val="false"/>
              <c:separator>
</c:separator>
              <c:extLst>
                <c:ext xmlns:c15="http://schemas.microsoft.com/office/drawing/2012/chart" uri="{CE6537A1-D6FC-4f65-9D91-7224C49458BB}">
                  <c15:layout/>
                </c:ext>
              </c:extLst>
            </c:dLbl>
            <c:dLbl>
              <c:idx val="3"/>
              <c:layout>
                <c:manualLayout>
                  <c:x val="-0.0683593613298338"/>
                  <c:y val="0.203332968795567"/>
                </c:manualLayout>
              </c:layout>
              <c:dLblPos val="bestFit"/>
              <c:showLegendKey val="false"/>
              <c:showVal val="false"/>
              <c:showCatName val="true"/>
              <c:showSerName val="false"/>
              <c:showPercent val="true"/>
              <c:showBubbleSize val="false"/>
              <c:separator>
</c:separator>
              <c:extLst>
                <c:ext xmlns:c15="http://schemas.microsoft.com/office/drawing/2012/chart" uri="{CE6537A1-D6FC-4f65-9D91-7224C49458BB}">
                  <c15:layout/>
                </c:ext>
              </c:extLst>
            </c:dLbl>
            <c:dLbl>
              <c:idx val="4"/>
              <c:layout>
                <c:manualLayout>
                  <c:x val="-0.110033902012248"/>
                  <c:y val="0.242431102362205"/>
                </c:manualLayout>
              </c:layout>
              <c:dLblPos val="bestFit"/>
              <c:showLegendKey val="false"/>
              <c:showVal val="false"/>
              <c:showCatName val="true"/>
              <c:showSerName val="false"/>
              <c:showPercent val="true"/>
              <c:showBubbleSize val="false"/>
              <c:separator>
</c:separator>
              <c:extLst>
                <c:ext xmlns:c15="http://schemas.microsoft.com/office/drawing/2012/chart" uri="{CE6537A1-D6FC-4f65-9D91-7224C49458BB}">
                  <c15:layout/>
                </c:ext>
              </c:extLst>
            </c:dLbl>
            <c:dLbl>
              <c:idx val="5"/>
              <c:layout>
                <c:manualLayout>
                  <c:x val="-0.19033573928259"/>
                  <c:y val="0.0520833333333333"/>
                </c:manualLayout>
              </c:layout>
              <c:dLblPos val="bestFit"/>
              <c:showLegendKey val="false"/>
              <c:showVal val="false"/>
              <c:showCatName val="true"/>
              <c:showSerName val="false"/>
              <c:showPercent val="true"/>
              <c:showBubbleSize val="false"/>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true">
                <a:spAutoFit/>
              </a:bodyPr>
              <a:lstStyle/>
              <a:p>
                <a:pPr>
                  <a:defRPr lang="zh-CN" sz="600" b="0" i="0" u="none" strike="noStrike" kern="1200" baseline="0">
                    <a:solidFill>
                      <a:schemeClr val="tx1">
                        <a:lumMod val="75000"/>
                        <a:lumOff val="25000"/>
                      </a:schemeClr>
                    </a:solidFill>
                    <a:latin typeface="+mn-lt"/>
                    <a:ea typeface="+mn-ea"/>
                    <a:cs typeface="+mn-cs"/>
                  </a:defRPr>
                </a:pPr>
              </a:p>
            </c:txPr>
            <c:dLblPos val="bestFit"/>
            <c:showLegendKey val="false"/>
            <c:showVal val="false"/>
            <c:showCatName val="true"/>
            <c:showSerName val="false"/>
            <c:showPercent val="tru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prstDash val="solid"/>
                      <a:round/>
                    </a:ln>
                    <a:effectLst/>
                  </c:spPr>
                </c15:leaderLines>
              </c:ext>
            </c:extLst>
          </c:dLbls>
          <c:cat>
            <c:strRef>
              <c:f>湿地图2!$B$7:$B$12</c:f>
              <c:strCache>
                <c:ptCount val="6"/>
                <c:pt idx="0">
                  <c:v>水库湿地</c:v>
                </c:pt>
                <c:pt idx="1">
                  <c:v>河流湿地</c:v>
                </c:pt>
                <c:pt idx="2">
                  <c:v>湖泊、公园湿地</c:v>
                </c:pt>
                <c:pt idx="3">
                  <c:v>人工水渠</c:v>
                </c:pt>
                <c:pt idx="4">
                  <c:v>坑塘、稻田湿地</c:v>
                </c:pt>
                <c:pt idx="5">
                  <c:v>沼泽</c:v>
                </c:pt>
              </c:strCache>
            </c:strRef>
          </c:cat>
          <c:val>
            <c:numRef>
              <c:f>湿地图2!$C$7:$C$12</c:f>
              <c:numCache>
                <c:formatCode>General</c:formatCode>
                <c:ptCount val="6"/>
                <c:pt idx="0">
                  <c:v>15711.5</c:v>
                </c:pt>
                <c:pt idx="1">
                  <c:v>22988.1</c:v>
                </c:pt>
                <c:pt idx="2">
                  <c:v>1396.5</c:v>
                </c:pt>
                <c:pt idx="3">
                  <c:v>2522.5</c:v>
                </c:pt>
                <c:pt idx="4">
                  <c:v>7951.5</c:v>
                </c:pt>
                <c:pt idx="5">
                  <c:v>864</c:v>
                </c:pt>
              </c:numCache>
            </c:numRef>
          </c:val>
        </c:ser>
        <c:ser>
          <c:idx val="1"/>
          <c:order val="1"/>
          <c:explosion val="0"/>
          <c:dPt>
            <c:idx val="0"/>
            <c:bubble3D val="false"/>
            <c:spPr>
              <a:solidFill>
                <a:schemeClr val="accent3">
                  <a:shade val="50000"/>
                </a:schemeClr>
              </a:solidFill>
              <a:ln w="19050">
                <a:solidFill>
                  <a:schemeClr val="lt1"/>
                </a:solidFill>
              </a:ln>
              <a:effectLst/>
            </c:spPr>
          </c:dPt>
          <c:dPt>
            <c:idx val="1"/>
            <c:bubble3D val="false"/>
            <c:spPr>
              <a:solidFill>
                <a:schemeClr val="accent3">
                  <a:shade val="70000"/>
                </a:schemeClr>
              </a:solidFill>
              <a:ln w="19050">
                <a:solidFill>
                  <a:schemeClr val="lt1"/>
                </a:solidFill>
              </a:ln>
              <a:effectLst/>
            </c:spPr>
          </c:dPt>
          <c:dPt>
            <c:idx val="2"/>
            <c:bubble3D val="false"/>
            <c:spPr>
              <a:solidFill>
                <a:schemeClr val="accent3">
                  <a:shade val="90000"/>
                </a:schemeClr>
              </a:solidFill>
              <a:ln w="19050">
                <a:solidFill>
                  <a:schemeClr val="lt1"/>
                </a:solidFill>
              </a:ln>
              <a:effectLst/>
            </c:spPr>
          </c:dPt>
          <c:dPt>
            <c:idx val="3"/>
            <c:bubble3D val="false"/>
            <c:spPr>
              <a:solidFill>
                <a:schemeClr val="accent3">
                  <a:tint val="90000"/>
                </a:schemeClr>
              </a:solidFill>
              <a:ln w="19050">
                <a:solidFill>
                  <a:schemeClr val="lt1"/>
                </a:solidFill>
              </a:ln>
              <a:effectLst/>
            </c:spPr>
          </c:dPt>
          <c:dPt>
            <c:idx val="4"/>
            <c:bubble3D val="false"/>
            <c:spPr>
              <a:solidFill>
                <a:schemeClr val="accent3">
                  <a:tint val="70000"/>
                </a:schemeClr>
              </a:solidFill>
              <a:ln w="19050">
                <a:solidFill>
                  <a:schemeClr val="lt1"/>
                </a:solidFill>
              </a:ln>
              <a:effectLst/>
            </c:spPr>
          </c:dPt>
          <c:dPt>
            <c:idx val="5"/>
            <c:bubble3D val="false"/>
            <c:spPr>
              <a:solidFill>
                <a:schemeClr val="accent3">
                  <a:tint val="5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true">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false"/>
            <c:showVal val="false"/>
            <c:showCatName val="true"/>
            <c:showSerName val="false"/>
            <c:showPercent val="tru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prstDash val="solid"/>
                      <a:round/>
                    </a:ln>
                    <a:effectLst/>
                  </c:spPr>
                </c15:leaderLines>
              </c:ext>
            </c:extLst>
          </c:dLbls>
          <c:cat>
            <c:strRef>
              <c:f>湿地图2!$B$7:$B$12</c:f>
              <c:strCache>
                <c:ptCount val="6"/>
                <c:pt idx="0">
                  <c:v>水库湿地</c:v>
                </c:pt>
                <c:pt idx="1">
                  <c:v>河流湿地</c:v>
                </c:pt>
                <c:pt idx="2">
                  <c:v>湖泊、公园湿地</c:v>
                </c:pt>
                <c:pt idx="3">
                  <c:v>人工水渠</c:v>
                </c:pt>
                <c:pt idx="4">
                  <c:v>坑塘、稻田湿地</c:v>
                </c:pt>
                <c:pt idx="5">
                  <c:v>沼泽</c:v>
                </c:pt>
              </c:strCache>
            </c:strRef>
          </c:cat>
          <c:val>
            <c:numRef>
              <c:f>湿地图2!$D$7:$D$12</c:f>
              <c:numCache>
                <c:formatCode>0.00%</c:formatCode>
                <c:ptCount val="6"/>
                <c:pt idx="0">
                  <c:v>0.3055</c:v>
                </c:pt>
                <c:pt idx="1">
                  <c:v>0.4469</c:v>
                </c:pt>
                <c:pt idx="2">
                  <c:v>0.0272</c:v>
                </c:pt>
                <c:pt idx="3">
                  <c:v>0.049</c:v>
                </c:pt>
                <c:pt idx="4">
                  <c:v>0.1546</c:v>
                </c:pt>
                <c:pt idx="5">
                  <c:v>0.0168</c:v>
                </c:pt>
              </c:numCache>
            </c:numRef>
          </c:val>
        </c:ser>
        <c:dLbls>
          <c:showLegendKey val="false"/>
          <c:showVal val="false"/>
          <c:showCatName val="true"/>
          <c:showSerName val="false"/>
          <c:showPercent val="true"/>
          <c:showBubbleSize val="false"/>
          <c:showLeaderLines val="true"/>
        </c:dLbls>
        <c:firstSliceAng val="0"/>
      </c:pieChart>
      <c:spPr>
        <a:noFill/>
        <a:ln>
          <a:noFill/>
        </a:ln>
        <a:effectLst/>
      </c:spPr>
    </c:plotArea>
    <c:plotVisOnly val="true"/>
    <c:dispBlanksAs val="gap"/>
    <c:showDLblsOverMax val="false"/>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false"/>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105</Pages>
  <Words>8423</Words>
  <Characters>48012</Characters>
  <Lines>400</Lines>
  <Paragraphs>112</Paragraphs>
  <TotalTime>1641</TotalTime>
  <ScaleCrop>false</ScaleCrop>
  <LinksUpToDate>false</LinksUpToDate>
  <CharactersWithSpaces>56323</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2019-11-29T19:26:00Z</dcterms:created>
  <dc:creator>admin</dc:creator>
  <cp:lastModifiedBy>uos</cp:lastModifiedBy>
  <cp:lastPrinted>2020-01-09T22:27:00Z</cp:lastPrinted>
  <dcterms:modified xsi:type="dcterms:W3CDTF">2024-12-05T16:01:16Z</dcterms:modified>
  <cp:revision>286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ies>
</file>