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 xml:space="preserve"> </w:t>
      </w:r>
    </w:p>
    <w:p>
      <w:pPr>
        <w:spacing w:line="600" w:lineRule="auto"/>
        <w:rPr>
          <w:b/>
          <w:sz w:val="44"/>
          <w:szCs w:val="44"/>
        </w:rPr>
      </w:pPr>
    </w:p>
    <w:p>
      <w:pPr>
        <w:spacing w:line="600" w:lineRule="auto"/>
        <w:jc w:val="center"/>
        <w:rPr>
          <w:b/>
          <w:sz w:val="44"/>
          <w:szCs w:val="44"/>
        </w:rPr>
      </w:pPr>
      <w:r>
        <w:rPr>
          <w:rFonts w:hint="eastAsia"/>
          <w:b/>
          <w:sz w:val="44"/>
          <w:szCs w:val="44"/>
        </w:rPr>
        <w:t>北京市</w:t>
      </w:r>
    </w:p>
    <w:p>
      <w:pPr>
        <w:spacing w:line="600" w:lineRule="auto"/>
        <w:jc w:val="center"/>
        <w:outlineLvl w:val="0"/>
        <w:rPr>
          <w:b/>
          <w:sz w:val="44"/>
          <w:szCs w:val="44"/>
        </w:rPr>
      </w:pPr>
      <w:r>
        <w:rPr>
          <w:rFonts w:hint="eastAsia"/>
          <w:b/>
          <w:sz w:val="44"/>
          <w:szCs w:val="44"/>
        </w:rPr>
        <w:t>园林绿化工程施工招标文件示范文本</w:t>
      </w:r>
    </w:p>
    <w:p>
      <w:pPr>
        <w:spacing w:line="600" w:lineRule="auto"/>
        <w:jc w:val="center"/>
        <w:outlineLvl w:val="0"/>
        <w:rPr>
          <w:b/>
          <w:sz w:val="44"/>
          <w:szCs w:val="44"/>
        </w:rPr>
      </w:pPr>
      <w:r>
        <w:rPr>
          <w:b/>
          <w:sz w:val="44"/>
          <w:szCs w:val="44"/>
        </w:rPr>
        <w:t>—</w:t>
      </w:r>
      <w:r>
        <w:rPr>
          <w:rFonts w:hint="eastAsia"/>
          <w:b/>
          <w:sz w:val="44"/>
          <w:szCs w:val="44"/>
        </w:rPr>
        <w:t>资格后审</w:t>
      </w:r>
    </w:p>
    <w:p>
      <w:pPr>
        <w:jc w:val="center"/>
        <w:rPr>
          <w:b/>
          <w:sz w:val="32"/>
          <w:szCs w:val="32"/>
        </w:rPr>
      </w:pPr>
      <w:r>
        <w:rPr>
          <w:rFonts w:hint="eastAsia"/>
          <w:b/>
          <w:sz w:val="32"/>
          <w:szCs w:val="32"/>
        </w:rPr>
        <w:t>（电子化版）</w:t>
      </w: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sz w:val="30"/>
          <w:szCs w:val="30"/>
        </w:rPr>
      </w:pPr>
      <w:r>
        <w:rPr>
          <w:rFonts w:hint="eastAsia"/>
          <w:b/>
          <w:sz w:val="30"/>
          <w:szCs w:val="30"/>
        </w:rPr>
        <w:t>二</w:t>
      </w:r>
      <w:r>
        <w:rPr>
          <w:b/>
          <w:sz w:val="30"/>
          <w:szCs w:val="30"/>
        </w:rPr>
        <w:t>0</w:t>
      </w:r>
      <w:r>
        <w:rPr>
          <w:rFonts w:hint="eastAsia"/>
          <w:b/>
          <w:sz w:val="30"/>
          <w:szCs w:val="30"/>
        </w:rPr>
        <w:t>二四年十月</w:t>
      </w:r>
    </w:p>
    <w:p>
      <w:pPr>
        <w:jc w:val="center"/>
        <w:rPr>
          <w:b/>
          <w:bCs/>
          <w:sz w:val="44"/>
          <w:szCs w:val="44"/>
        </w:rPr>
      </w:pPr>
    </w:p>
    <w:p>
      <w:pPr>
        <w:rPr>
          <w:b/>
          <w:bCs/>
          <w:sz w:val="44"/>
          <w:szCs w:val="44"/>
        </w:rPr>
      </w:pPr>
    </w:p>
    <w:p>
      <w:pPr>
        <w:rPr>
          <w:b/>
          <w:bCs/>
          <w:sz w:val="44"/>
          <w:szCs w:val="44"/>
        </w:rPr>
      </w:pPr>
    </w:p>
    <w:p>
      <w:pPr>
        <w:spacing w:line="500" w:lineRule="exact"/>
        <w:jc w:val="center"/>
        <w:rPr>
          <w:rFonts w:ascii="仿宋" w:hAnsi="仿宋" w:eastAsia="仿宋"/>
          <w:b/>
          <w:bCs/>
          <w:sz w:val="32"/>
          <w:szCs w:val="32"/>
        </w:rPr>
      </w:pPr>
      <w:r>
        <w:rPr>
          <w:rFonts w:hint="eastAsia" w:ascii="仿宋" w:hAnsi="仿宋" w:eastAsia="仿宋"/>
          <w:b/>
          <w:bCs/>
          <w:sz w:val="32"/>
          <w:szCs w:val="32"/>
        </w:rPr>
        <w:t>使用说明</w:t>
      </w:r>
    </w:p>
    <w:p>
      <w:pPr>
        <w:spacing w:line="500" w:lineRule="exact"/>
        <w:jc w:val="center"/>
        <w:rPr>
          <w:rFonts w:ascii="仿宋" w:hAnsi="仿宋" w:eastAsia="仿宋"/>
        </w:rPr>
      </w:pPr>
    </w:p>
    <w:p>
      <w:pPr>
        <w:spacing w:line="500" w:lineRule="exact"/>
        <w:jc w:val="center"/>
        <w:rPr>
          <w:rFonts w:ascii="仿宋" w:hAnsi="仿宋" w:eastAsia="仿宋"/>
        </w:rPr>
      </w:pPr>
    </w:p>
    <w:p>
      <w:pPr>
        <w:spacing w:line="360" w:lineRule="auto"/>
        <w:ind w:firstLine="560" w:firstLineChars="200"/>
        <w:rPr>
          <w:rFonts w:ascii="仿宋" w:hAnsi="仿宋" w:eastAsia="仿宋"/>
          <w:sz w:val="28"/>
        </w:rPr>
      </w:pPr>
      <w:r>
        <w:rPr>
          <w:rFonts w:hint="eastAsia" w:ascii="仿宋" w:hAnsi="仿宋" w:eastAsia="仿宋"/>
          <w:sz w:val="28"/>
        </w:rPr>
        <w:t>一、《北京市园林绿化工程施工招标文件示范文本</w:t>
      </w:r>
      <w:r>
        <w:rPr>
          <w:rFonts w:ascii="仿宋" w:hAnsi="仿宋" w:eastAsia="仿宋"/>
          <w:sz w:val="28"/>
        </w:rPr>
        <w:t>—</w:t>
      </w:r>
      <w:r>
        <w:rPr>
          <w:rFonts w:hint="eastAsia" w:ascii="仿宋" w:hAnsi="仿宋" w:eastAsia="仿宋"/>
          <w:sz w:val="28"/>
        </w:rPr>
        <w:t>资格后审（电子化版）》（以下简称《施工招标文件示范文本</w:t>
      </w:r>
      <w:r>
        <w:rPr>
          <w:rFonts w:ascii="仿宋" w:hAnsi="仿宋" w:eastAsia="仿宋"/>
          <w:sz w:val="28"/>
        </w:rPr>
        <w:t>—</w:t>
      </w:r>
      <w:r>
        <w:rPr>
          <w:rFonts w:hint="eastAsia" w:ascii="仿宋" w:hAnsi="仿宋" w:eastAsia="仿宋"/>
          <w:sz w:val="28"/>
        </w:rPr>
        <w:t>资格后审》）为满足园林绿化建设工程施工招标需求而编写。招标人根据经审核合格的施工图及施工图预算中的工程数量提出工程量清单；投标人按照施工图纸与工程量清单进行报价，报价中不包含甲供材料设备费用，包含一定额度的总承包风险费。</w:t>
      </w:r>
    </w:p>
    <w:p>
      <w:pPr>
        <w:spacing w:line="360" w:lineRule="auto"/>
        <w:ind w:firstLine="560" w:firstLineChars="200"/>
        <w:rPr>
          <w:rFonts w:ascii="仿宋" w:hAnsi="仿宋" w:eastAsia="仿宋"/>
          <w:sz w:val="28"/>
        </w:rPr>
      </w:pPr>
      <w:r>
        <w:rPr>
          <w:rFonts w:hint="eastAsia" w:ascii="仿宋" w:hAnsi="仿宋" w:eastAsia="仿宋"/>
          <w:sz w:val="28"/>
        </w:rPr>
        <w:t>二、《施工招标文件示范文本</w:t>
      </w:r>
      <w:r>
        <w:rPr>
          <w:rFonts w:ascii="仿宋" w:hAnsi="仿宋" w:eastAsia="仿宋"/>
          <w:sz w:val="28"/>
        </w:rPr>
        <w:t>—</w:t>
      </w:r>
      <w:r>
        <w:rPr>
          <w:rFonts w:hint="eastAsia" w:ascii="仿宋" w:hAnsi="仿宋" w:eastAsia="仿宋"/>
          <w:sz w:val="28"/>
        </w:rPr>
        <w:t>资格后审》根据国家发改委等九部委令第</w:t>
      </w:r>
      <w:r>
        <w:rPr>
          <w:rFonts w:ascii="仿宋" w:hAnsi="仿宋" w:eastAsia="仿宋"/>
          <w:sz w:val="28"/>
        </w:rPr>
        <w:t>56</w:t>
      </w:r>
      <w:r>
        <w:rPr>
          <w:rFonts w:hint="eastAsia" w:ascii="仿宋" w:hAnsi="仿宋" w:eastAsia="仿宋"/>
          <w:sz w:val="28"/>
        </w:rPr>
        <w:t>号《标准施工招标文件》，并结合园林行业规定及园林绿化建设工程特点编写而成，其中“投标人须知”“评标办法”“通用合同条款”正文部分不加修改地引用国家发改委等九部委令第</w:t>
      </w:r>
      <w:r>
        <w:rPr>
          <w:rFonts w:ascii="仿宋" w:hAnsi="仿宋" w:eastAsia="仿宋"/>
          <w:sz w:val="28"/>
        </w:rPr>
        <w:t>56</w:t>
      </w:r>
      <w:r>
        <w:rPr>
          <w:rFonts w:hint="eastAsia" w:ascii="仿宋" w:hAnsi="仿宋" w:eastAsia="仿宋"/>
          <w:sz w:val="28"/>
        </w:rPr>
        <w:t>号《标准施工招标文件》对应的内容及格式；“投标人须知前附表”</w:t>
      </w:r>
      <w:r>
        <w:rPr>
          <w:rFonts w:ascii="仿宋" w:hAnsi="仿宋" w:eastAsia="仿宋"/>
          <w:sz w:val="28"/>
        </w:rPr>
        <w:t xml:space="preserve"> </w:t>
      </w:r>
      <w:r>
        <w:rPr>
          <w:rFonts w:hint="eastAsia" w:ascii="仿宋" w:hAnsi="仿宋" w:eastAsia="仿宋"/>
          <w:sz w:val="28"/>
        </w:rPr>
        <w:t>“投标文件格式”等内容根据园林行业特点，在国家发改委等九部委令第</w:t>
      </w:r>
      <w:r>
        <w:rPr>
          <w:rFonts w:ascii="仿宋" w:hAnsi="仿宋" w:eastAsia="仿宋"/>
          <w:sz w:val="28"/>
        </w:rPr>
        <w:t>56</w:t>
      </w:r>
      <w:r>
        <w:rPr>
          <w:rFonts w:hint="eastAsia" w:ascii="仿宋" w:hAnsi="仿宋" w:eastAsia="仿宋"/>
          <w:sz w:val="28"/>
        </w:rPr>
        <w:t>号《标准施工招标文件》的基础上进行了完善和细化，并补充了相应附表或附件。</w:t>
      </w:r>
    </w:p>
    <w:p>
      <w:pPr>
        <w:spacing w:line="360" w:lineRule="auto"/>
        <w:ind w:firstLine="560" w:firstLineChars="200"/>
        <w:rPr>
          <w:rFonts w:ascii="仿宋" w:hAnsi="仿宋" w:eastAsia="仿宋"/>
          <w:sz w:val="28"/>
        </w:rPr>
      </w:pPr>
      <w:r>
        <w:rPr>
          <w:rFonts w:hint="eastAsia" w:ascii="仿宋" w:hAnsi="仿宋" w:eastAsia="仿宋"/>
          <w:sz w:val="28"/>
        </w:rPr>
        <w:t>三、《施工招标文件示范文本</w:t>
      </w:r>
      <w:r>
        <w:rPr>
          <w:rFonts w:ascii="仿宋" w:hAnsi="仿宋" w:eastAsia="仿宋"/>
          <w:sz w:val="28"/>
        </w:rPr>
        <w:t>—</w:t>
      </w:r>
      <w:r>
        <w:rPr>
          <w:rFonts w:hint="eastAsia" w:ascii="仿宋" w:hAnsi="仿宋" w:eastAsia="仿宋"/>
          <w:sz w:val="28"/>
        </w:rPr>
        <w:t>资格后审》和国家发改委等九部委令第</w:t>
      </w:r>
      <w:r>
        <w:rPr>
          <w:rFonts w:ascii="仿宋" w:hAnsi="仿宋" w:eastAsia="仿宋"/>
          <w:sz w:val="28"/>
        </w:rPr>
        <w:t>56</w:t>
      </w:r>
      <w:r>
        <w:rPr>
          <w:rFonts w:hint="eastAsia" w:ascii="仿宋" w:hAnsi="仿宋" w:eastAsia="仿宋"/>
          <w:sz w:val="28"/>
        </w:rPr>
        <w:t>号《标准施工招标文件》构成完整的招标文件。招标人在编制招标文件时，</w:t>
      </w:r>
      <w:r>
        <w:rPr>
          <w:rFonts w:hint="eastAsia" w:ascii="仿宋" w:hAnsi="仿宋" w:eastAsia="仿宋"/>
          <w:sz w:val="28"/>
          <w:szCs w:val="28"/>
        </w:rPr>
        <w:t>应当</w:t>
      </w:r>
      <w:r>
        <w:rPr>
          <w:rFonts w:hint="eastAsia" w:ascii="仿宋" w:hAnsi="仿宋" w:eastAsia="仿宋"/>
          <w:sz w:val="28"/>
        </w:rPr>
        <w:t>根据招标工程的实际情况和有关要求</w:t>
      </w:r>
      <w:r>
        <w:rPr>
          <w:rFonts w:hint="eastAsia" w:ascii="仿宋" w:hAnsi="仿宋" w:eastAsia="仿宋"/>
          <w:sz w:val="28"/>
          <w:szCs w:val="28"/>
        </w:rPr>
        <w:t>在</w:t>
      </w:r>
      <w:r>
        <w:rPr>
          <w:rFonts w:hint="eastAsia" w:ascii="仿宋" w:hAnsi="仿宋" w:eastAsia="仿宋"/>
          <w:sz w:val="28"/>
        </w:rPr>
        <w:t>《施工招标文件示范文本</w:t>
      </w:r>
      <w:r>
        <w:rPr>
          <w:rFonts w:ascii="仿宋" w:hAnsi="仿宋" w:eastAsia="仿宋"/>
          <w:sz w:val="28"/>
        </w:rPr>
        <w:t>—</w:t>
      </w:r>
      <w:r>
        <w:rPr>
          <w:rFonts w:hint="eastAsia" w:ascii="仿宋" w:hAnsi="仿宋" w:eastAsia="仿宋"/>
          <w:sz w:val="28"/>
        </w:rPr>
        <w:t>资格后审》的空白部分进行填写，确实没有需要填写内容的，在空格中用“</w:t>
      </w:r>
      <w:r>
        <w:rPr>
          <w:rFonts w:ascii="仿宋" w:hAnsi="仿宋" w:eastAsia="仿宋"/>
          <w:sz w:val="28"/>
        </w:rPr>
        <w:t>/</w:t>
      </w:r>
      <w:r>
        <w:rPr>
          <w:rFonts w:hint="eastAsia" w:ascii="仿宋" w:hAnsi="仿宋" w:eastAsia="仿宋"/>
          <w:sz w:val="28"/>
        </w:rPr>
        <w:t>”标示。</w:t>
      </w:r>
    </w:p>
    <w:p>
      <w:pPr>
        <w:spacing w:line="360" w:lineRule="auto"/>
        <w:ind w:firstLine="560" w:firstLineChars="200"/>
        <w:rPr>
          <w:rFonts w:ascii="仿宋" w:hAnsi="仿宋" w:eastAsia="仿宋"/>
          <w:sz w:val="28"/>
        </w:rPr>
      </w:pPr>
      <w:r>
        <w:rPr>
          <w:rFonts w:hint="eastAsia" w:ascii="仿宋" w:hAnsi="仿宋" w:eastAsia="仿宋"/>
          <w:sz w:val="28"/>
        </w:rPr>
        <w:t>四、建设工程分标段招标的，一个标段编制一份招标文件，招标人应根据标段工程特点，在招标文件中载明各标段的具体招标条件和要求。</w:t>
      </w:r>
    </w:p>
    <w:p>
      <w:pPr>
        <w:spacing w:line="360" w:lineRule="auto"/>
        <w:ind w:firstLine="560" w:firstLineChars="200"/>
        <w:rPr>
          <w:rFonts w:ascii="仿宋" w:hAnsi="仿宋" w:eastAsia="仿宋"/>
          <w:sz w:val="28"/>
        </w:rPr>
      </w:pPr>
      <w:r>
        <w:rPr>
          <w:rFonts w:hint="eastAsia" w:ascii="仿宋" w:hAnsi="仿宋" w:eastAsia="仿宋"/>
          <w:sz w:val="28"/>
        </w:rPr>
        <w:t>五、《施工招标文件示范文本</w:t>
      </w:r>
      <w:r>
        <w:rPr>
          <w:rFonts w:ascii="仿宋" w:hAnsi="仿宋" w:eastAsia="仿宋"/>
          <w:sz w:val="28"/>
        </w:rPr>
        <w:t>—</w:t>
      </w:r>
      <w:r>
        <w:rPr>
          <w:rFonts w:hint="eastAsia" w:ascii="仿宋" w:hAnsi="仿宋" w:eastAsia="仿宋"/>
          <w:sz w:val="28"/>
        </w:rPr>
        <w:t>资格后审》第一章“投标邀请书”应按照实际发布的招标公告编入发出的招标文件中，作为投标邀请。其中，招标公告应同时注明发布的所有媒介名称。</w:t>
      </w:r>
    </w:p>
    <w:p>
      <w:pPr>
        <w:spacing w:line="360" w:lineRule="auto"/>
        <w:ind w:firstLine="560" w:firstLineChars="200"/>
        <w:rPr>
          <w:rFonts w:ascii="仿宋" w:hAnsi="仿宋" w:eastAsia="仿宋"/>
          <w:sz w:val="28"/>
        </w:rPr>
      </w:pPr>
      <w:r>
        <w:rPr>
          <w:rFonts w:hint="eastAsia" w:ascii="仿宋" w:hAnsi="仿宋" w:eastAsia="仿宋"/>
          <w:sz w:val="28"/>
        </w:rPr>
        <w:t>六、《施工招标文件示范文本</w:t>
      </w:r>
      <w:r>
        <w:rPr>
          <w:rFonts w:ascii="仿宋" w:hAnsi="仿宋" w:eastAsia="仿宋"/>
          <w:sz w:val="28"/>
        </w:rPr>
        <w:t>—</w:t>
      </w:r>
      <w:r>
        <w:rPr>
          <w:rFonts w:hint="eastAsia" w:ascii="仿宋" w:hAnsi="仿宋" w:eastAsia="仿宋"/>
          <w:sz w:val="28"/>
        </w:rPr>
        <w:t>资格后审》第二章</w:t>
      </w:r>
      <w:r>
        <w:rPr>
          <w:rFonts w:ascii="仿宋" w:hAnsi="仿宋" w:eastAsia="仿宋"/>
          <w:sz w:val="28"/>
        </w:rPr>
        <w:t xml:space="preserve"> </w:t>
      </w:r>
      <w:r>
        <w:rPr>
          <w:rFonts w:hint="eastAsia" w:ascii="仿宋" w:hAnsi="仿宋" w:eastAsia="仿宋"/>
          <w:sz w:val="28"/>
        </w:rPr>
        <w:t>“投标人须知”的前附表由招标人根据招标工程具体特点和实际需要进行填写，但不得与“投标人须知正文”的内容相抵触。</w:t>
      </w:r>
    </w:p>
    <w:p>
      <w:pPr>
        <w:spacing w:line="360" w:lineRule="auto"/>
        <w:ind w:firstLine="560" w:firstLineChars="200"/>
        <w:rPr>
          <w:rFonts w:ascii="仿宋" w:hAnsi="仿宋" w:eastAsia="仿宋"/>
          <w:sz w:val="28"/>
        </w:rPr>
      </w:pPr>
      <w:r>
        <w:rPr>
          <w:rFonts w:hint="eastAsia" w:ascii="仿宋" w:hAnsi="仿宋" w:eastAsia="仿宋"/>
          <w:sz w:val="28"/>
        </w:rPr>
        <w:t>七、《施工招标文件示范文本</w:t>
      </w:r>
      <w:r>
        <w:rPr>
          <w:rFonts w:ascii="仿宋" w:hAnsi="仿宋" w:eastAsia="仿宋"/>
          <w:sz w:val="28"/>
        </w:rPr>
        <w:t>—</w:t>
      </w:r>
      <w:r>
        <w:rPr>
          <w:rFonts w:hint="eastAsia" w:ascii="仿宋" w:hAnsi="仿宋" w:eastAsia="仿宋"/>
          <w:sz w:val="28"/>
        </w:rPr>
        <w:t>资格后审》第三章</w:t>
      </w:r>
      <w:r>
        <w:rPr>
          <w:rFonts w:ascii="仿宋" w:hAnsi="仿宋" w:eastAsia="仿宋"/>
          <w:sz w:val="28"/>
        </w:rPr>
        <w:t xml:space="preserve"> </w:t>
      </w:r>
      <w:r>
        <w:rPr>
          <w:rFonts w:hint="eastAsia" w:ascii="仿宋" w:hAnsi="仿宋" w:eastAsia="仿宋"/>
          <w:sz w:val="28"/>
        </w:rPr>
        <w:t>“评标办法”审查或评审因素、标准，招标人可根据招标工程具体特点和实际需要进行填写。</w:t>
      </w:r>
    </w:p>
    <w:p>
      <w:pPr>
        <w:spacing w:line="360" w:lineRule="auto"/>
        <w:ind w:firstLine="560" w:firstLineChars="200"/>
        <w:rPr>
          <w:rFonts w:ascii="宋体"/>
          <w:sz w:val="24"/>
        </w:rPr>
      </w:pPr>
      <w:r>
        <w:rPr>
          <w:rFonts w:hint="eastAsia" w:ascii="仿宋" w:hAnsi="仿宋" w:eastAsia="仿宋"/>
          <w:sz w:val="28"/>
        </w:rPr>
        <w:t>八、《施工招标文件示范文本</w:t>
      </w:r>
      <w:r>
        <w:rPr>
          <w:rFonts w:ascii="仿宋" w:hAnsi="仿宋" w:eastAsia="仿宋"/>
          <w:sz w:val="28"/>
        </w:rPr>
        <w:t>—</w:t>
      </w:r>
      <w:r>
        <w:rPr>
          <w:rFonts w:hint="eastAsia" w:ascii="仿宋" w:hAnsi="仿宋" w:eastAsia="仿宋"/>
          <w:sz w:val="28"/>
        </w:rPr>
        <w:t>资格后审》为</w:t>
      </w:r>
      <w:r>
        <w:rPr>
          <w:rFonts w:hint="eastAsia" w:ascii="仿宋" w:hAnsi="仿宋" w:eastAsia="仿宋"/>
          <w:sz w:val="28"/>
          <w:szCs w:val="28"/>
        </w:rPr>
        <w:t>2024年</w:t>
      </w:r>
      <w:r>
        <w:rPr>
          <w:rFonts w:hint="eastAsia" w:ascii="仿宋" w:hAnsi="仿宋" w:eastAsia="仿宋"/>
          <w:sz w:val="28"/>
        </w:rPr>
        <w:t>电子化版，</w:t>
      </w:r>
      <w:r>
        <w:rPr>
          <w:rFonts w:hint="eastAsia" w:ascii="仿宋" w:hAnsi="仿宋" w:eastAsia="仿宋"/>
          <w:sz w:val="28"/>
          <w:szCs w:val="28"/>
        </w:rPr>
        <w:t>适用于电子化招投标，</w:t>
      </w:r>
      <w:r>
        <w:rPr>
          <w:rFonts w:hint="eastAsia" w:ascii="仿宋" w:hAnsi="仿宋" w:eastAsia="仿宋"/>
          <w:sz w:val="28"/>
        </w:rPr>
        <w:t>各使用单位或个人对《施工招标文件示范文本</w:t>
      </w:r>
      <w:r>
        <w:rPr>
          <w:rFonts w:ascii="仿宋" w:hAnsi="仿宋" w:eastAsia="仿宋"/>
          <w:sz w:val="28"/>
        </w:rPr>
        <w:t>—</w:t>
      </w:r>
      <w:r>
        <w:rPr>
          <w:rFonts w:hint="eastAsia" w:ascii="仿宋" w:hAnsi="仿宋" w:eastAsia="仿宋"/>
          <w:sz w:val="28"/>
        </w:rPr>
        <w:t>资格后审》的修改意见和建议，请及时向北京市园林绿化局反馈。</w:t>
      </w:r>
    </w:p>
    <w:p>
      <w:pPr>
        <w:pStyle w:val="41"/>
        <w:rPr>
          <w:rStyle w:val="56"/>
          <w:b w:val="0"/>
          <w:bCs/>
          <w:color w:val="auto"/>
          <w:sz w:val="36"/>
        </w:rPr>
      </w:pPr>
      <w:r>
        <w:rPr>
          <w:color w:val="auto"/>
        </w:rPr>
        <w:br w:type="page"/>
      </w:r>
    </w:p>
    <w:p>
      <w:pPr>
        <w:pStyle w:val="4"/>
        <w:ind w:firstLine="0"/>
      </w:pPr>
      <w:r>
        <w:rPr>
          <w:rFonts w:hint="eastAsia"/>
          <w:b/>
          <w:sz w:val="28"/>
          <w:szCs w:val="28"/>
        </w:rPr>
        <w:t>招标项目编号：</w:t>
      </w:r>
      <w:r>
        <w:rPr>
          <w:b/>
          <w:sz w:val="28"/>
          <w:szCs w:val="28"/>
          <w:u w:val="single"/>
        </w:rPr>
        <w:t xml:space="preserve">                </w:t>
      </w:r>
    </w:p>
    <w:p>
      <w:pPr>
        <w:spacing w:line="400" w:lineRule="exact"/>
      </w:pPr>
    </w:p>
    <w:p>
      <w:pPr>
        <w:spacing w:line="400" w:lineRule="exact"/>
      </w:pPr>
    </w:p>
    <w:p>
      <w:pPr>
        <w:spacing w:line="400" w:lineRule="exact"/>
      </w:pPr>
    </w:p>
    <w:p>
      <w:pPr>
        <w:spacing w:line="400" w:lineRule="exact"/>
      </w:pPr>
    </w:p>
    <w:p>
      <w:pPr>
        <w:spacing w:line="400" w:lineRule="exact"/>
      </w:pPr>
    </w:p>
    <w:p>
      <w:pPr>
        <w:jc w:val="center"/>
        <w:rPr>
          <w:sz w:val="32"/>
          <w:szCs w:val="32"/>
        </w:rPr>
      </w:pPr>
      <w:r>
        <w:rPr>
          <w:sz w:val="28"/>
          <w:szCs w:val="28"/>
          <w:u w:val="single"/>
        </w:rPr>
        <w:t xml:space="preserve"> </w:t>
      </w:r>
      <w:r>
        <w:rPr>
          <w:sz w:val="32"/>
          <w:szCs w:val="32"/>
          <w:u w:val="single"/>
        </w:rPr>
        <w:t xml:space="preserve">                  </w:t>
      </w:r>
      <w:r>
        <w:rPr>
          <w:sz w:val="32"/>
          <w:szCs w:val="32"/>
        </w:rPr>
        <w:t>（工程名称）施工招标</w:t>
      </w:r>
    </w:p>
    <w:p>
      <w:pPr>
        <w:rPr>
          <w:sz w:val="28"/>
          <w:szCs w:val="28"/>
        </w:rPr>
      </w:pPr>
    </w:p>
    <w:p>
      <w:pPr>
        <w:rPr>
          <w:sz w:val="28"/>
          <w:szCs w:val="28"/>
        </w:rPr>
      </w:pPr>
    </w:p>
    <w:p>
      <w:pPr>
        <w:jc w:val="center"/>
        <w:rPr>
          <w:b/>
          <w:sz w:val="44"/>
          <w:szCs w:val="44"/>
        </w:rPr>
      </w:pPr>
      <w:r>
        <w:rPr>
          <w:rFonts w:hint="eastAsia"/>
          <w:b/>
          <w:sz w:val="44"/>
          <w:szCs w:val="44"/>
        </w:rPr>
        <w:t>招</w:t>
      </w:r>
      <w:r>
        <w:rPr>
          <w:b/>
          <w:sz w:val="44"/>
          <w:szCs w:val="44"/>
        </w:rPr>
        <w:t xml:space="preserve"> </w:t>
      </w:r>
      <w:r>
        <w:rPr>
          <w:rFonts w:hint="eastAsia"/>
          <w:b/>
          <w:sz w:val="44"/>
          <w:szCs w:val="44"/>
        </w:rPr>
        <w:t>标</w:t>
      </w:r>
      <w:r>
        <w:rPr>
          <w:b/>
          <w:sz w:val="44"/>
          <w:szCs w:val="44"/>
        </w:rPr>
        <w:t xml:space="preserve"> </w:t>
      </w:r>
      <w:r>
        <w:rPr>
          <w:rFonts w:hint="eastAsia"/>
          <w:b/>
          <w:sz w:val="44"/>
          <w:szCs w:val="44"/>
        </w:rPr>
        <w:t>文</w:t>
      </w:r>
      <w:r>
        <w:rPr>
          <w:b/>
          <w:sz w:val="44"/>
          <w:szCs w:val="44"/>
        </w:rPr>
        <w:t xml:space="preserve"> </w:t>
      </w:r>
      <w:r>
        <w:rPr>
          <w:rFonts w:hint="eastAsia"/>
          <w:b/>
          <w:sz w:val="44"/>
          <w:szCs w:val="44"/>
        </w:rPr>
        <w:t>件</w:t>
      </w:r>
    </w:p>
    <w:p>
      <w:pPr>
        <w:spacing w:line="400" w:lineRule="exact"/>
      </w:pPr>
    </w:p>
    <w:p>
      <w:pPr>
        <w:spacing w:line="400" w:lineRule="exact"/>
      </w:pPr>
    </w:p>
    <w:p>
      <w:pPr>
        <w:spacing w:line="400" w:lineRule="exact"/>
      </w:pPr>
    </w:p>
    <w:p>
      <w:pPr>
        <w:spacing w:line="400" w:lineRule="exact"/>
      </w:pPr>
      <w:r>
        <w:t xml:space="preserve"> </w:t>
      </w: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ind w:firstLine="420" w:firstLineChars="150"/>
        <w:rPr>
          <w:sz w:val="28"/>
          <w:szCs w:val="28"/>
        </w:rPr>
      </w:pPr>
      <w:r>
        <w:rPr>
          <w:rFonts w:hint="eastAsia"/>
          <w:sz w:val="28"/>
          <w:szCs w:val="28"/>
        </w:rPr>
        <w:t>招</w:t>
      </w:r>
      <w:r>
        <w:rPr>
          <w:sz w:val="28"/>
          <w:szCs w:val="28"/>
        </w:rPr>
        <w:t xml:space="preserve"> </w:t>
      </w:r>
      <w:r>
        <w:rPr>
          <w:rFonts w:hint="eastAsia"/>
          <w:sz w:val="28"/>
          <w:szCs w:val="28"/>
        </w:rPr>
        <w:t>标</w:t>
      </w:r>
      <w:r>
        <w:rPr>
          <w:sz w:val="28"/>
          <w:szCs w:val="28"/>
        </w:rPr>
        <w:t xml:space="preserve"> </w:t>
      </w:r>
      <w:r>
        <w:rPr>
          <w:rFonts w:hint="eastAsia"/>
          <w:sz w:val="28"/>
          <w:szCs w:val="28"/>
        </w:rPr>
        <w:t>人：</w:t>
      </w:r>
      <w:r>
        <w:rPr>
          <w:sz w:val="28"/>
          <w:szCs w:val="28"/>
          <w:u w:val="single"/>
        </w:rPr>
        <w:t xml:space="preserve">                  </w:t>
      </w:r>
      <w:r>
        <w:rPr>
          <w:rFonts w:hint="eastAsia"/>
          <w:sz w:val="28"/>
          <w:szCs w:val="28"/>
          <w:u w:val="single"/>
        </w:rPr>
        <w:t>（盖</w:t>
      </w:r>
      <w:r>
        <w:rPr>
          <w:rFonts w:hint="eastAsia" w:ascii="宋体" w:hAnsi="宋体"/>
          <w:sz w:val="28"/>
          <w:szCs w:val="28"/>
          <w:u w:val="single"/>
        </w:rPr>
        <w:t>企业</w:t>
      </w:r>
      <w:r>
        <w:rPr>
          <w:rFonts w:ascii="宋体" w:hAnsi="宋体"/>
          <w:sz w:val="28"/>
          <w:szCs w:val="28"/>
          <w:u w:val="single"/>
        </w:rPr>
        <w:t>CA</w:t>
      </w:r>
      <w:r>
        <w:rPr>
          <w:rFonts w:hint="eastAsia" w:ascii="宋体" w:hAnsi="宋体"/>
          <w:sz w:val="28"/>
          <w:szCs w:val="28"/>
          <w:u w:val="single"/>
        </w:rPr>
        <w:t>电子印章</w:t>
      </w:r>
      <w:r>
        <w:rPr>
          <w:rFonts w:hint="eastAsia"/>
          <w:sz w:val="28"/>
          <w:szCs w:val="28"/>
        </w:rPr>
        <w:t>）</w:t>
      </w:r>
    </w:p>
    <w:p>
      <w:pPr>
        <w:spacing w:line="400" w:lineRule="exact"/>
        <w:jc w:val="center"/>
      </w:pPr>
    </w:p>
    <w:p>
      <w:pPr>
        <w:spacing w:line="400" w:lineRule="exact"/>
        <w:ind w:firstLine="420" w:firstLineChars="150"/>
        <w:rPr>
          <w:sz w:val="28"/>
          <w:szCs w:val="28"/>
        </w:rPr>
      </w:pPr>
      <w:r>
        <w:rPr>
          <w:rFonts w:hint="eastAsia"/>
          <w:sz w:val="28"/>
          <w:szCs w:val="28"/>
        </w:rPr>
        <w:t>招标代理机构：</w:t>
      </w:r>
      <w:r>
        <w:rPr>
          <w:sz w:val="28"/>
          <w:szCs w:val="28"/>
          <w:u w:val="single"/>
        </w:rPr>
        <w:t xml:space="preserve">                                 </w:t>
      </w:r>
      <w:r>
        <w:rPr>
          <w:sz w:val="28"/>
          <w:szCs w:val="28"/>
        </w:rPr>
        <w:t xml:space="preserve"> </w:t>
      </w:r>
    </w:p>
    <w:p>
      <w:pPr>
        <w:spacing w:line="400" w:lineRule="exact"/>
        <w:rPr>
          <w:sz w:val="28"/>
          <w:szCs w:val="28"/>
          <w:u w:val="single"/>
        </w:rPr>
      </w:pPr>
    </w:p>
    <w:p>
      <w:pPr>
        <w:spacing w:line="400" w:lineRule="exact"/>
        <w:ind w:firstLine="420" w:firstLineChars="150"/>
      </w:pPr>
      <w:r>
        <w:rPr>
          <w:rFonts w:hint="eastAsia"/>
          <w:sz w:val="28"/>
          <w:szCs w:val="28"/>
        </w:rPr>
        <w:t>日期：</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pStyle w:val="41"/>
        <w:rPr>
          <w:rStyle w:val="56"/>
          <w:bCs/>
          <w:color w:val="auto"/>
        </w:rPr>
      </w:pPr>
      <w:r>
        <w:rPr>
          <w:rStyle w:val="56"/>
          <w:bCs/>
          <w:color w:val="auto"/>
        </w:rPr>
        <w:br w:type="page"/>
      </w:r>
      <w:r>
        <w:rPr>
          <w:rStyle w:val="56"/>
          <w:rFonts w:hint="eastAsia"/>
          <w:bCs/>
          <w:color w:val="auto"/>
          <w:sz w:val="24"/>
        </w:rPr>
        <w:t>目</w:t>
      </w:r>
      <w:r>
        <w:rPr>
          <w:rStyle w:val="56"/>
          <w:bCs/>
          <w:color w:val="auto"/>
          <w:sz w:val="24"/>
        </w:rPr>
        <w:t xml:space="preserve"> </w:t>
      </w:r>
      <w:r>
        <w:rPr>
          <w:rStyle w:val="56"/>
          <w:rFonts w:hint="eastAsia"/>
          <w:bCs/>
          <w:color w:val="auto"/>
          <w:sz w:val="24"/>
        </w:rPr>
        <w:t>录</w:t>
      </w:r>
    </w:p>
    <w:p/>
    <w:p>
      <w:pPr>
        <w:pStyle w:val="35"/>
        <w:tabs>
          <w:tab w:val="right" w:leader="dot" w:pos="8609"/>
        </w:tabs>
        <w:spacing w:before="0" w:after="0" w:line="360" w:lineRule="auto"/>
        <w:rPr>
          <w:rFonts w:ascii="宋体" w:hAnsi="宋体" w:cstheme="minorEastAsia"/>
          <w:b w:val="0"/>
          <w:bCs w:val="0"/>
          <w:caps w:val="0"/>
          <w:kern w:val="2"/>
          <w:sz w:val="24"/>
        </w:rPr>
      </w:pPr>
      <w:r>
        <w:rPr>
          <w:rStyle w:val="56"/>
          <w:rFonts w:hint="eastAsia" w:asciiTheme="minorEastAsia" w:hAnsiTheme="minorEastAsia" w:eastAsiaTheme="minorEastAsia" w:cstheme="minorEastAsia"/>
          <w:bCs w:val="0"/>
          <w:color w:val="auto"/>
          <w:sz w:val="24"/>
        </w:rPr>
        <w:fldChar w:fldCharType="begin"/>
      </w:r>
      <w:r>
        <w:rPr>
          <w:rStyle w:val="56"/>
          <w:rFonts w:hint="eastAsia" w:asciiTheme="minorEastAsia" w:hAnsiTheme="minorEastAsia" w:eastAsiaTheme="minorEastAsia" w:cstheme="minorEastAsia"/>
          <w:bCs w:val="0"/>
          <w:color w:val="auto"/>
          <w:sz w:val="24"/>
        </w:rPr>
        <w:instrText xml:space="preserve"> TOC \o "1-3" \h \z </w:instrText>
      </w:r>
      <w:r>
        <w:rPr>
          <w:rStyle w:val="56"/>
          <w:rFonts w:hint="eastAsia" w:asciiTheme="minorEastAsia" w:hAnsiTheme="minorEastAsia" w:eastAsiaTheme="minorEastAsia" w:cstheme="minorEastAsia"/>
          <w:bCs w:val="0"/>
          <w:color w:val="auto"/>
          <w:sz w:val="24"/>
        </w:rPr>
        <w:fldChar w:fldCharType="separate"/>
      </w:r>
      <w:r>
        <w:fldChar w:fldCharType="begin"/>
      </w:r>
      <w:r>
        <w:instrText xml:space="preserve"> HYPERLINK \l "_Toc470011299" </w:instrText>
      </w:r>
      <w:r>
        <w:fldChar w:fldCharType="separate"/>
      </w:r>
      <w:r>
        <w:rPr>
          <w:rStyle w:val="56"/>
          <w:rFonts w:hint="eastAsia" w:ascii="宋体" w:hAnsi="宋体" w:cstheme="minorEastAsia"/>
          <w:b w:val="0"/>
          <w:bCs w:val="0"/>
          <w:color w:val="auto"/>
          <w:sz w:val="24"/>
        </w:rPr>
        <w:t>第一章 招标公告</w:t>
      </w:r>
      <w:r>
        <w:rPr>
          <w:rFonts w:hint="eastAsia" w:ascii="宋体" w:hAnsi="宋体" w:cstheme="minorEastAsia"/>
          <w:b w:val="0"/>
          <w:bCs w:val="0"/>
          <w:sz w:val="24"/>
        </w:rPr>
        <w:tab/>
      </w:r>
      <w:r>
        <w:rPr>
          <w:rFonts w:hint="eastAsia" w:ascii="宋体" w:hAnsi="宋体" w:cstheme="minorEastAsia"/>
          <w:b w:val="0"/>
          <w:bCs w:val="0"/>
          <w:sz w:val="24"/>
        </w:rPr>
        <w:fldChar w:fldCharType="begin"/>
      </w:r>
      <w:r>
        <w:rPr>
          <w:rFonts w:hint="eastAsia" w:ascii="宋体" w:hAnsi="宋体" w:cstheme="minorEastAsia"/>
          <w:b w:val="0"/>
          <w:bCs w:val="0"/>
          <w:sz w:val="24"/>
        </w:rPr>
        <w:instrText xml:space="preserve"> PAGEREF _Toc470011299 \h </w:instrText>
      </w:r>
      <w:r>
        <w:rPr>
          <w:rFonts w:hint="eastAsia" w:ascii="宋体" w:hAnsi="宋体" w:cstheme="minorEastAsia"/>
          <w:b w:val="0"/>
          <w:bCs w:val="0"/>
          <w:sz w:val="24"/>
        </w:rPr>
        <w:fldChar w:fldCharType="separate"/>
      </w:r>
      <w:r>
        <w:rPr>
          <w:rFonts w:ascii="宋体" w:hAnsi="宋体" w:cstheme="minorEastAsia"/>
          <w:b w:val="0"/>
          <w:bCs w:val="0"/>
          <w:sz w:val="24"/>
        </w:rPr>
        <w:t>1</w:t>
      </w:r>
      <w:r>
        <w:rPr>
          <w:rFonts w:hint="eastAsia" w:ascii="宋体" w:hAnsi="宋体" w:cstheme="minorEastAsia"/>
          <w:b w:val="0"/>
          <w:bCs w:val="0"/>
          <w:sz w:val="24"/>
        </w:rPr>
        <w:fldChar w:fldCharType="end"/>
      </w:r>
      <w:r>
        <w:rPr>
          <w:rFonts w:hint="eastAsia" w:ascii="宋体" w:hAnsi="宋体" w:cstheme="minorEastAsia"/>
          <w:b w:val="0"/>
          <w:bCs w:val="0"/>
          <w:sz w:val="24"/>
        </w:rPr>
        <w:fldChar w:fldCharType="end"/>
      </w:r>
    </w:p>
    <w:p>
      <w:pPr>
        <w:pStyle w:val="35"/>
        <w:tabs>
          <w:tab w:val="right" w:leader="dot" w:pos="8609"/>
        </w:tabs>
        <w:spacing w:before="0" w:after="0" w:line="360" w:lineRule="auto"/>
        <w:rPr>
          <w:rFonts w:ascii="宋体" w:hAnsi="宋体" w:cstheme="minorEastAsia"/>
          <w:b w:val="0"/>
          <w:bCs w:val="0"/>
          <w:caps w:val="0"/>
          <w:kern w:val="2"/>
          <w:sz w:val="24"/>
        </w:rPr>
      </w:pPr>
      <w:r>
        <w:fldChar w:fldCharType="begin"/>
      </w:r>
      <w:r>
        <w:instrText xml:space="preserve"> HYPERLINK \l "_Toc470011308" </w:instrText>
      </w:r>
      <w:r>
        <w:fldChar w:fldCharType="separate"/>
      </w:r>
      <w:r>
        <w:rPr>
          <w:rStyle w:val="56"/>
          <w:rFonts w:hint="eastAsia" w:ascii="宋体" w:hAnsi="宋体" w:cstheme="minorEastAsia"/>
          <w:b w:val="0"/>
          <w:bCs w:val="0"/>
          <w:color w:val="auto"/>
          <w:sz w:val="24"/>
        </w:rPr>
        <w:t>第一章 投标邀请书</w:t>
      </w:r>
      <w:r>
        <w:rPr>
          <w:rFonts w:hint="eastAsia" w:ascii="宋体" w:hAnsi="宋体" w:cstheme="minorEastAsia"/>
          <w:b w:val="0"/>
          <w:bCs w:val="0"/>
          <w:sz w:val="24"/>
        </w:rPr>
        <w:tab/>
      </w:r>
      <w:r>
        <w:rPr>
          <w:rFonts w:hint="eastAsia" w:ascii="宋体" w:hAnsi="宋体" w:cstheme="minorEastAsia"/>
          <w:b w:val="0"/>
          <w:bCs w:val="0"/>
          <w:sz w:val="24"/>
        </w:rPr>
        <w:fldChar w:fldCharType="begin"/>
      </w:r>
      <w:r>
        <w:rPr>
          <w:rFonts w:hint="eastAsia" w:ascii="宋体" w:hAnsi="宋体" w:cstheme="minorEastAsia"/>
          <w:b w:val="0"/>
          <w:bCs w:val="0"/>
          <w:sz w:val="24"/>
        </w:rPr>
        <w:instrText xml:space="preserve"> PAGEREF _Toc470011308 \h </w:instrText>
      </w:r>
      <w:r>
        <w:rPr>
          <w:rFonts w:hint="eastAsia" w:ascii="宋体" w:hAnsi="宋体" w:cstheme="minorEastAsia"/>
          <w:b w:val="0"/>
          <w:bCs w:val="0"/>
          <w:sz w:val="24"/>
        </w:rPr>
        <w:fldChar w:fldCharType="separate"/>
      </w:r>
      <w:r>
        <w:rPr>
          <w:rFonts w:ascii="宋体" w:hAnsi="宋体" w:cstheme="minorEastAsia"/>
          <w:b w:val="0"/>
          <w:bCs w:val="0"/>
          <w:sz w:val="24"/>
        </w:rPr>
        <w:t>5</w:t>
      </w:r>
      <w:r>
        <w:rPr>
          <w:rFonts w:hint="eastAsia" w:ascii="宋体" w:hAnsi="宋体" w:cstheme="minorEastAsia"/>
          <w:b w:val="0"/>
          <w:bCs w:val="0"/>
          <w:sz w:val="24"/>
        </w:rPr>
        <w:fldChar w:fldCharType="end"/>
      </w:r>
      <w:r>
        <w:rPr>
          <w:rFonts w:hint="eastAsia" w:ascii="宋体" w:hAnsi="宋体" w:cstheme="minorEastAsia"/>
          <w:b w:val="0"/>
          <w:bCs w:val="0"/>
          <w:sz w:val="24"/>
        </w:rPr>
        <w:fldChar w:fldCharType="end"/>
      </w:r>
    </w:p>
    <w:p>
      <w:pPr>
        <w:pStyle w:val="35"/>
        <w:tabs>
          <w:tab w:val="right" w:leader="dot" w:pos="8609"/>
        </w:tabs>
        <w:spacing w:before="0" w:after="0" w:line="360" w:lineRule="auto"/>
        <w:rPr>
          <w:rFonts w:ascii="宋体" w:hAnsi="宋体" w:cstheme="minorEastAsia"/>
          <w:b w:val="0"/>
          <w:bCs w:val="0"/>
          <w:caps w:val="0"/>
          <w:kern w:val="2"/>
          <w:sz w:val="24"/>
        </w:rPr>
      </w:pPr>
      <w:r>
        <w:fldChar w:fldCharType="begin"/>
      </w:r>
      <w:r>
        <w:instrText xml:space="preserve"> HYPERLINK \l "_Toc470011309" </w:instrText>
      </w:r>
      <w:r>
        <w:fldChar w:fldCharType="separate"/>
      </w:r>
      <w:r>
        <w:rPr>
          <w:rStyle w:val="56"/>
          <w:rFonts w:hint="eastAsia" w:ascii="宋体" w:hAnsi="宋体" w:cstheme="minorEastAsia"/>
          <w:b w:val="0"/>
          <w:bCs w:val="0"/>
          <w:color w:val="auto"/>
          <w:sz w:val="24"/>
        </w:rPr>
        <w:t>第二章 投标人须知</w:t>
      </w:r>
      <w:r>
        <w:rPr>
          <w:rFonts w:hint="eastAsia" w:ascii="宋体" w:hAnsi="宋体" w:cstheme="minorEastAsia"/>
          <w:b w:val="0"/>
          <w:bCs w:val="0"/>
          <w:sz w:val="24"/>
        </w:rPr>
        <w:tab/>
      </w:r>
      <w:r>
        <w:rPr>
          <w:rFonts w:hint="eastAsia" w:ascii="宋体" w:hAnsi="宋体" w:cstheme="minorEastAsia"/>
          <w:b w:val="0"/>
          <w:bCs w:val="0"/>
          <w:sz w:val="24"/>
        </w:rPr>
        <w:fldChar w:fldCharType="begin"/>
      </w:r>
      <w:r>
        <w:rPr>
          <w:rFonts w:hint="eastAsia" w:ascii="宋体" w:hAnsi="宋体" w:cstheme="minorEastAsia"/>
          <w:b w:val="0"/>
          <w:bCs w:val="0"/>
          <w:sz w:val="24"/>
        </w:rPr>
        <w:instrText xml:space="preserve"> PAGEREF _Toc470011309 \h </w:instrText>
      </w:r>
      <w:r>
        <w:rPr>
          <w:rFonts w:hint="eastAsia" w:ascii="宋体" w:hAnsi="宋体" w:cstheme="minorEastAsia"/>
          <w:b w:val="0"/>
          <w:bCs w:val="0"/>
          <w:sz w:val="24"/>
        </w:rPr>
        <w:fldChar w:fldCharType="separate"/>
      </w:r>
      <w:r>
        <w:rPr>
          <w:rFonts w:ascii="宋体" w:hAnsi="宋体" w:cstheme="minorEastAsia"/>
          <w:b w:val="0"/>
          <w:bCs w:val="0"/>
          <w:sz w:val="24"/>
        </w:rPr>
        <w:t>7</w:t>
      </w:r>
      <w:r>
        <w:rPr>
          <w:rFonts w:hint="eastAsia" w:ascii="宋体" w:hAnsi="宋体" w:cstheme="minorEastAsia"/>
          <w:b w:val="0"/>
          <w:bCs w:val="0"/>
          <w:sz w:val="24"/>
        </w:rPr>
        <w:fldChar w:fldCharType="end"/>
      </w:r>
      <w:r>
        <w:rPr>
          <w:rFonts w:hint="eastAsia" w:ascii="宋体" w:hAnsi="宋体" w:cstheme="minorEastAsia"/>
          <w:b w:val="0"/>
          <w:bCs w:val="0"/>
          <w:sz w:val="24"/>
        </w:rPr>
        <w:fldChar w:fldCharType="end"/>
      </w:r>
    </w:p>
    <w:p>
      <w:pPr>
        <w:pStyle w:val="35"/>
        <w:tabs>
          <w:tab w:val="left" w:pos="840"/>
          <w:tab w:val="right" w:leader="dot" w:pos="8609"/>
        </w:tabs>
        <w:spacing w:before="0" w:after="0" w:line="360" w:lineRule="auto"/>
        <w:rPr>
          <w:rFonts w:ascii="宋体" w:hAnsi="宋体" w:cstheme="minorEastAsia"/>
          <w:b w:val="0"/>
          <w:bCs w:val="0"/>
          <w:caps w:val="0"/>
          <w:kern w:val="2"/>
          <w:sz w:val="24"/>
        </w:rPr>
      </w:pPr>
      <w:r>
        <w:fldChar w:fldCharType="begin"/>
      </w:r>
      <w:r>
        <w:instrText xml:space="preserve"> HYPERLINK \l "_Toc470011315" </w:instrText>
      </w:r>
      <w:r>
        <w:fldChar w:fldCharType="separate"/>
      </w:r>
      <w:r>
        <w:rPr>
          <w:rStyle w:val="56"/>
          <w:rFonts w:hint="eastAsia" w:ascii="宋体" w:hAnsi="宋体" w:cstheme="minorEastAsia"/>
          <w:b w:val="0"/>
          <w:bCs w:val="0"/>
          <w:color w:val="auto"/>
          <w:sz w:val="24"/>
        </w:rPr>
        <w:t>第三章</w:t>
      </w:r>
      <w:r>
        <w:rPr>
          <w:rFonts w:hint="eastAsia" w:ascii="宋体" w:hAnsi="宋体" w:cstheme="minorEastAsia"/>
          <w:b w:val="0"/>
          <w:bCs w:val="0"/>
          <w:caps w:val="0"/>
          <w:kern w:val="2"/>
          <w:sz w:val="24"/>
        </w:rPr>
        <w:tab/>
      </w:r>
      <w:r>
        <w:rPr>
          <w:rStyle w:val="56"/>
          <w:rFonts w:hint="eastAsia" w:ascii="宋体" w:hAnsi="宋体" w:cstheme="minorEastAsia"/>
          <w:b w:val="0"/>
          <w:bCs w:val="0"/>
          <w:color w:val="auto"/>
          <w:sz w:val="24"/>
        </w:rPr>
        <w:t>评标办法</w:t>
      </w:r>
      <w:r>
        <w:rPr>
          <w:rFonts w:hint="eastAsia" w:ascii="宋体" w:hAnsi="宋体" w:cstheme="minorEastAsia"/>
          <w:b w:val="0"/>
          <w:bCs w:val="0"/>
          <w:sz w:val="24"/>
        </w:rPr>
        <w:tab/>
      </w:r>
      <w:r>
        <w:rPr>
          <w:rFonts w:hint="eastAsia" w:ascii="宋体" w:hAnsi="宋体" w:cstheme="minorEastAsia"/>
          <w:b w:val="0"/>
          <w:bCs w:val="0"/>
          <w:sz w:val="24"/>
        </w:rPr>
        <w:fldChar w:fldCharType="begin"/>
      </w:r>
      <w:r>
        <w:rPr>
          <w:rFonts w:hint="eastAsia" w:ascii="宋体" w:hAnsi="宋体" w:cstheme="minorEastAsia"/>
          <w:b w:val="0"/>
          <w:bCs w:val="0"/>
          <w:sz w:val="24"/>
        </w:rPr>
        <w:instrText xml:space="preserve"> PAGEREF _Toc470011315 \h </w:instrText>
      </w:r>
      <w:r>
        <w:rPr>
          <w:rFonts w:hint="eastAsia" w:ascii="宋体" w:hAnsi="宋体" w:cstheme="minorEastAsia"/>
          <w:b w:val="0"/>
          <w:bCs w:val="0"/>
          <w:sz w:val="24"/>
        </w:rPr>
        <w:fldChar w:fldCharType="separate"/>
      </w:r>
      <w:r>
        <w:rPr>
          <w:rFonts w:ascii="宋体" w:hAnsi="宋体" w:cstheme="minorEastAsia"/>
          <w:b w:val="0"/>
          <w:bCs w:val="0"/>
          <w:sz w:val="24"/>
        </w:rPr>
        <w:t>37</w:t>
      </w:r>
      <w:r>
        <w:rPr>
          <w:rFonts w:hint="eastAsia" w:ascii="宋体" w:hAnsi="宋体" w:cstheme="minorEastAsia"/>
          <w:b w:val="0"/>
          <w:bCs w:val="0"/>
          <w:sz w:val="24"/>
        </w:rPr>
        <w:fldChar w:fldCharType="end"/>
      </w:r>
      <w:r>
        <w:rPr>
          <w:rFonts w:hint="eastAsia" w:ascii="宋体" w:hAnsi="宋体" w:cstheme="minorEastAsia"/>
          <w:b w:val="0"/>
          <w:bCs w:val="0"/>
          <w:sz w:val="24"/>
        </w:rPr>
        <w:fldChar w:fldCharType="end"/>
      </w:r>
    </w:p>
    <w:p>
      <w:pPr>
        <w:pStyle w:val="35"/>
        <w:tabs>
          <w:tab w:val="right" w:leader="dot" w:pos="8609"/>
        </w:tabs>
        <w:spacing w:before="0" w:after="0" w:line="360" w:lineRule="auto"/>
        <w:rPr>
          <w:rFonts w:ascii="宋体" w:hAnsi="宋体" w:cstheme="minorEastAsia"/>
          <w:b w:val="0"/>
          <w:bCs w:val="0"/>
          <w:caps w:val="0"/>
          <w:kern w:val="2"/>
          <w:sz w:val="24"/>
        </w:rPr>
      </w:pPr>
      <w:r>
        <w:fldChar w:fldCharType="begin"/>
      </w:r>
      <w:r>
        <w:instrText xml:space="preserve"> HYPERLINK \l "_Toc470011328" </w:instrText>
      </w:r>
      <w:r>
        <w:fldChar w:fldCharType="separate"/>
      </w:r>
      <w:r>
        <w:rPr>
          <w:rStyle w:val="56"/>
          <w:rFonts w:hint="eastAsia" w:ascii="宋体" w:hAnsi="宋体" w:cstheme="minorEastAsia"/>
          <w:b w:val="0"/>
          <w:bCs w:val="0"/>
          <w:color w:val="auto"/>
          <w:sz w:val="24"/>
        </w:rPr>
        <w:t>第四章 合同条款及格式</w:t>
      </w:r>
      <w:r>
        <w:rPr>
          <w:rFonts w:hint="eastAsia" w:ascii="宋体" w:hAnsi="宋体" w:cstheme="minorEastAsia"/>
          <w:b w:val="0"/>
          <w:bCs w:val="0"/>
          <w:sz w:val="24"/>
        </w:rPr>
        <w:tab/>
      </w:r>
      <w:r>
        <w:rPr>
          <w:rFonts w:hint="eastAsia" w:ascii="宋体" w:hAnsi="宋体" w:cstheme="minorEastAsia"/>
          <w:b w:val="0"/>
          <w:bCs w:val="0"/>
          <w:sz w:val="24"/>
        </w:rPr>
        <w:fldChar w:fldCharType="begin"/>
      </w:r>
      <w:r>
        <w:rPr>
          <w:rFonts w:hint="eastAsia" w:ascii="宋体" w:hAnsi="宋体" w:cstheme="minorEastAsia"/>
          <w:b w:val="0"/>
          <w:bCs w:val="0"/>
          <w:sz w:val="24"/>
        </w:rPr>
        <w:instrText xml:space="preserve"> PAGEREF _Toc470011328 \h </w:instrText>
      </w:r>
      <w:r>
        <w:rPr>
          <w:rFonts w:hint="eastAsia" w:ascii="宋体" w:hAnsi="宋体" w:cstheme="minorEastAsia"/>
          <w:b w:val="0"/>
          <w:bCs w:val="0"/>
          <w:sz w:val="24"/>
        </w:rPr>
        <w:fldChar w:fldCharType="separate"/>
      </w:r>
      <w:r>
        <w:rPr>
          <w:rFonts w:ascii="宋体" w:hAnsi="宋体" w:cstheme="minorEastAsia"/>
          <w:b w:val="0"/>
          <w:bCs w:val="0"/>
          <w:sz w:val="24"/>
        </w:rPr>
        <w:t>74</w:t>
      </w:r>
      <w:r>
        <w:rPr>
          <w:rFonts w:hint="eastAsia" w:ascii="宋体" w:hAnsi="宋体" w:cstheme="minorEastAsia"/>
          <w:b w:val="0"/>
          <w:bCs w:val="0"/>
          <w:sz w:val="24"/>
        </w:rPr>
        <w:fldChar w:fldCharType="end"/>
      </w:r>
      <w:r>
        <w:rPr>
          <w:rFonts w:hint="eastAsia" w:ascii="宋体" w:hAnsi="宋体" w:cstheme="minorEastAsia"/>
          <w:b w:val="0"/>
          <w:bCs w:val="0"/>
          <w:sz w:val="24"/>
        </w:rPr>
        <w:fldChar w:fldCharType="end"/>
      </w:r>
    </w:p>
    <w:p>
      <w:pPr>
        <w:pStyle w:val="35"/>
        <w:tabs>
          <w:tab w:val="right" w:leader="dot" w:pos="8609"/>
        </w:tabs>
        <w:spacing w:before="0" w:after="0" w:line="360" w:lineRule="auto"/>
        <w:rPr>
          <w:rFonts w:ascii="宋体" w:hAnsi="宋体" w:cstheme="minorEastAsia"/>
          <w:b w:val="0"/>
          <w:bCs w:val="0"/>
          <w:caps w:val="0"/>
          <w:kern w:val="2"/>
          <w:sz w:val="24"/>
        </w:rPr>
      </w:pPr>
      <w:r>
        <w:fldChar w:fldCharType="begin"/>
      </w:r>
      <w:r>
        <w:instrText xml:space="preserve"> HYPERLINK \l "_Toc470011329" </w:instrText>
      </w:r>
      <w:r>
        <w:fldChar w:fldCharType="separate"/>
      </w:r>
      <w:r>
        <w:rPr>
          <w:rStyle w:val="56"/>
          <w:rFonts w:hint="eastAsia" w:ascii="宋体" w:hAnsi="宋体" w:cstheme="minorEastAsia"/>
          <w:b w:val="0"/>
          <w:bCs w:val="0"/>
          <w:color w:val="auto"/>
          <w:sz w:val="24"/>
        </w:rPr>
        <w:t>第五章 招标工程量清单</w:t>
      </w:r>
      <w:r>
        <w:rPr>
          <w:rFonts w:hint="eastAsia" w:ascii="宋体" w:hAnsi="宋体" w:cstheme="minorEastAsia"/>
          <w:b w:val="0"/>
          <w:bCs w:val="0"/>
          <w:sz w:val="24"/>
        </w:rPr>
        <w:tab/>
      </w:r>
      <w:r>
        <w:rPr>
          <w:rFonts w:hint="eastAsia" w:ascii="宋体" w:hAnsi="宋体" w:cstheme="minorEastAsia"/>
          <w:b w:val="0"/>
          <w:bCs w:val="0"/>
          <w:sz w:val="24"/>
        </w:rPr>
        <w:fldChar w:fldCharType="begin"/>
      </w:r>
      <w:r>
        <w:rPr>
          <w:rFonts w:hint="eastAsia" w:ascii="宋体" w:hAnsi="宋体" w:cstheme="minorEastAsia"/>
          <w:b w:val="0"/>
          <w:bCs w:val="0"/>
          <w:sz w:val="24"/>
        </w:rPr>
        <w:instrText xml:space="preserve"> PAGEREF _Toc470011329 \h </w:instrText>
      </w:r>
      <w:r>
        <w:rPr>
          <w:rFonts w:hint="eastAsia" w:ascii="宋体" w:hAnsi="宋体" w:cstheme="minorEastAsia"/>
          <w:b w:val="0"/>
          <w:bCs w:val="0"/>
          <w:sz w:val="24"/>
        </w:rPr>
        <w:fldChar w:fldCharType="separate"/>
      </w:r>
      <w:r>
        <w:rPr>
          <w:rFonts w:ascii="宋体" w:hAnsi="宋体" w:cstheme="minorEastAsia"/>
          <w:b w:val="0"/>
          <w:bCs w:val="0"/>
          <w:sz w:val="24"/>
        </w:rPr>
        <w:t>132</w:t>
      </w:r>
      <w:r>
        <w:rPr>
          <w:rFonts w:hint="eastAsia" w:ascii="宋体" w:hAnsi="宋体" w:cstheme="minorEastAsia"/>
          <w:b w:val="0"/>
          <w:bCs w:val="0"/>
          <w:sz w:val="24"/>
        </w:rPr>
        <w:fldChar w:fldCharType="end"/>
      </w:r>
      <w:r>
        <w:rPr>
          <w:rFonts w:hint="eastAsia" w:ascii="宋体" w:hAnsi="宋体" w:cstheme="minorEastAsia"/>
          <w:b w:val="0"/>
          <w:bCs w:val="0"/>
          <w:sz w:val="24"/>
        </w:rPr>
        <w:fldChar w:fldCharType="end"/>
      </w:r>
    </w:p>
    <w:p>
      <w:pPr>
        <w:pStyle w:val="35"/>
        <w:tabs>
          <w:tab w:val="right" w:leader="dot" w:pos="8609"/>
        </w:tabs>
        <w:spacing w:before="0" w:after="0" w:line="360" w:lineRule="auto"/>
        <w:rPr>
          <w:rFonts w:ascii="宋体" w:hAnsi="宋体" w:cstheme="minorEastAsia"/>
          <w:b w:val="0"/>
          <w:bCs w:val="0"/>
          <w:caps w:val="0"/>
          <w:kern w:val="2"/>
          <w:sz w:val="24"/>
        </w:rPr>
      </w:pPr>
      <w:r>
        <w:fldChar w:fldCharType="begin"/>
      </w:r>
      <w:r>
        <w:instrText xml:space="preserve"> HYPERLINK \l "_Toc470011330" </w:instrText>
      </w:r>
      <w:r>
        <w:fldChar w:fldCharType="separate"/>
      </w:r>
      <w:r>
        <w:rPr>
          <w:rStyle w:val="56"/>
          <w:rFonts w:hint="eastAsia" w:ascii="宋体" w:hAnsi="宋体" w:cstheme="minorEastAsia"/>
          <w:b w:val="0"/>
          <w:bCs w:val="0"/>
          <w:color w:val="auto"/>
          <w:sz w:val="24"/>
        </w:rPr>
        <w:t>第六章 图纸</w:t>
      </w:r>
      <w:r>
        <w:rPr>
          <w:rFonts w:hint="eastAsia" w:ascii="宋体" w:hAnsi="宋体" w:cstheme="minorEastAsia"/>
          <w:b w:val="0"/>
          <w:bCs w:val="0"/>
          <w:sz w:val="24"/>
        </w:rPr>
        <w:tab/>
      </w:r>
      <w:r>
        <w:rPr>
          <w:rFonts w:hint="eastAsia" w:ascii="宋体" w:hAnsi="宋体" w:cstheme="minorEastAsia"/>
          <w:b w:val="0"/>
          <w:bCs w:val="0"/>
          <w:sz w:val="24"/>
        </w:rPr>
        <w:fldChar w:fldCharType="begin"/>
      </w:r>
      <w:r>
        <w:rPr>
          <w:rFonts w:hint="eastAsia" w:ascii="宋体" w:hAnsi="宋体" w:cstheme="minorEastAsia"/>
          <w:b w:val="0"/>
          <w:bCs w:val="0"/>
          <w:sz w:val="24"/>
        </w:rPr>
        <w:instrText xml:space="preserve"> PAGEREF _Toc470011330 \h </w:instrText>
      </w:r>
      <w:r>
        <w:rPr>
          <w:rFonts w:hint="eastAsia" w:ascii="宋体" w:hAnsi="宋体" w:cstheme="minorEastAsia"/>
          <w:b w:val="0"/>
          <w:bCs w:val="0"/>
          <w:sz w:val="24"/>
        </w:rPr>
        <w:fldChar w:fldCharType="separate"/>
      </w:r>
      <w:r>
        <w:rPr>
          <w:rFonts w:ascii="宋体" w:hAnsi="宋体" w:cstheme="minorEastAsia"/>
          <w:b w:val="0"/>
          <w:bCs w:val="0"/>
          <w:sz w:val="24"/>
        </w:rPr>
        <w:t>155</w:t>
      </w:r>
      <w:r>
        <w:rPr>
          <w:rFonts w:hint="eastAsia" w:ascii="宋体" w:hAnsi="宋体" w:cstheme="minorEastAsia"/>
          <w:b w:val="0"/>
          <w:bCs w:val="0"/>
          <w:sz w:val="24"/>
        </w:rPr>
        <w:fldChar w:fldCharType="end"/>
      </w:r>
      <w:r>
        <w:rPr>
          <w:rFonts w:hint="eastAsia" w:ascii="宋体" w:hAnsi="宋体" w:cstheme="minorEastAsia"/>
          <w:b w:val="0"/>
          <w:bCs w:val="0"/>
          <w:sz w:val="24"/>
        </w:rPr>
        <w:fldChar w:fldCharType="end"/>
      </w:r>
    </w:p>
    <w:p>
      <w:pPr>
        <w:pStyle w:val="35"/>
        <w:tabs>
          <w:tab w:val="left" w:pos="840"/>
          <w:tab w:val="right" w:leader="dot" w:pos="8609"/>
        </w:tabs>
        <w:spacing w:before="0" w:after="0" w:line="360" w:lineRule="auto"/>
        <w:rPr>
          <w:rFonts w:ascii="宋体" w:hAnsi="宋体" w:cstheme="minorEastAsia"/>
          <w:b w:val="0"/>
          <w:bCs w:val="0"/>
          <w:caps w:val="0"/>
          <w:kern w:val="2"/>
          <w:sz w:val="24"/>
        </w:rPr>
      </w:pPr>
      <w:r>
        <w:fldChar w:fldCharType="begin"/>
      </w:r>
      <w:r>
        <w:instrText xml:space="preserve"> HYPERLINK \l "_Toc470011331" </w:instrText>
      </w:r>
      <w:r>
        <w:fldChar w:fldCharType="separate"/>
      </w:r>
      <w:r>
        <w:rPr>
          <w:rStyle w:val="56"/>
          <w:rFonts w:hint="eastAsia" w:ascii="宋体" w:hAnsi="宋体" w:cstheme="minorEastAsia"/>
          <w:b w:val="0"/>
          <w:bCs w:val="0"/>
          <w:color w:val="auto"/>
          <w:sz w:val="24"/>
        </w:rPr>
        <w:t>第七章</w:t>
      </w:r>
      <w:r>
        <w:rPr>
          <w:rFonts w:hint="eastAsia" w:ascii="宋体" w:hAnsi="宋体" w:cstheme="minorEastAsia"/>
          <w:b w:val="0"/>
          <w:bCs w:val="0"/>
          <w:caps w:val="0"/>
          <w:kern w:val="2"/>
          <w:sz w:val="24"/>
        </w:rPr>
        <w:tab/>
      </w:r>
      <w:r>
        <w:rPr>
          <w:rStyle w:val="56"/>
          <w:rFonts w:hint="eastAsia" w:ascii="宋体" w:hAnsi="宋体" w:cstheme="minorEastAsia"/>
          <w:b w:val="0"/>
          <w:bCs w:val="0"/>
          <w:color w:val="auto"/>
          <w:sz w:val="24"/>
        </w:rPr>
        <w:t>技术标准和要求</w:t>
      </w:r>
      <w:r>
        <w:rPr>
          <w:rFonts w:hint="eastAsia" w:ascii="宋体" w:hAnsi="宋体" w:cstheme="minorEastAsia"/>
          <w:b w:val="0"/>
          <w:bCs w:val="0"/>
          <w:sz w:val="24"/>
        </w:rPr>
        <w:tab/>
      </w:r>
      <w:r>
        <w:rPr>
          <w:rFonts w:hint="eastAsia" w:ascii="宋体" w:hAnsi="宋体" w:cstheme="minorEastAsia"/>
          <w:b w:val="0"/>
          <w:bCs w:val="0"/>
          <w:sz w:val="24"/>
        </w:rPr>
        <w:fldChar w:fldCharType="begin"/>
      </w:r>
      <w:r>
        <w:rPr>
          <w:rFonts w:hint="eastAsia" w:ascii="宋体" w:hAnsi="宋体" w:cstheme="minorEastAsia"/>
          <w:b w:val="0"/>
          <w:bCs w:val="0"/>
          <w:sz w:val="24"/>
        </w:rPr>
        <w:instrText xml:space="preserve"> PAGEREF _Toc470011331 \h </w:instrText>
      </w:r>
      <w:r>
        <w:rPr>
          <w:rFonts w:hint="eastAsia" w:ascii="宋体" w:hAnsi="宋体" w:cstheme="minorEastAsia"/>
          <w:b w:val="0"/>
          <w:bCs w:val="0"/>
          <w:sz w:val="24"/>
        </w:rPr>
        <w:fldChar w:fldCharType="separate"/>
      </w:r>
      <w:r>
        <w:rPr>
          <w:rFonts w:ascii="宋体" w:hAnsi="宋体" w:cstheme="minorEastAsia"/>
          <w:b w:val="0"/>
          <w:bCs w:val="0"/>
          <w:sz w:val="24"/>
        </w:rPr>
        <w:t>157</w:t>
      </w:r>
      <w:r>
        <w:rPr>
          <w:rFonts w:hint="eastAsia" w:ascii="宋体" w:hAnsi="宋体" w:cstheme="minorEastAsia"/>
          <w:b w:val="0"/>
          <w:bCs w:val="0"/>
          <w:sz w:val="24"/>
        </w:rPr>
        <w:fldChar w:fldCharType="end"/>
      </w:r>
      <w:r>
        <w:rPr>
          <w:rFonts w:hint="eastAsia" w:ascii="宋体" w:hAnsi="宋体" w:cstheme="minorEastAsia"/>
          <w:b w:val="0"/>
          <w:bCs w:val="0"/>
          <w:sz w:val="24"/>
        </w:rPr>
        <w:fldChar w:fldCharType="end"/>
      </w:r>
    </w:p>
    <w:p>
      <w:pPr>
        <w:pStyle w:val="35"/>
        <w:tabs>
          <w:tab w:val="left" w:pos="840"/>
          <w:tab w:val="right" w:leader="dot" w:pos="8609"/>
        </w:tabs>
        <w:spacing w:before="0" w:after="0" w:line="360" w:lineRule="auto"/>
        <w:rPr>
          <w:rFonts w:ascii="宋体" w:hAnsi="宋体" w:cstheme="minorEastAsia"/>
          <w:b w:val="0"/>
          <w:bCs w:val="0"/>
          <w:caps w:val="0"/>
          <w:kern w:val="2"/>
          <w:sz w:val="24"/>
        </w:rPr>
      </w:pPr>
      <w:r>
        <w:fldChar w:fldCharType="begin"/>
      </w:r>
      <w:r>
        <w:instrText xml:space="preserve"> HYPERLINK \l "_Toc470011349" </w:instrText>
      </w:r>
      <w:r>
        <w:fldChar w:fldCharType="separate"/>
      </w:r>
      <w:r>
        <w:rPr>
          <w:rStyle w:val="56"/>
          <w:rFonts w:hint="eastAsia" w:ascii="宋体" w:hAnsi="宋体" w:cstheme="minorEastAsia"/>
          <w:b w:val="0"/>
          <w:bCs w:val="0"/>
          <w:color w:val="auto"/>
          <w:sz w:val="24"/>
        </w:rPr>
        <w:t>第八章</w:t>
      </w:r>
      <w:r>
        <w:rPr>
          <w:rFonts w:hint="eastAsia" w:ascii="宋体" w:hAnsi="宋体" w:cstheme="minorEastAsia"/>
          <w:b w:val="0"/>
          <w:bCs w:val="0"/>
          <w:caps w:val="0"/>
          <w:kern w:val="2"/>
          <w:sz w:val="24"/>
        </w:rPr>
        <w:tab/>
      </w:r>
      <w:r>
        <w:rPr>
          <w:rStyle w:val="56"/>
          <w:rFonts w:hint="eastAsia" w:ascii="宋体" w:hAnsi="宋体" w:cstheme="minorEastAsia"/>
          <w:b w:val="0"/>
          <w:bCs w:val="0"/>
          <w:color w:val="auto"/>
          <w:sz w:val="24"/>
        </w:rPr>
        <w:t>投标文件格式</w:t>
      </w:r>
      <w:r>
        <w:rPr>
          <w:rFonts w:hint="eastAsia" w:ascii="宋体" w:hAnsi="宋体" w:cstheme="minorEastAsia"/>
          <w:b w:val="0"/>
          <w:bCs w:val="0"/>
          <w:sz w:val="24"/>
        </w:rPr>
        <w:tab/>
      </w:r>
      <w:r>
        <w:rPr>
          <w:rFonts w:hint="eastAsia" w:ascii="宋体" w:hAnsi="宋体" w:cstheme="minorEastAsia"/>
          <w:b w:val="0"/>
          <w:bCs w:val="0"/>
          <w:sz w:val="24"/>
        </w:rPr>
        <w:fldChar w:fldCharType="begin"/>
      </w:r>
      <w:r>
        <w:rPr>
          <w:rFonts w:hint="eastAsia" w:ascii="宋体" w:hAnsi="宋体" w:cstheme="minorEastAsia"/>
          <w:b w:val="0"/>
          <w:bCs w:val="0"/>
          <w:sz w:val="24"/>
        </w:rPr>
        <w:instrText xml:space="preserve"> PAGEREF _Toc470011349 \h </w:instrText>
      </w:r>
      <w:r>
        <w:rPr>
          <w:rFonts w:hint="eastAsia" w:ascii="宋体" w:hAnsi="宋体" w:cstheme="minorEastAsia"/>
          <w:b w:val="0"/>
          <w:bCs w:val="0"/>
          <w:sz w:val="24"/>
        </w:rPr>
        <w:fldChar w:fldCharType="separate"/>
      </w:r>
      <w:r>
        <w:rPr>
          <w:rFonts w:ascii="宋体" w:hAnsi="宋体" w:cstheme="minorEastAsia"/>
          <w:b w:val="0"/>
          <w:bCs w:val="0"/>
          <w:sz w:val="24"/>
        </w:rPr>
        <w:t>198</w:t>
      </w:r>
      <w:r>
        <w:rPr>
          <w:rFonts w:hint="eastAsia" w:ascii="宋体" w:hAnsi="宋体" w:cstheme="minorEastAsia"/>
          <w:b w:val="0"/>
          <w:bCs w:val="0"/>
          <w:sz w:val="24"/>
        </w:rPr>
        <w:fldChar w:fldCharType="end"/>
      </w:r>
      <w:r>
        <w:rPr>
          <w:rFonts w:hint="eastAsia" w:ascii="宋体" w:hAnsi="宋体" w:cstheme="minorEastAsia"/>
          <w:b w:val="0"/>
          <w:bCs w:val="0"/>
          <w:sz w:val="24"/>
        </w:rPr>
        <w:fldChar w:fldCharType="end"/>
      </w:r>
    </w:p>
    <w:p>
      <w:pPr>
        <w:pStyle w:val="35"/>
        <w:tabs>
          <w:tab w:val="right" w:leader="dot" w:pos="8609"/>
        </w:tabs>
        <w:spacing w:before="0" w:after="0" w:line="360" w:lineRule="auto"/>
        <w:rPr>
          <w:rFonts w:asciiTheme="minorEastAsia" w:hAnsiTheme="minorEastAsia" w:eastAsiaTheme="minorEastAsia" w:cstheme="minorEastAsia"/>
          <w:bCs w:val="0"/>
          <w:caps w:val="0"/>
          <w:kern w:val="2"/>
          <w:sz w:val="24"/>
        </w:rPr>
      </w:pPr>
      <w:r>
        <w:fldChar w:fldCharType="begin"/>
      </w:r>
      <w:r>
        <w:instrText xml:space="preserve"> HYPERLINK \l "_Toc470011375" </w:instrText>
      </w:r>
      <w:r>
        <w:fldChar w:fldCharType="separate"/>
      </w:r>
      <w:r>
        <w:rPr>
          <w:rStyle w:val="56"/>
          <w:rFonts w:hint="eastAsia" w:ascii="宋体" w:hAnsi="宋体" w:cstheme="minorEastAsia"/>
          <w:b w:val="0"/>
          <w:bCs w:val="0"/>
          <w:color w:val="auto"/>
          <w:sz w:val="24"/>
        </w:rPr>
        <w:t>第九章 招标控制价</w:t>
      </w:r>
      <w:r>
        <w:rPr>
          <w:rFonts w:hint="eastAsia" w:ascii="宋体" w:hAnsi="宋体" w:cstheme="minorEastAsia"/>
          <w:b w:val="0"/>
          <w:bCs w:val="0"/>
          <w:sz w:val="24"/>
        </w:rPr>
        <w:tab/>
      </w:r>
      <w:r>
        <w:rPr>
          <w:rFonts w:hint="eastAsia" w:ascii="宋体" w:hAnsi="宋体" w:cstheme="minorEastAsia"/>
          <w:b w:val="0"/>
          <w:bCs w:val="0"/>
          <w:sz w:val="24"/>
        </w:rPr>
        <w:fldChar w:fldCharType="begin"/>
      </w:r>
      <w:r>
        <w:rPr>
          <w:rFonts w:hint="eastAsia" w:ascii="宋体" w:hAnsi="宋体" w:cstheme="minorEastAsia"/>
          <w:b w:val="0"/>
          <w:bCs w:val="0"/>
          <w:sz w:val="24"/>
        </w:rPr>
        <w:instrText xml:space="preserve"> PAGEREF _Toc470011375 \h </w:instrText>
      </w:r>
      <w:r>
        <w:rPr>
          <w:rFonts w:hint="eastAsia" w:ascii="宋体" w:hAnsi="宋体" w:cstheme="minorEastAsia"/>
          <w:b w:val="0"/>
          <w:bCs w:val="0"/>
          <w:sz w:val="24"/>
        </w:rPr>
        <w:fldChar w:fldCharType="separate"/>
      </w:r>
      <w:r>
        <w:rPr>
          <w:rFonts w:ascii="宋体" w:hAnsi="宋体" w:cstheme="minorEastAsia"/>
          <w:b w:val="0"/>
          <w:bCs w:val="0"/>
          <w:sz w:val="24"/>
        </w:rPr>
        <w:t>233</w:t>
      </w:r>
      <w:r>
        <w:rPr>
          <w:rFonts w:hint="eastAsia" w:ascii="宋体" w:hAnsi="宋体" w:cstheme="minorEastAsia"/>
          <w:b w:val="0"/>
          <w:bCs w:val="0"/>
          <w:sz w:val="24"/>
        </w:rPr>
        <w:fldChar w:fldCharType="end"/>
      </w:r>
      <w:r>
        <w:rPr>
          <w:rFonts w:hint="eastAsia" w:ascii="宋体" w:hAnsi="宋体" w:cstheme="minorEastAsia"/>
          <w:b w:val="0"/>
          <w:bCs w:val="0"/>
          <w:sz w:val="24"/>
        </w:rPr>
        <w:fldChar w:fldCharType="end"/>
      </w:r>
    </w:p>
    <w:p>
      <w:pPr>
        <w:pStyle w:val="35"/>
        <w:tabs>
          <w:tab w:val="right" w:leader="dot" w:pos="8609"/>
        </w:tabs>
        <w:snapToGrid w:val="0"/>
        <w:spacing w:before="0" w:after="0" w:line="480" w:lineRule="auto"/>
        <w:rPr>
          <w:rStyle w:val="56"/>
          <w:rFonts w:asciiTheme="minorEastAsia" w:hAnsiTheme="minorEastAsia" w:eastAsiaTheme="minorEastAsia" w:cstheme="minorEastAsia"/>
          <w:bCs w:val="0"/>
          <w:color w:val="auto"/>
          <w:sz w:val="24"/>
        </w:rPr>
      </w:pPr>
      <w:r>
        <w:rPr>
          <w:rStyle w:val="56"/>
          <w:rFonts w:hint="eastAsia" w:asciiTheme="minorEastAsia" w:hAnsiTheme="minorEastAsia" w:eastAsiaTheme="minorEastAsia" w:cstheme="minorEastAsia"/>
          <w:bCs w:val="0"/>
          <w:color w:val="auto"/>
          <w:sz w:val="24"/>
        </w:rPr>
        <w:fldChar w:fldCharType="end"/>
      </w:r>
    </w:p>
    <w:p>
      <w:pPr>
        <w:sectPr>
          <w:pgSz w:w="11907" w:h="16840"/>
          <w:pgMar w:top="1418" w:right="1644" w:bottom="1361" w:left="1644" w:header="510" w:footer="794" w:gutter="0"/>
          <w:cols w:space="425" w:num="1"/>
          <w:docGrid w:linePitch="312" w:charSpace="0"/>
        </w:sectPr>
      </w:pPr>
      <w:r>
        <w:rPr>
          <w:rStyle w:val="56"/>
          <w:rFonts w:hint="eastAsia" w:asciiTheme="minorEastAsia" w:hAnsiTheme="minorEastAsia" w:eastAsiaTheme="minorEastAsia" w:cstheme="minorEastAsia"/>
          <w:color w:val="auto"/>
          <w:sz w:val="24"/>
        </w:rPr>
        <w:br w:type="page"/>
      </w:r>
    </w:p>
    <w:p/>
    <w:p>
      <w:pPr>
        <w:rPr>
          <w:rFonts w:asciiTheme="minorEastAsia" w:hAnsiTheme="minorEastAsia" w:eastAsiaTheme="minorEastAsia" w:cstheme="minorEastAsia"/>
          <w:b/>
          <w:sz w:val="24"/>
        </w:rPr>
      </w:pPr>
    </w:p>
    <w:p>
      <w:pPr>
        <w:pStyle w:val="2"/>
        <w:spacing w:before="120" w:after="120" w:line="360" w:lineRule="auto"/>
        <w:ind w:left="431" w:hanging="431"/>
        <w:rPr>
          <w:rFonts w:ascii="Times New Roman" w:eastAsia="宋体"/>
          <w:b/>
          <w:sz w:val="48"/>
          <w:szCs w:val="48"/>
        </w:rPr>
      </w:pPr>
      <w:bookmarkStart w:id="0" w:name="_Toc470011299"/>
      <w:r>
        <w:rPr>
          <w:rFonts w:hint="eastAsia" w:ascii="Times New Roman" w:eastAsia="宋体"/>
          <w:b/>
          <w:sz w:val="48"/>
          <w:szCs w:val="48"/>
        </w:rPr>
        <w:t>第一章</w:t>
      </w:r>
      <w:r>
        <w:rPr>
          <w:rFonts w:ascii="Times New Roman" w:eastAsia="宋体"/>
          <w:b/>
          <w:sz w:val="48"/>
          <w:szCs w:val="48"/>
        </w:rPr>
        <w:t xml:space="preserve"> </w:t>
      </w:r>
      <w:r>
        <w:rPr>
          <w:rFonts w:hint="eastAsia" w:ascii="Times New Roman" w:eastAsia="宋体"/>
          <w:b/>
          <w:sz w:val="48"/>
          <w:szCs w:val="48"/>
        </w:rPr>
        <w:t>招标公告</w:t>
      </w:r>
      <w:bookmarkEnd w:id="0"/>
    </w:p>
    <w:p>
      <w:pPr>
        <w:jc w:val="center"/>
        <w:rPr>
          <w:sz w:val="24"/>
        </w:rPr>
      </w:pPr>
    </w:p>
    <w:p>
      <w:pPr>
        <w:jc w:val="center"/>
        <w:rPr>
          <w:b/>
          <w:sz w:val="30"/>
          <w:szCs w:val="30"/>
        </w:rPr>
      </w:pPr>
      <w:r>
        <w:rPr>
          <w:sz w:val="24"/>
        </w:rPr>
        <w:br w:type="page"/>
      </w:r>
      <w:bookmarkStart w:id="1" w:name="_Toc241459595"/>
      <w:bookmarkStart w:id="2" w:name="_Toc342296120"/>
      <w:bookmarkStart w:id="3" w:name="_Toc362252605"/>
      <w:r>
        <w:rPr>
          <w:rFonts w:hint="eastAsia"/>
          <w:b/>
          <w:sz w:val="30"/>
          <w:szCs w:val="30"/>
        </w:rPr>
        <w:t>第一章</w:t>
      </w:r>
      <w:r>
        <w:rPr>
          <w:b/>
          <w:sz w:val="30"/>
          <w:szCs w:val="30"/>
        </w:rPr>
        <w:t xml:space="preserve"> </w:t>
      </w:r>
      <w:r>
        <w:rPr>
          <w:rFonts w:hint="eastAsia"/>
          <w:b/>
          <w:sz w:val="30"/>
          <w:szCs w:val="30"/>
        </w:rPr>
        <w:t>招标公告（资格后审）</w:t>
      </w:r>
      <w:bookmarkEnd w:id="1"/>
      <w:bookmarkEnd w:id="2"/>
      <w:bookmarkEnd w:id="3"/>
    </w:p>
    <w:p>
      <w:pPr>
        <w:spacing w:line="400" w:lineRule="exact"/>
        <w:rPr>
          <w:rFonts w:ascii="宋体"/>
          <w:sz w:val="24"/>
        </w:rPr>
      </w:pPr>
    </w:p>
    <w:p>
      <w:pPr>
        <w:pStyle w:val="144"/>
        <w:snapToGrid w:val="0"/>
        <w:spacing w:before="0" w:line="440" w:lineRule="exact"/>
        <w:ind w:firstLine="566" w:firstLineChars="235"/>
        <w:rPr>
          <w:rFonts w:eastAsia="宋体" w:cs="Times New Roman"/>
          <w:b/>
          <w:sz w:val="24"/>
          <w:szCs w:val="24"/>
        </w:rPr>
      </w:pPr>
      <w:bookmarkStart w:id="4" w:name="_Toc179632528"/>
      <w:bookmarkStart w:id="5" w:name="_Toc455409824"/>
      <w:bookmarkStart w:id="6" w:name="_Toc144974480"/>
      <w:bookmarkStart w:id="7" w:name="_Toc152045512"/>
      <w:bookmarkStart w:id="8" w:name="_Toc152042288"/>
      <w:bookmarkStart w:id="9" w:name="_Toc241459596"/>
      <w:bookmarkStart w:id="10" w:name="_Toc362252606"/>
      <w:bookmarkStart w:id="11" w:name="_Toc470011300"/>
      <w:bookmarkStart w:id="12" w:name="_Toc342296121"/>
      <w:r>
        <w:rPr>
          <w:rFonts w:eastAsia="宋体" w:cs="Times New Roman"/>
          <w:b/>
          <w:sz w:val="24"/>
          <w:szCs w:val="24"/>
        </w:rPr>
        <w:t xml:space="preserve">1. </w:t>
      </w:r>
      <w:r>
        <w:rPr>
          <w:rFonts w:hint="eastAsia" w:eastAsia="宋体" w:cs="Times New Roman"/>
          <w:b/>
          <w:sz w:val="24"/>
          <w:szCs w:val="24"/>
        </w:rPr>
        <w:t>招标条件</w:t>
      </w:r>
      <w:bookmarkEnd w:id="4"/>
      <w:bookmarkEnd w:id="5"/>
      <w:bookmarkEnd w:id="6"/>
      <w:bookmarkEnd w:id="7"/>
      <w:bookmarkEnd w:id="8"/>
      <w:bookmarkEnd w:id="9"/>
      <w:bookmarkEnd w:id="10"/>
      <w:bookmarkEnd w:id="11"/>
      <w:bookmarkEnd w:id="12"/>
    </w:p>
    <w:p>
      <w:pPr>
        <w:snapToGrid w:val="0"/>
        <w:spacing w:line="440" w:lineRule="exact"/>
        <w:ind w:firstLine="492" w:firstLineChars="205"/>
        <w:rPr>
          <w:rFonts w:hAnsi="宋体"/>
          <w:sz w:val="24"/>
        </w:rPr>
      </w:pPr>
      <w:r>
        <w:rPr>
          <w:rFonts w:hint="eastAsia" w:ascii="宋体" w:hAnsi="宋体"/>
          <w:sz w:val="24"/>
        </w:rPr>
        <w:t>本工程</w:t>
      </w:r>
      <w:r>
        <w:rPr>
          <w:rFonts w:ascii="宋体" w:hAnsi="宋体"/>
          <w:sz w:val="24"/>
          <w:u w:val="single"/>
        </w:rPr>
        <w:t xml:space="preserve">              </w:t>
      </w:r>
      <w:r>
        <w:rPr>
          <w:rFonts w:hint="eastAsia" w:ascii="宋体" w:hAnsi="宋体"/>
          <w:sz w:val="24"/>
        </w:rPr>
        <w:t>（工程名称）已由</w:t>
      </w:r>
      <w:r>
        <w:rPr>
          <w:rFonts w:ascii="宋体" w:hAnsi="宋体"/>
          <w:sz w:val="24"/>
          <w:u w:val="single"/>
        </w:rPr>
        <w:t xml:space="preserve">              </w:t>
      </w:r>
      <w:r>
        <w:rPr>
          <w:rFonts w:hint="eastAsia" w:ascii="宋体" w:hAnsi="宋体"/>
          <w:sz w:val="24"/>
        </w:rPr>
        <w:t>（工程审批、核准或备案机关名称）以</w:t>
      </w:r>
      <w:r>
        <w:rPr>
          <w:rFonts w:ascii="宋体" w:hAnsi="宋体"/>
          <w:sz w:val="24"/>
          <w:u w:val="single"/>
        </w:rPr>
        <w:t xml:space="preserve">                </w:t>
      </w:r>
      <w:r>
        <w:rPr>
          <w:rFonts w:hint="eastAsia" w:ascii="宋体" w:hAnsi="宋体"/>
          <w:sz w:val="24"/>
        </w:rPr>
        <w:t>（批文名称及编号）批准建设，招标人为</w:t>
      </w:r>
      <w:r>
        <w:rPr>
          <w:rFonts w:ascii="宋体" w:hAnsi="宋体"/>
          <w:sz w:val="24"/>
          <w:u w:val="single"/>
        </w:rPr>
        <w:t xml:space="preserve">             </w:t>
      </w:r>
      <w:r>
        <w:rPr>
          <w:rFonts w:hint="eastAsia" w:ascii="宋体" w:hAnsi="宋体"/>
          <w:sz w:val="24"/>
        </w:rPr>
        <w:t>，工程建设资金来源</w:t>
      </w:r>
      <w:r>
        <w:rPr>
          <w:rFonts w:ascii="宋体" w:hAnsi="宋体"/>
          <w:sz w:val="24"/>
          <w:u w:val="single"/>
        </w:rPr>
        <w:t xml:space="preserve">                </w:t>
      </w:r>
      <w:r>
        <w:rPr>
          <w:rFonts w:hint="eastAsia" w:ascii="宋体" w:hAnsi="宋体"/>
          <w:sz w:val="24"/>
        </w:rPr>
        <w:t>，工程出资比例为</w:t>
      </w:r>
      <w:r>
        <w:rPr>
          <w:rFonts w:ascii="宋体" w:hAnsi="宋体"/>
          <w:sz w:val="24"/>
          <w:u w:val="single"/>
        </w:rPr>
        <w:t xml:space="preserve">                 </w:t>
      </w:r>
      <w:r>
        <w:rPr>
          <w:rFonts w:hint="eastAsia" w:ascii="宋体" w:hAnsi="宋体"/>
          <w:sz w:val="24"/>
        </w:rPr>
        <w:t>，招标代理机构为</w:t>
      </w:r>
      <w:r>
        <w:rPr>
          <w:rFonts w:ascii="宋体" w:hAnsi="宋体"/>
          <w:sz w:val="24"/>
          <w:u w:val="single"/>
        </w:rPr>
        <w:t xml:space="preserve">                  </w:t>
      </w:r>
      <w:r>
        <w:rPr>
          <w:rFonts w:hint="eastAsia" w:ascii="宋体" w:hAnsi="宋体"/>
          <w:sz w:val="24"/>
        </w:rPr>
        <w:t>。工程已具备招标条件，现对该工程的施工进行公开招标</w:t>
      </w:r>
      <w:r>
        <w:rPr>
          <w:rFonts w:hint="eastAsia" w:hAnsi="宋体"/>
          <w:sz w:val="24"/>
        </w:rPr>
        <w:t>。</w:t>
      </w:r>
    </w:p>
    <w:p>
      <w:pPr>
        <w:snapToGrid w:val="0"/>
        <w:spacing w:line="440" w:lineRule="exact"/>
        <w:ind w:firstLine="492" w:firstLineChars="205"/>
        <w:rPr>
          <w:sz w:val="24"/>
        </w:rPr>
      </w:pPr>
    </w:p>
    <w:p>
      <w:pPr>
        <w:pStyle w:val="144"/>
        <w:snapToGrid w:val="0"/>
        <w:spacing w:before="0" w:line="440" w:lineRule="exact"/>
        <w:ind w:firstLine="566" w:firstLineChars="235"/>
        <w:rPr>
          <w:rFonts w:eastAsia="宋体" w:cs="Times New Roman"/>
          <w:b/>
          <w:sz w:val="24"/>
          <w:szCs w:val="24"/>
        </w:rPr>
      </w:pPr>
      <w:bookmarkStart w:id="13" w:name="_Toc152047192"/>
      <w:bookmarkStart w:id="14" w:name="_Toc396650421"/>
      <w:bookmarkStart w:id="15" w:name="_Toc333499399"/>
      <w:bookmarkStart w:id="16" w:name="_Toc179715684"/>
      <w:bookmarkStart w:id="17" w:name="_Toc455409825"/>
      <w:bookmarkStart w:id="18" w:name="_Toc144974395"/>
      <w:bookmarkStart w:id="19" w:name="_Toc470011301"/>
      <w:bookmarkStart w:id="20" w:name="_Toc410849443"/>
      <w:r>
        <w:rPr>
          <w:rFonts w:eastAsia="宋体" w:cs="Times New Roman"/>
          <w:b/>
          <w:sz w:val="24"/>
          <w:szCs w:val="24"/>
        </w:rPr>
        <w:t xml:space="preserve">2. </w:t>
      </w:r>
      <w:r>
        <w:rPr>
          <w:rFonts w:hint="eastAsia" w:hAnsi="宋体" w:eastAsia="宋体" w:cs="Times New Roman"/>
          <w:b/>
          <w:sz w:val="24"/>
          <w:szCs w:val="24"/>
        </w:rPr>
        <w:t>工程概况与招标范围</w:t>
      </w:r>
      <w:bookmarkEnd w:id="13"/>
      <w:bookmarkEnd w:id="14"/>
      <w:bookmarkEnd w:id="15"/>
      <w:bookmarkEnd w:id="16"/>
      <w:bookmarkEnd w:id="17"/>
      <w:bookmarkEnd w:id="18"/>
      <w:bookmarkEnd w:id="19"/>
      <w:bookmarkEnd w:id="20"/>
    </w:p>
    <w:p>
      <w:pPr>
        <w:spacing w:line="460" w:lineRule="exact"/>
        <w:ind w:firstLine="566" w:firstLineChars="236"/>
        <w:rPr>
          <w:rFonts w:ascii="宋体"/>
          <w:sz w:val="24"/>
        </w:rPr>
      </w:pPr>
      <w:bookmarkStart w:id="21" w:name="_Toc152042290"/>
      <w:bookmarkStart w:id="22" w:name="_Toc144974482"/>
      <w:bookmarkStart w:id="23" w:name="_Toc179632530"/>
      <w:bookmarkStart w:id="24" w:name="_Toc241459598"/>
      <w:bookmarkStart w:id="25" w:name="_Toc152045514"/>
      <w:r>
        <w:rPr>
          <w:rFonts w:ascii="宋体" w:hAnsi="宋体"/>
          <w:sz w:val="24"/>
        </w:rPr>
        <w:t>2.1</w:t>
      </w:r>
      <w:r>
        <w:rPr>
          <w:rFonts w:hint="eastAsia" w:ascii="宋体" w:hAnsi="宋体"/>
          <w:sz w:val="24"/>
        </w:rPr>
        <w:t>本工程的建设地点</w:t>
      </w:r>
      <w:r>
        <w:rPr>
          <w:rFonts w:ascii="宋体" w:hAnsi="宋体"/>
          <w:sz w:val="24"/>
        </w:rPr>
        <w:t xml:space="preserve"> </w:t>
      </w:r>
      <w:r>
        <w:rPr>
          <w:rFonts w:ascii="宋体" w:hAnsi="宋体"/>
          <w:sz w:val="24"/>
          <w:u w:val="single"/>
        </w:rPr>
        <w:t xml:space="preserve">                                         </w:t>
      </w:r>
    </w:p>
    <w:p>
      <w:pPr>
        <w:spacing w:line="460" w:lineRule="exact"/>
        <w:ind w:firstLine="566" w:firstLineChars="236"/>
        <w:rPr>
          <w:rFonts w:ascii="宋体"/>
          <w:sz w:val="24"/>
        </w:rPr>
      </w:pPr>
      <w:r>
        <w:rPr>
          <w:rFonts w:ascii="宋体" w:hAnsi="宋体"/>
          <w:sz w:val="24"/>
        </w:rPr>
        <w:t>2.2</w:t>
      </w:r>
      <w:r>
        <w:rPr>
          <w:rFonts w:hint="eastAsia" w:ascii="宋体" w:hAnsi="宋体"/>
          <w:sz w:val="24"/>
        </w:rPr>
        <w:t>本工程的建设规模</w:t>
      </w:r>
      <w:r>
        <w:rPr>
          <w:rFonts w:ascii="宋体" w:hAnsi="宋体"/>
          <w:sz w:val="24"/>
          <w:u w:val="single"/>
        </w:rPr>
        <w:t xml:space="preserve">                  </w:t>
      </w:r>
      <w:r>
        <w:rPr>
          <w:rFonts w:hint="eastAsia" w:ascii="宋体" w:hAnsi="宋体"/>
          <w:sz w:val="24"/>
          <w:u w:val="single"/>
        </w:rPr>
        <w:t>（如绿化面积</w:t>
      </w:r>
      <w:r>
        <w:rPr>
          <w:rFonts w:ascii="宋体" w:hAnsi="宋体"/>
          <w:sz w:val="24"/>
          <w:u w:val="single"/>
        </w:rPr>
        <w:t xml:space="preserve">    </w:t>
      </w:r>
      <w:r>
        <w:rPr>
          <w:rFonts w:hint="eastAsia" w:ascii="宋体" w:hAnsi="宋体"/>
          <w:sz w:val="24"/>
          <w:u w:val="single"/>
        </w:rPr>
        <w:t>平方米）</w:t>
      </w:r>
    </w:p>
    <w:p>
      <w:pPr>
        <w:spacing w:line="460" w:lineRule="exact"/>
        <w:ind w:firstLine="566" w:firstLineChars="236"/>
        <w:rPr>
          <w:rFonts w:ascii="宋体"/>
          <w:sz w:val="24"/>
        </w:rPr>
      </w:pPr>
      <w:r>
        <w:rPr>
          <w:rFonts w:ascii="宋体" w:hAnsi="宋体"/>
          <w:sz w:val="24"/>
        </w:rPr>
        <w:t>2.3</w:t>
      </w:r>
      <w:r>
        <w:rPr>
          <w:rFonts w:hint="eastAsia" w:ascii="宋体" w:hAnsi="宋体"/>
          <w:sz w:val="24"/>
        </w:rPr>
        <w:t>计划投资总额</w:t>
      </w:r>
      <w:r>
        <w:rPr>
          <w:rFonts w:ascii="宋体" w:hAnsi="宋体"/>
          <w:sz w:val="24"/>
          <w:u w:val="single"/>
        </w:rPr>
        <w:t xml:space="preserve">                                       </w:t>
      </w:r>
      <w:r>
        <w:rPr>
          <w:rFonts w:hint="eastAsia" w:ascii="宋体" w:hAnsi="宋体"/>
          <w:sz w:val="24"/>
        </w:rPr>
        <w:t>（万元）</w:t>
      </w:r>
    </w:p>
    <w:p>
      <w:pPr>
        <w:spacing w:line="460" w:lineRule="exact"/>
        <w:ind w:firstLine="566" w:firstLineChars="236"/>
        <w:rPr>
          <w:rFonts w:ascii="宋体"/>
          <w:sz w:val="24"/>
        </w:rPr>
      </w:pPr>
      <w:r>
        <w:rPr>
          <w:rFonts w:ascii="宋体" w:hAnsi="宋体"/>
          <w:sz w:val="24"/>
        </w:rPr>
        <w:t>2.4</w:t>
      </w:r>
      <w:r>
        <w:rPr>
          <w:rFonts w:hint="eastAsia" w:ascii="宋体" w:hAnsi="宋体"/>
          <w:sz w:val="24"/>
        </w:rPr>
        <w:t>本工程的工期要求</w:t>
      </w:r>
      <w:r>
        <w:rPr>
          <w:rFonts w:ascii="宋体" w:hAnsi="宋体"/>
          <w:sz w:val="24"/>
          <w:u w:val="single"/>
        </w:rPr>
        <w:t xml:space="preserve">                                    </w:t>
      </w:r>
      <w:r>
        <w:rPr>
          <w:rFonts w:hint="eastAsia" w:ascii="宋体" w:hAnsi="宋体"/>
          <w:sz w:val="24"/>
        </w:rPr>
        <w:t>日历天</w:t>
      </w:r>
    </w:p>
    <w:p>
      <w:pPr>
        <w:spacing w:line="460" w:lineRule="exact"/>
        <w:ind w:firstLine="566" w:firstLineChars="236"/>
        <w:rPr>
          <w:rFonts w:ascii="宋体"/>
          <w:sz w:val="24"/>
          <w:u w:val="single"/>
        </w:rPr>
      </w:pPr>
      <w:r>
        <w:rPr>
          <w:rFonts w:ascii="宋体" w:hAnsi="宋体"/>
          <w:sz w:val="24"/>
        </w:rPr>
        <w:t>2.5</w:t>
      </w:r>
      <w:r>
        <w:rPr>
          <w:rFonts w:hint="eastAsia" w:ascii="宋体" w:hAnsi="宋体"/>
          <w:sz w:val="24"/>
        </w:rPr>
        <w:t>本工程的招标范围</w:t>
      </w:r>
      <w:r>
        <w:rPr>
          <w:rFonts w:ascii="宋体" w:hAnsi="宋体"/>
          <w:sz w:val="24"/>
          <w:u w:val="single"/>
        </w:rPr>
        <w:t xml:space="preserve">                                          </w:t>
      </w:r>
    </w:p>
    <w:p>
      <w:pPr>
        <w:spacing w:line="460" w:lineRule="exact"/>
        <w:ind w:firstLine="566" w:firstLineChars="236"/>
        <w:rPr>
          <w:rFonts w:ascii="宋体"/>
          <w:sz w:val="24"/>
          <w:u w:val="single"/>
        </w:rPr>
      </w:pPr>
      <w:r>
        <w:rPr>
          <w:rFonts w:ascii="宋体" w:hAnsi="宋体"/>
          <w:sz w:val="24"/>
        </w:rPr>
        <w:t>2.</w:t>
      </w:r>
      <w:r>
        <w:rPr>
          <w:rFonts w:hint="eastAsia" w:ascii="宋体" w:hAnsi="宋体"/>
          <w:sz w:val="24"/>
        </w:rPr>
        <w:t>6其他</w:t>
      </w:r>
      <w:r>
        <w:rPr>
          <w:rFonts w:ascii="宋体" w:hAnsi="宋体"/>
          <w:sz w:val="24"/>
          <w:u w:val="single"/>
        </w:rPr>
        <w:t xml:space="preserve">                                                      </w:t>
      </w:r>
    </w:p>
    <w:p>
      <w:pPr>
        <w:spacing w:line="460" w:lineRule="exact"/>
        <w:ind w:firstLine="566" w:firstLineChars="236"/>
        <w:rPr>
          <w:rFonts w:ascii="宋体"/>
          <w:sz w:val="24"/>
          <w:u w:val="single"/>
        </w:rPr>
      </w:pPr>
    </w:p>
    <w:p>
      <w:pPr>
        <w:pStyle w:val="144"/>
        <w:snapToGrid w:val="0"/>
        <w:spacing w:before="0" w:line="440" w:lineRule="exact"/>
        <w:ind w:firstLine="566" w:firstLineChars="235"/>
        <w:rPr>
          <w:rFonts w:eastAsia="宋体" w:cs="Times New Roman"/>
          <w:b/>
          <w:sz w:val="24"/>
          <w:szCs w:val="24"/>
        </w:rPr>
      </w:pPr>
      <w:bookmarkStart w:id="26" w:name="_Toc470011302"/>
      <w:bookmarkStart w:id="27" w:name="_Toc362252608"/>
      <w:bookmarkStart w:id="28" w:name="_Toc342296123"/>
      <w:bookmarkStart w:id="29" w:name="_Toc455409826"/>
      <w:r>
        <w:rPr>
          <w:rFonts w:eastAsia="宋体" w:cs="Times New Roman"/>
          <w:b/>
          <w:sz w:val="24"/>
          <w:szCs w:val="24"/>
        </w:rPr>
        <w:t xml:space="preserve">3. </w:t>
      </w:r>
      <w:r>
        <w:rPr>
          <w:rFonts w:hint="eastAsia" w:eastAsia="宋体" w:cs="Times New Roman"/>
          <w:b/>
          <w:sz w:val="24"/>
          <w:szCs w:val="24"/>
        </w:rPr>
        <w:t>投标人资格要求</w:t>
      </w:r>
      <w:bookmarkEnd w:id="21"/>
      <w:bookmarkEnd w:id="22"/>
      <w:bookmarkEnd w:id="23"/>
      <w:bookmarkEnd w:id="24"/>
      <w:bookmarkEnd w:id="25"/>
      <w:bookmarkEnd w:id="26"/>
      <w:bookmarkEnd w:id="27"/>
      <w:bookmarkEnd w:id="28"/>
      <w:bookmarkEnd w:id="29"/>
    </w:p>
    <w:p>
      <w:pPr>
        <w:snapToGrid w:val="0"/>
        <w:spacing w:line="440" w:lineRule="exact"/>
        <w:ind w:firstLine="566" w:firstLineChars="236"/>
        <w:rPr>
          <w:sz w:val="24"/>
        </w:rPr>
      </w:pPr>
      <w:bookmarkStart w:id="30" w:name="_Toc396650423"/>
      <w:r>
        <w:rPr>
          <w:sz w:val="24"/>
        </w:rPr>
        <w:t>3.1</w:t>
      </w:r>
      <w:r>
        <w:rPr>
          <w:rFonts w:hint="eastAsia" w:hAnsi="宋体"/>
          <w:sz w:val="24"/>
        </w:rPr>
        <w:t>投标人须为在中华人民共和国境内合法注册的法人实体，须具备有效营业执照并处于正常开业状态，且具备承担招标工程的能力；</w:t>
      </w:r>
      <w:bookmarkEnd w:id="30"/>
    </w:p>
    <w:p>
      <w:pPr>
        <w:snapToGrid w:val="0"/>
        <w:spacing w:line="440" w:lineRule="exact"/>
        <w:ind w:firstLine="492" w:firstLineChars="205"/>
        <w:rPr>
          <w:rFonts w:ascii="宋体"/>
          <w:sz w:val="24"/>
        </w:rPr>
      </w:pPr>
      <w:bookmarkStart w:id="31" w:name="_Toc396650425"/>
      <w:r>
        <w:rPr>
          <w:sz w:val="24"/>
        </w:rPr>
        <w:t>3.</w:t>
      </w:r>
      <w:r>
        <w:rPr>
          <w:rFonts w:hint="eastAsia"/>
          <w:sz w:val="24"/>
        </w:rPr>
        <w:t>2</w:t>
      </w:r>
      <w:r>
        <w:rPr>
          <w:rFonts w:hint="eastAsia" w:hAnsi="宋体"/>
          <w:sz w:val="24"/>
        </w:rPr>
        <w:t>拟派本工程的项目负责人</w:t>
      </w:r>
      <w:bookmarkEnd w:id="31"/>
      <w:r>
        <w:rPr>
          <w:rFonts w:hint="eastAsia" w:hAnsi="宋体"/>
          <w:sz w:val="24"/>
        </w:rPr>
        <w:t>具备相应的现场管理工作经历和专业技术能力；</w:t>
      </w:r>
      <w:r>
        <w:rPr>
          <w:rFonts w:hint="eastAsia" w:ascii="宋体" w:hAnsi="宋体"/>
          <w:sz w:val="24"/>
        </w:rPr>
        <w:t>并未在其他在建施工项目中担任项目负责人；</w:t>
      </w:r>
    </w:p>
    <w:p>
      <w:pPr>
        <w:snapToGrid w:val="0"/>
        <w:spacing w:line="440" w:lineRule="exact"/>
        <w:ind w:firstLine="480" w:firstLineChars="200"/>
        <w:rPr>
          <w:sz w:val="24"/>
        </w:rPr>
      </w:pPr>
      <w:bookmarkStart w:id="32" w:name="_Toc396650427"/>
      <w:r>
        <w:rPr>
          <w:sz w:val="24"/>
        </w:rPr>
        <w:t>3.</w:t>
      </w:r>
      <w:r>
        <w:rPr>
          <w:rFonts w:hint="eastAsia"/>
          <w:sz w:val="24"/>
        </w:rPr>
        <w:t>3</w:t>
      </w:r>
      <w:r>
        <w:rPr>
          <w:rFonts w:hint="eastAsia" w:ascii="宋体" w:hAnsi="宋体"/>
          <w:sz w:val="24"/>
        </w:rPr>
        <w:t>具有</w:t>
      </w:r>
      <w:r>
        <w:rPr>
          <w:rFonts w:hint="eastAsia" w:hAnsi="宋体"/>
          <w:sz w:val="24"/>
        </w:rPr>
        <w:t>近年内至少有一个类似的园林绿化工程项目的业绩；</w:t>
      </w:r>
      <w:r>
        <w:rPr>
          <w:rFonts w:hint="eastAsia" w:ascii="宋体" w:hAnsi="宋体"/>
          <w:sz w:val="24"/>
        </w:rPr>
        <w:t>（业绩以</w:t>
      </w:r>
      <w:r>
        <w:rPr>
          <w:rFonts w:hint="eastAsia" w:ascii="宋体" w:hAnsi="宋体" w:cs="仿宋"/>
          <w:sz w:val="24"/>
        </w:rPr>
        <w:t>北京市园林绿化建设市场信用信息系统</w:t>
      </w:r>
      <w:r>
        <w:rPr>
          <w:rFonts w:hint="eastAsia" w:ascii="宋体" w:hAnsi="宋体"/>
          <w:sz w:val="24"/>
        </w:rPr>
        <w:t>中自行录入的业绩等信息为准。）</w:t>
      </w:r>
      <w:r>
        <w:rPr>
          <w:rFonts w:ascii="宋体" w:hAnsi="宋体"/>
          <w:sz w:val="24"/>
        </w:rPr>
        <w:t>(</w:t>
      </w:r>
      <w:r>
        <w:rPr>
          <w:rFonts w:hint="eastAsia" w:ascii="宋体" w:hAnsi="宋体"/>
          <w:sz w:val="24"/>
        </w:rPr>
        <w:t>如需要</w:t>
      </w:r>
      <w:r>
        <w:rPr>
          <w:rFonts w:ascii="宋体" w:hAnsi="宋体"/>
          <w:sz w:val="24"/>
        </w:rPr>
        <w:t>)</w:t>
      </w:r>
    </w:p>
    <w:p>
      <w:pPr>
        <w:snapToGrid w:val="0"/>
        <w:spacing w:line="440" w:lineRule="exact"/>
        <w:ind w:firstLine="480" w:firstLineChars="200"/>
        <w:rPr>
          <w:sz w:val="24"/>
        </w:rPr>
      </w:pPr>
      <w:r>
        <w:rPr>
          <w:sz w:val="24"/>
        </w:rPr>
        <w:t>3.</w:t>
      </w:r>
      <w:r>
        <w:rPr>
          <w:rFonts w:hint="eastAsia"/>
          <w:sz w:val="24"/>
        </w:rPr>
        <w:t>4投标人没有处于被责令停业，财产被接管、冻结，没有处于破产状态；</w:t>
      </w:r>
    </w:p>
    <w:p>
      <w:pPr>
        <w:snapToGrid w:val="0"/>
        <w:spacing w:line="440" w:lineRule="exact"/>
        <w:ind w:firstLine="480" w:firstLineChars="200"/>
        <w:rPr>
          <w:sz w:val="24"/>
        </w:rPr>
      </w:pPr>
      <w:r>
        <w:rPr>
          <w:sz w:val="24"/>
        </w:rPr>
        <w:t>3.</w:t>
      </w:r>
      <w:r>
        <w:rPr>
          <w:rFonts w:hint="eastAsia"/>
          <w:sz w:val="24"/>
        </w:rPr>
        <w:t>5投标人的投标资格未被取消，且在最近三年内没有出现骗取中标、严重违约、重大工程质量、安全等问题。</w:t>
      </w:r>
    </w:p>
    <w:p>
      <w:pPr>
        <w:snapToGrid w:val="0"/>
        <w:spacing w:line="440" w:lineRule="exact"/>
        <w:ind w:firstLine="480" w:firstLineChars="200"/>
        <w:rPr>
          <w:sz w:val="24"/>
        </w:rPr>
      </w:pPr>
      <w:r>
        <w:rPr>
          <w:sz w:val="24"/>
        </w:rPr>
        <w:t>3.</w:t>
      </w:r>
      <w:r>
        <w:rPr>
          <w:rFonts w:hint="eastAsia"/>
          <w:sz w:val="24"/>
        </w:rPr>
        <w:t>6</w:t>
      </w:r>
      <w:r>
        <w:rPr>
          <w:rFonts w:hint="eastAsia" w:hAnsi="宋体"/>
          <w:sz w:val="24"/>
        </w:rPr>
        <w:t>本次招标</w:t>
      </w:r>
      <w:r>
        <w:rPr>
          <w:rFonts w:hAnsi="宋体"/>
          <w:sz w:val="24"/>
          <w:u w:val="single"/>
        </w:rPr>
        <w:t xml:space="preserve">     </w:t>
      </w:r>
      <w:r>
        <w:rPr>
          <w:rFonts w:hint="eastAsia" w:hAnsi="宋体"/>
          <w:sz w:val="24"/>
        </w:rPr>
        <w:t>联合体投标。联合体投标的，应满足下列要求：</w:t>
      </w:r>
      <w:bookmarkEnd w:id="32"/>
    </w:p>
    <w:p>
      <w:pPr>
        <w:snapToGrid w:val="0"/>
        <w:spacing w:line="440" w:lineRule="exact"/>
        <w:ind w:left="6" w:leftChars="3" w:firstLine="480" w:firstLineChars="200"/>
        <w:rPr>
          <w:sz w:val="24"/>
        </w:rPr>
      </w:pPr>
      <w:r>
        <w:rPr>
          <w:rFonts w:hint="eastAsia" w:hAnsi="宋体"/>
          <w:sz w:val="24"/>
        </w:rPr>
        <w:t>（</w:t>
      </w:r>
      <w:r>
        <w:rPr>
          <w:sz w:val="24"/>
        </w:rPr>
        <w:t>1</w:t>
      </w:r>
      <w:r>
        <w:rPr>
          <w:rFonts w:hint="eastAsia" w:hAnsi="宋体"/>
          <w:sz w:val="24"/>
        </w:rPr>
        <w:t>）联合体各方必须按招标文件提供的格式签订联合体协议书，明确联合体牵头人和各方的权利义务；</w:t>
      </w:r>
    </w:p>
    <w:p>
      <w:pPr>
        <w:snapToGrid w:val="0"/>
        <w:spacing w:line="440" w:lineRule="exact"/>
        <w:ind w:firstLine="480" w:firstLineChars="200"/>
        <w:rPr>
          <w:rFonts w:hAnsi="宋体"/>
          <w:sz w:val="24"/>
        </w:rPr>
      </w:pPr>
      <w:r>
        <w:rPr>
          <w:rFonts w:hint="eastAsia" w:hAnsi="宋体"/>
          <w:sz w:val="24"/>
        </w:rPr>
        <w:t>（</w:t>
      </w:r>
      <w:r>
        <w:rPr>
          <w:sz w:val="24"/>
        </w:rPr>
        <w:t>2</w:t>
      </w:r>
      <w:r>
        <w:rPr>
          <w:rFonts w:hint="eastAsia" w:hAnsi="宋体"/>
          <w:sz w:val="24"/>
        </w:rPr>
        <w:t>）联合体各方不得再以自己名义单独或加入其他联合体在同一标段中参加投标。</w:t>
      </w:r>
    </w:p>
    <w:p>
      <w:pPr>
        <w:snapToGrid w:val="0"/>
        <w:spacing w:line="440" w:lineRule="exact"/>
        <w:ind w:firstLine="480" w:firstLineChars="200"/>
        <w:rPr>
          <w:sz w:val="24"/>
        </w:rPr>
      </w:pPr>
      <w:bookmarkStart w:id="33" w:name="_Toc396650428"/>
      <w:r>
        <w:rPr>
          <w:sz w:val="24"/>
        </w:rPr>
        <w:t>3.</w:t>
      </w:r>
      <w:r>
        <w:rPr>
          <w:rFonts w:hint="eastAsia"/>
          <w:sz w:val="24"/>
        </w:rPr>
        <w:t xml:space="preserve">7 </w:t>
      </w:r>
      <w:r>
        <w:rPr>
          <w:rFonts w:hint="eastAsia" w:ascii="宋体" w:hAnsi="宋体"/>
          <w:sz w:val="24"/>
        </w:rPr>
        <w:t>分标段的招标项目</w:t>
      </w:r>
      <w:r>
        <w:rPr>
          <w:rFonts w:hint="eastAsia" w:hAnsi="宋体"/>
          <w:sz w:val="24"/>
        </w:rPr>
        <w:t>最多允许中标标段的数量</w:t>
      </w:r>
      <w:bookmarkStart w:id="34" w:name="_Hlk108173335"/>
      <w:r>
        <w:rPr>
          <w:rFonts w:hint="eastAsia"/>
          <w:sz w:val="24"/>
        </w:rPr>
        <w:t>要求</w:t>
      </w:r>
      <w:bookmarkEnd w:id="34"/>
      <w:r>
        <w:rPr>
          <w:rFonts w:hint="eastAsia"/>
          <w:sz w:val="24"/>
        </w:rPr>
        <w:t>：</w:t>
      </w:r>
    </w:p>
    <w:p>
      <w:pPr>
        <w:spacing w:line="460" w:lineRule="exact"/>
        <w:ind w:firstLine="480" w:firstLineChars="200"/>
        <w:jc w:val="left"/>
        <w:rPr>
          <w:rFonts w:ascii="宋体" w:hAnsi="宋体"/>
          <w:sz w:val="24"/>
          <w:szCs w:val="20"/>
          <w:u w:val="single"/>
        </w:rPr>
      </w:pPr>
      <w:r>
        <w:rPr>
          <w:rFonts w:hint="eastAsia" w:ascii="宋体" w:hAnsi="宋体"/>
          <w:sz w:val="24"/>
          <w:szCs w:val="20"/>
        </w:rPr>
        <w:t>各投标人均可就本招标工程划分标段中的</w:t>
      </w:r>
      <w:r>
        <w:rPr>
          <w:rFonts w:hint="eastAsia" w:ascii="宋体" w:hAnsi="宋体"/>
          <w:sz w:val="24"/>
          <w:szCs w:val="20"/>
          <w:u w:val="single"/>
        </w:rPr>
        <w:t xml:space="preserve">        </w:t>
      </w:r>
      <w:r>
        <w:rPr>
          <w:rFonts w:hint="eastAsia" w:ascii="宋体" w:hAnsi="宋体"/>
          <w:sz w:val="24"/>
          <w:szCs w:val="20"/>
        </w:rPr>
        <w:t>(具体数量)个标段投标，但最多允许中标标段要求：</w:t>
      </w:r>
      <w:r>
        <w:rPr>
          <w:rFonts w:hint="eastAsia" w:ascii="宋体" w:hAnsi="宋体"/>
          <w:sz w:val="24"/>
          <w:szCs w:val="20"/>
          <w:u w:val="single"/>
        </w:rPr>
        <w:t xml:space="preserve">                                                </w:t>
      </w:r>
      <w:r>
        <w:rPr>
          <w:rFonts w:hint="eastAsia" w:ascii="宋体" w:hAnsi="宋体"/>
          <w:sz w:val="24"/>
          <w:szCs w:val="20"/>
        </w:rPr>
        <w:t>。</w:t>
      </w:r>
    </w:p>
    <w:p>
      <w:pPr>
        <w:spacing w:line="460" w:lineRule="exact"/>
        <w:ind w:firstLine="480" w:firstLineChars="200"/>
        <w:rPr>
          <w:sz w:val="24"/>
        </w:rPr>
      </w:pPr>
      <w:r>
        <w:rPr>
          <w:rFonts w:hint="eastAsia"/>
          <w:sz w:val="24"/>
        </w:rPr>
        <w:t>3.8本工程</w:t>
      </w:r>
      <w:r>
        <w:rPr>
          <w:rFonts w:hint="eastAsia"/>
          <w:sz w:val="24"/>
          <w:u w:val="single"/>
        </w:rPr>
        <w:t xml:space="preserve">     </w:t>
      </w:r>
      <w:r>
        <w:rPr>
          <w:rFonts w:hint="eastAsia"/>
          <w:sz w:val="24"/>
        </w:rPr>
        <w:t>（是/不是）政府采购工程，</w:t>
      </w:r>
      <w:r>
        <w:rPr>
          <w:rFonts w:hint="eastAsia"/>
          <w:sz w:val="24"/>
          <w:u w:val="single"/>
        </w:rPr>
        <w:t xml:space="preserve">     </w:t>
      </w:r>
      <w:r>
        <w:rPr>
          <w:rFonts w:hint="eastAsia"/>
          <w:sz w:val="24"/>
        </w:rPr>
        <w:t>（预留/不预留）中小企业份额（适用于政府采购工程）</w:t>
      </w:r>
    </w:p>
    <w:p>
      <w:pPr>
        <w:spacing w:line="460" w:lineRule="exact"/>
        <w:ind w:firstLine="480" w:firstLineChars="200"/>
        <w:rPr>
          <w:sz w:val="24"/>
        </w:rPr>
      </w:pPr>
      <w:r>
        <w:rPr>
          <w:rFonts w:hint="eastAsia"/>
          <w:sz w:val="24"/>
        </w:rPr>
        <w:t>□本工程专门面向□</w:t>
      </w:r>
      <w:r>
        <w:rPr>
          <w:sz w:val="24"/>
        </w:rPr>
        <w:t xml:space="preserve">中小 </w:t>
      </w:r>
      <w:r>
        <w:rPr>
          <w:rFonts w:hint="eastAsia"/>
          <w:sz w:val="24"/>
        </w:rPr>
        <w:t>□</w:t>
      </w:r>
      <w:r>
        <w:rPr>
          <w:sz w:val="24"/>
        </w:rPr>
        <w:t>小微企业</w:t>
      </w:r>
      <w:r>
        <w:rPr>
          <w:rFonts w:hint="eastAsia"/>
          <w:sz w:val="24"/>
        </w:rPr>
        <w:t>采购。（符合相关最新政策要求）</w:t>
      </w:r>
    </w:p>
    <w:p>
      <w:pPr>
        <w:spacing w:line="460" w:lineRule="exact"/>
        <w:ind w:firstLine="480" w:firstLineChars="200"/>
        <w:rPr>
          <w:sz w:val="24"/>
        </w:rPr>
      </w:pPr>
      <w:r>
        <w:rPr>
          <w:rFonts w:hint="eastAsia"/>
          <w:sz w:val="24"/>
        </w:rPr>
        <w:t>□本工程预留部分采购项目预算专门面向中小企业采购。对于预留份额由符合政策要求的中小企业承接。预留份额通过以下措施进行：____</w:t>
      </w:r>
      <w:r>
        <w:rPr>
          <w:rFonts w:hint="eastAsia"/>
          <w:sz w:val="24"/>
          <w:u w:val="single"/>
        </w:rPr>
        <w:t xml:space="preserve">  </w:t>
      </w:r>
      <w:r>
        <w:rPr>
          <w:rFonts w:hint="eastAsia"/>
          <w:sz w:val="24"/>
        </w:rPr>
        <w:t>_____________</w:t>
      </w:r>
      <w:r>
        <w:rPr>
          <w:rFonts w:hint="eastAsia"/>
          <w:sz w:val="24"/>
          <w:u w:val="single"/>
        </w:rPr>
        <w:t xml:space="preserve">   </w:t>
      </w:r>
      <w:r>
        <w:rPr>
          <w:rFonts w:hint="eastAsia"/>
          <w:sz w:val="24"/>
        </w:rPr>
        <w:t>_。</w:t>
      </w:r>
    </w:p>
    <w:p>
      <w:pPr>
        <w:spacing w:line="460" w:lineRule="exact"/>
        <w:ind w:firstLine="480" w:firstLineChars="200"/>
        <w:rPr>
          <w:sz w:val="24"/>
        </w:rPr>
      </w:pPr>
      <w:r>
        <w:rPr>
          <w:rFonts w:hint="eastAsia"/>
          <w:sz w:val="24"/>
        </w:rPr>
        <w:t>□其他落实政府采购政策的要求（如有）：</w:t>
      </w:r>
      <w:r>
        <w:rPr>
          <w:sz w:val="24"/>
          <w:u w:val="single"/>
        </w:rPr>
        <w:t xml:space="preserve">                      </w:t>
      </w:r>
      <w:r>
        <w:rPr>
          <w:rFonts w:hint="eastAsia"/>
          <w:sz w:val="24"/>
          <w:u w:val="single"/>
        </w:rPr>
        <w:t xml:space="preserve">      </w:t>
      </w:r>
      <w:r>
        <w:rPr>
          <w:sz w:val="24"/>
          <w:u w:val="single"/>
        </w:rPr>
        <w:t xml:space="preserve">   </w:t>
      </w:r>
      <w:r>
        <w:rPr>
          <w:rFonts w:hint="eastAsia"/>
          <w:sz w:val="24"/>
        </w:rPr>
        <w:t>。</w:t>
      </w:r>
    </w:p>
    <w:p>
      <w:pPr>
        <w:snapToGrid w:val="0"/>
        <w:spacing w:line="440" w:lineRule="exact"/>
        <w:ind w:firstLine="480" w:firstLineChars="200"/>
        <w:rPr>
          <w:sz w:val="24"/>
        </w:rPr>
      </w:pPr>
      <w:r>
        <w:rPr>
          <w:sz w:val="24"/>
        </w:rPr>
        <w:t>3.</w:t>
      </w:r>
      <w:r>
        <w:rPr>
          <w:rFonts w:hint="eastAsia"/>
          <w:sz w:val="24"/>
        </w:rPr>
        <w:t>9其他要求</w:t>
      </w:r>
      <w:r>
        <w:rPr>
          <w:sz w:val="24"/>
          <w:u w:val="single"/>
        </w:rPr>
        <w:t xml:space="preserve">                                                   </w:t>
      </w:r>
      <w:r>
        <w:rPr>
          <w:rFonts w:hint="eastAsia"/>
          <w:sz w:val="24"/>
          <w:u w:val="single"/>
        </w:rPr>
        <w:t xml:space="preserve"> </w:t>
      </w:r>
      <w:r>
        <w:rPr>
          <w:sz w:val="24"/>
          <w:u w:val="single"/>
        </w:rPr>
        <w:t xml:space="preserve">   </w:t>
      </w:r>
      <w:r>
        <w:rPr>
          <w:rFonts w:hint="eastAsia"/>
          <w:sz w:val="24"/>
        </w:rPr>
        <w:t>。</w:t>
      </w:r>
    </w:p>
    <w:p>
      <w:pPr>
        <w:spacing w:line="460" w:lineRule="exact"/>
        <w:ind w:firstLine="480" w:firstLineChars="200"/>
        <w:rPr>
          <w:sz w:val="24"/>
        </w:rPr>
      </w:pPr>
    </w:p>
    <w:p>
      <w:pPr>
        <w:pStyle w:val="144"/>
        <w:snapToGrid w:val="0"/>
        <w:spacing w:before="0" w:line="440" w:lineRule="exact"/>
        <w:ind w:firstLine="505" w:firstLineChars="210"/>
        <w:rPr>
          <w:rFonts w:hAnsi="宋体" w:eastAsia="宋体" w:cs="Times New Roman"/>
          <w:b/>
          <w:sz w:val="24"/>
          <w:szCs w:val="24"/>
        </w:rPr>
      </w:pPr>
      <w:r>
        <w:rPr>
          <w:rFonts w:eastAsia="宋体" w:cs="Times New Roman"/>
          <w:b/>
          <w:sz w:val="24"/>
          <w:szCs w:val="24"/>
        </w:rPr>
        <w:t>4</w:t>
      </w:r>
      <w:r>
        <w:rPr>
          <w:rFonts w:hint="eastAsia" w:hAnsi="宋体" w:eastAsia="宋体" w:cs="Times New Roman"/>
          <w:b/>
          <w:sz w:val="24"/>
          <w:szCs w:val="24"/>
        </w:rPr>
        <w:t>．信誉要求</w:t>
      </w:r>
    </w:p>
    <w:p>
      <w:pPr>
        <w:widowControl/>
        <w:spacing w:line="440" w:lineRule="exact"/>
        <w:ind w:firstLine="480" w:firstLineChars="200"/>
        <w:jc w:val="left"/>
        <w:rPr>
          <w:rFonts w:ascii="宋体"/>
          <w:sz w:val="24"/>
        </w:rPr>
      </w:pPr>
      <w:r>
        <w:rPr>
          <w:rFonts w:ascii="宋体" w:hAnsi="宋体"/>
          <w:sz w:val="24"/>
        </w:rPr>
        <w:t xml:space="preserve">4.1 </w:t>
      </w:r>
      <w:r>
        <w:rPr>
          <w:rFonts w:hint="eastAsia" w:ascii="宋体" w:hAnsi="宋体"/>
          <w:sz w:val="24"/>
        </w:rPr>
        <w:t>□</w:t>
      </w:r>
      <w:r>
        <w:rPr>
          <w:rFonts w:ascii="宋体" w:hAnsi="宋体"/>
          <w:sz w:val="24"/>
        </w:rPr>
        <w:t xml:space="preserve"> </w:t>
      </w:r>
      <w:r>
        <w:rPr>
          <w:rFonts w:hint="eastAsia" w:ascii="宋体" w:hAnsi="宋体"/>
          <w:sz w:val="24"/>
        </w:rPr>
        <w:t>投标人须未被“信用中国”网站列入“失信被执行人”和重大税收违法失信相关名单。</w:t>
      </w:r>
    </w:p>
    <w:p>
      <w:pPr>
        <w:widowControl/>
        <w:spacing w:line="440" w:lineRule="exact"/>
        <w:ind w:firstLine="960" w:firstLineChars="400"/>
        <w:jc w:val="left"/>
        <w:rPr>
          <w:rFonts w:ascii="宋体"/>
          <w:sz w:val="24"/>
        </w:rPr>
      </w:pPr>
      <w:r>
        <w:rPr>
          <w:rFonts w:hint="eastAsia" w:ascii="宋体" w:hAnsi="宋体"/>
          <w:sz w:val="24"/>
        </w:rPr>
        <w:sym w:font="Wingdings 2" w:char="00A3"/>
      </w:r>
      <w:r>
        <w:rPr>
          <w:rFonts w:ascii="宋体" w:hAnsi="宋体"/>
          <w:sz w:val="24"/>
        </w:rPr>
        <w:t xml:space="preserve"> </w:t>
      </w:r>
      <w:r>
        <w:rPr>
          <w:rFonts w:hint="eastAsia" w:ascii="宋体" w:hAnsi="宋体"/>
          <w:sz w:val="24"/>
        </w:rPr>
        <w:t>投标人及其项目负责人应具有良好的园林绿化行业从业信用记录。</w:t>
      </w:r>
      <w:r>
        <w:rPr>
          <w:rFonts w:ascii="宋体" w:hAnsi="宋体"/>
          <w:sz w:val="24"/>
        </w:rPr>
        <w:t xml:space="preserve"> </w:t>
      </w:r>
    </w:p>
    <w:p>
      <w:pPr>
        <w:spacing w:line="440" w:lineRule="exact"/>
        <w:ind w:firstLine="480" w:firstLineChars="200"/>
        <w:jc w:val="left"/>
        <w:rPr>
          <w:rFonts w:ascii="宋体"/>
          <w:sz w:val="24"/>
          <w:u w:val="single"/>
        </w:rPr>
      </w:pPr>
      <w:r>
        <w:rPr>
          <w:rFonts w:ascii="宋体" w:hAnsi="宋体"/>
          <w:sz w:val="24"/>
        </w:rPr>
        <w:t>4.2</w:t>
      </w:r>
      <w:r>
        <w:rPr>
          <w:rFonts w:hint="eastAsia" w:ascii="宋体" w:hAnsi="宋体"/>
          <w:sz w:val="24"/>
        </w:rPr>
        <w:t>本次招标</w:t>
      </w:r>
      <w:r>
        <w:rPr>
          <w:rFonts w:ascii="宋体" w:hAnsi="宋体"/>
          <w:sz w:val="24"/>
          <w:u w:val="single"/>
        </w:rPr>
        <w:t xml:space="preserve">       </w:t>
      </w:r>
      <w:r>
        <w:rPr>
          <w:rFonts w:ascii="宋体" w:hAnsi="宋体"/>
          <w:sz w:val="24"/>
        </w:rPr>
        <w:t xml:space="preserve"> </w:t>
      </w:r>
      <w:r>
        <w:rPr>
          <w:rFonts w:hint="eastAsia" w:ascii="宋体" w:hAnsi="宋体"/>
          <w:sz w:val="24"/>
        </w:rPr>
        <w:t>（采用</w:t>
      </w:r>
      <w:r>
        <w:rPr>
          <w:rFonts w:ascii="宋体" w:hAnsi="宋体"/>
          <w:sz w:val="24"/>
        </w:rPr>
        <w:t>/</w:t>
      </w:r>
      <w:r>
        <w:rPr>
          <w:rFonts w:hint="eastAsia" w:ascii="宋体" w:hAnsi="宋体"/>
          <w:sz w:val="24"/>
        </w:rPr>
        <w:t>不采用）信用标评审。采用</w:t>
      </w:r>
      <w:r>
        <w:rPr>
          <w:rFonts w:ascii="宋体" w:hAnsi="宋体"/>
          <w:sz w:val="24"/>
        </w:rPr>
        <w:t xml:space="preserve">  </w:t>
      </w:r>
      <w:r>
        <w:rPr>
          <w:rFonts w:ascii="宋体" w:hAnsi="宋体"/>
          <w:sz w:val="24"/>
          <w:u w:val="single"/>
        </w:rPr>
        <w:t xml:space="preserve">      </w:t>
      </w:r>
      <w:r>
        <w:rPr>
          <w:rFonts w:hint="eastAsia" w:ascii="宋体" w:hAnsi="宋体"/>
          <w:sz w:val="24"/>
        </w:rPr>
        <w:t>（企业信用评价评分</w:t>
      </w:r>
      <w:r>
        <w:rPr>
          <w:rFonts w:ascii="宋体" w:hAnsi="宋体"/>
          <w:sz w:val="24"/>
        </w:rPr>
        <w:t>/</w:t>
      </w:r>
      <w:r>
        <w:rPr>
          <w:rFonts w:hint="eastAsia" w:ascii="宋体" w:hAnsi="宋体"/>
          <w:sz w:val="24"/>
        </w:rPr>
        <w:t>项目负责人信用评价评分）。</w:t>
      </w:r>
    </w:p>
    <w:p>
      <w:pPr>
        <w:spacing w:line="440" w:lineRule="exact"/>
        <w:ind w:firstLine="480" w:firstLineChars="200"/>
        <w:jc w:val="left"/>
        <w:rPr>
          <w:rFonts w:ascii="宋体"/>
          <w:sz w:val="24"/>
        </w:rPr>
      </w:pPr>
      <w:r>
        <w:rPr>
          <w:rFonts w:ascii="宋体" w:hAnsi="宋体"/>
          <w:sz w:val="24"/>
        </w:rPr>
        <w:t xml:space="preserve">4.3 </w:t>
      </w:r>
      <w:r>
        <w:rPr>
          <w:rFonts w:hint="eastAsia" w:ascii="宋体" w:hAnsi="宋体"/>
          <w:sz w:val="24"/>
        </w:rPr>
        <w:t>其他要求</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w:t>
      </w:r>
      <w:r>
        <w:rPr>
          <w:rFonts w:ascii="宋体" w:hAnsi="宋体"/>
          <w:sz w:val="24"/>
        </w:rPr>
        <w:t xml:space="preserve">  </w:t>
      </w:r>
    </w:p>
    <w:p>
      <w:pPr>
        <w:spacing w:line="460" w:lineRule="exact"/>
        <w:rPr>
          <w:rFonts w:ascii="宋体"/>
          <w:sz w:val="24"/>
        </w:rPr>
      </w:pPr>
      <w:r>
        <w:rPr>
          <w:rFonts w:ascii="宋体" w:hAnsi="宋体"/>
          <w:szCs w:val="21"/>
        </w:rPr>
        <w:t xml:space="preserve"> </w:t>
      </w:r>
      <w:r>
        <w:rPr>
          <w:rFonts w:ascii="宋体" w:hAnsi="宋体"/>
          <w:sz w:val="24"/>
        </w:rPr>
        <w:t xml:space="preserve">                                                               </w:t>
      </w:r>
    </w:p>
    <w:bookmarkEnd w:id="33"/>
    <w:p>
      <w:pPr>
        <w:pStyle w:val="144"/>
        <w:snapToGrid w:val="0"/>
        <w:spacing w:before="0" w:line="440" w:lineRule="exact"/>
        <w:ind w:firstLine="505" w:firstLineChars="210"/>
        <w:rPr>
          <w:rFonts w:eastAsia="宋体" w:cs="Times New Roman"/>
          <w:b/>
          <w:sz w:val="24"/>
          <w:szCs w:val="24"/>
        </w:rPr>
      </w:pPr>
      <w:bookmarkStart w:id="35" w:name="_Toc333499403"/>
      <w:bookmarkStart w:id="36" w:name="_Toc179715687"/>
      <w:bookmarkStart w:id="37" w:name="_Toc455409828"/>
      <w:bookmarkStart w:id="38" w:name="_Toc152047195"/>
      <w:bookmarkStart w:id="39" w:name="_Toc396650431"/>
      <w:bookmarkStart w:id="40" w:name="_Toc144974398"/>
      <w:bookmarkStart w:id="41" w:name="_Toc470011304"/>
      <w:bookmarkStart w:id="42" w:name="_Toc410849447"/>
      <w:r>
        <w:rPr>
          <w:rFonts w:eastAsia="宋体" w:cs="Times New Roman"/>
          <w:b/>
          <w:sz w:val="24"/>
          <w:szCs w:val="24"/>
        </w:rPr>
        <w:t>5</w:t>
      </w:r>
      <w:r>
        <w:rPr>
          <w:rFonts w:hint="eastAsia" w:hAnsi="宋体" w:eastAsia="宋体" w:cs="Times New Roman"/>
          <w:b/>
          <w:sz w:val="24"/>
          <w:szCs w:val="24"/>
        </w:rPr>
        <w:t>．招标文件的获取</w:t>
      </w:r>
      <w:bookmarkEnd w:id="35"/>
      <w:bookmarkEnd w:id="36"/>
      <w:bookmarkEnd w:id="37"/>
      <w:bookmarkEnd w:id="38"/>
      <w:bookmarkEnd w:id="39"/>
      <w:bookmarkEnd w:id="40"/>
      <w:bookmarkEnd w:id="41"/>
      <w:bookmarkEnd w:id="42"/>
    </w:p>
    <w:p>
      <w:pPr>
        <w:snapToGrid w:val="0"/>
        <w:spacing w:line="440" w:lineRule="exact"/>
        <w:ind w:firstLine="503" w:firstLineChars="210"/>
        <w:rPr>
          <w:rFonts w:ascii="宋体"/>
          <w:strike/>
          <w:sz w:val="24"/>
        </w:rPr>
      </w:pPr>
      <w:r>
        <w:rPr>
          <w:sz w:val="24"/>
        </w:rPr>
        <w:t>5.1</w:t>
      </w:r>
      <w:r>
        <w:rPr>
          <w:rFonts w:hint="eastAsia"/>
          <w:sz w:val="24"/>
        </w:rPr>
        <w:t>凡有意参与且符合本章第</w:t>
      </w:r>
      <w:r>
        <w:rPr>
          <w:sz w:val="24"/>
        </w:rPr>
        <w:t>3</w:t>
      </w:r>
      <w:r>
        <w:rPr>
          <w:rFonts w:hint="eastAsia"/>
          <w:sz w:val="24"/>
        </w:rPr>
        <w:t>条规定的资格条件，方可于</w:t>
      </w:r>
      <w:r>
        <w:rPr>
          <w:sz w:val="24"/>
          <w:u w:val="single"/>
        </w:rPr>
        <w:t xml:space="preserve">    </w:t>
      </w:r>
      <w:r>
        <w:rPr>
          <w:rFonts w:hint="eastAsia" w:hAnsi="宋体"/>
          <w:sz w:val="24"/>
        </w:rPr>
        <w:t>年</w:t>
      </w:r>
      <w:r>
        <w:rPr>
          <w:sz w:val="24"/>
          <w:u w:val="single"/>
        </w:rPr>
        <w:t xml:space="preserve">  </w:t>
      </w:r>
      <w:r>
        <w:rPr>
          <w:rFonts w:hint="eastAsia" w:hAnsi="宋体"/>
          <w:sz w:val="24"/>
        </w:rPr>
        <w:t>月</w:t>
      </w:r>
      <w:r>
        <w:rPr>
          <w:rFonts w:hAnsi="宋体"/>
          <w:sz w:val="24"/>
          <w:u w:val="single"/>
        </w:rPr>
        <w:t xml:space="preserve">   </w:t>
      </w:r>
      <w:r>
        <w:rPr>
          <w:rFonts w:hint="eastAsia" w:hAnsi="宋体"/>
          <w:sz w:val="24"/>
        </w:rPr>
        <w:t>日</w:t>
      </w:r>
      <w:r>
        <w:rPr>
          <w:rFonts w:hAnsi="宋体"/>
          <w:sz w:val="24"/>
          <w:u w:val="single"/>
        </w:rPr>
        <w:t xml:space="preserve">  </w:t>
      </w:r>
      <w:r>
        <w:rPr>
          <w:rFonts w:hint="eastAsia" w:hAnsi="宋体"/>
          <w:sz w:val="24"/>
        </w:rPr>
        <w:t>时</w:t>
      </w:r>
      <w:r>
        <w:rPr>
          <w:rFonts w:hAnsi="宋体"/>
          <w:sz w:val="24"/>
          <w:u w:val="single"/>
        </w:rPr>
        <w:t xml:space="preserve">  </w:t>
      </w:r>
      <w:r>
        <w:rPr>
          <w:rFonts w:hint="eastAsia" w:hAnsi="宋体"/>
          <w:sz w:val="24"/>
        </w:rPr>
        <w:t>分至</w:t>
      </w:r>
      <w:r>
        <w:rPr>
          <w:sz w:val="24"/>
          <w:u w:val="single"/>
        </w:rPr>
        <w:t xml:space="preserve">    </w:t>
      </w:r>
      <w:r>
        <w:rPr>
          <w:rFonts w:hint="eastAsia" w:hAnsi="宋体"/>
          <w:sz w:val="24"/>
        </w:rPr>
        <w:t>年</w:t>
      </w:r>
      <w:r>
        <w:rPr>
          <w:sz w:val="24"/>
          <w:u w:val="single"/>
        </w:rPr>
        <w:t xml:space="preserve">  </w:t>
      </w:r>
      <w:r>
        <w:rPr>
          <w:rFonts w:hint="eastAsia" w:hAnsi="宋体"/>
          <w:sz w:val="24"/>
        </w:rPr>
        <w:t>月</w:t>
      </w:r>
      <w:r>
        <w:rPr>
          <w:rFonts w:hAnsi="宋体"/>
          <w:sz w:val="24"/>
          <w:u w:val="single"/>
        </w:rPr>
        <w:t xml:space="preserve">  </w:t>
      </w:r>
      <w:r>
        <w:rPr>
          <w:rFonts w:hint="eastAsia" w:hAnsi="宋体"/>
          <w:sz w:val="24"/>
        </w:rPr>
        <w:t>日</w:t>
      </w:r>
      <w:r>
        <w:rPr>
          <w:rFonts w:hAnsi="宋体"/>
          <w:sz w:val="24"/>
          <w:u w:val="single"/>
        </w:rPr>
        <w:t xml:space="preserve">  </w:t>
      </w:r>
      <w:r>
        <w:rPr>
          <w:rFonts w:hint="eastAsia" w:hAnsi="宋体"/>
          <w:sz w:val="24"/>
        </w:rPr>
        <w:t>时</w:t>
      </w:r>
      <w:r>
        <w:rPr>
          <w:rFonts w:hAnsi="宋体"/>
          <w:sz w:val="24"/>
          <w:u w:val="single"/>
        </w:rPr>
        <w:t xml:space="preserve">  </w:t>
      </w:r>
      <w:r>
        <w:rPr>
          <w:rFonts w:hint="eastAsia" w:hAnsi="宋体"/>
          <w:sz w:val="24"/>
        </w:rPr>
        <w:t>分，</w:t>
      </w:r>
      <w:r>
        <w:rPr>
          <w:rFonts w:hint="eastAsia" w:ascii="宋体" w:hAnsi="宋体"/>
          <w:sz w:val="24"/>
        </w:rPr>
        <w:t>通过远程或者到招标投标交易场所使用数字身份认证锁登录电子化平台下载招标文件。</w:t>
      </w:r>
    </w:p>
    <w:p>
      <w:pPr>
        <w:snapToGrid w:val="0"/>
        <w:spacing w:line="440" w:lineRule="exact"/>
        <w:ind w:firstLine="503" w:firstLineChars="210"/>
        <w:rPr>
          <w:sz w:val="24"/>
        </w:rPr>
      </w:pPr>
      <w:r>
        <w:rPr>
          <w:sz w:val="24"/>
        </w:rPr>
        <w:t>5.2</w:t>
      </w:r>
      <w:r>
        <w:rPr>
          <w:rFonts w:hint="eastAsia"/>
          <w:sz w:val="24"/>
        </w:rPr>
        <w:t>请于</w:t>
      </w:r>
      <w:r>
        <w:rPr>
          <w:sz w:val="24"/>
          <w:szCs w:val="21"/>
          <w:u w:val="single"/>
        </w:rPr>
        <w:t xml:space="preserve">     </w:t>
      </w:r>
      <w:r>
        <w:rPr>
          <w:rFonts w:hint="eastAsia"/>
          <w:sz w:val="24"/>
          <w:szCs w:val="21"/>
        </w:rPr>
        <w:t>年</w:t>
      </w:r>
      <w:r>
        <w:rPr>
          <w:sz w:val="24"/>
          <w:szCs w:val="21"/>
          <w:u w:val="single"/>
        </w:rPr>
        <w:t xml:space="preserve">   </w:t>
      </w:r>
      <w:r>
        <w:rPr>
          <w:rFonts w:hint="eastAsia"/>
          <w:sz w:val="24"/>
          <w:szCs w:val="21"/>
        </w:rPr>
        <w:t>月</w:t>
      </w:r>
      <w:r>
        <w:rPr>
          <w:sz w:val="24"/>
          <w:szCs w:val="21"/>
          <w:u w:val="single"/>
        </w:rPr>
        <w:t xml:space="preserve">   </w:t>
      </w:r>
      <w:r>
        <w:rPr>
          <w:rFonts w:hint="eastAsia"/>
          <w:sz w:val="24"/>
          <w:szCs w:val="21"/>
        </w:rPr>
        <w:t>日</w:t>
      </w:r>
      <w:r>
        <w:rPr>
          <w:rFonts w:ascii="宋体" w:hAnsi="宋体"/>
          <w:sz w:val="24"/>
          <w:u w:val="single"/>
        </w:rPr>
        <w:t xml:space="preserve">  </w:t>
      </w:r>
      <w:r>
        <w:rPr>
          <w:rFonts w:hint="eastAsia" w:ascii="宋体" w:hAnsi="宋体"/>
          <w:sz w:val="24"/>
        </w:rPr>
        <w:t>时</w:t>
      </w:r>
      <w:r>
        <w:rPr>
          <w:rFonts w:ascii="宋体" w:hAnsi="宋体"/>
          <w:sz w:val="24"/>
          <w:u w:val="single"/>
        </w:rPr>
        <w:t xml:space="preserve">  </w:t>
      </w:r>
      <w:r>
        <w:rPr>
          <w:rFonts w:hint="eastAsia" w:ascii="宋体" w:hAnsi="宋体"/>
          <w:sz w:val="24"/>
        </w:rPr>
        <w:t>分</w:t>
      </w:r>
      <w:r>
        <w:rPr>
          <w:rFonts w:hint="eastAsia"/>
          <w:sz w:val="24"/>
          <w:szCs w:val="21"/>
        </w:rPr>
        <w:t>至</w:t>
      </w:r>
      <w:r>
        <w:rPr>
          <w:sz w:val="24"/>
          <w:szCs w:val="21"/>
          <w:u w:val="single"/>
        </w:rPr>
        <w:t xml:space="preserve">     </w:t>
      </w:r>
      <w:r>
        <w:rPr>
          <w:rFonts w:hint="eastAsia"/>
          <w:sz w:val="24"/>
          <w:szCs w:val="21"/>
        </w:rPr>
        <w:t>年</w:t>
      </w:r>
      <w:r>
        <w:rPr>
          <w:sz w:val="24"/>
          <w:szCs w:val="21"/>
          <w:u w:val="single"/>
        </w:rPr>
        <w:t xml:space="preserve">    </w:t>
      </w:r>
      <w:r>
        <w:rPr>
          <w:rFonts w:hint="eastAsia"/>
          <w:sz w:val="24"/>
          <w:szCs w:val="21"/>
        </w:rPr>
        <w:t>月</w:t>
      </w:r>
      <w:r>
        <w:rPr>
          <w:sz w:val="24"/>
          <w:szCs w:val="21"/>
          <w:u w:val="single"/>
        </w:rPr>
        <w:t xml:space="preserve">    </w:t>
      </w:r>
      <w:r>
        <w:rPr>
          <w:rFonts w:hint="eastAsia"/>
          <w:sz w:val="24"/>
          <w:szCs w:val="21"/>
        </w:rPr>
        <w:t>日</w:t>
      </w:r>
      <w:r>
        <w:rPr>
          <w:rFonts w:ascii="宋体" w:hAnsi="宋体"/>
          <w:sz w:val="24"/>
          <w:u w:val="single"/>
        </w:rPr>
        <w:t xml:space="preserve">  </w:t>
      </w:r>
      <w:r>
        <w:rPr>
          <w:rFonts w:hint="eastAsia" w:ascii="宋体" w:hAnsi="宋体"/>
          <w:sz w:val="24"/>
        </w:rPr>
        <w:t>时</w:t>
      </w:r>
      <w:r>
        <w:rPr>
          <w:rFonts w:ascii="宋体" w:hAnsi="宋体"/>
          <w:sz w:val="24"/>
          <w:u w:val="single"/>
        </w:rPr>
        <w:t xml:space="preserve">  </w:t>
      </w:r>
      <w:r>
        <w:rPr>
          <w:rFonts w:hint="eastAsia" w:ascii="宋体" w:hAnsi="宋体"/>
          <w:sz w:val="24"/>
        </w:rPr>
        <w:t>分</w:t>
      </w:r>
      <w:r>
        <w:rPr>
          <w:rFonts w:hint="eastAsia"/>
          <w:sz w:val="24"/>
          <w:szCs w:val="21"/>
        </w:rPr>
        <w:t>，</w:t>
      </w:r>
      <w:r>
        <w:rPr>
          <w:rFonts w:hint="eastAsia"/>
          <w:sz w:val="24"/>
        </w:rPr>
        <w:t>在</w:t>
      </w:r>
      <w:r>
        <w:rPr>
          <w:sz w:val="24"/>
          <w:u w:val="single"/>
        </w:rPr>
        <w:t xml:space="preserve">                </w:t>
      </w:r>
      <w:r>
        <w:rPr>
          <w:rFonts w:hint="eastAsia"/>
          <w:sz w:val="24"/>
          <w:u w:val="single"/>
        </w:rPr>
        <w:t>（详细地址）</w:t>
      </w:r>
      <w:r>
        <w:rPr>
          <w:rFonts w:hint="eastAsia"/>
          <w:sz w:val="24"/>
        </w:rPr>
        <w:t>领取招标图纸。图纸押金</w:t>
      </w:r>
      <w:r>
        <w:rPr>
          <w:sz w:val="24"/>
          <w:u w:val="single"/>
        </w:rPr>
        <w:t xml:space="preserve">        </w:t>
      </w:r>
      <w:r>
        <w:rPr>
          <w:rFonts w:hint="eastAsia"/>
          <w:sz w:val="24"/>
        </w:rPr>
        <w:t>元，在退还图纸时退还（不计利息）。</w:t>
      </w:r>
    </w:p>
    <w:p>
      <w:pPr>
        <w:snapToGrid w:val="0"/>
        <w:spacing w:line="440" w:lineRule="exact"/>
        <w:rPr>
          <w:sz w:val="24"/>
        </w:rPr>
      </w:pPr>
    </w:p>
    <w:p>
      <w:pPr>
        <w:pStyle w:val="144"/>
        <w:snapToGrid w:val="0"/>
        <w:spacing w:before="0" w:line="440" w:lineRule="exact"/>
        <w:ind w:firstLine="505" w:firstLineChars="210"/>
        <w:rPr>
          <w:rFonts w:eastAsia="宋体" w:cs="Times New Roman"/>
          <w:b/>
          <w:sz w:val="24"/>
          <w:szCs w:val="24"/>
        </w:rPr>
      </w:pPr>
      <w:bookmarkStart w:id="43" w:name="_Toc470011305"/>
      <w:bookmarkStart w:id="44" w:name="_Toc455409829"/>
      <w:r>
        <w:rPr>
          <w:rFonts w:eastAsia="宋体" w:cs="Times New Roman"/>
          <w:b/>
          <w:sz w:val="24"/>
          <w:szCs w:val="24"/>
        </w:rPr>
        <w:t xml:space="preserve">6. </w:t>
      </w:r>
      <w:r>
        <w:rPr>
          <w:rFonts w:hint="eastAsia" w:eastAsia="宋体" w:cs="Times New Roman"/>
          <w:b/>
          <w:sz w:val="24"/>
          <w:szCs w:val="24"/>
        </w:rPr>
        <w:t>投标文件递交</w:t>
      </w:r>
      <w:bookmarkEnd w:id="43"/>
      <w:bookmarkEnd w:id="44"/>
      <w:r>
        <w:rPr>
          <w:rFonts w:hint="eastAsia" w:eastAsia="宋体" w:cs="Times New Roman"/>
          <w:b/>
          <w:sz w:val="24"/>
          <w:szCs w:val="24"/>
        </w:rPr>
        <w:t>及开标</w:t>
      </w:r>
    </w:p>
    <w:p>
      <w:pPr>
        <w:spacing w:line="460" w:lineRule="exact"/>
        <w:ind w:firstLine="566" w:firstLineChars="236"/>
        <w:rPr>
          <w:sz w:val="24"/>
        </w:rPr>
      </w:pPr>
      <w:r>
        <w:rPr>
          <w:rFonts w:hint="eastAsia"/>
          <w:sz w:val="24"/>
        </w:rPr>
        <w:t>6.1递交投标文件的截止时间（投标截止时间）为</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r>
        <w:rPr>
          <w:sz w:val="24"/>
          <w:u w:val="single"/>
        </w:rPr>
        <w:t xml:space="preserve">  </w:t>
      </w:r>
      <w:r>
        <w:rPr>
          <w:rFonts w:hint="eastAsia"/>
          <w:sz w:val="24"/>
        </w:rPr>
        <w:t>时</w:t>
      </w:r>
      <w:r>
        <w:rPr>
          <w:sz w:val="24"/>
          <w:u w:val="single"/>
        </w:rPr>
        <w:t xml:space="preserve">  </w:t>
      </w:r>
      <w:r>
        <w:rPr>
          <w:rFonts w:hint="eastAsia"/>
          <w:sz w:val="24"/>
        </w:rPr>
        <w:t>分。投标人应当通过远程或者到招标投标交易场所使用数字身份认证锁登录电子化平台上传投标文件，上传成功后平台自动生成的回执时间即为递交成功时间，投标人应保留回执。</w:t>
      </w:r>
    </w:p>
    <w:p>
      <w:pPr>
        <w:spacing w:line="460" w:lineRule="exact"/>
        <w:ind w:firstLine="566" w:firstLineChars="236"/>
        <w:rPr>
          <w:sz w:val="24"/>
        </w:rPr>
      </w:pPr>
      <w:r>
        <w:rPr>
          <w:rFonts w:hint="eastAsia"/>
          <w:sz w:val="24"/>
        </w:rPr>
        <w:t>逾期未上传成功的投标文件，招标人不予受理。</w:t>
      </w:r>
    </w:p>
    <w:p>
      <w:pPr>
        <w:spacing w:line="460" w:lineRule="exact"/>
        <w:ind w:firstLine="566" w:firstLineChars="236"/>
        <w:rPr>
          <w:sz w:val="24"/>
        </w:rPr>
      </w:pPr>
      <w:r>
        <w:rPr>
          <w:rFonts w:hint="eastAsia"/>
          <w:sz w:val="24"/>
        </w:rPr>
        <w:t>6</w:t>
      </w:r>
      <w:r>
        <w:rPr>
          <w:sz w:val="24"/>
        </w:rPr>
        <w:t xml:space="preserve">.2 </w:t>
      </w:r>
      <w:r>
        <w:rPr>
          <w:rFonts w:hint="eastAsia"/>
          <w:sz w:val="24"/>
        </w:rPr>
        <w:t>投标文件递交截止时间的同一时间在</w:t>
      </w:r>
      <w:r>
        <w:rPr>
          <w:rFonts w:hint="eastAsia"/>
          <w:sz w:val="24"/>
          <w:u w:val="single"/>
        </w:rPr>
        <w:t xml:space="preserve"> </w:t>
      </w:r>
      <w:r>
        <w:rPr>
          <w:sz w:val="24"/>
          <w:u w:val="single"/>
        </w:rPr>
        <w:t xml:space="preserve">            </w:t>
      </w:r>
      <w:r>
        <w:rPr>
          <w:rFonts w:hint="eastAsia"/>
          <w:sz w:val="24"/>
        </w:rPr>
        <w:t>（开标地点）开标。</w:t>
      </w:r>
    </w:p>
    <w:p>
      <w:pPr>
        <w:spacing w:line="460" w:lineRule="exact"/>
        <w:ind w:firstLine="566" w:firstLineChars="236"/>
        <w:rPr>
          <w:bCs/>
          <w:sz w:val="24"/>
        </w:rPr>
      </w:pPr>
    </w:p>
    <w:p>
      <w:pPr>
        <w:pStyle w:val="144"/>
        <w:snapToGrid w:val="0"/>
        <w:spacing w:before="0" w:line="440" w:lineRule="exact"/>
        <w:ind w:firstLine="505" w:firstLineChars="210"/>
        <w:rPr>
          <w:rFonts w:eastAsia="宋体" w:cs="Times New Roman"/>
          <w:b/>
          <w:sz w:val="24"/>
          <w:szCs w:val="24"/>
        </w:rPr>
      </w:pPr>
      <w:bookmarkStart w:id="45" w:name="_Toc470011306"/>
      <w:r>
        <w:rPr>
          <w:rFonts w:eastAsia="宋体" w:cs="Times New Roman"/>
          <w:b/>
          <w:sz w:val="24"/>
          <w:szCs w:val="24"/>
        </w:rPr>
        <w:t xml:space="preserve">7. </w:t>
      </w:r>
      <w:r>
        <w:rPr>
          <w:rFonts w:hint="eastAsia" w:eastAsia="宋体" w:cs="Times New Roman"/>
          <w:b/>
          <w:sz w:val="24"/>
          <w:szCs w:val="24"/>
        </w:rPr>
        <w:t>发布公告的媒介</w:t>
      </w:r>
      <w:bookmarkEnd w:id="45"/>
    </w:p>
    <w:p>
      <w:pPr>
        <w:spacing w:line="460" w:lineRule="exact"/>
        <w:ind w:left="495" w:leftChars="236" w:firstLine="480" w:firstLineChars="200"/>
        <w:rPr>
          <w:rFonts w:ascii="宋体"/>
          <w:sz w:val="24"/>
        </w:rPr>
      </w:pPr>
      <w:r>
        <w:rPr>
          <w:rFonts w:hint="eastAsia" w:ascii="宋体" w:hAnsi="宋体"/>
          <w:sz w:val="24"/>
        </w:rPr>
        <w:t xml:space="preserve">本次招标公告已在北京市公共资源交易服务平台发布,同时在  </w:t>
      </w:r>
      <w:r>
        <w:rPr>
          <w:rFonts w:ascii="宋体" w:hAnsi="宋体"/>
          <w:sz w:val="24"/>
          <w:u w:val="single"/>
        </w:rPr>
        <w:t xml:space="preserve">            </w:t>
      </w:r>
      <w:r>
        <w:rPr>
          <w:rFonts w:hint="eastAsia" w:ascii="宋体" w:hAnsi="宋体"/>
          <w:sz w:val="24"/>
        </w:rPr>
        <w:t>（发布公告的媒介名称）上发布。</w:t>
      </w:r>
    </w:p>
    <w:p>
      <w:pPr>
        <w:spacing w:line="460" w:lineRule="exact"/>
        <w:ind w:firstLine="566" w:firstLineChars="236"/>
        <w:rPr>
          <w:rFonts w:ascii="宋体"/>
          <w:sz w:val="24"/>
        </w:rPr>
      </w:pPr>
    </w:p>
    <w:p>
      <w:pPr>
        <w:pStyle w:val="144"/>
        <w:snapToGrid w:val="0"/>
        <w:spacing w:before="0" w:line="440" w:lineRule="exact"/>
        <w:ind w:firstLine="505" w:firstLineChars="210"/>
        <w:rPr>
          <w:rFonts w:eastAsia="宋体" w:cs="Times New Roman"/>
          <w:b/>
          <w:sz w:val="24"/>
          <w:szCs w:val="24"/>
        </w:rPr>
      </w:pPr>
      <w:bookmarkStart w:id="46" w:name="_Toc455409830"/>
      <w:bookmarkStart w:id="47" w:name="_Toc179632534"/>
      <w:bookmarkStart w:id="48" w:name="_Toc241459603"/>
      <w:bookmarkStart w:id="49" w:name="_Toc362252613"/>
      <w:bookmarkStart w:id="50" w:name="_Toc470011307"/>
      <w:bookmarkStart w:id="51" w:name="_Toc144974485"/>
      <w:bookmarkStart w:id="52" w:name="_Toc152045517"/>
      <w:bookmarkStart w:id="53" w:name="_Toc152042293"/>
      <w:bookmarkStart w:id="54" w:name="_Toc342296128"/>
      <w:r>
        <w:rPr>
          <w:rFonts w:eastAsia="宋体" w:cs="Times New Roman"/>
          <w:b/>
          <w:sz w:val="24"/>
          <w:szCs w:val="24"/>
        </w:rPr>
        <w:t xml:space="preserve">8. </w:t>
      </w:r>
      <w:r>
        <w:rPr>
          <w:rFonts w:hint="eastAsia" w:eastAsia="宋体" w:cs="Times New Roman"/>
          <w:b/>
          <w:sz w:val="24"/>
          <w:szCs w:val="24"/>
        </w:rPr>
        <w:t>联系方式</w:t>
      </w:r>
      <w:bookmarkEnd w:id="46"/>
      <w:bookmarkEnd w:id="47"/>
      <w:bookmarkEnd w:id="48"/>
      <w:bookmarkEnd w:id="49"/>
      <w:bookmarkEnd w:id="50"/>
      <w:bookmarkEnd w:id="51"/>
      <w:bookmarkEnd w:id="52"/>
      <w:bookmarkEnd w:id="53"/>
      <w:bookmarkEnd w:id="54"/>
    </w:p>
    <w:p>
      <w:pPr>
        <w:tabs>
          <w:tab w:val="left" w:pos="5103"/>
        </w:tabs>
        <w:topLinePunct/>
        <w:spacing w:line="400" w:lineRule="exact"/>
        <w:ind w:firstLine="566" w:firstLineChars="236"/>
        <w:rPr>
          <w:rFonts w:ascii="宋体"/>
          <w:sz w:val="24"/>
        </w:rPr>
      </w:pPr>
      <w:r>
        <w:rPr>
          <w:rFonts w:hint="eastAsia" w:ascii="宋体" w:hAnsi="宋体"/>
          <w:sz w:val="24"/>
        </w:rPr>
        <w:t>招</w:t>
      </w:r>
      <w:r>
        <w:rPr>
          <w:rFonts w:ascii="宋体" w:hAnsi="宋体"/>
          <w:sz w:val="24"/>
        </w:rPr>
        <w:t xml:space="preserve"> </w:t>
      </w:r>
      <w:r>
        <w:rPr>
          <w:rFonts w:hint="eastAsia" w:ascii="宋体" w:hAnsi="宋体"/>
          <w:sz w:val="24"/>
        </w:rPr>
        <w:t>标</w:t>
      </w:r>
      <w:r>
        <w:rPr>
          <w:rFonts w:ascii="宋体" w:hAnsi="宋体"/>
          <w:sz w:val="24"/>
        </w:rPr>
        <w:t xml:space="preserve"> </w:t>
      </w:r>
      <w:r>
        <w:rPr>
          <w:rFonts w:hint="eastAsia" w:ascii="宋体" w:hAnsi="宋体"/>
          <w:sz w:val="24"/>
        </w:rPr>
        <w:t>人：</w:t>
      </w:r>
      <w:r>
        <w:rPr>
          <w:rFonts w:ascii="宋体" w:hAnsi="宋体"/>
          <w:sz w:val="24"/>
          <w:u w:val="single"/>
        </w:rPr>
        <w:t xml:space="preserve">                         </w:t>
      </w:r>
      <w:r>
        <w:rPr>
          <w:rFonts w:ascii="宋体"/>
          <w:sz w:val="24"/>
        </w:rPr>
        <w:tab/>
      </w:r>
      <w:r>
        <w:rPr>
          <w:rFonts w:hint="eastAsia" w:ascii="宋体" w:hAnsi="宋体"/>
          <w:sz w:val="24"/>
        </w:rPr>
        <w:t>招标代理机构：</w:t>
      </w:r>
      <w:r>
        <w:rPr>
          <w:rFonts w:ascii="宋体" w:hAnsi="宋体"/>
          <w:sz w:val="24"/>
          <w:u w:val="single"/>
        </w:rPr>
        <w:t xml:space="preserve">                </w:t>
      </w:r>
    </w:p>
    <w:p>
      <w:pPr>
        <w:tabs>
          <w:tab w:val="left" w:pos="5103"/>
        </w:tabs>
        <w:topLinePunct/>
        <w:spacing w:line="400" w:lineRule="exact"/>
        <w:ind w:firstLine="566" w:firstLineChars="236"/>
        <w:rPr>
          <w:rFonts w:ascii="宋体"/>
          <w:sz w:val="24"/>
        </w:rPr>
      </w:pPr>
      <w:r>
        <w:rPr>
          <w:rFonts w:hint="eastAsia" w:ascii="宋体" w:hAnsi="宋体"/>
          <w:sz w:val="24"/>
        </w:rPr>
        <w:t>地</w:t>
      </w:r>
      <w:r>
        <w:rPr>
          <w:rFonts w:ascii="宋体" w:hAnsi="宋体"/>
          <w:sz w:val="24"/>
        </w:rPr>
        <w:t xml:space="preserve">    </w:t>
      </w:r>
      <w:r>
        <w:rPr>
          <w:rFonts w:hint="eastAsia" w:ascii="宋体" w:hAnsi="宋体"/>
          <w:sz w:val="24"/>
        </w:rPr>
        <w:t>址：</w:t>
      </w:r>
      <w:r>
        <w:rPr>
          <w:rFonts w:ascii="宋体" w:hAnsi="宋体"/>
          <w:sz w:val="24"/>
          <w:u w:val="single"/>
        </w:rPr>
        <w:t xml:space="preserve">                         </w:t>
      </w:r>
      <w:r>
        <w:rPr>
          <w:rFonts w:ascii="宋体"/>
          <w:sz w:val="24"/>
        </w:rPr>
        <w:tab/>
      </w:r>
      <w:r>
        <w:rPr>
          <w:rFonts w:hint="eastAsia" w:ascii="宋体" w:hAnsi="宋体"/>
          <w:sz w:val="24"/>
        </w:rPr>
        <w:t>地</w:t>
      </w:r>
      <w:r>
        <w:rPr>
          <w:rFonts w:ascii="宋体" w:hAnsi="宋体"/>
          <w:sz w:val="24"/>
        </w:rPr>
        <w:t xml:space="preserve">    </w:t>
      </w:r>
      <w:r>
        <w:rPr>
          <w:rFonts w:hint="eastAsia" w:ascii="宋体" w:hAnsi="宋体"/>
          <w:sz w:val="24"/>
        </w:rPr>
        <w:t>址：</w:t>
      </w:r>
      <w:r>
        <w:rPr>
          <w:rFonts w:ascii="宋体" w:hAnsi="宋体"/>
          <w:sz w:val="24"/>
          <w:u w:val="single"/>
        </w:rPr>
        <w:t xml:space="preserve">                    </w:t>
      </w:r>
    </w:p>
    <w:p>
      <w:pPr>
        <w:tabs>
          <w:tab w:val="left" w:pos="5103"/>
        </w:tabs>
        <w:topLinePunct/>
        <w:spacing w:line="400" w:lineRule="exact"/>
        <w:ind w:firstLine="566" w:firstLineChars="236"/>
        <w:rPr>
          <w:rFonts w:ascii="宋体"/>
          <w:sz w:val="24"/>
        </w:rPr>
      </w:pPr>
      <w:r>
        <w:rPr>
          <w:rFonts w:hint="eastAsia" w:ascii="宋体" w:hAnsi="宋体"/>
          <w:sz w:val="24"/>
        </w:rPr>
        <w:t>联</w:t>
      </w:r>
      <w:r>
        <w:rPr>
          <w:rFonts w:ascii="宋体" w:hAnsi="宋体"/>
          <w:sz w:val="24"/>
        </w:rPr>
        <w:t xml:space="preserve"> </w:t>
      </w:r>
      <w:r>
        <w:rPr>
          <w:rFonts w:hint="eastAsia" w:ascii="宋体" w:hAnsi="宋体"/>
          <w:sz w:val="24"/>
        </w:rPr>
        <w:t>系</w:t>
      </w:r>
      <w:r>
        <w:rPr>
          <w:rFonts w:ascii="宋体" w:hAnsi="宋体"/>
          <w:sz w:val="24"/>
        </w:rPr>
        <w:t xml:space="preserve"> </w:t>
      </w:r>
      <w:r>
        <w:rPr>
          <w:rFonts w:hint="eastAsia" w:ascii="宋体" w:hAnsi="宋体"/>
          <w:sz w:val="24"/>
        </w:rPr>
        <w:t>人：</w:t>
      </w:r>
      <w:r>
        <w:rPr>
          <w:rFonts w:ascii="宋体" w:hAnsi="宋体"/>
          <w:sz w:val="24"/>
          <w:u w:val="single"/>
        </w:rPr>
        <w:t xml:space="preserve">                         </w:t>
      </w:r>
      <w:r>
        <w:rPr>
          <w:rFonts w:ascii="宋体" w:hAnsi="宋体"/>
          <w:sz w:val="24"/>
        </w:rPr>
        <w:t xml:space="preserve"> </w:t>
      </w:r>
      <w:r>
        <w:rPr>
          <w:rFonts w:ascii="宋体"/>
          <w:sz w:val="24"/>
        </w:rPr>
        <w:tab/>
      </w:r>
      <w:r>
        <w:rPr>
          <w:rFonts w:hint="eastAsia" w:ascii="宋体" w:hAnsi="宋体"/>
          <w:sz w:val="24"/>
        </w:rPr>
        <w:t>联</w:t>
      </w:r>
      <w:r>
        <w:rPr>
          <w:rFonts w:ascii="宋体" w:hAnsi="宋体"/>
          <w:sz w:val="24"/>
        </w:rPr>
        <w:t xml:space="preserve"> </w:t>
      </w:r>
      <w:r>
        <w:rPr>
          <w:rFonts w:hint="eastAsia" w:ascii="宋体" w:hAnsi="宋体"/>
          <w:sz w:val="24"/>
        </w:rPr>
        <w:t>系</w:t>
      </w:r>
      <w:r>
        <w:rPr>
          <w:rFonts w:ascii="宋体" w:hAnsi="宋体"/>
          <w:sz w:val="24"/>
        </w:rPr>
        <w:t xml:space="preserve"> </w:t>
      </w:r>
      <w:r>
        <w:rPr>
          <w:rFonts w:hint="eastAsia" w:ascii="宋体" w:hAnsi="宋体"/>
          <w:sz w:val="24"/>
        </w:rPr>
        <w:t>人：</w:t>
      </w:r>
      <w:r>
        <w:rPr>
          <w:rFonts w:ascii="宋体" w:hAnsi="宋体"/>
          <w:sz w:val="24"/>
          <w:u w:val="single"/>
        </w:rPr>
        <w:t xml:space="preserve">                   </w:t>
      </w:r>
    </w:p>
    <w:p>
      <w:pPr>
        <w:tabs>
          <w:tab w:val="left" w:pos="5103"/>
        </w:tabs>
        <w:topLinePunct/>
        <w:spacing w:line="400" w:lineRule="exact"/>
        <w:ind w:firstLine="566" w:firstLineChars="236"/>
        <w:rPr>
          <w:rFonts w:ascii="宋体"/>
          <w:sz w:val="24"/>
        </w:rPr>
      </w:pPr>
      <w:r>
        <w:rPr>
          <w:rFonts w:hint="eastAsia" w:ascii="宋体" w:hAnsi="宋体"/>
          <w:sz w:val="24"/>
        </w:rPr>
        <w:t>电</w:t>
      </w:r>
      <w:r>
        <w:rPr>
          <w:rFonts w:ascii="宋体" w:hAnsi="宋体"/>
          <w:sz w:val="24"/>
        </w:rPr>
        <w:t xml:space="preserve">    </w:t>
      </w:r>
      <w:r>
        <w:rPr>
          <w:rFonts w:hint="eastAsia" w:ascii="宋体" w:hAnsi="宋体"/>
          <w:sz w:val="24"/>
        </w:rPr>
        <w:t>话：</w:t>
      </w:r>
      <w:r>
        <w:rPr>
          <w:rFonts w:ascii="宋体" w:hAnsi="宋体"/>
          <w:sz w:val="24"/>
          <w:u w:val="single"/>
        </w:rPr>
        <w:t xml:space="preserve">                         </w:t>
      </w:r>
      <w:r>
        <w:rPr>
          <w:rFonts w:ascii="宋体"/>
          <w:sz w:val="24"/>
        </w:rPr>
        <w:tab/>
      </w:r>
      <w:r>
        <w:rPr>
          <w:rFonts w:hint="eastAsia" w:ascii="宋体" w:hAnsi="宋体"/>
          <w:sz w:val="24"/>
        </w:rPr>
        <w:t>电</w:t>
      </w:r>
      <w:r>
        <w:rPr>
          <w:rFonts w:ascii="宋体" w:hAnsi="宋体"/>
          <w:sz w:val="24"/>
        </w:rPr>
        <w:t xml:space="preserve">    </w:t>
      </w:r>
      <w:r>
        <w:rPr>
          <w:rFonts w:hint="eastAsia" w:ascii="宋体" w:hAnsi="宋体"/>
          <w:sz w:val="24"/>
        </w:rPr>
        <w:t>话：</w:t>
      </w:r>
      <w:r>
        <w:rPr>
          <w:rFonts w:ascii="宋体" w:hAnsi="宋体"/>
          <w:sz w:val="24"/>
          <w:u w:val="single"/>
        </w:rPr>
        <w:t xml:space="preserve">                   </w:t>
      </w:r>
    </w:p>
    <w:p>
      <w:pPr>
        <w:tabs>
          <w:tab w:val="left" w:pos="5103"/>
        </w:tabs>
        <w:topLinePunct/>
        <w:spacing w:line="400" w:lineRule="exact"/>
        <w:ind w:firstLine="566" w:firstLineChars="236"/>
        <w:rPr>
          <w:rFonts w:ascii="宋体"/>
          <w:sz w:val="24"/>
        </w:rPr>
      </w:pPr>
      <w:r>
        <w:rPr>
          <w:rFonts w:hint="eastAsia" w:ascii="宋体" w:hAnsi="宋体"/>
          <w:sz w:val="24"/>
        </w:rPr>
        <w:t>电子邮件：</w:t>
      </w:r>
      <w:r>
        <w:rPr>
          <w:rFonts w:ascii="宋体" w:hAnsi="宋体"/>
          <w:sz w:val="24"/>
          <w:u w:val="single"/>
        </w:rPr>
        <w:t xml:space="preserve">                         </w:t>
      </w:r>
      <w:r>
        <w:rPr>
          <w:rFonts w:ascii="宋体"/>
          <w:sz w:val="24"/>
        </w:rPr>
        <w:tab/>
      </w:r>
      <w:r>
        <w:rPr>
          <w:rFonts w:hint="eastAsia" w:ascii="宋体" w:hAnsi="宋体"/>
          <w:sz w:val="24"/>
        </w:rPr>
        <w:t>电子邮件：</w:t>
      </w:r>
      <w:r>
        <w:rPr>
          <w:rFonts w:ascii="宋体" w:hAnsi="宋体"/>
          <w:sz w:val="24"/>
          <w:u w:val="single"/>
        </w:rPr>
        <w:t xml:space="preserve">                   </w:t>
      </w:r>
    </w:p>
    <w:p>
      <w:pPr>
        <w:spacing w:line="400" w:lineRule="exact"/>
        <w:jc w:val="right"/>
        <w:rPr>
          <w:szCs w:val="21"/>
        </w:rPr>
      </w:pPr>
      <w:r>
        <w:rPr>
          <w:szCs w:val="21"/>
        </w:rPr>
        <w:t xml:space="preserve">                                                                               </w:t>
      </w:r>
    </w:p>
    <w:p>
      <w:pPr>
        <w:spacing w:line="400" w:lineRule="exact"/>
        <w:rPr>
          <w:sz w:val="24"/>
        </w:rPr>
      </w:pPr>
      <w:r>
        <w:rPr>
          <w:rFonts w:hint="eastAsia"/>
          <w:szCs w:val="21"/>
        </w:rPr>
        <w:t>　　　　　　　　　　　　　　　　　　　　</w:t>
      </w:r>
      <w:r>
        <w:rPr>
          <w:rFonts w:hint="eastAsia"/>
          <w:sz w:val="24"/>
        </w:rPr>
        <w:t>　　日期：　</w:t>
      </w:r>
      <w:r>
        <w:rPr>
          <w:sz w:val="24"/>
          <w:u w:val="single"/>
        </w:rPr>
        <w:t xml:space="preserve">      </w:t>
      </w:r>
      <w:r>
        <w:rPr>
          <w:rFonts w:hint="eastAsia"/>
          <w:sz w:val="24"/>
        </w:rPr>
        <w:t>年</w:t>
      </w:r>
      <w:r>
        <w:rPr>
          <w:sz w:val="24"/>
        </w:rPr>
        <w:t xml:space="preserve"> </w:t>
      </w:r>
      <w:r>
        <w:rPr>
          <w:sz w:val="24"/>
          <w:u w:val="single"/>
        </w:rPr>
        <w:t xml:space="preserve">     </w:t>
      </w:r>
      <w:r>
        <w:rPr>
          <w:rFonts w:hint="eastAsia"/>
          <w:sz w:val="24"/>
        </w:rPr>
        <w:t>月</w:t>
      </w:r>
      <w:r>
        <w:rPr>
          <w:sz w:val="24"/>
          <w:u w:val="single"/>
        </w:rPr>
        <w:t xml:space="preserve">     </w:t>
      </w:r>
      <w:r>
        <w:rPr>
          <w:rFonts w:hint="eastAsia"/>
          <w:sz w:val="24"/>
        </w:rPr>
        <w:t>日</w:t>
      </w:r>
    </w:p>
    <w:p>
      <w:pPr>
        <w:pStyle w:val="2"/>
        <w:spacing w:before="120" w:after="120" w:line="360" w:lineRule="auto"/>
        <w:ind w:left="431" w:hanging="431"/>
        <w:rPr>
          <w:rFonts w:ascii="Times New Roman" w:eastAsia="宋体"/>
          <w:b/>
          <w:sz w:val="48"/>
          <w:szCs w:val="48"/>
        </w:rPr>
      </w:pPr>
      <w:r>
        <w:br w:type="page"/>
      </w:r>
      <w:bookmarkStart w:id="55" w:name="OLE_LINK32"/>
      <w:bookmarkStart w:id="56" w:name="_Toc470011308"/>
      <w:bookmarkStart w:id="57" w:name="_Toc171133224"/>
      <w:bookmarkStart w:id="58" w:name="_Toc120084354"/>
      <w:bookmarkStart w:id="59" w:name="_Toc171133452"/>
      <w:bookmarkStart w:id="60" w:name="_Toc134078095"/>
      <w:bookmarkStart w:id="61" w:name="_Toc120983588"/>
      <w:bookmarkStart w:id="62" w:name="_Toc111482762"/>
      <w:bookmarkStart w:id="63" w:name="_Toc221289921"/>
      <w:bookmarkStart w:id="64" w:name="_Toc139275714"/>
      <w:bookmarkStart w:id="65" w:name="_Toc133817585"/>
      <w:bookmarkStart w:id="66" w:name="_Toc170141387"/>
      <w:bookmarkStart w:id="67" w:name="_Toc175022822"/>
      <w:bookmarkStart w:id="68" w:name="_Toc121487605"/>
      <w:bookmarkStart w:id="69" w:name="_Toc133250053"/>
      <w:bookmarkStart w:id="70" w:name="_Toc111483379"/>
      <w:bookmarkStart w:id="71" w:name="_Toc111482729"/>
      <w:bookmarkStart w:id="72" w:name="_Toc120041188"/>
      <w:bookmarkStart w:id="73" w:name="_Toc129571085"/>
      <w:r>
        <w:rPr>
          <w:rFonts w:hint="eastAsia" w:ascii="Times New Roman" w:eastAsia="宋体"/>
          <w:b/>
          <w:sz w:val="48"/>
          <w:szCs w:val="48"/>
        </w:rPr>
        <w:t>第一章</w:t>
      </w:r>
      <w:r>
        <w:rPr>
          <w:rFonts w:ascii="Times New Roman" w:eastAsia="宋体"/>
          <w:b/>
          <w:sz w:val="48"/>
          <w:szCs w:val="48"/>
        </w:rPr>
        <w:t xml:space="preserve"> </w:t>
      </w:r>
      <w:r>
        <w:rPr>
          <w:rFonts w:hint="eastAsia" w:ascii="Times New Roman" w:eastAsia="宋体"/>
          <w:b/>
          <w:sz w:val="48"/>
          <w:szCs w:val="48"/>
        </w:rPr>
        <w:t>投标邀请书</w:t>
      </w:r>
      <w:bookmarkEnd w:id="55"/>
      <w:bookmarkEnd w:id="56"/>
    </w:p>
    <w:p/>
    <w:p/>
    <w:p>
      <w:pPr>
        <w:rPr>
          <w:sz w:val="36"/>
        </w:rPr>
      </w:pPr>
      <w:r>
        <w:br w:type="page"/>
      </w:r>
    </w:p>
    <w:p>
      <w:pPr>
        <w:jc w:val="center"/>
        <w:rPr>
          <w:b/>
          <w:sz w:val="30"/>
          <w:szCs w:val="30"/>
        </w:rPr>
      </w:pPr>
      <w:r>
        <w:rPr>
          <w:rFonts w:hint="eastAsia"/>
          <w:b/>
          <w:sz w:val="30"/>
          <w:szCs w:val="30"/>
        </w:rPr>
        <w:t>第一章</w:t>
      </w:r>
      <w:r>
        <w:rPr>
          <w:b/>
          <w:sz w:val="30"/>
          <w:szCs w:val="30"/>
        </w:rPr>
        <w:t xml:space="preserve"> </w:t>
      </w:r>
      <w:r>
        <w:rPr>
          <w:rFonts w:hint="eastAsia"/>
          <w:b/>
          <w:sz w:val="30"/>
          <w:szCs w:val="30"/>
        </w:rPr>
        <w:t>投标邀请书（适用于邀请招标）</w:t>
      </w:r>
    </w:p>
    <w:p/>
    <w:p>
      <w:pPr>
        <w:spacing w:line="440" w:lineRule="exact"/>
        <w:jc w:val="center"/>
        <w:rPr>
          <w:b/>
          <w:sz w:val="28"/>
          <w:szCs w:val="28"/>
        </w:rPr>
      </w:pPr>
      <w:r>
        <w:rPr>
          <w:b/>
          <w:sz w:val="28"/>
          <w:szCs w:val="28"/>
        </w:rPr>
        <w:t xml:space="preserve"> </w:t>
      </w:r>
      <w:r>
        <w:rPr>
          <w:rFonts w:hint="eastAsia"/>
          <w:b/>
          <w:sz w:val="28"/>
          <w:szCs w:val="28"/>
          <w:u w:val="single"/>
        </w:rPr>
        <w:t xml:space="preserve">                   </w:t>
      </w:r>
      <w:r>
        <w:rPr>
          <w:rFonts w:hint="eastAsia"/>
          <w:b/>
          <w:sz w:val="28"/>
          <w:szCs w:val="28"/>
        </w:rPr>
        <w:t>（工程名称）施工投标邀请书</w:t>
      </w:r>
    </w:p>
    <w:p>
      <w:pPr>
        <w:spacing w:line="400" w:lineRule="exact"/>
        <w:rPr>
          <w:sz w:val="24"/>
          <w:u w:val="single"/>
        </w:rPr>
      </w:pPr>
    </w:p>
    <w:p>
      <w:pPr>
        <w:spacing w:line="400" w:lineRule="exact"/>
        <w:rPr>
          <w:rFonts w:ascii="宋体"/>
          <w:sz w:val="24"/>
        </w:rPr>
      </w:pPr>
      <w:r>
        <w:rPr>
          <w:sz w:val="24"/>
          <w:u w:val="single"/>
        </w:rPr>
        <w:t xml:space="preserve">  </w:t>
      </w:r>
      <w:r>
        <w:rPr>
          <w:rFonts w:ascii="宋体" w:hAnsi="宋体"/>
          <w:sz w:val="24"/>
          <w:u w:val="single"/>
        </w:rPr>
        <w:t xml:space="preserve">                </w:t>
      </w:r>
      <w:r>
        <w:rPr>
          <w:rFonts w:hint="eastAsia" w:ascii="宋体" w:hAnsi="宋体"/>
          <w:sz w:val="24"/>
        </w:rPr>
        <w:t>（被邀请单位名称）：</w:t>
      </w:r>
    </w:p>
    <w:p>
      <w:pPr>
        <w:spacing w:line="400" w:lineRule="exact"/>
        <w:ind w:firstLine="480" w:firstLineChars="200"/>
        <w:rPr>
          <w:rFonts w:ascii="宋体"/>
          <w:sz w:val="24"/>
        </w:rPr>
      </w:pPr>
      <w:r>
        <w:rPr>
          <w:rFonts w:hint="eastAsia" w:ascii="宋体" w:hAnsi="宋体"/>
          <w:sz w:val="24"/>
        </w:rPr>
        <w:t>现邀请你单位按招标文件规定的内容，参加</w:t>
      </w:r>
      <w:r>
        <w:rPr>
          <w:rFonts w:ascii="宋体" w:hAnsi="宋体"/>
          <w:sz w:val="28"/>
          <w:szCs w:val="28"/>
          <w:u w:val="single"/>
        </w:rPr>
        <w:t xml:space="preserve">       </w:t>
      </w:r>
      <w:r>
        <w:rPr>
          <w:rFonts w:hint="eastAsia" w:ascii="宋体" w:hAnsi="宋体"/>
          <w:sz w:val="24"/>
          <w:u w:val="single"/>
        </w:rPr>
        <w:t>（工程名称）</w:t>
      </w:r>
      <w:r>
        <w:rPr>
          <w:rFonts w:ascii="宋体" w:hAnsi="宋体"/>
          <w:sz w:val="24"/>
          <w:u w:val="single"/>
        </w:rPr>
        <w:t xml:space="preserve">  </w:t>
      </w:r>
      <w:r>
        <w:rPr>
          <w:rFonts w:hint="eastAsia" w:ascii="宋体" w:hAnsi="宋体"/>
          <w:sz w:val="24"/>
        </w:rPr>
        <w:t>施工投标。</w:t>
      </w:r>
    </w:p>
    <w:p>
      <w:pPr>
        <w:spacing w:line="400" w:lineRule="exact"/>
        <w:ind w:firstLine="480" w:firstLineChars="200"/>
        <w:rPr>
          <w:rFonts w:ascii="宋体"/>
          <w:sz w:val="24"/>
        </w:rPr>
      </w:pPr>
      <w:r>
        <w:rPr>
          <w:rFonts w:hint="eastAsia" w:ascii="宋体" w:hAnsi="宋体"/>
          <w:sz w:val="24"/>
        </w:rPr>
        <w:t>请你单位</w:t>
      </w:r>
      <w:r>
        <w:rPr>
          <w:rFonts w:hint="eastAsia" w:hAnsi="宋体"/>
          <w:sz w:val="24"/>
        </w:rPr>
        <w:t>于</w:t>
      </w:r>
      <w:r>
        <w:rPr>
          <w:sz w:val="24"/>
          <w:u w:val="single"/>
        </w:rPr>
        <w:t xml:space="preserve">    </w:t>
      </w:r>
      <w:r>
        <w:rPr>
          <w:rFonts w:hint="eastAsia" w:hAnsi="宋体"/>
          <w:sz w:val="24"/>
        </w:rPr>
        <w:t>年</w:t>
      </w:r>
      <w:r>
        <w:rPr>
          <w:sz w:val="24"/>
          <w:u w:val="single"/>
        </w:rPr>
        <w:t xml:space="preserve">  </w:t>
      </w:r>
      <w:r>
        <w:rPr>
          <w:rFonts w:hint="eastAsia" w:hAnsi="宋体"/>
          <w:sz w:val="24"/>
        </w:rPr>
        <w:t>月</w:t>
      </w:r>
      <w:r>
        <w:rPr>
          <w:rFonts w:hAnsi="宋体"/>
          <w:sz w:val="24"/>
          <w:u w:val="single"/>
        </w:rPr>
        <w:t xml:space="preserve">   </w:t>
      </w:r>
      <w:r>
        <w:rPr>
          <w:rFonts w:hint="eastAsia" w:hAnsi="宋体"/>
          <w:sz w:val="24"/>
        </w:rPr>
        <w:t>日</w:t>
      </w:r>
      <w:r>
        <w:rPr>
          <w:rFonts w:hAnsi="宋体"/>
          <w:sz w:val="24"/>
          <w:u w:val="single"/>
        </w:rPr>
        <w:t xml:space="preserve">  </w:t>
      </w:r>
      <w:r>
        <w:rPr>
          <w:rFonts w:hint="eastAsia" w:hAnsi="宋体"/>
          <w:sz w:val="24"/>
        </w:rPr>
        <w:t>时</w:t>
      </w:r>
      <w:r>
        <w:rPr>
          <w:rFonts w:hAnsi="宋体"/>
          <w:sz w:val="24"/>
          <w:u w:val="single"/>
        </w:rPr>
        <w:t xml:space="preserve">  </w:t>
      </w:r>
      <w:r>
        <w:rPr>
          <w:rFonts w:hint="eastAsia" w:hAnsi="宋体"/>
          <w:sz w:val="24"/>
        </w:rPr>
        <w:t>分至</w:t>
      </w:r>
      <w:r>
        <w:rPr>
          <w:sz w:val="24"/>
          <w:u w:val="single"/>
        </w:rPr>
        <w:t xml:space="preserve">    </w:t>
      </w:r>
      <w:r>
        <w:rPr>
          <w:rFonts w:hint="eastAsia" w:hAnsi="宋体"/>
          <w:sz w:val="24"/>
        </w:rPr>
        <w:t>年</w:t>
      </w:r>
      <w:r>
        <w:rPr>
          <w:sz w:val="24"/>
          <w:u w:val="single"/>
        </w:rPr>
        <w:t xml:space="preserve">  </w:t>
      </w:r>
      <w:r>
        <w:rPr>
          <w:rFonts w:hint="eastAsia" w:hAnsi="宋体"/>
          <w:sz w:val="24"/>
        </w:rPr>
        <w:t>月</w:t>
      </w:r>
      <w:r>
        <w:rPr>
          <w:rFonts w:hAnsi="宋体"/>
          <w:sz w:val="24"/>
          <w:u w:val="single"/>
        </w:rPr>
        <w:t xml:space="preserve">  </w:t>
      </w:r>
      <w:r>
        <w:rPr>
          <w:rFonts w:hint="eastAsia" w:hAnsi="宋体"/>
          <w:sz w:val="24"/>
        </w:rPr>
        <w:t>日</w:t>
      </w:r>
      <w:r>
        <w:rPr>
          <w:rFonts w:hAnsi="宋体"/>
          <w:sz w:val="24"/>
          <w:u w:val="single"/>
        </w:rPr>
        <w:t xml:space="preserve">  </w:t>
      </w:r>
      <w:r>
        <w:rPr>
          <w:rFonts w:hint="eastAsia" w:hAnsi="宋体"/>
          <w:sz w:val="24"/>
        </w:rPr>
        <w:t>时</w:t>
      </w:r>
      <w:r>
        <w:rPr>
          <w:rFonts w:hAnsi="宋体"/>
          <w:sz w:val="24"/>
          <w:u w:val="single"/>
        </w:rPr>
        <w:t xml:space="preserve">  </w:t>
      </w:r>
      <w:r>
        <w:rPr>
          <w:rFonts w:hint="eastAsia" w:hAnsi="宋体"/>
          <w:sz w:val="24"/>
        </w:rPr>
        <w:t>分，</w:t>
      </w:r>
      <w:r>
        <w:rPr>
          <w:rFonts w:ascii="宋体" w:hAnsi="宋体"/>
          <w:sz w:val="24"/>
        </w:rPr>
        <w:t>（北京时间，下同）</w:t>
      </w:r>
      <w:r>
        <w:rPr>
          <w:rFonts w:hint="eastAsia" w:ascii="宋体" w:hAnsi="宋体"/>
          <w:sz w:val="24"/>
        </w:rPr>
        <w:t>，通过远程或者到招标投标交易场所使用数字身份认证锁登录电子化平台下载招标文件。</w:t>
      </w:r>
    </w:p>
    <w:p>
      <w:pPr>
        <w:spacing w:line="400" w:lineRule="exact"/>
        <w:ind w:firstLine="480" w:firstLineChars="200"/>
        <w:rPr>
          <w:rFonts w:ascii="宋体"/>
          <w:sz w:val="24"/>
        </w:rPr>
      </w:pPr>
      <w:r>
        <w:rPr>
          <w:rFonts w:hint="eastAsia"/>
          <w:sz w:val="24"/>
        </w:rPr>
        <w:t>请于</w:t>
      </w:r>
      <w:r>
        <w:rPr>
          <w:sz w:val="24"/>
          <w:szCs w:val="21"/>
          <w:u w:val="single"/>
        </w:rPr>
        <w:t xml:space="preserve">     </w:t>
      </w:r>
      <w:r>
        <w:rPr>
          <w:rFonts w:hint="eastAsia"/>
          <w:sz w:val="24"/>
          <w:szCs w:val="21"/>
        </w:rPr>
        <w:t>年</w:t>
      </w:r>
      <w:r>
        <w:rPr>
          <w:sz w:val="24"/>
          <w:szCs w:val="21"/>
          <w:u w:val="single"/>
        </w:rPr>
        <w:t xml:space="preserve">   </w:t>
      </w:r>
      <w:r>
        <w:rPr>
          <w:rFonts w:hint="eastAsia"/>
          <w:sz w:val="24"/>
          <w:szCs w:val="21"/>
        </w:rPr>
        <w:t>月</w:t>
      </w:r>
      <w:r>
        <w:rPr>
          <w:sz w:val="24"/>
          <w:szCs w:val="21"/>
          <w:u w:val="single"/>
        </w:rPr>
        <w:t xml:space="preserve">   </w:t>
      </w:r>
      <w:r>
        <w:rPr>
          <w:rFonts w:hint="eastAsia"/>
          <w:sz w:val="24"/>
          <w:szCs w:val="21"/>
        </w:rPr>
        <w:t>日</w:t>
      </w:r>
      <w:r>
        <w:rPr>
          <w:rFonts w:ascii="宋体" w:hAnsi="宋体"/>
          <w:sz w:val="24"/>
          <w:u w:val="single"/>
        </w:rPr>
        <w:t xml:space="preserve">  </w:t>
      </w:r>
      <w:r>
        <w:rPr>
          <w:rFonts w:hint="eastAsia" w:ascii="宋体" w:hAnsi="宋体"/>
          <w:sz w:val="24"/>
        </w:rPr>
        <w:t>时</w:t>
      </w:r>
      <w:r>
        <w:rPr>
          <w:rFonts w:ascii="宋体" w:hAnsi="宋体"/>
          <w:sz w:val="24"/>
          <w:u w:val="single"/>
        </w:rPr>
        <w:t xml:space="preserve">  </w:t>
      </w:r>
      <w:r>
        <w:rPr>
          <w:rFonts w:hint="eastAsia" w:ascii="宋体" w:hAnsi="宋体"/>
          <w:sz w:val="24"/>
        </w:rPr>
        <w:t>分</w:t>
      </w:r>
      <w:r>
        <w:rPr>
          <w:rFonts w:hint="eastAsia"/>
          <w:sz w:val="24"/>
          <w:szCs w:val="21"/>
        </w:rPr>
        <w:t>至</w:t>
      </w:r>
      <w:r>
        <w:rPr>
          <w:sz w:val="24"/>
          <w:szCs w:val="21"/>
          <w:u w:val="single"/>
        </w:rPr>
        <w:t xml:space="preserve">     </w:t>
      </w:r>
      <w:r>
        <w:rPr>
          <w:rFonts w:hint="eastAsia"/>
          <w:sz w:val="24"/>
          <w:szCs w:val="21"/>
        </w:rPr>
        <w:t>年</w:t>
      </w:r>
      <w:r>
        <w:rPr>
          <w:sz w:val="24"/>
          <w:szCs w:val="21"/>
          <w:u w:val="single"/>
        </w:rPr>
        <w:t xml:space="preserve">    </w:t>
      </w:r>
      <w:r>
        <w:rPr>
          <w:rFonts w:hint="eastAsia"/>
          <w:sz w:val="24"/>
          <w:szCs w:val="21"/>
        </w:rPr>
        <w:t>月</w:t>
      </w:r>
      <w:r>
        <w:rPr>
          <w:sz w:val="24"/>
          <w:szCs w:val="21"/>
          <w:u w:val="single"/>
        </w:rPr>
        <w:t xml:space="preserve">    </w:t>
      </w:r>
      <w:r>
        <w:rPr>
          <w:rFonts w:hint="eastAsia"/>
          <w:sz w:val="24"/>
          <w:szCs w:val="21"/>
        </w:rPr>
        <w:t>日</w:t>
      </w:r>
      <w:r>
        <w:rPr>
          <w:rFonts w:ascii="宋体" w:hAnsi="宋体"/>
          <w:sz w:val="24"/>
          <w:u w:val="single"/>
        </w:rPr>
        <w:t xml:space="preserve">  </w:t>
      </w:r>
      <w:r>
        <w:rPr>
          <w:rFonts w:hint="eastAsia" w:ascii="宋体" w:hAnsi="宋体"/>
          <w:sz w:val="24"/>
        </w:rPr>
        <w:t>时</w:t>
      </w:r>
      <w:r>
        <w:rPr>
          <w:rFonts w:ascii="宋体" w:hAnsi="宋体"/>
          <w:sz w:val="24"/>
          <w:u w:val="single"/>
        </w:rPr>
        <w:t xml:space="preserve">  </w:t>
      </w:r>
      <w:r>
        <w:rPr>
          <w:rFonts w:hint="eastAsia" w:ascii="宋体" w:hAnsi="宋体"/>
          <w:sz w:val="24"/>
        </w:rPr>
        <w:t>分</w:t>
      </w:r>
      <w:r>
        <w:rPr>
          <w:rFonts w:hint="eastAsia"/>
          <w:sz w:val="24"/>
          <w:szCs w:val="21"/>
        </w:rPr>
        <w:t>，</w:t>
      </w:r>
      <w:r>
        <w:rPr>
          <w:rFonts w:hint="eastAsia"/>
          <w:sz w:val="24"/>
        </w:rPr>
        <w:t>在</w:t>
      </w:r>
      <w:r>
        <w:rPr>
          <w:sz w:val="24"/>
          <w:u w:val="single"/>
        </w:rPr>
        <w:t xml:space="preserve">                </w:t>
      </w:r>
      <w:r>
        <w:rPr>
          <w:rFonts w:hint="eastAsia"/>
          <w:sz w:val="24"/>
          <w:u w:val="single"/>
        </w:rPr>
        <w:t xml:space="preserve">（详细地址）        </w:t>
      </w:r>
      <w:r>
        <w:rPr>
          <w:rFonts w:hint="eastAsia"/>
          <w:sz w:val="24"/>
        </w:rPr>
        <w:t>领取招标图纸。图纸押金</w:t>
      </w:r>
      <w:r>
        <w:rPr>
          <w:sz w:val="24"/>
          <w:u w:val="single"/>
        </w:rPr>
        <w:t xml:space="preserve">        </w:t>
      </w:r>
      <w:r>
        <w:rPr>
          <w:rFonts w:hint="eastAsia"/>
          <w:sz w:val="24"/>
        </w:rPr>
        <w:t>元，在退还图纸时退还（不计利息）。</w:t>
      </w:r>
    </w:p>
    <w:p>
      <w:pPr>
        <w:spacing w:line="400" w:lineRule="exact"/>
        <w:ind w:firstLine="480" w:firstLineChars="200"/>
        <w:rPr>
          <w:rFonts w:ascii="宋体"/>
          <w:sz w:val="24"/>
        </w:rPr>
      </w:pPr>
      <w:r>
        <w:rPr>
          <w:rFonts w:hint="eastAsia" w:ascii="宋体" w:hAnsi="宋体"/>
          <w:sz w:val="24"/>
        </w:rPr>
        <w:t>递交投标文件的截止时间（</w:t>
      </w:r>
      <w:r>
        <w:rPr>
          <w:rFonts w:ascii="宋体" w:hAnsi="宋体"/>
          <w:sz w:val="24"/>
        </w:rPr>
        <w:t>以下简称</w:t>
      </w:r>
      <w:r>
        <w:rPr>
          <w:rFonts w:hint="eastAsia" w:ascii="宋体" w:hAnsi="宋体"/>
          <w:sz w:val="24"/>
        </w:rPr>
        <w:t>“投标截止时间”）为</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r>
        <w:rPr>
          <w:rFonts w:ascii="宋体" w:hAnsi="宋体"/>
          <w:sz w:val="24"/>
          <w:u w:val="single"/>
        </w:rPr>
        <w:t xml:space="preserve">  </w:t>
      </w:r>
      <w:r>
        <w:rPr>
          <w:rFonts w:hint="eastAsia" w:ascii="宋体" w:hAnsi="宋体"/>
          <w:sz w:val="24"/>
        </w:rPr>
        <w:t>时</w:t>
      </w:r>
      <w:r>
        <w:rPr>
          <w:rFonts w:ascii="宋体" w:hAnsi="宋体"/>
          <w:sz w:val="24"/>
          <w:u w:val="single"/>
        </w:rPr>
        <w:t xml:space="preserve">  </w:t>
      </w:r>
      <w:r>
        <w:rPr>
          <w:rFonts w:hint="eastAsia" w:ascii="宋体" w:hAnsi="宋体"/>
          <w:sz w:val="24"/>
        </w:rPr>
        <w:t>分，投标人应当通过远程或者到招标投标交易场所使用数字身份认证锁登录电子化平台上传投标文件，上传成功后平台自动生成的回执时间即为递交成功时间，投标人应保留回执。逾期未上传成功的投标文件，招标人不予受理。</w:t>
      </w:r>
    </w:p>
    <w:p>
      <w:pPr>
        <w:spacing w:line="400" w:lineRule="exact"/>
        <w:ind w:firstLine="480" w:firstLineChars="200"/>
        <w:rPr>
          <w:rFonts w:ascii="宋体"/>
          <w:sz w:val="24"/>
        </w:rPr>
      </w:pPr>
      <w:r>
        <w:rPr>
          <w:rFonts w:hint="eastAsia" w:ascii="宋体" w:hAnsi="宋体"/>
          <w:sz w:val="24"/>
        </w:rPr>
        <w:t>你单位收到本投标邀请书后，请于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r>
        <w:rPr>
          <w:rFonts w:ascii="宋体" w:hAnsi="宋体"/>
          <w:sz w:val="24"/>
          <w:u w:val="single"/>
        </w:rPr>
        <w:t xml:space="preserve">   </w:t>
      </w:r>
      <w:r>
        <w:rPr>
          <w:rFonts w:hint="eastAsia" w:ascii="宋体" w:hAnsi="宋体"/>
          <w:sz w:val="24"/>
        </w:rPr>
        <w:t>时</w:t>
      </w:r>
      <w:r>
        <w:rPr>
          <w:rFonts w:ascii="宋体" w:hAnsi="宋体"/>
          <w:sz w:val="24"/>
          <w:u w:val="single"/>
        </w:rPr>
        <w:t xml:space="preserve">   </w:t>
      </w:r>
      <w:r>
        <w:rPr>
          <w:rFonts w:hint="eastAsia" w:ascii="宋体" w:hAnsi="宋体"/>
          <w:sz w:val="24"/>
        </w:rPr>
        <w:t>分前通过电子化平台确认</w:t>
      </w:r>
      <w:r>
        <w:rPr>
          <w:rFonts w:hint="eastAsia" w:ascii="宋体" w:hAnsi="宋体"/>
          <w:kern w:val="0"/>
          <w:sz w:val="24"/>
        </w:rPr>
        <w:t>收到和是否参与本工程投标</w:t>
      </w:r>
      <w:r>
        <w:rPr>
          <w:rFonts w:hint="eastAsia" w:ascii="宋体" w:hAnsi="宋体"/>
          <w:sz w:val="24"/>
        </w:rPr>
        <w:t>。</w:t>
      </w:r>
    </w:p>
    <w:p>
      <w:pPr>
        <w:spacing w:line="400" w:lineRule="exact"/>
        <w:rPr>
          <w:rFonts w:ascii="宋体"/>
          <w:kern w:val="0"/>
          <w:sz w:val="24"/>
        </w:rPr>
      </w:pPr>
    </w:p>
    <w:p>
      <w:pPr>
        <w:tabs>
          <w:tab w:val="left" w:pos="4395"/>
        </w:tabs>
        <w:topLinePunct/>
        <w:spacing w:line="400" w:lineRule="exact"/>
        <w:rPr>
          <w:rFonts w:ascii="宋体"/>
          <w:sz w:val="24"/>
        </w:rPr>
      </w:pPr>
      <w:r>
        <w:rPr>
          <w:rFonts w:hint="eastAsia" w:ascii="宋体" w:hAnsi="宋体"/>
          <w:sz w:val="24"/>
        </w:rPr>
        <w:t>招标人：</w:t>
      </w:r>
      <w:r>
        <w:rPr>
          <w:rFonts w:ascii="宋体" w:hAnsi="宋体"/>
          <w:sz w:val="24"/>
          <w:u w:val="single"/>
        </w:rPr>
        <w:t xml:space="preserve">                         </w:t>
      </w:r>
      <w:r>
        <w:rPr>
          <w:rFonts w:ascii="宋体"/>
          <w:sz w:val="24"/>
        </w:rPr>
        <w:tab/>
      </w:r>
      <w:r>
        <w:rPr>
          <w:rFonts w:hint="eastAsia" w:ascii="宋体" w:hAnsi="宋体"/>
          <w:sz w:val="24"/>
        </w:rPr>
        <w:t>招标代理机构：</w:t>
      </w:r>
      <w:r>
        <w:rPr>
          <w:rFonts w:ascii="宋体" w:hAnsi="宋体"/>
          <w:sz w:val="24"/>
          <w:u w:val="single"/>
        </w:rPr>
        <w:t xml:space="preserve">                            </w:t>
      </w:r>
    </w:p>
    <w:p>
      <w:pPr>
        <w:tabs>
          <w:tab w:val="left" w:pos="4395"/>
        </w:tabs>
        <w:topLinePunct/>
        <w:spacing w:line="400" w:lineRule="exact"/>
        <w:ind w:left="5364" w:hanging="5364" w:hangingChars="2235"/>
        <w:rPr>
          <w:rFonts w:ascii="宋体"/>
          <w:sz w:val="24"/>
        </w:rPr>
      </w:pPr>
      <w:r>
        <w:rPr>
          <w:rFonts w:hint="eastAsia" w:ascii="宋体" w:hAnsi="宋体"/>
          <w:sz w:val="24"/>
        </w:rPr>
        <w:t>地</w:t>
      </w:r>
      <w:r>
        <w:rPr>
          <w:rFonts w:ascii="宋体" w:hAnsi="宋体"/>
          <w:sz w:val="24"/>
        </w:rPr>
        <w:t xml:space="preserve">  </w:t>
      </w:r>
      <w:r>
        <w:rPr>
          <w:rFonts w:hint="eastAsia" w:ascii="宋体" w:hAnsi="宋体"/>
          <w:sz w:val="24"/>
        </w:rPr>
        <w:t>址：</w:t>
      </w:r>
      <w:r>
        <w:rPr>
          <w:rFonts w:ascii="宋体" w:hAnsi="宋体"/>
          <w:sz w:val="24"/>
          <w:u w:val="single"/>
        </w:rPr>
        <w:t xml:space="preserve">                         </w:t>
      </w:r>
      <w:r>
        <w:rPr>
          <w:rFonts w:ascii="宋体"/>
          <w:sz w:val="24"/>
        </w:rPr>
        <w:tab/>
      </w:r>
      <w:r>
        <w:rPr>
          <w:rFonts w:hint="eastAsia" w:ascii="宋体" w:hAnsi="宋体"/>
          <w:sz w:val="24"/>
        </w:rPr>
        <w:t>地</w:t>
      </w:r>
      <w:r>
        <w:rPr>
          <w:rFonts w:ascii="宋体" w:hAnsi="宋体"/>
          <w:sz w:val="24"/>
        </w:rPr>
        <w:t xml:space="preserve">  </w:t>
      </w:r>
      <w:r>
        <w:rPr>
          <w:rFonts w:hint="eastAsia" w:ascii="宋体" w:hAnsi="宋体"/>
          <w:sz w:val="24"/>
        </w:rPr>
        <w:t>址：</w:t>
      </w:r>
      <w:r>
        <w:rPr>
          <w:rFonts w:ascii="宋体" w:hAnsi="宋体"/>
          <w:sz w:val="24"/>
          <w:u w:val="single"/>
        </w:rPr>
        <w:t xml:space="preserve">                           </w:t>
      </w:r>
    </w:p>
    <w:p>
      <w:pPr>
        <w:topLinePunct/>
        <w:spacing w:line="400" w:lineRule="exact"/>
        <w:rPr>
          <w:rFonts w:ascii="宋体"/>
          <w:sz w:val="24"/>
        </w:rPr>
      </w:pPr>
      <w:r>
        <w:rPr>
          <w:rFonts w:hint="eastAsia" w:ascii="宋体" w:hAnsi="宋体"/>
          <w:sz w:val="24"/>
        </w:rPr>
        <w:t>联系人：</w:t>
      </w:r>
      <w:r>
        <w:rPr>
          <w:rFonts w:ascii="宋体" w:hAnsi="宋体"/>
          <w:sz w:val="24"/>
          <w:u w:val="single"/>
        </w:rPr>
        <w:t xml:space="preserve">                         </w:t>
      </w:r>
      <w:r>
        <w:rPr>
          <w:rFonts w:ascii="宋体"/>
          <w:sz w:val="24"/>
        </w:rPr>
        <w:tab/>
      </w:r>
      <w:r>
        <w:rPr>
          <w:rFonts w:ascii="宋体" w:hAnsi="宋体"/>
          <w:sz w:val="24"/>
        </w:rPr>
        <w:t xml:space="preserve">  </w:t>
      </w:r>
      <w:r>
        <w:rPr>
          <w:rFonts w:hint="eastAsia" w:ascii="宋体" w:hAnsi="宋体"/>
          <w:sz w:val="24"/>
        </w:rPr>
        <w:t>联系人：</w:t>
      </w:r>
      <w:r>
        <w:rPr>
          <w:rFonts w:ascii="宋体" w:hAnsi="宋体"/>
          <w:sz w:val="24"/>
          <w:u w:val="single"/>
        </w:rPr>
        <w:t xml:space="preserve">                           </w:t>
      </w:r>
    </w:p>
    <w:p>
      <w:pPr>
        <w:tabs>
          <w:tab w:val="left" w:pos="4395"/>
        </w:tabs>
        <w:topLinePunct/>
        <w:spacing w:line="400" w:lineRule="exact"/>
        <w:rPr>
          <w:rFonts w:ascii="宋体" w:hAnsi="宋体"/>
          <w:sz w:val="24"/>
          <w:u w:val="single"/>
        </w:rPr>
      </w:pPr>
      <w:r>
        <w:rPr>
          <w:rFonts w:hint="eastAsia" w:ascii="宋体" w:hAnsi="宋体"/>
          <w:sz w:val="24"/>
        </w:rPr>
        <w:t>电</w:t>
      </w:r>
      <w:r>
        <w:rPr>
          <w:rFonts w:ascii="宋体" w:hAnsi="宋体"/>
          <w:sz w:val="24"/>
        </w:rPr>
        <w:t xml:space="preserve">  </w:t>
      </w:r>
      <w:r>
        <w:rPr>
          <w:rFonts w:hint="eastAsia" w:ascii="宋体" w:hAnsi="宋体"/>
          <w:sz w:val="24"/>
        </w:rPr>
        <w:t>话：</w:t>
      </w:r>
      <w:r>
        <w:rPr>
          <w:rFonts w:ascii="宋体" w:hAnsi="宋体"/>
          <w:sz w:val="24"/>
          <w:u w:val="single"/>
        </w:rPr>
        <w:t xml:space="preserve">                        </w:t>
      </w:r>
      <w:r>
        <w:rPr>
          <w:rFonts w:ascii="宋体"/>
          <w:sz w:val="24"/>
        </w:rPr>
        <w:tab/>
      </w:r>
      <w:r>
        <w:rPr>
          <w:rFonts w:hint="eastAsia" w:ascii="宋体" w:hAnsi="宋体"/>
          <w:sz w:val="24"/>
        </w:rPr>
        <w:t>电</w:t>
      </w:r>
      <w:r>
        <w:rPr>
          <w:rFonts w:ascii="宋体" w:hAnsi="宋体"/>
          <w:sz w:val="24"/>
        </w:rPr>
        <w:t xml:space="preserve">  </w:t>
      </w:r>
      <w:r>
        <w:rPr>
          <w:rFonts w:hint="eastAsia" w:ascii="宋体" w:hAnsi="宋体"/>
          <w:sz w:val="24"/>
        </w:rPr>
        <w:t>话：</w:t>
      </w:r>
      <w:r>
        <w:rPr>
          <w:rFonts w:ascii="宋体" w:hAnsi="宋体"/>
          <w:sz w:val="24"/>
          <w:u w:val="single"/>
        </w:rPr>
        <w:t xml:space="preserve">                           </w:t>
      </w:r>
    </w:p>
    <w:p>
      <w:pPr>
        <w:tabs>
          <w:tab w:val="left" w:pos="4395"/>
        </w:tabs>
        <w:topLinePunct/>
        <w:spacing w:line="400" w:lineRule="exact"/>
        <w:rPr>
          <w:rFonts w:ascii="宋体"/>
          <w:sz w:val="24"/>
        </w:rPr>
      </w:pPr>
      <w:r>
        <w:rPr>
          <w:rFonts w:hint="eastAsia" w:ascii="宋体" w:hAnsi="宋体"/>
          <w:sz w:val="24"/>
        </w:rPr>
        <w:t>传</w:t>
      </w:r>
      <w:r>
        <w:rPr>
          <w:rFonts w:ascii="宋体" w:hAnsi="宋体"/>
          <w:sz w:val="24"/>
        </w:rPr>
        <w:t xml:space="preserve">  </w:t>
      </w:r>
      <w:r>
        <w:rPr>
          <w:rFonts w:hint="eastAsia" w:ascii="宋体" w:hAnsi="宋体"/>
          <w:sz w:val="24"/>
        </w:rPr>
        <w:t>真：</w:t>
      </w:r>
      <w:r>
        <w:rPr>
          <w:rFonts w:ascii="宋体" w:hAnsi="宋体"/>
          <w:sz w:val="24"/>
          <w:u w:val="single"/>
        </w:rPr>
        <w:t xml:space="preserve">                        </w:t>
      </w:r>
      <w:r>
        <w:rPr>
          <w:rFonts w:ascii="宋体"/>
          <w:sz w:val="24"/>
        </w:rPr>
        <w:tab/>
      </w:r>
      <w:r>
        <w:rPr>
          <w:rFonts w:hint="eastAsia" w:ascii="宋体" w:hAnsi="宋体"/>
          <w:sz w:val="24"/>
        </w:rPr>
        <w:t>传</w:t>
      </w:r>
      <w:r>
        <w:rPr>
          <w:rFonts w:ascii="宋体" w:hAnsi="宋体"/>
          <w:sz w:val="24"/>
        </w:rPr>
        <w:t xml:space="preserve">  </w:t>
      </w:r>
      <w:r>
        <w:rPr>
          <w:rFonts w:hint="eastAsia" w:ascii="宋体" w:hAnsi="宋体"/>
          <w:sz w:val="24"/>
        </w:rPr>
        <w:t>真：</w:t>
      </w:r>
      <w:r>
        <w:rPr>
          <w:rFonts w:ascii="宋体" w:hAnsi="宋体"/>
          <w:sz w:val="24"/>
          <w:u w:val="single"/>
        </w:rPr>
        <w:t xml:space="preserve">                           </w:t>
      </w:r>
    </w:p>
    <w:p>
      <w:pPr>
        <w:tabs>
          <w:tab w:val="left" w:pos="4395"/>
        </w:tabs>
        <w:topLinePunct/>
        <w:spacing w:line="400" w:lineRule="exact"/>
        <w:rPr>
          <w:rFonts w:ascii="宋体" w:hAnsi="宋体"/>
          <w:sz w:val="24"/>
          <w:u w:val="single"/>
        </w:rPr>
      </w:pPr>
      <w:r>
        <w:rPr>
          <w:rFonts w:hint="eastAsia" w:ascii="宋体" w:hAnsi="宋体"/>
          <w:sz w:val="24"/>
        </w:rPr>
        <w:t>电子邮件：</w:t>
      </w:r>
      <w:r>
        <w:rPr>
          <w:rFonts w:ascii="宋体" w:hAnsi="宋体"/>
          <w:sz w:val="24"/>
          <w:u w:val="single"/>
        </w:rPr>
        <w:t xml:space="preserve">                      </w:t>
      </w:r>
      <w:r>
        <w:rPr>
          <w:rFonts w:ascii="宋体"/>
          <w:sz w:val="24"/>
        </w:rPr>
        <w:tab/>
      </w:r>
      <w:r>
        <w:rPr>
          <w:rFonts w:hint="eastAsia" w:ascii="宋体" w:hAnsi="宋体"/>
          <w:sz w:val="24"/>
        </w:rPr>
        <w:t>电子邮件：</w:t>
      </w:r>
      <w:r>
        <w:rPr>
          <w:rFonts w:ascii="宋体" w:hAnsi="宋体"/>
          <w:sz w:val="24"/>
          <w:u w:val="single"/>
        </w:rPr>
        <w:t xml:space="preserve">                         </w:t>
      </w:r>
    </w:p>
    <w:p>
      <w:pPr>
        <w:tabs>
          <w:tab w:val="left" w:pos="4395"/>
        </w:tabs>
        <w:topLinePunct/>
        <w:spacing w:line="400" w:lineRule="exact"/>
        <w:rPr>
          <w:rFonts w:ascii="宋体" w:hAnsi="宋体"/>
          <w:sz w:val="24"/>
          <w:u w:val="single"/>
        </w:rPr>
      </w:pPr>
    </w:p>
    <w:p/>
    <w:p/>
    <w:p/>
    <w:p/>
    <w:p/>
    <w:p/>
    <w:p>
      <w:bookmarkStart w:id="74" w:name="_Toc470011309"/>
    </w:p>
    <w:p/>
    <w:p/>
    <w:p>
      <w:pPr>
        <w:pStyle w:val="4"/>
        <w:ind w:firstLine="0"/>
      </w:pPr>
      <w:r>
        <w:br w:type="page"/>
      </w:r>
    </w:p>
    <w:p>
      <w:pPr>
        <w:pStyle w:val="2"/>
        <w:spacing w:before="120" w:after="120" w:line="360" w:lineRule="auto"/>
        <w:ind w:left="431" w:hanging="431"/>
        <w:rPr>
          <w:rFonts w:ascii="Times New Roman" w:eastAsia="宋体"/>
          <w:b/>
          <w:sz w:val="48"/>
          <w:szCs w:val="48"/>
        </w:rPr>
      </w:pPr>
      <w:r>
        <w:rPr>
          <w:rFonts w:hint="eastAsia" w:ascii="Times New Roman" w:eastAsia="宋体"/>
          <w:b/>
          <w:sz w:val="48"/>
          <w:szCs w:val="48"/>
        </w:rPr>
        <w:t>第二章</w:t>
      </w:r>
      <w:r>
        <w:rPr>
          <w:rFonts w:ascii="Times New Roman" w:eastAsia="宋体"/>
          <w:b/>
          <w:sz w:val="48"/>
          <w:szCs w:val="48"/>
        </w:rPr>
        <w:t xml:space="preserve"> </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Pr>
          <w:rFonts w:hint="eastAsia" w:ascii="Times New Roman" w:eastAsia="宋体"/>
          <w:b/>
          <w:sz w:val="48"/>
          <w:szCs w:val="48"/>
        </w:rPr>
        <w:t>投标人须知</w:t>
      </w:r>
      <w:bookmarkEnd w:id="74"/>
    </w:p>
    <w:p>
      <w:pPr>
        <w:rPr>
          <w:sz w:val="30"/>
          <w:szCs w:val="30"/>
        </w:rPr>
      </w:pPr>
    </w:p>
    <w:p>
      <w:pPr>
        <w:spacing w:after="120" w:afterLines="50" w:line="440" w:lineRule="exact"/>
        <w:jc w:val="center"/>
        <w:rPr>
          <w:sz w:val="28"/>
          <w:szCs w:val="28"/>
        </w:rPr>
      </w:pPr>
      <w:r>
        <w:rPr>
          <w:sz w:val="30"/>
          <w:szCs w:val="30"/>
        </w:rPr>
        <w:br w:type="page"/>
      </w:r>
      <w:bookmarkStart w:id="75" w:name="_Toc396818205"/>
      <w:bookmarkStart w:id="76" w:name="_Toc419547349"/>
      <w:r>
        <w:rPr>
          <w:rFonts w:hint="eastAsia"/>
          <w:b/>
          <w:sz w:val="28"/>
          <w:szCs w:val="28"/>
        </w:rPr>
        <w:t>投标人须知前附表</w:t>
      </w:r>
    </w:p>
    <w:tbl>
      <w:tblPr>
        <w:tblStyle w:val="49"/>
        <w:tblW w:w="8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182"/>
        <w:gridCol w:w="1550"/>
        <w:gridCol w:w="5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blHeader/>
          <w:jc w:val="center"/>
        </w:trPr>
        <w:tc>
          <w:tcPr>
            <w:tcW w:w="709" w:type="dxa"/>
            <w:vAlign w:val="center"/>
          </w:tcPr>
          <w:p>
            <w:pPr>
              <w:adjustRightInd w:val="0"/>
              <w:snapToGrid w:val="0"/>
              <w:spacing w:before="108" w:beforeLines="45" w:after="108" w:afterLines="45"/>
              <w:jc w:val="center"/>
              <w:rPr>
                <w:b/>
                <w:bCs/>
                <w:szCs w:val="21"/>
              </w:rPr>
            </w:pPr>
            <w:r>
              <w:rPr>
                <w:rFonts w:hint="eastAsia"/>
                <w:b/>
                <w:bCs/>
                <w:szCs w:val="21"/>
              </w:rPr>
              <w:t>序号</w:t>
            </w:r>
          </w:p>
        </w:tc>
        <w:tc>
          <w:tcPr>
            <w:tcW w:w="1035" w:type="dxa"/>
            <w:vAlign w:val="center"/>
          </w:tcPr>
          <w:p>
            <w:pPr>
              <w:adjustRightInd w:val="0"/>
              <w:snapToGrid w:val="0"/>
              <w:spacing w:before="108" w:beforeLines="45" w:after="108" w:afterLines="45"/>
              <w:jc w:val="center"/>
              <w:rPr>
                <w:b/>
                <w:szCs w:val="21"/>
              </w:rPr>
            </w:pPr>
            <w:r>
              <w:rPr>
                <w:rFonts w:hint="eastAsia"/>
                <w:b/>
                <w:szCs w:val="21"/>
              </w:rPr>
              <w:t>条款号</w:t>
            </w:r>
          </w:p>
        </w:tc>
        <w:tc>
          <w:tcPr>
            <w:tcW w:w="1632" w:type="dxa"/>
            <w:vAlign w:val="center"/>
          </w:tcPr>
          <w:p>
            <w:pPr>
              <w:adjustRightInd w:val="0"/>
              <w:snapToGrid w:val="0"/>
              <w:spacing w:before="108" w:beforeLines="45" w:after="108" w:afterLines="45"/>
              <w:jc w:val="center"/>
              <w:rPr>
                <w:b/>
                <w:bCs/>
                <w:szCs w:val="21"/>
              </w:rPr>
            </w:pPr>
            <w:r>
              <w:rPr>
                <w:rFonts w:hint="eastAsia"/>
                <w:b/>
                <w:szCs w:val="21"/>
              </w:rPr>
              <w:t>条款名称</w:t>
            </w:r>
          </w:p>
        </w:tc>
        <w:tc>
          <w:tcPr>
            <w:tcW w:w="5106" w:type="dxa"/>
            <w:vAlign w:val="center"/>
          </w:tcPr>
          <w:p>
            <w:pPr>
              <w:adjustRightInd w:val="0"/>
              <w:snapToGrid w:val="0"/>
              <w:spacing w:before="108" w:beforeLines="45" w:after="108" w:afterLines="45"/>
              <w:jc w:val="center"/>
              <w:rPr>
                <w:b/>
                <w:bCs/>
                <w:szCs w:val="21"/>
              </w:rPr>
            </w:pPr>
            <w:r>
              <w:rPr>
                <w:rFonts w:hint="eastAsia"/>
                <w:b/>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709" w:type="dxa"/>
            <w:vAlign w:val="center"/>
          </w:tcPr>
          <w:p>
            <w:pPr>
              <w:adjustRightInd w:val="0"/>
              <w:snapToGrid w:val="0"/>
              <w:spacing w:before="108" w:beforeLines="45" w:after="108" w:afterLines="45"/>
              <w:jc w:val="center"/>
              <w:rPr>
                <w:b/>
                <w:szCs w:val="21"/>
              </w:rPr>
            </w:pPr>
            <w:r>
              <w:rPr>
                <w:b/>
                <w:szCs w:val="21"/>
              </w:rPr>
              <w:t>1</w:t>
            </w:r>
          </w:p>
        </w:tc>
        <w:tc>
          <w:tcPr>
            <w:tcW w:w="1035" w:type="dxa"/>
            <w:vAlign w:val="center"/>
          </w:tcPr>
          <w:p>
            <w:pPr>
              <w:adjustRightInd w:val="0"/>
              <w:snapToGrid w:val="0"/>
              <w:jc w:val="center"/>
              <w:rPr>
                <w:szCs w:val="21"/>
              </w:rPr>
            </w:pPr>
            <w:r>
              <w:rPr>
                <w:szCs w:val="21"/>
              </w:rPr>
              <w:t>1.1.2</w:t>
            </w:r>
          </w:p>
        </w:tc>
        <w:tc>
          <w:tcPr>
            <w:tcW w:w="1632" w:type="dxa"/>
            <w:vAlign w:val="center"/>
          </w:tcPr>
          <w:p>
            <w:pPr>
              <w:adjustRightInd w:val="0"/>
              <w:snapToGrid w:val="0"/>
              <w:rPr>
                <w:szCs w:val="21"/>
              </w:rPr>
            </w:pPr>
            <w:r>
              <w:rPr>
                <w:rFonts w:hint="eastAsia"/>
                <w:szCs w:val="21"/>
              </w:rPr>
              <w:t>招标人</w:t>
            </w:r>
          </w:p>
        </w:tc>
        <w:tc>
          <w:tcPr>
            <w:tcW w:w="5106" w:type="dxa"/>
            <w:vAlign w:val="center"/>
          </w:tcPr>
          <w:p>
            <w:pPr>
              <w:tabs>
                <w:tab w:val="left" w:pos="1137"/>
                <w:tab w:val="left" w:pos="2554"/>
                <w:tab w:val="right" w:pos="6609"/>
              </w:tabs>
              <w:adjustRightInd w:val="0"/>
              <w:snapToGrid w:val="0"/>
              <w:spacing w:before="36" w:beforeLines="15" w:after="36" w:afterLines="15"/>
              <w:ind w:left="-12" w:leftChars="-6"/>
              <w:outlineLvl w:val="0"/>
              <w:rPr>
                <w:szCs w:val="21"/>
              </w:rPr>
            </w:pPr>
            <w:r>
              <w:rPr>
                <w:rFonts w:hint="eastAsia"/>
                <w:szCs w:val="21"/>
              </w:rPr>
              <w:t>名</w:t>
            </w:r>
            <w:r>
              <w:rPr>
                <w:szCs w:val="21"/>
              </w:rPr>
              <w:t xml:space="preserve">    </w:t>
            </w:r>
            <w:r>
              <w:rPr>
                <w:rFonts w:hint="eastAsia"/>
                <w:szCs w:val="21"/>
              </w:rPr>
              <w:t>称：</w:t>
            </w:r>
            <w:r>
              <w:rPr>
                <w:szCs w:val="21"/>
                <w:u w:val="single"/>
              </w:rPr>
              <w:t xml:space="preserve">                                 </w:t>
            </w:r>
          </w:p>
          <w:p>
            <w:pPr>
              <w:tabs>
                <w:tab w:val="left" w:pos="1137"/>
                <w:tab w:val="left" w:pos="2554"/>
                <w:tab w:val="right" w:pos="6609"/>
              </w:tabs>
              <w:adjustRightInd w:val="0"/>
              <w:snapToGrid w:val="0"/>
              <w:spacing w:before="36" w:beforeLines="15" w:after="36" w:afterLines="15"/>
              <w:ind w:left="-12" w:leftChars="-6"/>
              <w:outlineLvl w:val="0"/>
              <w:rPr>
                <w:szCs w:val="21"/>
              </w:rPr>
            </w:pPr>
            <w:r>
              <w:rPr>
                <w:rFonts w:hint="eastAsia"/>
                <w:szCs w:val="21"/>
              </w:rPr>
              <w:t>地</w:t>
            </w:r>
            <w:r>
              <w:rPr>
                <w:szCs w:val="21"/>
              </w:rPr>
              <w:t xml:space="preserve">    </w:t>
            </w:r>
            <w:r>
              <w:rPr>
                <w:rFonts w:hint="eastAsia"/>
                <w:szCs w:val="21"/>
              </w:rPr>
              <w:t>址：</w:t>
            </w:r>
            <w:r>
              <w:rPr>
                <w:szCs w:val="21"/>
                <w:u w:val="single"/>
              </w:rPr>
              <w:t xml:space="preserve">                                 </w:t>
            </w:r>
          </w:p>
          <w:p>
            <w:pPr>
              <w:tabs>
                <w:tab w:val="left" w:pos="1137"/>
                <w:tab w:val="left" w:pos="2554"/>
                <w:tab w:val="right" w:pos="6609"/>
              </w:tabs>
              <w:adjustRightInd w:val="0"/>
              <w:snapToGrid w:val="0"/>
              <w:spacing w:before="36" w:beforeLines="15" w:after="36" w:afterLines="15"/>
              <w:ind w:left="-12" w:leftChars="-6"/>
              <w:outlineLvl w:val="0"/>
              <w:rPr>
                <w:szCs w:val="21"/>
              </w:rPr>
            </w:pPr>
            <w:r>
              <w:rPr>
                <w:rFonts w:hint="eastAsia"/>
                <w:szCs w:val="21"/>
              </w:rPr>
              <w:t>联</w:t>
            </w:r>
            <w:r>
              <w:rPr>
                <w:szCs w:val="21"/>
              </w:rPr>
              <w:t xml:space="preserve"> </w:t>
            </w:r>
            <w:r>
              <w:rPr>
                <w:rFonts w:hint="eastAsia"/>
                <w:szCs w:val="21"/>
              </w:rPr>
              <w:t>系</w:t>
            </w:r>
            <w:r>
              <w:rPr>
                <w:szCs w:val="21"/>
              </w:rPr>
              <w:t xml:space="preserve"> </w:t>
            </w:r>
            <w:r>
              <w:rPr>
                <w:rFonts w:hint="eastAsia"/>
                <w:szCs w:val="21"/>
              </w:rPr>
              <w:t>人：</w:t>
            </w:r>
            <w:r>
              <w:rPr>
                <w:szCs w:val="21"/>
                <w:u w:val="single"/>
              </w:rPr>
              <w:t xml:space="preserve">                                 </w:t>
            </w:r>
          </w:p>
          <w:p>
            <w:pPr>
              <w:tabs>
                <w:tab w:val="left" w:pos="1137"/>
                <w:tab w:val="left" w:pos="2554"/>
                <w:tab w:val="right" w:pos="6609"/>
              </w:tabs>
              <w:adjustRightInd w:val="0"/>
              <w:snapToGrid w:val="0"/>
              <w:spacing w:before="36" w:beforeLines="15" w:after="36" w:afterLines="15"/>
              <w:ind w:left="-12" w:leftChars="-6"/>
              <w:outlineLvl w:val="0"/>
              <w:rPr>
                <w:szCs w:val="21"/>
              </w:rPr>
            </w:pP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szCs w:val="21"/>
              </w:rPr>
              <w:tab/>
            </w:r>
          </w:p>
          <w:p>
            <w:pPr>
              <w:tabs>
                <w:tab w:val="left" w:pos="1137"/>
                <w:tab w:val="left" w:pos="2554"/>
                <w:tab w:val="right" w:pos="6609"/>
              </w:tabs>
              <w:adjustRightInd w:val="0"/>
              <w:snapToGrid w:val="0"/>
              <w:spacing w:before="36" w:beforeLines="15" w:after="36" w:afterLines="15"/>
              <w:ind w:left="-12" w:leftChars="-6"/>
              <w:outlineLvl w:val="0"/>
              <w:rPr>
                <w:szCs w:val="21"/>
              </w:rPr>
            </w:pPr>
            <w:r>
              <w:rPr>
                <w:rFonts w:hint="eastAsia"/>
                <w:szCs w:val="21"/>
              </w:rPr>
              <w:t>电子邮件：</w:t>
            </w:r>
            <w:r>
              <w:rPr>
                <w:szCs w:val="21"/>
                <w:u w:val="single"/>
              </w:rPr>
              <w:t xml:space="preserve">                                 </w:t>
            </w:r>
          </w:p>
          <w:p>
            <w:pPr>
              <w:snapToGrid w:val="0"/>
              <w:spacing w:before="36" w:beforeLines="15" w:after="36" w:afterLines="15"/>
              <w:rPr>
                <w:szCs w:val="21"/>
              </w:rPr>
            </w:pPr>
            <w:r>
              <w:rPr>
                <w:rFonts w:hint="eastAsia"/>
                <w:szCs w:val="21"/>
              </w:rPr>
              <w:t>传</w:t>
            </w:r>
            <w:r>
              <w:rPr>
                <w:szCs w:val="21"/>
              </w:rPr>
              <w:t xml:space="preserve">    </w:t>
            </w:r>
            <w:r>
              <w:rPr>
                <w:rFonts w:hint="eastAsia"/>
                <w:szCs w:val="21"/>
              </w:rPr>
              <w:t>真：</w:t>
            </w:r>
            <w:r>
              <w:rPr>
                <w:szCs w:val="21"/>
              </w:rPr>
              <w:t xml:space="preserve"> </w:t>
            </w:r>
            <w:r>
              <w:rPr>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jc w:val="center"/>
        </w:trPr>
        <w:tc>
          <w:tcPr>
            <w:tcW w:w="709" w:type="dxa"/>
            <w:vAlign w:val="center"/>
          </w:tcPr>
          <w:p>
            <w:pPr>
              <w:adjustRightInd w:val="0"/>
              <w:snapToGrid w:val="0"/>
              <w:spacing w:before="108" w:beforeLines="45" w:after="108" w:afterLines="45"/>
              <w:jc w:val="center"/>
              <w:rPr>
                <w:b/>
                <w:szCs w:val="21"/>
              </w:rPr>
            </w:pPr>
            <w:r>
              <w:rPr>
                <w:b/>
                <w:szCs w:val="21"/>
              </w:rPr>
              <w:t>2</w:t>
            </w:r>
          </w:p>
        </w:tc>
        <w:tc>
          <w:tcPr>
            <w:tcW w:w="1035" w:type="dxa"/>
            <w:vAlign w:val="center"/>
          </w:tcPr>
          <w:p>
            <w:pPr>
              <w:adjustRightInd w:val="0"/>
              <w:snapToGrid w:val="0"/>
              <w:jc w:val="center"/>
              <w:rPr>
                <w:szCs w:val="21"/>
              </w:rPr>
            </w:pPr>
            <w:r>
              <w:rPr>
                <w:szCs w:val="21"/>
              </w:rPr>
              <w:t>1.1.3</w:t>
            </w:r>
          </w:p>
        </w:tc>
        <w:tc>
          <w:tcPr>
            <w:tcW w:w="1632" w:type="dxa"/>
            <w:vAlign w:val="center"/>
          </w:tcPr>
          <w:p>
            <w:pPr>
              <w:adjustRightInd w:val="0"/>
              <w:snapToGrid w:val="0"/>
              <w:rPr>
                <w:szCs w:val="21"/>
              </w:rPr>
            </w:pPr>
            <w:r>
              <w:rPr>
                <w:rFonts w:hint="eastAsia"/>
                <w:szCs w:val="21"/>
              </w:rPr>
              <w:t>招标代理机构</w:t>
            </w:r>
          </w:p>
        </w:tc>
        <w:tc>
          <w:tcPr>
            <w:tcW w:w="5106" w:type="dxa"/>
            <w:vAlign w:val="center"/>
          </w:tcPr>
          <w:p>
            <w:pPr>
              <w:tabs>
                <w:tab w:val="left" w:pos="1137"/>
                <w:tab w:val="left" w:pos="2554"/>
                <w:tab w:val="right" w:pos="6609"/>
              </w:tabs>
              <w:adjustRightInd w:val="0"/>
              <w:snapToGrid w:val="0"/>
              <w:spacing w:before="36" w:beforeLines="15" w:after="36" w:afterLines="15"/>
              <w:ind w:left="-12" w:leftChars="-6"/>
              <w:outlineLvl w:val="0"/>
              <w:rPr>
                <w:szCs w:val="21"/>
              </w:rPr>
            </w:pPr>
            <w:r>
              <w:rPr>
                <w:rFonts w:hint="eastAsia"/>
                <w:szCs w:val="21"/>
              </w:rPr>
              <w:t>招标代理：</w:t>
            </w:r>
            <w:r>
              <w:rPr>
                <w:szCs w:val="21"/>
                <w:u w:val="single"/>
              </w:rPr>
              <w:t xml:space="preserve">                                 </w:t>
            </w:r>
            <w:r>
              <w:rPr>
                <w:szCs w:val="21"/>
              </w:rPr>
              <w:t xml:space="preserve"> </w:t>
            </w:r>
            <w:r>
              <w:rPr>
                <w:szCs w:val="21"/>
              </w:rPr>
              <w:tab/>
            </w:r>
          </w:p>
          <w:p>
            <w:pPr>
              <w:tabs>
                <w:tab w:val="left" w:pos="1137"/>
                <w:tab w:val="left" w:pos="2554"/>
                <w:tab w:val="right" w:pos="6609"/>
              </w:tabs>
              <w:adjustRightInd w:val="0"/>
              <w:snapToGrid w:val="0"/>
              <w:spacing w:before="36" w:beforeLines="15" w:after="36" w:afterLines="15"/>
              <w:ind w:left="-12" w:leftChars="-6"/>
              <w:outlineLvl w:val="0"/>
              <w:rPr>
                <w:szCs w:val="21"/>
              </w:rPr>
            </w:pPr>
            <w:r>
              <w:rPr>
                <w:rFonts w:hint="eastAsia"/>
                <w:szCs w:val="21"/>
              </w:rPr>
              <w:t>地</w:t>
            </w:r>
            <w:r>
              <w:rPr>
                <w:szCs w:val="21"/>
              </w:rPr>
              <w:t xml:space="preserve">    </w:t>
            </w:r>
            <w:r>
              <w:rPr>
                <w:rFonts w:hint="eastAsia"/>
                <w:szCs w:val="21"/>
              </w:rPr>
              <w:t>址：</w:t>
            </w:r>
            <w:r>
              <w:rPr>
                <w:szCs w:val="21"/>
                <w:u w:val="single"/>
              </w:rPr>
              <w:t xml:space="preserve">                                 </w:t>
            </w:r>
          </w:p>
          <w:p>
            <w:pPr>
              <w:tabs>
                <w:tab w:val="left" w:pos="1137"/>
                <w:tab w:val="left" w:pos="2554"/>
                <w:tab w:val="right" w:pos="6609"/>
              </w:tabs>
              <w:adjustRightInd w:val="0"/>
              <w:snapToGrid w:val="0"/>
              <w:spacing w:before="36" w:beforeLines="15" w:after="36" w:afterLines="15"/>
              <w:ind w:left="-12" w:leftChars="-6"/>
              <w:outlineLvl w:val="0"/>
              <w:rPr>
                <w:szCs w:val="21"/>
              </w:rPr>
            </w:pPr>
            <w:r>
              <w:rPr>
                <w:rFonts w:hint="eastAsia"/>
                <w:szCs w:val="21"/>
              </w:rPr>
              <w:t>联</w:t>
            </w:r>
            <w:r>
              <w:rPr>
                <w:szCs w:val="21"/>
              </w:rPr>
              <w:t xml:space="preserve"> </w:t>
            </w:r>
            <w:r>
              <w:rPr>
                <w:rFonts w:hint="eastAsia"/>
                <w:szCs w:val="21"/>
              </w:rPr>
              <w:t>系</w:t>
            </w:r>
            <w:r>
              <w:rPr>
                <w:szCs w:val="21"/>
              </w:rPr>
              <w:t xml:space="preserve"> </w:t>
            </w:r>
            <w:r>
              <w:rPr>
                <w:rFonts w:hint="eastAsia"/>
                <w:szCs w:val="21"/>
              </w:rPr>
              <w:t>人：</w:t>
            </w:r>
            <w:r>
              <w:rPr>
                <w:szCs w:val="21"/>
                <w:u w:val="single"/>
              </w:rPr>
              <w:t xml:space="preserve">                                 </w:t>
            </w:r>
          </w:p>
          <w:p>
            <w:pPr>
              <w:tabs>
                <w:tab w:val="left" w:pos="1137"/>
                <w:tab w:val="left" w:pos="2554"/>
                <w:tab w:val="right" w:pos="6609"/>
              </w:tabs>
              <w:adjustRightInd w:val="0"/>
              <w:snapToGrid w:val="0"/>
              <w:spacing w:before="36" w:beforeLines="15" w:after="36" w:afterLines="15"/>
              <w:ind w:left="-12" w:leftChars="-6"/>
              <w:outlineLvl w:val="0"/>
              <w:rPr>
                <w:szCs w:val="21"/>
              </w:rPr>
            </w:pP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szCs w:val="21"/>
              </w:rPr>
              <w:tab/>
            </w:r>
          </w:p>
          <w:p>
            <w:pPr>
              <w:tabs>
                <w:tab w:val="left" w:pos="1137"/>
                <w:tab w:val="left" w:pos="2554"/>
                <w:tab w:val="right" w:pos="6609"/>
              </w:tabs>
              <w:adjustRightInd w:val="0"/>
              <w:snapToGrid w:val="0"/>
              <w:spacing w:before="36" w:beforeLines="15" w:after="36" w:afterLines="15"/>
              <w:ind w:left="-12" w:leftChars="-6"/>
              <w:outlineLvl w:val="0"/>
              <w:rPr>
                <w:szCs w:val="21"/>
              </w:rPr>
            </w:pPr>
            <w:r>
              <w:rPr>
                <w:rFonts w:hint="eastAsia"/>
                <w:szCs w:val="21"/>
              </w:rPr>
              <w:t>电子邮件：</w:t>
            </w:r>
            <w:r>
              <w:rPr>
                <w:szCs w:val="21"/>
                <w:u w:val="single"/>
              </w:rPr>
              <w:t xml:space="preserve">                                 </w:t>
            </w:r>
          </w:p>
          <w:p>
            <w:pPr>
              <w:tabs>
                <w:tab w:val="left" w:pos="1067"/>
                <w:tab w:val="left" w:pos="1137"/>
                <w:tab w:val="left" w:pos="2554"/>
                <w:tab w:val="right" w:pos="6609"/>
              </w:tabs>
              <w:adjustRightInd w:val="0"/>
              <w:snapToGrid w:val="0"/>
              <w:spacing w:before="36" w:beforeLines="15" w:after="36" w:afterLines="15"/>
              <w:ind w:left="-12" w:leftChars="-6"/>
              <w:outlineLvl w:val="0"/>
              <w:rPr>
                <w:szCs w:val="21"/>
              </w:rPr>
            </w:pPr>
            <w:r>
              <w:rPr>
                <w:rFonts w:hint="eastAsia"/>
                <w:szCs w:val="21"/>
              </w:rPr>
              <w:t>传</w:t>
            </w:r>
            <w:r>
              <w:rPr>
                <w:szCs w:val="21"/>
              </w:rPr>
              <w:t xml:space="preserve">    </w:t>
            </w:r>
            <w:r>
              <w:rPr>
                <w:rFonts w:hint="eastAsia"/>
                <w:szCs w:val="21"/>
              </w:rPr>
              <w:t>真：</w:t>
            </w:r>
            <w:r>
              <w:rPr>
                <w:szCs w:val="21"/>
              </w:rPr>
              <w:t xml:space="preserve"> </w:t>
            </w:r>
            <w:r>
              <w:rPr>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09" w:type="dxa"/>
            <w:vAlign w:val="center"/>
          </w:tcPr>
          <w:p>
            <w:pPr>
              <w:adjustRightInd w:val="0"/>
              <w:snapToGrid w:val="0"/>
              <w:spacing w:before="108" w:beforeLines="45" w:after="108" w:afterLines="45"/>
              <w:jc w:val="center"/>
              <w:rPr>
                <w:b/>
                <w:szCs w:val="21"/>
              </w:rPr>
            </w:pPr>
            <w:r>
              <w:rPr>
                <w:b/>
                <w:szCs w:val="21"/>
              </w:rPr>
              <w:t>3</w:t>
            </w:r>
          </w:p>
        </w:tc>
        <w:tc>
          <w:tcPr>
            <w:tcW w:w="1035" w:type="dxa"/>
            <w:vAlign w:val="center"/>
          </w:tcPr>
          <w:p>
            <w:pPr>
              <w:adjustRightInd w:val="0"/>
              <w:snapToGrid w:val="0"/>
              <w:jc w:val="center"/>
              <w:rPr>
                <w:szCs w:val="21"/>
              </w:rPr>
            </w:pPr>
            <w:r>
              <w:rPr>
                <w:szCs w:val="21"/>
              </w:rPr>
              <w:t>1.1.4</w:t>
            </w:r>
          </w:p>
        </w:tc>
        <w:tc>
          <w:tcPr>
            <w:tcW w:w="1632" w:type="dxa"/>
            <w:vAlign w:val="center"/>
          </w:tcPr>
          <w:p>
            <w:pPr>
              <w:adjustRightInd w:val="0"/>
              <w:snapToGrid w:val="0"/>
              <w:rPr>
                <w:szCs w:val="21"/>
              </w:rPr>
            </w:pPr>
            <w:r>
              <w:rPr>
                <w:rFonts w:hint="eastAsia"/>
                <w:szCs w:val="21"/>
              </w:rPr>
              <w:t>工程名称</w:t>
            </w:r>
          </w:p>
        </w:tc>
        <w:tc>
          <w:tcPr>
            <w:tcW w:w="5106" w:type="dxa"/>
            <w:vAlign w:val="center"/>
          </w:tcPr>
          <w:p>
            <w:pPr>
              <w:adjustRightInd w:val="0"/>
              <w:snapToGrid w:val="0"/>
              <w:spacing w:before="36" w:beforeLines="15" w:after="36" w:afterLines="15"/>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09" w:type="dxa"/>
            <w:vAlign w:val="center"/>
          </w:tcPr>
          <w:p>
            <w:pPr>
              <w:adjustRightInd w:val="0"/>
              <w:snapToGrid w:val="0"/>
              <w:spacing w:before="108" w:beforeLines="45" w:after="108" w:afterLines="45"/>
              <w:jc w:val="center"/>
              <w:rPr>
                <w:b/>
                <w:szCs w:val="21"/>
              </w:rPr>
            </w:pPr>
            <w:r>
              <w:rPr>
                <w:b/>
                <w:szCs w:val="21"/>
              </w:rPr>
              <w:t>4</w:t>
            </w:r>
          </w:p>
        </w:tc>
        <w:tc>
          <w:tcPr>
            <w:tcW w:w="1035" w:type="dxa"/>
            <w:vAlign w:val="center"/>
          </w:tcPr>
          <w:p>
            <w:pPr>
              <w:adjustRightInd w:val="0"/>
              <w:snapToGrid w:val="0"/>
              <w:jc w:val="center"/>
              <w:rPr>
                <w:szCs w:val="21"/>
              </w:rPr>
            </w:pPr>
            <w:r>
              <w:rPr>
                <w:szCs w:val="21"/>
              </w:rPr>
              <w:t>1.1.5</w:t>
            </w:r>
          </w:p>
        </w:tc>
        <w:tc>
          <w:tcPr>
            <w:tcW w:w="1632" w:type="dxa"/>
            <w:vAlign w:val="center"/>
          </w:tcPr>
          <w:p>
            <w:pPr>
              <w:adjustRightInd w:val="0"/>
              <w:snapToGrid w:val="0"/>
              <w:rPr>
                <w:szCs w:val="21"/>
              </w:rPr>
            </w:pPr>
            <w:r>
              <w:rPr>
                <w:rFonts w:hint="eastAsia"/>
                <w:szCs w:val="21"/>
              </w:rPr>
              <w:t>工程批准文号</w:t>
            </w:r>
          </w:p>
        </w:tc>
        <w:tc>
          <w:tcPr>
            <w:tcW w:w="5106" w:type="dxa"/>
            <w:vAlign w:val="center"/>
          </w:tcPr>
          <w:p>
            <w:pPr>
              <w:adjustRightInd w:val="0"/>
              <w:snapToGrid w:val="0"/>
              <w:spacing w:before="36" w:beforeLines="15" w:after="36" w:afterLines="15"/>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09" w:type="dxa"/>
            <w:vAlign w:val="center"/>
          </w:tcPr>
          <w:p>
            <w:pPr>
              <w:adjustRightInd w:val="0"/>
              <w:snapToGrid w:val="0"/>
              <w:spacing w:before="108" w:beforeLines="45" w:after="108" w:afterLines="45"/>
              <w:jc w:val="center"/>
              <w:rPr>
                <w:b/>
                <w:szCs w:val="21"/>
              </w:rPr>
            </w:pPr>
            <w:r>
              <w:rPr>
                <w:b/>
                <w:szCs w:val="21"/>
              </w:rPr>
              <w:t>5</w:t>
            </w:r>
          </w:p>
        </w:tc>
        <w:tc>
          <w:tcPr>
            <w:tcW w:w="1035" w:type="dxa"/>
            <w:vAlign w:val="center"/>
          </w:tcPr>
          <w:p>
            <w:pPr>
              <w:adjustRightInd w:val="0"/>
              <w:snapToGrid w:val="0"/>
              <w:jc w:val="center"/>
              <w:rPr>
                <w:szCs w:val="21"/>
              </w:rPr>
            </w:pPr>
            <w:r>
              <w:rPr>
                <w:szCs w:val="21"/>
              </w:rPr>
              <w:t>1.1.6</w:t>
            </w:r>
          </w:p>
        </w:tc>
        <w:tc>
          <w:tcPr>
            <w:tcW w:w="1632" w:type="dxa"/>
            <w:vAlign w:val="center"/>
          </w:tcPr>
          <w:p>
            <w:pPr>
              <w:adjustRightInd w:val="0"/>
              <w:snapToGrid w:val="0"/>
              <w:rPr>
                <w:szCs w:val="21"/>
              </w:rPr>
            </w:pPr>
            <w:r>
              <w:rPr>
                <w:rFonts w:hint="eastAsia"/>
                <w:szCs w:val="21"/>
              </w:rPr>
              <w:t>建设地点</w:t>
            </w:r>
          </w:p>
        </w:tc>
        <w:tc>
          <w:tcPr>
            <w:tcW w:w="5106" w:type="dxa"/>
            <w:vAlign w:val="center"/>
          </w:tcPr>
          <w:p>
            <w:pPr>
              <w:adjustRightInd w:val="0"/>
              <w:snapToGrid w:val="0"/>
              <w:spacing w:before="36" w:beforeLines="15" w:after="36" w:afterLines="15"/>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09" w:type="dxa"/>
            <w:vAlign w:val="center"/>
          </w:tcPr>
          <w:p>
            <w:pPr>
              <w:adjustRightInd w:val="0"/>
              <w:snapToGrid w:val="0"/>
              <w:jc w:val="center"/>
              <w:rPr>
                <w:szCs w:val="21"/>
              </w:rPr>
            </w:pPr>
            <w:r>
              <w:rPr>
                <w:szCs w:val="21"/>
              </w:rPr>
              <w:t>6</w:t>
            </w:r>
          </w:p>
        </w:tc>
        <w:tc>
          <w:tcPr>
            <w:tcW w:w="1035" w:type="dxa"/>
            <w:vAlign w:val="center"/>
          </w:tcPr>
          <w:p>
            <w:pPr>
              <w:adjustRightInd w:val="0"/>
              <w:snapToGrid w:val="0"/>
              <w:jc w:val="center"/>
              <w:rPr>
                <w:szCs w:val="21"/>
              </w:rPr>
            </w:pPr>
            <w:r>
              <w:rPr>
                <w:szCs w:val="21"/>
              </w:rPr>
              <w:t>1.1.7</w:t>
            </w:r>
          </w:p>
        </w:tc>
        <w:tc>
          <w:tcPr>
            <w:tcW w:w="1632" w:type="dxa"/>
            <w:vAlign w:val="center"/>
          </w:tcPr>
          <w:p>
            <w:pPr>
              <w:adjustRightInd w:val="0"/>
              <w:snapToGrid w:val="0"/>
              <w:rPr>
                <w:szCs w:val="21"/>
              </w:rPr>
            </w:pPr>
            <w:r>
              <w:rPr>
                <w:rFonts w:hint="eastAsia"/>
                <w:szCs w:val="21"/>
              </w:rPr>
              <w:t>建设规模</w:t>
            </w:r>
          </w:p>
        </w:tc>
        <w:tc>
          <w:tcPr>
            <w:tcW w:w="5106" w:type="dxa"/>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09" w:type="dxa"/>
            <w:vAlign w:val="center"/>
          </w:tcPr>
          <w:p>
            <w:pPr>
              <w:adjustRightInd w:val="0"/>
              <w:snapToGrid w:val="0"/>
              <w:spacing w:before="108" w:beforeLines="45" w:after="108" w:afterLines="45"/>
              <w:jc w:val="center"/>
              <w:rPr>
                <w:b/>
                <w:szCs w:val="21"/>
              </w:rPr>
            </w:pPr>
            <w:r>
              <w:rPr>
                <w:b/>
                <w:szCs w:val="21"/>
              </w:rPr>
              <w:t>7</w:t>
            </w:r>
          </w:p>
        </w:tc>
        <w:tc>
          <w:tcPr>
            <w:tcW w:w="1035" w:type="dxa"/>
            <w:vAlign w:val="center"/>
          </w:tcPr>
          <w:p>
            <w:pPr>
              <w:adjustRightInd w:val="0"/>
              <w:snapToGrid w:val="0"/>
              <w:jc w:val="center"/>
              <w:rPr>
                <w:szCs w:val="21"/>
              </w:rPr>
            </w:pPr>
            <w:r>
              <w:rPr>
                <w:szCs w:val="21"/>
              </w:rPr>
              <w:t>1.1.8</w:t>
            </w:r>
          </w:p>
        </w:tc>
        <w:tc>
          <w:tcPr>
            <w:tcW w:w="1632" w:type="dxa"/>
            <w:vAlign w:val="center"/>
          </w:tcPr>
          <w:p>
            <w:pPr>
              <w:adjustRightInd w:val="0"/>
              <w:snapToGrid w:val="0"/>
              <w:rPr>
                <w:szCs w:val="21"/>
              </w:rPr>
            </w:pPr>
            <w:r>
              <w:rPr>
                <w:rFonts w:hint="eastAsia"/>
                <w:szCs w:val="21"/>
              </w:rPr>
              <w:t>招标控制价（最高投标限价）</w:t>
            </w:r>
          </w:p>
        </w:tc>
        <w:tc>
          <w:tcPr>
            <w:tcW w:w="5106" w:type="dxa"/>
            <w:vAlign w:val="center"/>
          </w:tcPr>
          <w:p>
            <w:pPr>
              <w:adjustRightInd w:val="0"/>
              <w:snapToGrid w:val="0"/>
              <w:spacing w:before="36" w:beforeLines="15" w:after="36" w:afterLines="15"/>
              <w:jc w:val="left"/>
              <w:rPr>
                <w:szCs w:val="21"/>
              </w:rPr>
            </w:pPr>
            <w:r>
              <w:rPr>
                <w:szCs w:val="21"/>
                <w:u w:val="single"/>
              </w:rPr>
              <w:t xml:space="preserve">                 </w:t>
            </w:r>
            <w:r>
              <w:rPr>
                <w:rFonts w:hint="eastAsia"/>
                <w:szCs w:val="21"/>
              </w:rPr>
              <w:t>元，详见本招标文件第九章招标控制价。</w:t>
            </w:r>
          </w:p>
          <w:p>
            <w:pPr>
              <w:adjustRightInd w:val="0"/>
              <w:snapToGrid w:val="0"/>
              <w:spacing w:before="36" w:beforeLines="15" w:after="36" w:afterLines="15"/>
              <w:jc w:val="left"/>
              <w:rPr>
                <w:szCs w:val="21"/>
              </w:rPr>
            </w:pPr>
            <w:r>
              <w:rPr>
                <w:rFonts w:hint="eastAsia"/>
                <w:szCs w:val="21"/>
              </w:rPr>
              <w:t>其中：安全文明施工费总额</w:t>
            </w:r>
            <w:r>
              <w:rPr>
                <w:rFonts w:hint="eastAsia"/>
                <w:iCs/>
                <w:szCs w:val="21"/>
              </w:rPr>
              <w:t>（含税）</w:t>
            </w:r>
            <w:r>
              <w:rPr>
                <w:szCs w:val="21"/>
                <w:u w:val="single"/>
              </w:rPr>
              <w:t xml:space="preserve">          </w:t>
            </w:r>
            <w:r>
              <w:rPr>
                <w:rFonts w:hint="eastAsia"/>
                <w:szCs w:val="21"/>
              </w:rPr>
              <w:t>元；</w:t>
            </w:r>
          </w:p>
          <w:p>
            <w:pPr>
              <w:adjustRightInd w:val="0"/>
              <w:snapToGrid w:val="0"/>
              <w:spacing w:before="36" w:beforeLines="15" w:after="36" w:afterLines="15"/>
              <w:jc w:val="left"/>
              <w:rPr>
                <w:iCs/>
                <w:szCs w:val="21"/>
              </w:rPr>
            </w:pPr>
            <w:r>
              <w:rPr>
                <w:rFonts w:hint="eastAsia"/>
                <w:iCs/>
                <w:szCs w:val="21"/>
              </w:rPr>
              <w:t>招标人给定的专业工程暂估价（含税）合计金额：</w:t>
            </w:r>
            <w:r>
              <w:rPr>
                <w:iCs/>
                <w:szCs w:val="21"/>
                <w:u w:val="single"/>
              </w:rPr>
              <w:t xml:space="preserve">                  </w:t>
            </w:r>
            <w:r>
              <w:rPr>
                <w:rFonts w:hint="eastAsia"/>
                <w:iCs/>
                <w:szCs w:val="21"/>
              </w:rPr>
              <w:t>元</w:t>
            </w:r>
            <w:r>
              <w:rPr>
                <w:rFonts w:hint="eastAsia"/>
                <w:bCs/>
                <w:szCs w:val="21"/>
              </w:rPr>
              <w:t>，详见招标工程量清单中《专业工程暂估价表》</w:t>
            </w:r>
            <w:r>
              <w:rPr>
                <w:rFonts w:hint="eastAsia"/>
                <w:iCs/>
                <w:szCs w:val="21"/>
              </w:rPr>
              <w:t>；招标人给定的暂列金额（含税）合计金额：</w:t>
            </w:r>
            <w:r>
              <w:rPr>
                <w:iCs/>
                <w:szCs w:val="21"/>
                <w:u w:val="single"/>
              </w:rPr>
              <w:t xml:space="preserve">               </w:t>
            </w:r>
            <w:r>
              <w:rPr>
                <w:iCs/>
                <w:szCs w:val="21"/>
              </w:rPr>
              <w:t xml:space="preserve"> </w:t>
            </w:r>
            <w:r>
              <w:rPr>
                <w:rFonts w:hint="eastAsia"/>
                <w:iCs/>
                <w:szCs w:val="21"/>
              </w:rPr>
              <w:t>元，详见招标工程量清单中《暂列金额明细表》。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09" w:type="dxa"/>
            <w:vAlign w:val="center"/>
          </w:tcPr>
          <w:p>
            <w:pPr>
              <w:adjustRightInd w:val="0"/>
              <w:snapToGrid w:val="0"/>
              <w:spacing w:before="108" w:beforeLines="45" w:after="108" w:afterLines="45"/>
              <w:jc w:val="center"/>
              <w:rPr>
                <w:b/>
                <w:szCs w:val="21"/>
              </w:rPr>
            </w:pPr>
            <w:r>
              <w:rPr>
                <w:b/>
                <w:szCs w:val="21"/>
              </w:rPr>
              <w:t>8</w:t>
            </w:r>
          </w:p>
        </w:tc>
        <w:tc>
          <w:tcPr>
            <w:tcW w:w="1035" w:type="dxa"/>
            <w:vAlign w:val="center"/>
          </w:tcPr>
          <w:p>
            <w:pPr>
              <w:adjustRightInd w:val="0"/>
              <w:snapToGrid w:val="0"/>
              <w:jc w:val="center"/>
              <w:rPr>
                <w:szCs w:val="21"/>
              </w:rPr>
            </w:pPr>
            <w:r>
              <w:rPr>
                <w:szCs w:val="21"/>
              </w:rPr>
              <w:t>1.1.9</w:t>
            </w:r>
          </w:p>
        </w:tc>
        <w:tc>
          <w:tcPr>
            <w:tcW w:w="1632" w:type="dxa"/>
            <w:vAlign w:val="center"/>
          </w:tcPr>
          <w:p>
            <w:pPr>
              <w:adjustRightInd w:val="0"/>
              <w:snapToGrid w:val="0"/>
              <w:rPr>
                <w:szCs w:val="21"/>
              </w:rPr>
            </w:pPr>
            <w:r>
              <w:rPr>
                <w:rFonts w:hint="eastAsia"/>
                <w:szCs w:val="21"/>
              </w:rPr>
              <w:t>招标方式</w:t>
            </w:r>
          </w:p>
        </w:tc>
        <w:tc>
          <w:tcPr>
            <w:tcW w:w="5106" w:type="dxa"/>
            <w:vAlign w:val="center"/>
          </w:tcPr>
          <w:p>
            <w:pPr>
              <w:adjustRightInd w:val="0"/>
              <w:snapToGrid w:val="0"/>
              <w:spacing w:before="36" w:beforeLines="15" w:after="36" w:afterLines="15"/>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vAlign w:val="center"/>
          </w:tcPr>
          <w:p>
            <w:pPr>
              <w:adjustRightInd w:val="0"/>
              <w:snapToGrid w:val="0"/>
              <w:spacing w:before="108" w:beforeLines="45" w:after="108" w:afterLines="45"/>
              <w:jc w:val="center"/>
              <w:rPr>
                <w:b/>
                <w:szCs w:val="21"/>
              </w:rPr>
            </w:pPr>
            <w:r>
              <w:rPr>
                <w:b/>
                <w:szCs w:val="21"/>
              </w:rPr>
              <w:t>9</w:t>
            </w:r>
          </w:p>
        </w:tc>
        <w:tc>
          <w:tcPr>
            <w:tcW w:w="1035" w:type="dxa"/>
            <w:vAlign w:val="center"/>
          </w:tcPr>
          <w:p>
            <w:pPr>
              <w:adjustRightInd w:val="0"/>
              <w:snapToGrid w:val="0"/>
              <w:jc w:val="center"/>
              <w:rPr>
                <w:szCs w:val="21"/>
              </w:rPr>
            </w:pPr>
            <w:r>
              <w:rPr>
                <w:szCs w:val="21"/>
              </w:rPr>
              <w:t>1.1.10</w:t>
            </w:r>
          </w:p>
        </w:tc>
        <w:tc>
          <w:tcPr>
            <w:tcW w:w="1632" w:type="dxa"/>
            <w:vAlign w:val="center"/>
          </w:tcPr>
          <w:p>
            <w:pPr>
              <w:adjustRightInd w:val="0"/>
              <w:snapToGrid w:val="0"/>
              <w:rPr>
                <w:szCs w:val="21"/>
              </w:rPr>
            </w:pPr>
            <w:r>
              <w:rPr>
                <w:rFonts w:hint="eastAsia"/>
                <w:szCs w:val="21"/>
              </w:rPr>
              <w:t>承包方式</w:t>
            </w:r>
          </w:p>
        </w:tc>
        <w:tc>
          <w:tcPr>
            <w:tcW w:w="5106" w:type="dxa"/>
            <w:vAlign w:val="center"/>
          </w:tcPr>
          <w:p>
            <w:pPr>
              <w:adjustRightInd w:val="0"/>
              <w:snapToGrid w:val="0"/>
              <w:spacing w:before="36" w:beforeLines="15" w:after="36" w:afterLines="15"/>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jc w:val="center"/>
        </w:trPr>
        <w:tc>
          <w:tcPr>
            <w:tcW w:w="709" w:type="dxa"/>
            <w:vAlign w:val="center"/>
          </w:tcPr>
          <w:p>
            <w:pPr>
              <w:adjustRightInd w:val="0"/>
              <w:snapToGrid w:val="0"/>
              <w:spacing w:before="108" w:beforeLines="45" w:after="108" w:afterLines="45"/>
              <w:jc w:val="center"/>
              <w:rPr>
                <w:b/>
                <w:szCs w:val="21"/>
              </w:rPr>
            </w:pPr>
            <w:r>
              <w:rPr>
                <w:b/>
                <w:szCs w:val="21"/>
              </w:rPr>
              <w:t>10</w:t>
            </w:r>
          </w:p>
        </w:tc>
        <w:tc>
          <w:tcPr>
            <w:tcW w:w="1035" w:type="dxa"/>
            <w:vAlign w:val="center"/>
          </w:tcPr>
          <w:p>
            <w:pPr>
              <w:adjustRightInd w:val="0"/>
              <w:snapToGrid w:val="0"/>
              <w:jc w:val="center"/>
              <w:rPr>
                <w:szCs w:val="21"/>
              </w:rPr>
            </w:pPr>
            <w:r>
              <w:rPr>
                <w:szCs w:val="21"/>
              </w:rPr>
              <w:t>1.2.1</w:t>
            </w:r>
          </w:p>
          <w:p>
            <w:pPr>
              <w:adjustRightInd w:val="0"/>
              <w:snapToGrid w:val="0"/>
              <w:jc w:val="center"/>
              <w:rPr>
                <w:szCs w:val="21"/>
              </w:rPr>
            </w:pPr>
            <w:r>
              <w:rPr>
                <w:szCs w:val="21"/>
              </w:rPr>
              <w:t>1.2.2</w:t>
            </w:r>
          </w:p>
          <w:p>
            <w:pPr>
              <w:adjustRightInd w:val="0"/>
              <w:snapToGrid w:val="0"/>
              <w:jc w:val="center"/>
              <w:rPr>
                <w:szCs w:val="21"/>
              </w:rPr>
            </w:pPr>
            <w:r>
              <w:rPr>
                <w:szCs w:val="21"/>
              </w:rPr>
              <w:t>1.2.3</w:t>
            </w:r>
          </w:p>
          <w:p>
            <w:pPr>
              <w:adjustRightInd w:val="0"/>
              <w:snapToGrid w:val="0"/>
              <w:jc w:val="center"/>
              <w:rPr>
                <w:szCs w:val="21"/>
              </w:rPr>
            </w:pPr>
            <w:r>
              <w:rPr>
                <w:szCs w:val="21"/>
              </w:rPr>
              <w:t>1.2.4</w:t>
            </w:r>
          </w:p>
        </w:tc>
        <w:tc>
          <w:tcPr>
            <w:tcW w:w="1632" w:type="dxa"/>
            <w:vAlign w:val="center"/>
          </w:tcPr>
          <w:p>
            <w:pPr>
              <w:adjustRightInd w:val="0"/>
              <w:snapToGrid w:val="0"/>
              <w:rPr>
                <w:szCs w:val="21"/>
              </w:rPr>
            </w:pPr>
            <w:r>
              <w:rPr>
                <w:rFonts w:hint="eastAsia"/>
                <w:szCs w:val="21"/>
              </w:rPr>
              <w:t>计划投资总额、资金来源、出资比例、资金落实情况</w:t>
            </w:r>
          </w:p>
        </w:tc>
        <w:tc>
          <w:tcPr>
            <w:tcW w:w="5106" w:type="dxa"/>
            <w:vAlign w:val="center"/>
          </w:tcPr>
          <w:p>
            <w:pPr>
              <w:adjustRightInd w:val="0"/>
              <w:snapToGrid w:val="0"/>
              <w:spacing w:before="36" w:beforeLines="15" w:after="36" w:afterLines="15"/>
              <w:rPr>
                <w:szCs w:val="21"/>
              </w:rPr>
            </w:pPr>
            <w:r>
              <w:rPr>
                <w:rFonts w:hint="eastAsia"/>
                <w:szCs w:val="21"/>
              </w:rPr>
              <w:t>计划投资总额：</w:t>
            </w:r>
            <w:r>
              <w:rPr>
                <w:szCs w:val="21"/>
                <w:u w:val="single"/>
              </w:rPr>
              <w:t xml:space="preserve">       </w:t>
            </w:r>
          </w:p>
          <w:p>
            <w:pPr>
              <w:adjustRightInd w:val="0"/>
              <w:snapToGrid w:val="0"/>
              <w:spacing w:before="36" w:beforeLines="15" w:after="36" w:afterLines="15"/>
              <w:rPr>
                <w:szCs w:val="21"/>
              </w:rPr>
            </w:pPr>
            <w:r>
              <w:rPr>
                <w:rFonts w:hint="eastAsia"/>
                <w:szCs w:val="21"/>
              </w:rPr>
              <w:t>资金来源：</w:t>
            </w:r>
            <w:r>
              <w:rPr>
                <w:szCs w:val="21"/>
                <w:u w:val="single"/>
              </w:rPr>
              <w:t xml:space="preserve">           </w:t>
            </w:r>
          </w:p>
          <w:p>
            <w:pPr>
              <w:adjustRightInd w:val="0"/>
              <w:snapToGrid w:val="0"/>
              <w:spacing w:before="36" w:beforeLines="15" w:after="36" w:afterLines="15"/>
              <w:rPr>
                <w:szCs w:val="21"/>
              </w:rPr>
            </w:pPr>
            <w:r>
              <w:rPr>
                <w:rFonts w:hint="eastAsia"/>
                <w:szCs w:val="21"/>
              </w:rPr>
              <w:t>出资比例：</w:t>
            </w:r>
            <w:r>
              <w:rPr>
                <w:szCs w:val="21"/>
                <w:u w:val="single"/>
              </w:rPr>
              <w:t xml:space="preserve">           </w:t>
            </w:r>
            <w:r>
              <w:rPr>
                <w:szCs w:val="21"/>
              </w:rPr>
              <w:t xml:space="preserve">                           </w:t>
            </w:r>
          </w:p>
          <w:p>
            <w:pPr>
              <w:adjustRightInd w:val="0"/>
              <w:snapToGrid w:val="0"/>
              <w:spacing w:before="36" w:beforeLines="15" w:after="36" w:afterLines="15"/>
              <w:rPr>
                <w:szCs w:val="21"/>
                <w:u w:val="single"/>
              </w:rPr>
            </w:pPr>
            <w:r>
              <w:rPr>
                <w:rFonts w:hint="eastAsia"/>
                <w:szCs w:val="21"/>
              </w:rPr>
              <w:t>资金落实情况：</w:t>
            </w:r>
            <w:r>
              <w:rPr>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09" w:type="dxa"/>
            <w:vAlign w:val="center"/>
          </w:tcPr>
          <w:p>
            <w:pPr>
              <w:adjustRightInd w:val="0"/>
              <w:snapToGrid w:val="0"/>
              <w:spacing w:before="108" w:beforeLines="45" w:after="108" w:afterLines="45"/>
              <w:jc w:val="center"/>
              <w:rPr>
                <w:b/>
                <w:szCs w:val="21"/>
              </w:rPr>
            </w:pPr>
            <w:r>
              <w:rPr>
                <w:b/>
                <w:szCs w:val="21"/>
              </w:rPr>
              <w:t>11</w:t>
            </w:r>
          </w:p>
        </w:tc>
        <w:tc>
          <w:tcPr>
            <w:tcW w:w="1035" w:type="dxa"/>
            <w:vAlign w:val="center"/>
          </w:tcPr>
          <w:p>
            <w:pPr>
              <w:adjustRightInd w:val="0"/>
              <w:snapToGrid w:val="0"/>
              <w:jc w:val="center"/>
              <w:rPr>
                <w:szCs w:val="21"/>
              </w:rPr>
            </w:pPr>
            <w:r>
              <w:rPr>
                <w:szCs w:val="21"/>
              </w:rPr>
              <w:t>1.3.1</w:t>
            </w:r>
          </w:p>
        </w:tc>
        <w:tc>
          <w:tcPr>
            <w:tcW w:w="1632" w:type="dxa"/>
            <w:vAlign w:val="center"/>
          </w:tcPr>
          <w:p>
            <w:pPr>
              <w:adjustRightInd w:val="0"/>
              <w:snapToGrid w:val="0"/>
              <w:rPr>
                <w:szCs w:val="21"/>
              </w:rPr>
            </w:pPr>
            <w:r>
              <w:rPr>
                <w:rFonts w:hint="eastAsia"/>
                <w:szCs w:val="21"/>
              </w:rPr>
              <w:t>招标范围</w:t>
            </w:r>
          </w:p>
        </w:tc>
        <w:tc>
          <w:tcPr>
            <w:tcW w:w="5106" w:type="dxa"/>
            <w:vAlign w:val="center"/>
          </w:tcPr>
          <w:p>
            <w:pPr>
              <w:tabs>
                <w:tab w:val="left" w:pos="1137"/>
                <w:tab w:val="left" w:pos="2554"/>
                <w:tab w:val="right" w:pos="6609"/>
              </w:tabs>
              <w:adjustRightInd w:val="0"/>
              <w:snapToGrid w:val="0"/>
              <w:spacing w:before="36" w:beforeLines="15" w:after="36" w:afterLines="15"/>
              <w:ind w:left="-12" w:leftChars="-6"/>
              <w:outlineLvl w:val="0"/>
              <w:rPr>
                <w:strike/>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09" w:type="dxa"/>
            <w:vAlign w:val="center"/>
          </w:tcPr>
          <w:p>
            <w:pPr>
              <w:adjustRightInd w:val="0"/>
              <w:snapToGrid w:val="0"/>
              <w:spacing w:before="108" w:beforeLines="45" w:after="108" w:afterLines="45"/>
              <w:jc w:val="center"/>
              <w:rPr>
                <w:b/>
                <w:szCs w:val="21"/>
              </w:rPr>
            </w:pPr>
            <w:r>
              <w:rPr>
                <w:b/>
                <w:szCs w:val="21"/>
              </w:rPr>
              <w:t>12</w:t>
            </w:r>
          </w:p>
        </w:tc>
        <w:tc>
          <w:tcPr>
            <w:tcW w:w="1035" w:type="dxa"/>
            <w:vAlign w:val="center"/>
          </w:tcPr>
          <w:p>
            <w:pPr>
              <w:adjustRightInd w:val="0"/>
              <w:snapToGrid w:val="0"/>
              <w:jc w:val="center"/>
              <w:rPr>
                <w:szCs w:val="21"/>
              </w:rPr>
            </w:pPr>
            <w:r>
              <w:rPr>
                <w:szCs w:val="21"/>
              </w:rPr>
              <w:t>1.3.2</w:t>
            </w:r>
          </w:p>
        </w:tc>
        <w:tc>
          <w:tcPr>
            <w:tcW w:w="1632" w:type="dxa"/>
            <w:vAlign w:val="center"/>
          </w:tcPr>
          <w:p>
            <w:pPr>
              <w:adjustRightInd w:val="0"/>
              <w:snapToGrid w:val="0"/>
              <w:rPr>
                <w:szCs w:val="21"/>
              </w:rPr>
            </w:pPr>
            <w:r>
              <w:rPr>
                <w:rFonts w:hint="eastAsia"/>
                <w:szCs w:val="21"/>
              </w:rPr>
              <w:t>计划工期</w:t>
            </w:r>
          </w:p>
        </w:tc>
        <w:tc>
          <w:tcPr>
            <w:tcW w:w="5106" w:type="dxa"/>
            <w:vAlign w:val="center"/>
          </w:tcPr>
          <w:p>
            <w:pPr>
              <w:snapToGrid w:val="0"/>
              <w:rPr>
                <w:szCs w:val="21"/>
              </w:rPr>
            </w:pPr>
            <w:r>
              <w:rPr>
                <w:rFonts w:hint="eastAsia"/>
                <w:szCs w:val="21"/>
              </w:rPr>
              <w:t>计划工期：</w:t>
            </w:r>
            <w:r>
              <w:rPr>
                <w:szCs w:val="21"/>
                <w:u w:val="single"/>
              </w:rPr>
              <w:t xml:space="preserve">        </w:t>
            </w:r>
            <w:r>
              <w:rPr>
                <w:rFonts w:hint="eastAsia"/>
                <w:szCs w:val="21"/>
              </w:rPr>
              <w:t>日历天</w:t>
            </w:r>
          </w:p>
          <w:p>
            <w:pPr>
              <w:snapToGrid w:val="0"/>
              <w:rPr>
                <w:szCs w:val="21"/>
              </w:rPr>
            </w:pPr>
            <w:r>
              <w:rPr>
                <w:rFonts w:hint="eastAsia"/>
                <w:szCs w:val="21"/>
              </w:rPr>
              <w:t>计划开工日期：</w:t>
            </w:r>
            <w:r>
              <w:rPr>
                <w:szCs w:val="21"/>
                <w:u w:val="single"/>
              </w:rPr>
              <w:t xml:space="preserve">    </w:t>
            </w:r>
            <w:r>
              <w:rPr>
                <w:rFonts w:hint="eastAsia"/>
                <w:szCs w:val="21"/>
              </w:rPr>
              <w:t>年</w:t>
            </w:r>
            <w:r>
              <w:rPr>
                <w:szCs w:val="21"/>
              </w:rPr>
              <w:t xml:space="preserve"> </w:t>
            </w:r>
            <w:r>
              <w:rPr>
                <w:szCs w:val="21"/>
                <w:u w:val="single"/>
              </w:rPr>
              <w:t xml:space="preserve">     </w:t>
            </w:r>
            <w:r>
              <w:rPr>
                <w:rFonts w:hint="eastAsia"/>
                <w:szCs w:val="21"/>
              </w:rPr>
              <w:t>月</w:t>
            </w:r>
            <w:r>
              <w:rPr>
                <w:szCs w:val="21"/>
                <w:u w:val="single"/>
              </w:rPr>
              <w:t xml:space="preserve">    </w:t>
            </w:r>
            <w:r>
              <w:rPr>
                <w:rFonts w:hint="eastAsia"/>
                <w:szCs w:val="21"/>
              </w:rPr>
              <w:t>日</w:t>
            </w:r>
          </w:p>
          <w:p>
            <w:pPr>
              <w:snapToGrid w:val="0"/>
              <w:rPr>
                <w:szCs w:val="21"/>
              </w:rPr>
            </w:pPr>
            <w:r>
              <w:rPr>
                <w:rFonts w:hint="eastAsia"/>
                <w:szCs w:val="21"/>
              </w:rPr>
              <w:t>计划竣工日期：</w:t>
            </w:r>
            <w:r>
              <w:rPr>
                <w:szCs w:val="21"/>
                <w:u w:val="single"/>
              </w:rPr>
              <w:t xml:space="preserve">    </w:t>
            </w:r>
            <w:r>
              <w:rPr>
                <w:rFonts w:hint="eastAsia"/>
                <w:szCs w:val="21"/>
              </w:rPr>
              <w:t>年</w:t>
            </w:r>
            <w:r>
              <w:rPr>
                <w:szCs w:val="21"/>
              </w:rPr>
              <w:t xml:space="preserve"> </w:t>
            </w:r>
            <w:r>
              <w:rPr>
                <w:szCs w:val="21"/>
                <w:u w:val="single"/>
              </w:rPr>
              <w:t xml:space="preserve">     </w:t>
            </w:r>
            <w:r>
              <w:rPr>
                <w:rFonts w:hint="eastAsia"/>
                <w:szCs w:val="21"/>
              </w:rPr>
              <w:t>月</w:t>
            </w:r>
            <w:r>
              <w:rPr>
                <w:szCs w:val="21"/>
                <w:u w:val="single"/>
              </w:rPr>
              <w:t xml:space="preserve">    </w:t>
            </w:r>
            <w:r>
              <w:rPr>
                <w:rFonts w:hint="eastAsia"/>
                <w:szCs w:val="21"/>
              </w:rPr>
              <w:t>日</w:t>
            </w:r>
          </w:p>
          <w:p>
            <w:pPr>
              <w:snapToGrid w:val="0"/>
              <w:rPr>
                <w:szCs w:val="21"/>
              </w:rPr>
            </w:pPr>
            <w:r>
              <w:rPr>
                <w:rFonts w:hint="eastAsia"/>
                <w:szCs w:val="21"/>
              </w:rPr>
              <w:t>除上述总工期外，发包人还要求以下阶段工期：</w:t>
            </w:r>
          </w:p>
          <w:p>
            <w:pPr>
              <w:adjustRightInd w:val="0"/>
              <w:snapToGrid w:val="0"/>
              <w:rPr>
                <w:szCs w:val="21"/>
              </w:rPr>
            </w:pP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adjustRightInd w:val="0"/>
              <w:snapToGrid w:val="0"/>
              <w:rPr>
                <w:strike/>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09" w:type="dxa"/>
            <w:vAlign w:val="center"/>
          </w:tcPr>
          <w:p>
            <w:pPr>
              <w:adjustRightInd w:val="0"/>
              <w:snapToGrid w:val="0"/>
              <w:spacing w:before="108" w:beforeLines="45" w:after="108" w:afterLines="45"/>
              <w:jc w:val="center"/>
              <w:rPr>
                <w:b/>
                <w:szCs w:val="21"/>
              </w:rPr>
            </w:pPr>
            <w:r>
              <w:rPr>
                <w:b/>
                <w:szCs w:val="21"/>
              </w:rPr>
              <w:t>13</w:t>
            </w:r>
          </w:p>
        </w:tc>
        <w:tc>
          <w:tcPr>
            <w:tcW w:w="1035" w:type="dxa"/>
            <w:vAlign w:val="center"/>
          </w:tcPr>
          <w:p>
            <w:pPr>
              <w:adjustRightInd w:val="0"/>
              <w:snapToGrid w:val="0"/>
              <w:jc w:val="center"/>
              <w:rPr>
                <w:szCs w:val="21"/>
              </w:rPr>
            </w:pPr>
            <w:r>
              <w:rPr>
                <w:szCs w:val="21"/>
              </w:rPr>
              <w:t>1.3.3</w:t>
            </w:r>
          </w:p>
        </w:tc>
        <w:tc>
          <w:tcPr>
            <w:tcW w:w="1632" w:type="dxa"/>
            <w:vAlign w:val="center"/>
          </w:tcPr>
          <w:p>
            <w:pPr>
              <w:adjustRightInd w:val="0"/>
              <w:snapToGrid w:val="0"/>
              <w:rPr>
                <w:szCs w:val="21"/>
              </w:rPr>
            </w:pPr>
            <w:r>
              <w:rPr>
                <w:rFonts w:hint="eastAsia"/>
                <w:szCs w:val="21"/>
              </w:rPr>
              <w:t>质量要求</w:t>
            </w:r>
          </w:p>
        </w:tc>
        <w:tc>
          <w:tcPr>
            <w:tcW w:w="5106" w:type="dxa"/>
            <w:vAlign w:val="center"/>
          </w:tcPr>
          <w:p>
            <w:pPr>
              <w:spacing w:line="440" w:lineRule="exact"/>
              <w:rPr>
                <w:szCs w:val="21"/>
                <w:u w:val="single"/>
              </w:rPr>
            </w:pPr>
            <w:r>
              <w:rPr>
                <w:rFonts w:hint="eastAsia"/>
                <w:szCs w:val="21"/>
              </w:rPr>
              <w:t>质量标准：</w:t>
            </w:r>
            <w:r>
              <w:rPr>
                <w:kern w:val="0"/>
                <w:szCs w:val="21"/>
                <w:u w:val="single"/>
              </w:rPr>
              <w:t xml:space="preserve">         </w:t>
            </w:r>
          </w:p>
          <w:p>
            <w:pPr>
              <w:adjustRightInd w:val="0"/>
              <w:snapToGrid w:val="0"/>
              <w:spacing w:before="36" w:beforeLines="15" w:after="36" w:afterLines="15"/>
              <w:rPr>
                <w:szCs w:val="21"/>
              </w:rPr>
            </w:pPr>
            <w:r>
              <w:rPr>
                <w:rFonts w:hint="eastAsia"/>
                <w:szCs w:val="21"/>
              </w:rPr>
              <w:t>关于质量要求的详细说明见第七章</w:t>
            </w:r>
            <w:r>
              <w:rPr>
                <w:szCs w:val="21"/>
              </w:rPr>
              <w:t>“</w:t>
            </w:r>
            <w:r>
              <w:rPr>
                <w:rFonts w:hint="eastAsia"/>
                <w:szCs w:val="21"/>
              </w:rPr>
              <w:t>技术标准和要求</w:t>
            </w:r>
            <w:r>
              <w:rPr>
                <w:szCs w:val="21"/>
              </w:rPr>
              <w:t>”</w:t>
            </w:r>
            <w:r>
              <w:rPr>
                <w:rFonts w:hint="eastAsia"/>
                <w:szCs w:val="21"/>
              </w:rPr>
              <w:t>。</w:t>
            </w:r>
          </w:p>
          <w:p>
            <w:pPr>
              <w:adjustRightInd w:val="0"/>
              <w:snapToGrid w:val="0"/>
              <w:spacing w:before="36" w:beforeLines="15" w:after="36" w:afterLines="15"/>
              <w:rPr>
                <w:szCs w:val="21"/>
              </w:rPr>
            </w:pPr>
            <w:r>
              <w:rPr>
                <w:rFonts w:hint="eastAsia"/>
                <w:szCs w:val="21"/>
              </w:rPr>
              <w:t>现场安全文明施工目标要求：</w:t>
            </w:r>
            <w:r>
              <w:rPr>
                <w:szCs w:val="21"/>
                <w:u w:val="single"/>
              </w:rPr>
              <w:t xml:space="preserve">  </w:t>
            </w:r>
            <w:r>
              <w:rPr>
                <w:rFonts w:hint="eastAsia"/>
                <w:szCs w:val="21"/>
                <w:u w:val="single"/>
              </w:rPr>
              <w:t xml:space="preserve">             </w:t>
            </w:r>
            <w:r>
              <w:rPr>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09" w:type="dxa"/>
            <w:vAlign w:val="center"/>
          </w:tcPr>
          <w:p>
            <w:pPr>
              <w:adjustRightInd w:val="0"/>
              <w:snapToGrid w:val="0"/>
              <w:spacing w:before="108" w:beforeLines="45" w:after="108" w:afterLines="45"/>
              <w:jc w:val="center"/>
              <w:rPr>
                <w:b/>
                <w:szCs w:val="21"/>
              </w:rPr>
            </w:pPr>
            <w:r>
              <w:rPr>
                <w:b/>
                <w:szCs w:val="21"/>
              </w:rPr>
              <w:t>14</w:t>
            </w:r>
          </w:p>
        </w:tc>
        <w:tc>
          <w:tcPr>
            <w:tcW w:w="1035" w:type="dxa"/>
            <w:vAlign w:val="center"/>
          </w:tcPr>
          <w:p>
            <w:pPr>
              <w:adjustRightInd w:val="0"/>
              <w:snapToGrid w:val="0"/>
              <w:jc w:val="center"/>
              <w:rPr>
                <w:szCs w:val="21"/>
              </w:rPr>
            </w:pPr>
            <w:r>
              <w:rPr>
                <w:szCs w:val="21"/>
              </w:rPr>
              <w:t>1.4.1</w:t>
            </w:r>
          </w:p>
        </w:tc>
        <w:tc>
          <w:tcPr>
            <w:tcW w:w="1632" w:type="dxa"/>
            <w:vAlign w:val="center"/>
          </w:tcPr>
          <w:p>
            <w:pPr>
              <w:adjustRightInd w:val="0"/>
              <w:snapToGrid w:val="0"/>
              <w:rPr>
                <w:szCs w:val="21"/>
              </w:rPr>
            </w:pPr>
            <w:r>
              <w:rPr>
                <w:rFonts w:hint="eastAsia"/>
                <w:szCs w:val="21"/>
              </w:rPr>
              <w:t>投标人的资格条件、能力和信誉</w:t>
            </w:r>
          </w:p>
        </w:tc>
        <w:tc>
          <w:tcPr>
            <w:tcW w:w="5106" w:type="dxa"/>
            <w:vAlign w:val="center"/>
          </w:tcPr>
          <w:p>
            <w:pPr>
              <w:rPr>
                <w:rFonts w:hAnsi="宋体"/>
                <w:strike/>
                <w:szCs w:val="21"/>
                <w:u w:val="single"/>
              </w:rPr>
            </w:pPr>
            <w:r>
              <w:rPr>
                <w:szCs w:val="21"/>
              </w:rPr>
              <w:t>*</w:t>
            </w:r>
            <w:r>
              <w:rPr>
                <w:rFonts w:hint="eastAsia"/>
                <w:b/>
              </w:rPr>
              <w:t>投标人</w:t>
            </w:r>
            <w:r>
              <w:rPr>
                <w:rFonts w:hint="eastAsia" w:hAnsi="宋体"/>
                <w:b/>
              </w:rPr>
              <w:t>资格</w:t>
            </w:r>
            <w:r>
              <w:rPr>
                <w:rFonts w:hint="eastAsia"/>
                <w:b/>
                <w:szCs w:val="21"/>
              </w:rPr>
              <w:t>条件</w:t>
            </w:r>
            <w:r>
              <w:rPr>
                <w:rFonts w:hint="eastAsia"/>
                <w:szCs w:val="21"/>
              </w:rPr>
              <w:t>：</w:t>
            </w:r>
            <w:r>
              <w:rPr>
                <w:rFonts w:hint="eastAsia"/>
                <w:szCs w:val="21"/>
                <w:u w:val="single"/>
              </w:rPr>
              <w:t>投标人须为在中华人民共和国境内合法注册的法人实体，须具备有效营业执照并处于正常开业状态，且</w:t>
            </w:r>
            <w:r>
              <w:rPr>
                <w:rFonts w:hint="eastAsia" w:hAnsi="宋体"/>
                <w:szCs w:val="21"/>
                <w:u w:val="single"/>
              </w:rPr>
              <w:t>具备承担招标工程的能力。</w:t>
            </w:r>
          </w:p>
          <w:p>
            <w:pPr>
              <w:rPr>
                <w:rFonts w:hAnsi="宋体"/>
                <w:strike/>
                <w:szCs w:val="21"/>
                <w:u w:val="single"/>
              </w:rPr>
            </w:pPr>
            <w:r>
              <w:rPr>
                <w:szCs w:val="21"/>
              </w:rPr>
              <w:t>*</w:t>
            </w:r>
            <w:r>
              <w:rPr>
                <w:rFonts w:hint="eastAsia"/>
                <w:b/>
                <w:szCs w:val="21"/>
              </w:rPr>
              <w:t>项目负责人要求：</w:t>
            </w:r>
            <w:r>
              <w:rPr>
                <w:rFonts w:hint="eastAsia"/>
                <w:szCs w:val="21"/>
                <w:u w:val="single"/>
              </w:rPr>
              <w:t>具备相应的现场管理工作经历和专业技术能力；并未在其他在建施工项目中担任项目负责人</w:t>
            </w:r>
            <w:r>
              <w:rPr>
                <w:rFonts w:hint="eastAsia"/>
                <w:szCs w:val="21"/>
              </w:rPr>
              <w:t>。</w:t>
            </w:r>
          </w:p>
          <w:p>
            <w:pPr>
              <w:adjustRightInd w:val="0"/>
              <w:snapToGrid w:val="0"/>
              <w:rPr>
                <w:szCs w:val="21"/>
              </w:rPr>
            </w:pPr>
            <w:r>
              <w:rPr>
                <w:szCs w:val="21"/>
              </w:rPr>
              <w:t>*</w:t>
            </w:r>
            <w:r>
              <w:rPr>
                <w:rFonts w:hint="eastAsia"/>
                <w:b/>
                <w:szCs w:val="21"/>
              </w:rPr>
              <w:t>财务要求：</w:t>
            </w:r>
            <w:r>
              <w:rPr>
                <w:rFonts w:hint="eastAsia"/>
                <w:szCs w:val="21"/>
                <w:u w:val="single"/>
              </w:rPr>
              <w:t>投标人没有</w:t>
            </w:r>
            <w:r>
              <w:rPr>
                <w:rFonts w:hint="eastAsia"/>
                <w:u w:val="single"/>
              </w:rPr>
              <w:t>处于被责令停业，财产被接管、冻结，没有处于破产状态。须提供的资料：</w:t>
            </w:r>
            <w:r>
              <w:rPr>
                <w:rFonts w:hint="eastAsia"/>
                <w:szCs w:val="21"/>
                <w:u w:val="single"/>
              </w:rPr>
              <w:t>近</w:t>
            </w:r>
            <w:r>
              <w:rPr>
                <w:szCs w:val="21"/>
                <w:u w:val="single"/>
              </w:rPr>
              <w:t xml:space="preserve">  </w:t>
            </w:r>
            <w:r>
              <w:rPr>
                <w:rFonts w:hint="eastAsia" w:hAnsi="宋体"/>
                <w:szCs w:val="21"/>
                <w:u w:val="single"/>
              </w:rPr>
              <w:t>年经审计机构审计的财务报表，包括资产负债表、损益表、现金流量表或近  个月内银行资信证明，并加盖投标投标人单位印章。</w:t>
            </w:r>
            <w:r>
              <w:rPr>
                <w:szCs w:val="21"/>
              </w:rPr>
              <w:t xml:space="preserve"> </w:t>
            </w:r>
          </w:p>
          <w:p>
            <w:pPr>
              <w:tabs>
                <w:tab w:val="left" w:pos="938"/>
              </w:tabs>
              <w:snapToGrid w:val="0"/>
              <w:rPr>
                <w:rFonts w:hAnsi="宋体"/>
                <w:bCs/>
                <w:szCs w:val="21"/>
              </w:rPr>
            </w:pPr>
            <w:r>
              <w:rPr>
                <w:rFonts w:hint="eastAsia" w:hAnsi="宋体"/>
                <w:szCs w:val="21"/>
              </w:rPr>
              <w:t>近年财务状况的年份要求：</w:t>
            </w:r>
            <w:r>
              <w:rPr>
                <w:szCs w:val="21"/>
                <w:u w:val="single"/>
              </w:rPr>
              <w:t xml:space="preserve">  </w:t>
            </w:r>
            <w:r>
              <w:rPr>
                <w:rFonts w:hint="eastAsia" w:hAnsi="宋体"/>
                <w:szCs w:val="21"/>
              </w:rPr>
              <w:t>年，</w:t>
            </w:r>
            <w:r>
              <w:rPr>
                <w:rFonts w:hint="eastAsia" w:hAnsi="宋体"/>
                <w:bCs/>
                <w:szCs w:val="21"/>
              </w:rPr>
              <w:t>指</w:t>
            </w:r>
            <w:r>
              <w:rPr>
                <w:bCs/>
                <w:szCs w:val="21"/>
                <w:u w:val="single"/>
              </w:rPr>
              <w:t xml:space="preserve">   </w:t>
            </w:r>
            <w:r>
              <w:rPr>
                <w:rFonts w:hint="eastAsia" w:hAnsi="宋体"/>
                <w:bCs/>
                <w:szCs w:val="21"/>
              </w:rPr>
              <w:t>年</w:t>
            </w:r>
            <w:r>
              <w:rPr>
                <w:rFonts w:hAnsi="宋体"/>
                <w:bCs/>
                <w:szCs w:val="21"/>
                <w:u w:val="single"/>
              </w:rPr>
              <w:t xml:space="preserve">  </w:t>
            </w:r>
            <w:r>
              <w:rPr>
                <w:rFonts w:hint="eastAsia" w:hAnsi="宋体"/>
                <w:bCs/>
                <w:szCs w:val="21"/>
              </w:rPr>
              <w:t>月</w:t>
            </w:r>
            <w:r>
              <w:rPr>
                <w:bCs/>
                <w:szCs w:val="21"/>
                <w:u w:val="single"/>
              </w:rPr>
              <w:t xml:space="preserve">  </w:t>
            </w:r>
            <w:r>
              <w:rPr>
                <w:rFonts w:hint="eastAsia" w:hAnsi="宋体"/>
                <w:bCs/>
                <w:szCs w:val="21"/>
              </w:rPr>
              <w:t>日起至</w:t>
            </w:r>
            <w:r>
              <w:rPr>
                <w:rFonts w:hAnsi="宋体"/>
                <w:bCs/>
                <w:szCs w:val="21"/>
                <w:u w:val="single"/>
              </w:rPr>
              <w:t xml:space="preserve">    </w:t>
            </w:r>
            <w:r>
              <w:rPr>
                <w:rFonts w:hint="eastAsia" w:hAnsi="宋体"/>
                <w:bCs/>
                <w:szCs w:val="21"/>
              </w:rPr>
              <w:t>年</w:t>
            </w:r>
            <w:r>
              <w:rPr>
                <w:bCs/>
                <w:szCs w:val="21"/>
                <w:u w:val="single"/>
              </w:rPr>
              <w:t xml:space="preserve">  </w:t>
            </w:r>
            <w:r>
              <w:rPr>
                <w:rFonts w:hint="eastAsia" w:hAnsi="宋体"/>
                <w:bCs/>
                <w:szCs w:val="21"/>
              </w:rPr>
              <w:t>月</w:t>
            </w:r>
            <w:r>
              <w:rPr>
                <w:bCs/>
                <w:szCs w:val="21"/>
                <w:u w:val="single"/>
              </w:rPr>
              <w:t xml:space="preserve">  </w:t>
            </w:r>
            <w:r>
              <w:rPr>
                <w:rFonts w:hint="eastAsia" w:hAnsi="宋体"/>
                <w:bCs/>
                <w:szCs w:val="21"/>
              </w:rPr>
              <w:t>日止。</w:t>
            </w:r>
          </w:p>
          <w:p>
            <w:pPr>
              <w:pStyle w:val="21"/>
              <w:topLinePunct/>
              <w:snapToGrid w:val="0"/>
              <w:spacing w:line="340" w:lineRule="exact"/>
              <w:jc w:val="left"/>
              <w:rPr>
                <w:b/>
                <w:sz w:val="21"/>
                <w:szCs w:val="21"/>
              </w:rPr>
            </w:pPr>
            <w:r>
              <w:rPr>
                <w:rFonts w:hint="eastAsia"/>
                <w:b/>
                <w:sz w:val="21"/>
                <w:szCs w:val="21"/>
              </w:rPr>
              <w:t>业绩要求：</w:t>
            </w:r>
            <w:r>
              <w:rPr>
                <w:b/>
                <w:sz w:val="21"/>
                <w:szCs w:val="21"/>
              </w:rPr>
              <w:t xml:space="preserve"> </w:t>
            </w:r>
          </w:p>
          <w:p>
            <w:pPr>
              <w:pStyle w:val="21"/>
              <w:topLinePunct/>
              <w:snapToGrid w:val="0"/>
              <w:spacing w:after="0"/>
              <w:jc w:val="left"/>
              <w:rPr>
                <w:rFonts w:hAnsi="宋体"/>
                <w:sz w:val="21"/>
                <w:szCs w:val="21"/>
              </w:rPr>
            </w:pPr>
            <w:r>
              <w:rPr>
                <w:rFonts w:hint="eastAsia" w:hAnsi="宋体"/>
                <w:sz w:val="21"/>
                <w:szCs w:val="21"/>
              </w:rPr>
              <w:t>□需要</w:t>
            </w:r>
          </w:p>
          <w:p>
            <w:pPr>
              <w:pStyle w:val="21"/>
              <w:topLinePunct/>
              <w:snapToGrid w:val="0"/>
              <w:spacing w:after="0"/>
              <w:jc w:val="left"/>
              <w:rPr>
                <w:rFonts w:hAnsi="宋体"/>
                <w:sz w:val="21"/>
                <w:szCs w:val="21"/>
              </w:rPr>
            </w:pPr>
            <w:r>
              <w:rPr>
                <w:rFonts w:hint="eastAsia" w:hAnsi="宋体"/>
                <w:sz w:val="21"/>
                <w:szCs w:val="21"/>
              </w:rPr>
              <w:t>□不需要</w:t>
            </w:r>
          </w:p>
          <w:p>
            <w:pPr>
              <w:pStyle w:val="21"/>
              <w:topLinePunct/>
              <w:snapToGrid w:val="0"/>
              <w:spacing w:line="340" w:lineRule="exact"/>
              <w:jc w:val="left"/>
              <w:rPr>
                <w:rFonts w:hAnsi="宋体"/>
                <w:sz w:val="21"/>
                <w:szCs w:val="21"/>
                <w:u w:val="single"/>
              </w:rPr>
            </w:pPr>
            <w:r>
              <w:rPr>
                <w:rFonts w:hint="eastAsia" w:hAnsi="宋体"/>
                <w:sz w:val="21"/>
                <w:szCs w:val="21"/>
                <w:u w:val="single"/>
              </w:rPr>
              <w:t>投标人在近</w:t>
            </w:r>
            <w:r>
              <w:rPr>
                <w:rFonts w:hAnsi="宋体"/>
                <w:sz w:val="21"/>
                <w:szCs w:val="21"/>
                <w:u w:val="single"/>
              </w:rPr>
              <w:t xml:space="preserve">   </w:t>
            </w:r>
            <w:r>
              <w:rPr>
                <w:rFonts w:hint="eastAsia" w:hAnsi="宋体"/>
                <w:sz w:val="21"/>
                <w:szCs w:val="21"/>
                <w:u w:val="single"/>
              </w:rPr>
              <w:t>年内至少有一个类似的园林绿化工程项目的业绩；</w:t>
            </w:r>
            <w:r>
              <w:rPr>
                <w:rFonts w:hAnsi="宋体"/>
                <w:sz w:val="21"/>
                <w:szCs w:val="21"/>
                <w:u w:val="single"/>
              </w:rPr>
              <w:t>(</w:t>
            </w:r>
            <w:r>
              <w:rPr>
                <w:rFonts w:hint="eastAsia" w:hAnsi="宋体"/>
                <w:sz w:val="21"/>
                <w:szCs w:val="21"/>
                <w:u w:val="single"/>
              </w:rPr>
              <w:t>业绩以北京市园林绿化建设市场信用信息系统中自行录入的业绩等信息为准，下载招标文件阶段系统自动校验。）</w:t>
            </w:r>
          </w:p>
          <w:p>
            <w:pPr>
              <w:pStyle w:val="21"/>
              <w:topLinePunct/>
              <w:snapToGrid w:val="0"/>
              <w:spacing w:line="340" w:lineRule="exact"/>
              <w:jc w:val="left"/>
              <w:rPr>
                <w:rFonts w:hAnsi="宋体"/>
                <w:bCs/>
                <w:sz w:val="21"/>
                <w:szCs w:val="21"/>
              </w:rPr>
            </w:pPr>
            <w:r>
              <w:rPr>
                <w:rFonts w:hint="eastAsia" w:hAnsi="宋体"/>
                <w:sz w:val="21"/>
                <w:szCs w:val="21"/>
              </w:rPr>
              <w:t>近年完成的类似项目的年份要求：</w:t>
            </w:r>
            <w:r>
              <w:rPr>
                <w:sz w:val="21"/>
                <w:szCs w:val="21"/>
                <w:u w:val="single"/>
              </w:rPr>
              <w:t xml:space="preserve">  </w:t>
            </w:r>
            <w:r>
              <w:rPr>
                <w:rFonts w:hint="eastAsia" w:hAnsi="宋体"/>
                <w:sz w:val="21"/>
                <w:szCs w:val="21"/>
              </w:rPr>
              <w:t>年，</w:t>
            </w:r>
            <w:r>
              <w:rPr>
                <w:rFonts w:hint="eastAsia" w:hAnsi="宋体"/>
                <w:bCs/>
                <w:sz w:val="21"/>
                <w:szCs w:val="21"/>
              </w:rPr>
              <w:t>指</w:t>
            </w:r>
            <w:r>
              <w:rPr>
                <w:bCs/>
                <w:sz w:val="21"/>
                <w:szCs w:val="21"/>
                <w:u w:val="single"/>
              </w:rPr>
              <w:t xml:space="preserve">     </w:t>
            </w:r>
            <w:r>
              <w:rPr>
                <w:rFonts w:hint="eastAsia" w:hAnsi="宋体"/>
                <w:bCs/>
                <w:sz w:val="21"/>
                <w:szCs w:val="21"/>
              </w:rPr>
              <w:t>年</w:t>
            </w:r>
            <w:r>
              <w:rPr>
                <w:bCs/>
                <w:sz w:val="21"/>
                <w:szCs w:val="21"/>
                <w:u w:val="single"/>
              </w:rPr>
              <w:t xml:space="preserve">  </w:t>
            </w:r>
            <w:r>
              <w:rPr>
                <w:rFonts w:hint="eastAsia" w:hAnsi="宋体"/>
                <w:bCs/>
                <w:sz w:val="21"/>
                <w:szCs w:val="21"/>
              </w:rPr>
              <w:t>月</w:t>
            </w:r>
            <w:r>
              <w:rPr>
                <w:bCs/>
                <w:sz w:val="21"/>
                <w:szCs w:val="21"/>
                <w:u w:val="single"/>
              </w:rPr>
              <w:t xml:space="preserve">  </w:t>
            </w:r>
            <w:r>
              <w:rPr>
                <w:rFonts w:hint="eastAsia" w:hAnsi="宋体"/>
                <w:bCs/>
                <w:sz w:val="21"/>
                <w:szCs w:val="21"/>
              </w:rPr>
              <w:t>日起至</w:t>
            </w:r>
            <w:r>
              <w:rPr>
                <w:bCs/>
                <w:sz w:val="21"/>
                <w:szCs w:val="21"/>
                <w:u w:val="single"/>
              </w:rPr>
              <w:t xml:space="preserve">    </w:t>
            </w:r>
            <w:r>
              <w:rPr>
                <w:rFonts w:hint="eastAsia" w:hAnsi="宋体"/>
                <w:bCs/>
                <w:sz w:val="21"/>
                <w:szCs w:val="21"/>
              </w:rPr>
              <w:t>年</w:t>
            </w:r>
            <w:r>
              <w:rPr>
                <w:bCs/>
                <w:sz w:val="21"/>
                <w:szCs w:val="21"/>
                <w:u w:val="single"/>
              </w:rPr>
              <w:t xml:space="preserve">   </w:t>
            </w:r>
            <w:r>
              <w:rPr>
                <w:rFonts w:hint="eastAsia" w:hAnsi="宋体"/>
                <w:bCs/>
                <w:sz w:val="21"/>
                <w:szCs w:val="21"/>
              </w:rPr>
              <w:t>月</w:t>
            </w:r>
            <w:r>
              <w:rPr>
                <w:bCs/>
                <w:sz w:val="21"/>
                <w:szCs w:val="21"/>
                <w:u w:val="single"/>
              </w:rPr>
              <w:t xml:space="preserve">  </w:t>
            </w:r>
            <w:r>
              <w:rPr>
                <w:rFonts w:hint="eastAsia" w:hAnsi="宋体"/>
                <w:bCs/>
                <w:sz w:val="21"/>
                <w:szCs w:val="21"/>
              </w:rPr>
              <w:t>日止。</w:t>
            </w:r>
          </w:p>
          <w:p>
            <w:pPr>
              <w:pStyle w:val="21"/>
              <w:topLinePunct/>
              <w:snapToGrid w:val="0"/>
              <w:spacing w:line="340" w:lineRule="exact"/>
              <w:jc w:val="left"/>
              <w:rPr>
                <w:rFonts w:hAnsi="宋体"/>
                <w:bCs/>
                <w:sz w:val="21"/>
                <w:szCs w:val="21"/>
              </w:rPr>
            </w:pPr>
            <w:r>
              <w:rPr>
                <w:rFonts w:hint="eastAsia"/>
                <w:sz w:val="21"/>
                <w:szCs w:val="21"/>
              </w:rPr>
              <w:t>类似项目是指：竣工合同价在</w:t>
            </w:r>
            <w:r>
              <w:rPr>
                <w:sz w:val="21"/>
                <w:szCs w:val="21"/>
                <w:u w:val="single"/>
              </w:rPr>
              <w:t xml:space="preserve">     </w:t>
            </w:r>
            <w:r>
              <w:rPr>
                <w:rFonts w:hint="eastAsia"/>
                <w:sz w:val="21"/>
                <w:szCs w:val="21"/>
                <w:u w:val="single"/>
              </w:rPr>
              <w:t>（金额）</w:t>
            </w:r>
            <w:r>
              <w:rPr>
                <w:rFonts w:hint="eastAsia"/>
                <w:sz w:val="21"/>
                <w:szCs w:val="21"/>
              </w:rPr>
              <w:t>万元（含）以上</w:t>
            </w:r>
            <w:r>
              <w:rPr>
                <w:sz w:val="21"/>
                <w:szCs w:val="21"/>
                <w:u w:val="single"/>
              </w:rPr>
              <w:t xml:space="preserve">   </w:t>
            </w:r>
            <w:r>
              <w:rPr>
                <w:rFonts w:hint="eastAsia"/>
                <w:sz w:val="21"/>
                <w:szCs w:val="21"/>
                <w:u w:val="single"/>
              </w:rPr>
              <w:t>（工程类型）</w:t>
            </w:r>
            <w:r>
              <w:rPr>
                <w:rFonts w:hint="eastAsia"/>
                <w:sz w:val="21"/>
                <w:szCs w:val="21"/>
              </w:rPr>
              <w:t>工程。</w:t>
            </w:r>
          </w:p>
          <w:p>
            <w:pPr>
              <w:adjustRightInd w:val="0"/>
              <w:snapToGrid w:val="0"/>
              <w:rPr>
                <w:szCs w:val="21"/>
              </w:rPr>
            </w:pPr>
            <w:r>
              <w:rPr>
                <w:szCs w:val="21"/>
              </w:rPr>
              <w:t>*</w:t>
            </w:r>
            <w:r>
              <w:rPr>
                <w:rFonts w:hint="eastAsia"/>
                <w:b/>
                <w:szCs w:val="21"/>
              </w:rPr>
              <w:t>信誉要求</w:t>
            </w:r>
            <w:r>
              <w:rPr>
                <w:rFonts w:hint="eastAsia"/>
                <w:szCs w:val="21"/>
              </w:rPr>
              <w:t>：</w:t>
            </w:r>
          </w:p>
          <w:p>
            <w:pPr>
              <w:adjustRightInd w:val="0"/>
              <w:snapToGrid w:val="0"/>
              <w:rPr>
                <w:szCs w:val="21"/>
              </w:rPr>
            </w:pPr>
            <w:r>
              <w:rPr>
                <w:rFonts w:hint="eastAsia"/>
                <w:szCs w:val="21"/>
              </w:rPr>
              <w:t>□</w:t>
            </w:r>
            <w:r>
              <w:rPr>
                <w:szCs w:val="21"/>
              </w:rPr>
              <w:t xml:space="preserve"> </w:t>
            </w:r>
            <w:r>
              <w:rPr>
                <w:rFonts w:hint="eastAsia"/>
                <w:szCs w:val="21"/>
              </w:rPr>
              <w:t>投标人须未被“信用中国”网站列入“失信被执行人”</w:t>
            </w:r>
            <w:r>
              <w:rPr>
                <w:szCs w:val="21"/>
              </w:rPr>
              <w:t xml:space="preserve"> </w:t>
            </w:r>
            <w:r>
              <w:rPr>
                <w:rFonts w:hint="eastAsia"/>
                <w:szCs w:val="21"/>
              </w:rPr>
              <w:t>和重大税收违法失信相关名单。</w:t>
            </w:r>
            <w:r>
              <w:rPr>
                <w:szCs w:val="21"/>
              </w:rPr>
              <w:t xml:space="preserve"> </w:t>
            </w:r>
          </w:p>
          <w:p>
            <w:pPr>
              <w:adjustRightInd w:val="0"/>
              <w:snapToGrid w:val="0"/>
              <w:rPr>
                <w:szCs w:val="21"/>
              </w:rPr>
            </w:pPr>
            <w:r>
              <w:rPr>
                <w:rFonts w:hint="eastAsia"/>
                <w:szCs w:val="21"/>
              </w:rPr>
              <w:t>□</w:t>
            </w:r>
            <w:r>
              <w:rPr>
                <w:szCs w:val="21"/>
              </w:rPr>
              <w:t xml:space="preserve"> </w:t>
            </w:r>
            <w:r>
              <w:rPr>
                <w:rFonts w:hint="eastAsia"/>
                <w:szCs w:val="21"/>
              </w:rPr>
              <w:t>投标人及其项目负责人应具有良好的园林绿化行业从业信用记录。</w:t>
            </w:r>
          </w:p>
          <w:p>
            <w:pPr>
              <w:adjustRightInd w:val="0"/>
              <w:snapToGrid w:val="0"/>
              <w:rPr>
                <w:szCs w:val="21"/>
              </w:rPr>
            </w:pPr>
            <w:r>
              <w:rPr>
                <w:rFonts w:hint="eastAsia"/>
                <w:szCs w:val="21"/>
              </w:rPr>
              <w:t>信用标评审：</w:t>
            </w:r>
          </w:p>
          <w:p>
            <w:pPr>
              <w:adjustRightInd w:val="0"/>
              <w:snapToGrid w:val="0"/>
              <w:rPr>
                <w:szCs w:val="21"/>
              </w:rPr>
            </w:pPr>
            <w:r>
              <w:rPr>
                <w:rFonts w:hint="eastAsia"/>
                <w:szCs w:val="21"/>
              </w:rPr>
              <w:t>本次招标是否采用信用标评审</w:t>
            </w:r>
          </w:p>
          <w:p>
            <w:pPr>
              <w:adjustRightInd w:val="0"/>
              <w:snapToGrid w:val="0"/>
              <w:rPr>
                <w:szCs w:val="21"/>
              </w:rPr>
            </w:pPr>
            <w:r>
              <w:rPr>
                <w:rFonts w:hint="eastAsia"/>
                <w:szCs w:val="21"/>
              </w:rPr>
              <w:t>□</w:t>
            </w:r>
            <w:r>
              <w:rPr>
                <w:szCs w:val="21"/>
              </w:rPr>
              <w:t xml:space="preserve"> </w:t>
            </w:r>
            <w:r>
              <w:rPr>
                <w:rFonts w:hint="eastAsia"/>
                <w:szCs w:val="21"/>
              </w:rPr>
              <w:t>不采用</w:t>
            </w:r>
          </w:p>
          <w:p>
            <w:pPr>
              <w:adjustRightInd w:val="0"/>
              <w:snapToGrid w:val="0"/>
              <w:rPr>
                <w:szCs w:val="21"/>
              </w:rPr>
            </w:pPr>
            <w:r>
              <w:rPr>
                <w:rFonts w:hint="eastAsia"/>
                <w:szCs w:val="21"/>
              </w:rPr>
              <w:t>□ 采用企业信用评价评分</w:t>
            </w:r>
          </w:p>
          <w:p>
            <w:pPr>
              <w:adjustRightInd w:val="0"/>
              <w:snapToGrid w:val="0"/>
              <w:rPr>
                <w:szCs w:val="21"/>
              </w:rPr>
            </w:pPr>
            <w:r>
              <w:rPr>
                <w:rFonts w:hint="eastAsia"/>
                <w:szCs w:val="21"/>
              </w:rPr>
              <w:t>□ 采用项目负责人信用评价评分</w:t>
            </w:r>
          </w:p>
          <w:p>
            <w:pPr>
              <w:adjustRightInd w:val="0"/>
              <w:snapToGrid w:val="0"/>
              <w:rPr>
                <w:szCs w:val="21"/>
                <w:u w:val="single"/>
              </w:rPr>
            </w:pPr>
            <w:r>
              <w:rPr>
                <w:rFonts w:hint="eastAsia"/>
                <w:szCs w:val="21"/>
              </w:rPr>
              <w:t>其他要求：</w:t>
            </w:r>
            <w:r>
              <w:rPr>
                <w:szCs w:val="21"/>
                <w:u w:val="single"/>
              </w:rPr>
              <w:t xml:space="preserve">                       </w:t>
            </w:r>
          </w:p>
          <w:p>
            <w:pPr>
              <w:spacing w:line="340" w:lineRule="exact"/>
              <w:rPr>
                <w:rFonts w:ascii="宋体" w:hAnsi="宋体"/>
                <w:szCs w:val="21"/>
              </w:rPr>
            </w:pPr>
            <w:r>
              <w:rPr>
                <w:rFonts w:ascii="宋体" w:hAnsi="宋体"/>
                <w:szCs w:val="21"/>
              </w:rPr>
              <w:t>*</w:t>
            </w:r>
            <w:r>
              <w:rPr>
                <w:rFonts w:hint="eastAsia" w:ascii="宋体" w:hAnsi="宋体"/>
                <w:szCs w:val="21"/>
              </w:rPr>
              <w:t>本工程</w:t>
            </w:r>
            <w:r>
              <w:rPr>
                <w:rFonts w:hint="eastAsia" w:ascii="宋体" w:hAnsi="宋体"/>
                <w:szCs w:val="21"/>
                <w:u w:val="single"/>
              </w:rPr>
              <w:t xml:space="preserve">     </w:t>
            </w:r>
            <w:r>
              <w:rPr>
                <w:rFonts w:hint="eastAsia" w:ascii="宋体" w:hAnsi="宋体"/>
                <w:szCs w:val="21"/>
              </w:rPr>
              <w:t>（是/不是）政府采购工程，</w:t>
            </w:r>
          </w:p>
          <w:p>
            <w:pPr>
              <w:spacing w:line="340" w:lineRule="exact"/>
              <w:rPr>
                <w:rFonts w:ascii="宋体" w:hAnsi="宋体"/>
                <w:szCs w:val="21"/>
              </w:rPr>
            </w:pP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（预留/不预留）</w:t>
            </w:r>
            <w:r>
              <w:rPr>
                <w:rFonts w:ascii="宋体" w:hAnsi="宋体"/>
                <w:szCs w:val="21"/>
              </w:rPr>
              <w:t>中小企业</w:t>
            </w:r>
            <w:r>
              <w:rPr>
                <w:rFonts w:hint="eastAsia" w:ascii="宋体" w:hAnsi="宋体"/>
                <w:szCs w:val="21"/>
              </w:rPr>
              <w:t>份额（适用于政府采购工程）</w:t>
            </w:r>
          </w:p>
          <w:p>
            <w:pPr>
              <w:spacing w:line="340" w:lineRule="exact"/>
              <w:rPr>
                <w:rFonts w:ascii="宋体" w:hAnsi="宋体"/>
                <w:szCs w:val="21"/>
              </w:rPr>
            </w:pPr>
            <w:r>
              <w:rPr>
                <w:rFonts w:ascii="宋体" w:hAnsi="宋体"/>
                <w:szCs w:val="21"/>
              </w:rPr>
              <w:t>□本</w:t>
            </w:r>
            <w:r>
              <w:rPr>
                <w:rFonts w:hint="eastAsia" w:ascii="宋体" w:hAnsi="宋体"/>
                <w:szCs w:val="21"/>
              </w:rPr>
              <w:t>工程</w:t>
            </w:r>
            <w:r>
              <w:rPr>
                <w:rFonts w:ascii="宋体" w:hAnsi="宋体"/>
                <w:szCs w:val="21"/>
              </w:rPr>
              <w:t>专门面向</w:t>
            </w:r>
            <w:r>
              <w:rPr>
                <w:rFonts w:hint="eastAsia" w:ascii="宋体" w:hAnsi="宋体"/>
                <w:szCs w:val="21"/>
              </w:rPr>
              <w:t>□中小 □小微企业</w:t>
            </w:r>
            <w:r>
              <w:rPr>
                <w:rFonts w:ascii="宋体" w:hAnsi="宋体"/>
                <w:szCs w:val="21"/>
              </w:rPr>
              <w:t>采购。</w:t>
            </w:r>
            <w:r>
              <w:rPr>
                <w:rFonts w:hint="eastAsia" w:ascii="宋体" w:hAnsi="宋体"/>
                <w:szCs w:val="21"/>
              </w:rPr>
              <w:t>（</w:t>
            </w:r>
            <w:r>
              <w:rPr>
                <w:rFonts w:hint="eastAsia"/>
                <w:szCs w:val="21"/>
              </w:rPr>
              <w:t>符合相关最新政策要求</w:t>
            </w:r>
            <w:r>
              <w:rPr>
                <w:rFonts w:hint="eastAsia" w:ascii="宋体" w:hAnsi="宋体"/>
                <w:szCs w:val="21"/>
              </w:rPr>
              <w:t>）</w:t>
            </w:r>
          </w:p>
          <w:p>
            <w:pPr>
              <w:spacing w:line="340" w:lineRule="exact"/>
              <w:rPr>
                <w:rFonts w:ascii="宋体" w:hAnsi="宋体"/>
                <w:szCs w:val="21"/>
              </w:rPr>
            </w:pPr>
            <w:r>
              <w:rPr>
                <w:rFonts w:hint="eastAsia" w:ascii="宋体" w:hAnsi="宋体"/>
                <w:szCs w:val="21"/>
              </w:rPr>
              <w:t>□本工程预留部分采购项目预算专门面向中小企业采购。对于预留份额由符合政策要求的中小企业承接。预留份额通过以下措施进行：_________________。</w:t>
            </w:r>
          </w:p>
          <w:p>
            <w:pPr>
              <w:spacing w:line="340" w:lineRule="exact"/>
              <w:ind w:left="275" w:hanging="275" w:hangingChars="131"/>
              <w:jc w:val="left"/>
              <w:rPr>
                <w:rFonts w:ascii="宋体" w:hAnsi="宋体"/>
                <w:szCs w:val="21"/>
              </w:rPr>
            </w:pPr>
            <w:r>
              <w:rPr>
                <w:rFonts w:ascii="宋体" w:hAnsi="宋体"/>
                <w:szCs w:val="21"/>
              </w:rPr>
              <w:t>□</w:t>
            </w:r>
            <w:r>
              <w:rPr>
                <w:rFonts w:hint="eastAsia" w:ascii="宋体" w:hAnsi="宋体"/>
                <w:szCs w:val="21"/>
              </w:rPr>
              <w:t>其他</w:t>
            </w:r>
            <w:r>
              <w:rPr>
                <w:rFonts w:ascii="宋体" w:hAnsi="宋体"/>
                <w:szCs w:val="21"/>
              </w:rPr>
              <w:t>落实政府采购政策的要求（如</w:t>
            </w:r>
            <w:r>
              <w:rPr>
                <w:rFonts w:hint="eastAsia" w:ascii="宋体" w:hAnsi="宋体"/>
                <w:szCs w:val="21"/>
              </w:rPr>
              <w:t>有）：</w:t>
            </w:r>
            <w:r>
              <w:rPr>
                <w:szCs w:val="21"/>
                <w:u w:val="single"/>
              </w:rPr>
              <w:t xml:space="preserve">         </w:t>
            </w:r>
            <w:r>
              <w:rPr>
                <w:rFonts w:hint="eastAsia" w:ascii="宋体" w:hAnsi="宋体"/>
                <w:szCs w:val="21"/>
              </w:rPr>
              <w:t>。</w:t>
            </w:r>
            <w:r>
              <w:rPr>
                <w:rFonts w:hint="eastAsia"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09" w:type="dxa"/>
            <w:vAlign w:val="center"/>
          </w:tcPr>
          <w:p>
            <w:pPr>
              <w:adjustRightInd w:val="0"/>
              <w:snapToGrid w:val="0"/>
              <w:spacing w:before="108" w:beforeLines="45" w:after="108" w:afterLines="45"/>
              <w:jc w:val="center"/>
              <w:rPr>
                <w:b/>
                <w:szCs w:val="21"/>
              </w:rPr>
            </w:pPr>
            <w:r>
              <w:rPr>
                <w:b/>
                <w:szCs w:val="21"/>
              </w:rPr>
              <w:t>15</w:t>
            </w:r>
          </w:p>
        </w:tc>
        <w:tc>
          <w:tcPr>
            <w:tcW w:w="1035" w:type="dxa"/>
            <w:vAlign w:val="center"/>
          </w:tcPr>
          <w:p>
            <w:pPr>
              <w:adjustRightInd w:val="0"/>
              <w:snapToGrid w:val="0"/>
              <w:jc w:val="center"/>
              <w:rPr>
                <w:szCs w:val="21"/>
              </w:rPr>
            </w:pPr>
            <w:r>
              <w:rPr>
                <w:szCs w:val="21"/>
              </w:rPr>
              <w:t>1.4.2</w:t>
            </w:r>
          </w:p>
        </w:tc>
        <w:tc>
          <w:tcPr>
            <w:tcW w:w="1632" w:type="dxa"/>
            <w:vAlign w:val="center"/>
          </w:tcPr>
          <w:p>
            <w:pPr>
              <w:adjustRightInd w:val="0"/>
              <w:snapToGrid w:val="0"/>
              <w:rPr>
                <w:szCs w:val="21"/>
              </w:rPr>
            </w:pPr>
            <w:r>
              <w:rPr>
                <w:rFonts w:hint="eastAsia"/>
                <w:szCs w:val="21"/>
              </w:rPr>
              <w:t>是否接受联合体投标</w:t>
            </w:r>
          </w:p>
        </w:tc>
        <w:tc>
          <w:tcPr>
            <w:tcW w:w="5106" w:type="dxa"/>
            <w:vAlign w:val="center"/>
          </w:tcPr>
          <w:p>
            <w:pPr>
              <w:spacing w:line="440" w:lineRule="exact"/>
              <w:rPr>
                <w:szCs w:val="21"/>
              </w:rPr>
            </w:pPr>
            <w:r>
              <w:rPr>
                <w:rFonts w:hint="eastAsia"/>
                <w:szCs w:val="21"/>
              </w:rPr>
              <w:t>□</w:t>
            </w:r>
            <w:r>
              <w:rPr>
                <w:szCs w:val="21"/>
              </w:rPr>
              <w:t xml:space="preserve"> </w:t>
            </w:r>
            <w:r>
              <w:rPr>
                <w:rFonts w:hint="eastAsia"/>
                <w:szCs w:val="21"/>
              </w:rPr>
              <w:t>不接受</w:t>
            </w:r>
          </w:p>
          <w:p>
            <w:pPr>
              <w:adjustRightInd w:val="0"/>
              <w:snapToGrid w:val="0"/>
              <w:spacing w:before="36" w:beforeLines="15" w:after="36" w:afterLines="15"/>
              <w:rPr>
                <w:szCs w:val="21"/>
              </w:rPr>
            </w:pPr>
            <w:r>
              <w:rPr>
                <w:rFonts w:hint="eastAsia"/>
                <w:szCs w:val="21"/>
              </w:rPr>
              <w:t>□</w:t>
            </w:r>
            <w:r>
              <w:rPr>
                <w:szCs w:val="21"/>
              </w:rPr>
              <w:t xml:space="preserve"> </w:t>
            </w:r>
            <w:r>
              <w:rPr>
                <w:rFonts w:hint="eastAsia"/>
                <w:szCs w:val="21"/>
              </w:rPr>
              <w:t>接受</w:t>
            </w:r>
          </w:p>
          <w:p>
            <w:pPr>
              <w:adjustRightInd w:val="0"/>
              <w:snapToGrid w:val="0"/>
              <w:spacing w:before="36" w:beforeLines="15" w:after="36" w:afterLines="15"/>
              <w:rPr>
                <w:szCs w:val="21"/>
              </w:rPr>
            </w:pPr>
            <w:r>
              <w:rPr>
                <w:rFonts w:hint="eastAsia"/>
                <w:szCs w:val="21"/>
              </w:rPr>
              <w:t>应满足下列要求：</w:t>
            </w:r>
            <w:r>
              <w:rPr>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09" w:type="dxa"/>
            <w:vAlign w:val="center"/>
          </w:tcPr>
          <w:p>
            <w:pPr>
              <w:adjustRightInd w:val="0"/>
              <w:snapToGrid w:val="0"/>
              <w:spacing w:before="108" w:beforeLines="45" w:after="108" w:afterLines="45"/>
              <w:jc w:val="center"/>
              <w:rPr>
                <w:b/>
                <w:szCs w:val="21"/>
              </w:rPr>
            </w:pPr>
            <w:r>
              <w:rPr>
                <w:b/>
                <w:szCs w:val="21"/>
              </w:rPr>
              <w:t>16</w:t>
            </w:r>
          </w:p>
        </w:tc>
        <w:tc>
          <w:tcPr>
            <w:tcW w:w="1035" w:type="dxa"/>
            <w:vAlign w:val="center"/>
          </w:tcPr>
          <w:p>
            <w:pPr>
              <w:adjustRightInd w:val="0"/>
              <w:snapToGrid w:val="0"/>
              <w:spacing w:before="36" w:beforeLines="15" w:after="36" w:afterLines="15"/>
              <w:jc w:val="center"/>
              <w:rPr>
                <w:szCs w:val="21"/>
              </w:rPr>
            </w:pPr>
            <w:r>
              <w:rPr>
                <w:szCs w:val="21"/>
              </w:rPr>
              <w:t>1.9.1</w:t>
            </w:r>
          </w:p>
        </w:tc>
        <w:tc>
          <w:tcPr>
            <w:tcW w:w="1632" w:type="dxa"/>
            <w:vAlign w:val="center"/>
          </w:tcPr>
          <w:p>
            <w:pPr>
              <w:adjustRightInd w:val="0"/>
              <w:snapToGrid w:val="0"/>
              <w:spacing w:before="36" w:beforeLines="15" w:after="36" w:afterLines="15"/>
              <w:rPr>
                <w:szCs w:val="21"/>
              </w:rPr>
            </w:pPr>
            <w:r>
              <w:rPr>
                <w:rFonts w:hint="eastAsia"/>
                <w:szCs w:val="21"/>
              </w:rPr>
              <w:t>踏勘现场</w:t>
            </w:r>
          </w:p>
        </w:tc>
        <w:tc>
          <w:tcPr>
            <w:tcW w:w="5106" w:type="dxa"/>
            <w:vAlign w:val="center"/>
          </w:tcPr>
          <w:p>
            <w:pPr>
              <w:spacing w:before="36" w:beforeLines="15" w:after="36" w:afterLines="15"/>
              <w:rPr>
                <w:szCs w:val="21"/>
              </w:rPr>
            </w:pPr>
            <w:r>
              <w:rPr>
                <w:rFonts w:hint="eastAsia"/>
                <w:szCs w:val="21"/>
              </w:rPr>
              <w:t>□</w:t>
            </w:r>
            <w:r>
              <w:rPr>
                <w:szCs w:val="21"/>
              </w:rPr>
              <w:t xml:space="preserve"> </w:t>
            </w:r>
            <w:r>
              <w:rPr>
                <w:rFonts w:hint="eastAsia"/>
                <w:szCs w:val="21"/>
              </w:rPr>
              <w:t>不组织</w:t>
            </w:r>
          </w:p>
          <w:p>
            <w:pPr>
              <w:adjustRightInd w:val="0"/>
              <w:snapToGrid w:val="0"/>
              <w:spacing w:before="36" w:beforeLines="15" w:after="36" w:afterLines="15"/>
              <w:rPr>
                <w:szCs w:val="21"/>
              </w:rPr>
            </w:pPr>
            <w:r>
              <w:rPr>
                <w:rFonts w:hint="eastAsia"/>
                <w:szCs w:val="21"/>
              </w:rPr>
              <w:t>□</w:t>
            </w:r>
            <w:r>
              <w:rPr>
                <w:szCs w:val="21"/>
              </w:rPr>
              <w:t xml:space="preserve"> </w:t>
            </w:r>
            <w:r>
              <w:rPr>
                <w:rFonts w:hint="eastAsia"/>
                <w:szCs w:val="21"/>
              </w:rPr>
              <w:t>组织</w:t>
            </w:r>
          </w:p>
          <w:p>
            <w:pPr>
              <w:adjustRightInd w:val="0"/>
              <w:snapToGrid w:val="0"/>
              <w:spacing w:before="36" w:beforeLines="15" w:after="36" w:afterLines="15"/>
              <w:rPr>
                <w:szCs w:val="21"/>
              </w:rPr>
            </w:pPr>
            <w:r>
              <w:rPr>
                <w:rFonts w:hint="eastAsia"/>
                <w:szCs w:val="21"/>
              </w:rPr>
              <w:t>集合时间：</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u w:val="single"/>
              </w:rPr>
              <w:t xml:space="preserve">  </w:t>
            </w:r>
            <w:r>
              <w:rPr>
                <w:rFonts w:hint="eastAsia"/>
                <w:szCs w:val="21"/>
              </w:rPr>
              <w:t>时</w:t>
            </w:r>
            <w:r>
              <w:rPr>
                <w:szCs w:val="21"/>
                <w:u w:val="single"/>
              </w:rPr>
              <w:t xml:space="preserve">  </w:t>
            </w:r>
            <w:r>
              <w:rPr>
                <w:rFonts w:hint="eastAsia"/>
                <w:szCs w:val="21"/>
              </w:rPr>
              <w:t>分</w:t>
            </w:r>
          </w:p>
          <w:p>
            <w:pPr>
              <w:adjustRightInd w:val="0"/>
              <w:snapToGrid w:val="0"/>
              <w:spacing w:before="36" w:beforeLines="15" w:after="36" w:afterLines="15"/>
              <w:rPr>
                <w:szCs w:val="21"/>
              </w:rPr>
            </w:pPr>
            <w:r>
              <w:rPr>
                <w:rFonts w:hint="eastAsia"/>
                <w:szCs w:val="21"/>
              </w:rPr>
              <w:t>集合地点：</w:t>
            </w:r>
            <w:r>
              <w:rPr>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709" w:type="dxa"/>
            <w:vAlign w:val="center"/>
          </w:tcPr>
          <w:p>
            <w:pPr>
              <w:adjustRightInd w:val="0"/>
              <w:snapToGrid w:val="0"/>
              <w:spacing w:before="36" w:beforeLines="15" w:after="36" w:afterLines="15"/>
              <w:jc w:val="center"/>
              <w:rPr>
                <w:b/>
                <w:szCs w:val="21"/>
              </w:rPr>
            </w:pPr>
            <w:r>
              <w:rPr>
                <w:b/>
                <w:szCs w:val="21"/>
              </w:rPr>
              <w:t>17</w:t>
            </w:r>
          </w:p>
        </w:tc>
        <w:tc>
          <w:tcPr>
            <w:tcW w:w="1035" w:type="dxa"/>
            <w:vAlign w:val="center"/>
          </w:tcPr>
          <w:p>
            <w:pPr>
              <w:adjustRightInd w:val="0"/>
              <w:snapToGrid w:val="0"/>
              <w:jc w:val="center"/>
              <w:rPr>
                <w:szCs w:val="21"/>
              </w:rPr>
            </w:pPr>
            <w:r>
              <w:rPr>
                <w:szCs w:val="21"/>
              </w:rPr>
              <w:t>1.10</w:t>
            </w:r>
          </w:p>
        </w:tc>
        <w:tc>
          <w:tcPr>
            <w:tcW w:w="1632" w:type="dxa"/>
            <w:vAlign w:val="center"/>
          </w:tcPr>
          <w:p>
            <w:pPr>
              <w:adjustRightInd w:val="0"/>
              <w:snapToGrid w:val="0"/>
              <w:rPr>
                <w:szCs w:val="21"/>
              </w:rPr>
            </w:pPr>
            <w:r>
              <w:rPr>
                <w:rFonts w:hint="eastAsia"/>
                <w:szCs w:val="21"/>
              </w:rPr>
              <w:t>投标预备会</w:t>
            </w:r>
          </w:p>
        </w:tc>
        <w:tc>
          <w:tcPr>
            <w:tcW w:w="5106" w:type="dxa"/>
            <w:vAlign w:val="center"/>
          </w:tcPr>
          <w:p>
            <w:pPr>
              <w:spacing w:line="440" w:lineRule="exact"/>
              <w:rPr>
                <w:szCs w:val="21"/>
              </w:rPr>
            </w:pPr>
            <w:r>
              <w:rPr>
                <w:rFonts w:hint="eastAsia"/>
                <w:szCs w:val="21"/>
              </w:rPr>
              <w:t>□不召开</w:t>
            </w:r>
          </w:p>
          <w:p>
            <w:pPr>
              <w:adjustRightInd w:val="0"/>
              <w:snapToGrid w:val="0"/>
              <w:spacing w:before="36" w:beforeLines="15" w:after="36" w:afterLines="15"/>
              <w:rPr>
                <w:szCs w:val="21"/>
              </w:rPr>
            </w:pPr>
            <w:r>
              <w:rPr>
                <w:rFonts w:hint="eastAsia"/>
                <w:szCs w:val="21"/>
              </w:rPr>
              <w:t>□</w:t>
            </w:r>
            <w:r>
              <w:rPr>
                <w:szCs w:val="21"/>
              </w:rPr>
              <w:t xml:space="preserve"> </w:t>
            </w:r>
            <w:r>
              <w:rPr>
                <w:rFonts w:hint="eastAsia"/>
                <w:szCs w:val="21"/>
              </w:rPr>
              <w:t>召开</w:t>
            </w:r>
          </w:p>
          <w:p>
            <w:pPr>
              <w:adjustRightInd w:val="0"/>
              <w:snapToGrid w:val="0"/>
              <w:spacing w:before="36" w:beforeLines="15" w:after="36" w:afterLines="15"/>
              <w:rPr>
                <w:szCs w:val="21"/>
              </w:rPr>
            </w:pPr>
            <w:r>
              <w:rPr>
                <w:rFonts w:hint="eastAsia"/>
                <w:szCs w:val="21"/>
              </w:rPr>
              <w:t>召开时间：</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u w:val="single"/>
              </w:rPr>
              <w:t xml:space="preserve">  </w:t>
            </w:r>
            <w:r>
              <w:rPr>
                <w:rFonts w:hint="eastAsia"/>
                <w:szCs w:val="21"/>
              </w:rPr>
              <w:t>时</w:t>
            </w:r>
            <w:r>
              <w:rPr>
                <w:szCs w:val="21"/>
                <w:u w:val="single"/>
              </w:rPr>
              <w:t xml:space="preserve">  </w:t>
            </w:r>
            <w:r>
              <w:rPr>
                <w:rFonts w:hint="eastAsia"/>
                <w:szCs w:val="21"/>
              </w:rPr>
              <w:t>分</w:t>
            </w:r>
          </w:p>
          <w:p>
            <w:pPr>
              <w:adjustRightInd w:val="0"/>
              <w:snapToGrid w:val="0"/>
              <w:spacing w:before="36" w:beforeLines="15" w:after="36" w:afterLines="15"/>
              <w:rPr>
                <w:szCs w:val="21"/>
              </w:rPr>
            </w:pPr>
            <w:r>
              <w:rPr>
                <w:rFonts w:hint="eastAsia"/>
                <w:szCs w:val="21"/>
              </w:rPr>
              <w:t>召开地点：</w:t>
            </w:r>
            <w:r>
              <w:rPr>
                <w:szCs w:val="21"/>
                <w:u w:val="single"/>
              </w:rPr>
              <w:t xml:space="preserve">                       </w:t>
            </w:r>
          </w:p>
          <w:p>
            <w:pPr>
              <w:adjustRightInd w:val="0"/>
              <w:snapToGrid w:val="0"/>
              <w:spacing w:before="36" w:beforeLines="15" w:after="36" w:afterLines="15"/>
              <w:ind w:left="2" w:leftChars="1"/>
              <w:rPr>
                <w:szCs w:val="21"/>
              </w:rPr>
            </w:pPr>
            <w:r>
              <w:rPr>
                <w:rFonts w:hint="eastAsia"/>
                <w:szCs w:val="21"/>
              </w:rPr>
              <w:t>联系人：</w:t>
            </w:r>
            <w:r>
              <w:rPr>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09" w:type="dxa"/>
            <w:vAlign w:val="center"/>
          </w:tcPr>
          <w:p>
            <w:pPr>
              <w:adjustRightInd w:val="0"/>
              <w:snapToGrid w:val="0"/>
              <w:spacing w:before="108" w:beforeLines="45" w:after="108" w:afterLines="45"/>
              <w:jc w:val="center"/>
              <w:rPr>
                <w:b/>
                <w:szCs w:val="21"/>
              </w:rPr>
            </w:pPr>
            <w:r>
              <w:rPr>
                <w:b/>
                <w:szCs w:val="21"/>
              </w:rPr>
              <w:t>18</w:t>
            </w:r>
          </w:p>
        </w:tc>
        <w:tc>
          <w:tcPr>
            <w:tcW w:w="1035" w:type="dxa"/>
            <w:vAlign w:val="center"/>
          </w:tcPr>
          <w:p>
            <w:pPr>
              <w:adjustRightInd w:val="0"/>
              <w:snapToGrid w:val="0"/>
              <w:jc w:val="center"/>
              <w:rPr>
                <w:szCs w:val="21"/>
              </w:rPr>
            </w:pPr>
            <w:r>
              <w:rPr>
                <w:szCs w:val="21"/>
              </w:rPr>
              <w:t>1.11</w:t>
            </w:r>
          </w:p>
        </w:tc>
        <w:tc>
          <w:tcPr>
            <w:tcW w:w="1632" w:type="dxa"/>
            <w:vAlign w:val="center"/>
          </w:tcPr>
          <w:p>
            <w:pPr>
              <w:adjustRightInd w:val="0"/>
              <w:snapToGrid w:val="0"/>
              <w:rPr>
                <w:szCs w:val="21"/>
              </w:rPr>
            </w:pPr>
            <w:r>
              <w:rPr>
                <w:rFonts w:hint="eastAsia"/>
                <w:szCs w:val="21"/>
              </w:rPr>
              <w:t>分包</w:t>
            </w:r>
          </w:p>
        </w:tc>
        <w:tc>
          <w:tcPr>
            <w:tcW w:w="5106" w:type="dxa"/>
            <w:vAlign w:val="center"/>
          </w:tcPr>
          <w:p>
            <w:pPr>
              <w:tabs>
                <w:tab w:val="left" w:pos="1137"/>
                <w:tab w:val="left" w:pos="2554"/>
                <w:tab w:val="right" w:pos="6609"/>
              </w:tabs>
              <w:adjustRightInd w:val="0"/>
              <w:snapToGrid w:val="0"/>
              <w:spacing w:before="36" w:beforeLines="15" w:after="36" w:afterLines="15"/>
              <w:ind w:left="-12" w:leftChars="-6"/>
              <w:outlineLvl w:val="0"/>
              <w:rPr>
                <w:szCs w:val="21"/>
              </w:rPr>
            </w:pPr>
            <w:r>
              <w:rPr>
                <w:rFonts w:hint="eastAsia"/>
                <w:szCs w:val="21"/>
              </w:rPr>
              <w:t>□</w:t>
            </w:r>
            <w:r>
              <w:rPr>
                <w:szCs w:val="21"/>
              </w:rPr>
              <w:t xml:space="preserve"> </w:t>
            </w:r>
            <w:r>
              <w:rPr>
                <w:rFonts w:hint="eastAsia"/>
                <w:szCs w:val="21"/>
              </w:rPr>
              <w:t>不允许</w:t>
            </w:r>
          </w:p>
          <w:p>
            <w:pPr>
              <w:tabs>
                <w:tab w:val="left" w:pos="1137"/>
                <w:tab w:val="left" w:pos="2554"/>
                <w:tab w:val="right" w:pos="6609"/>
              </w:tabs>
              <w:adjustRightInd w:val="0"/>
              <w:snapToGrid w:val="0"/>
              <w:spacing w:before="36" w:beforeLines="15" w:after="36" w:afterLines="15"/>
              <w:ind w:left="-12" w:leftChars="-6"/>
              <w:outlineLvl w:val="0"/>
              <w:rPr>
                <w:szCs w:val="21"/>
              </w:rPr>
            </w:pPr>
            <w:r>
              <w:rPr>
                <w:rFonts w:hint="eastAsia"/>
                <w:szCs w:val="21"/>
              </w:rPr>
              <w:t>□</w:t>
            </w:r>
            <w:r>
              <w:rPr>
                <w:szCs w:val="21"/>
              </w:rPr>
              <w:t xml:space="preserve"> </w:t>
            </w:r>
            <w:r>
              <w:rPr>
                <w:rFonts w:hint="eastAsia"/>
                <w:szCs w:val="21"/>
              </w:rPr>
              <w:t>允许</w:t>
            </w:r>
          </w:p>
          <w:p>
            <w:pPr>
              <w:tabs>
                <w:tab w:val="left" w:pos="1137"/>
                <w:tab w:val="left" w:pos="2554"/>
                <w:tab w:val="right" w:pos="6609"/>
              </w:tabs>
              <w:adjustRightInd w:val="0"/>
              <w:snapToGrid w:val="0"/>
              <w:spacing w:before="36" w:beforeLines="15" w:after="36" w:afterLines="15"/>
              <w:ind w:left="-12" w:leftChars="-6"/>
              <w:outlineLvl w:val="0"/>
              <w:rPr>
                <w:szCs w:val="21"/>
              </w:rPr>
            </w:pPr>
            <w:r>
              <w:rPr>
                <w:rFonts w:hint="eastAsia"/>
                <w:szCs w:val="21"/>
              </w:rPr>
              <w:t>分包内容要求：</w:t>
            </w:r>
            <w:r>
              <w:rPr>
                <w:kern w:val="0"/>
                <w:szCs w:val="21"/>
                <w:u w:val="single"/>
              </w:rPr>
              <w:t xml:space="preserve">                          </w:t>
            </w:r>
          </w:p>
          <w:p>
            <w:pPr>
              <w:tabs>
                <w:tab w:val="left" w:pos="1137"/>
                <w:tab w:val="left" w:pos="2554"/>
                <w:tab w:val="right" w:pos="6609"/>
              </w:tabs>
              <w:adjustRightInd w:val="0"/>
              <w:snapToGrid w:val="0"/>
              <w:spacing w:before="36" w:beforeLines="15" w:after="36" w:afterLines="15"/>
              <w:outlineLvl w:val="0"/>
              <w:rPr>
                <w:szCs w:val="21"/>
              </w:rPr>
            </w:pPr>
            <w:r>
              <w:rPr>
                <w:rFonts w:hint="eastAsia"/>
                <w:szCs w:val="21"/>
              </w:rPr>
              <w:t>分包金额要求：</w:t>
            </w:r>
            <w:r>
              <w:rPr>
                <w:kern w:val="0"/>
                <w:szCs w:val="21"/>
                <w:u w:val="single"/>
              </w:rPr>
              <w:t xml:space="preserve">                          </w:t>
            </w:r>
          </w:p>
          <w:p>
            <w:pPr>
              <w:tabs>
                <w:tab w:val="left" w:pos="1137"/>
                <w:tab w:val="left" w:pos="2554"/>
                <w:tab w:val="right" w:pos="6609"/>
              </w:tabs>
              <w:adjustRightInd w:val="0"/>
              <w:snapToGrid w:val="0"/>
              <w:spacing w:before="36" w:beforeLines="15" w:after="36" w:afterLines="15"/>
              <w:outlineLvl w:val="0"/>
              <w:rPr>
                <w:kern w:val="0"/>
                <w:szCs w:val="21"/>
                <w:u w:val="single"/>
              </w:rPr>
            </w:pPr>
            <w:r>
              <w:rPr>
                <w:rFonts w:hint="eastAsia"/>
                <w:szCs w:val="21"/>
              </w:rPr>
              <w:t>接受分包的分包人资格要求：</w:t>
            </w:r>
            <w:r>
              <w:rPr>
                <w:kern w:val="0"/>
                <w:szCs w:val="21"/>
                <w:u w:val="single"/>
              </w:rPr>
              <w:t xml:space="preserve">              </w:t>
            </w:r>
          </w:p>
          <w:p>
            <w:pPr>
              <w:tabs>
                <w:tab w:val="left" w:pos="1137"/>
                <w:tab w:val="left" w:pos="2554"/>
                <w:tab w:val="right" w:pos="6609"/>
              </w:tabs>
              <w:adjustRightInd w:val="0"/>
              <w:snapToGrid w:val="0"/>
              <w:spacing w:before="36" w:beforeLines="15" w:after="36" w:afterLines="15"/>
              <w:outlineLvl w:val="0"/>
              <w:rPr>
                <w:szCs w:val="21"/>
              </w:rPr>
            </w:pPr>
            <w:r>
              <w:rPr>
                <w:rFonts w:hint="eastAsia"/>
                <w:szCs w:val="21"/>
              </w:rPr>
              <w:t>本工程□是□否为落实中小企业政策而向中小企业分包</w:t>
            </w:r>
            <w:r>
              <w:rPr>
                <w:rFonts w:hint="eastAsia" w:ascii="宋体" w:hAnsi="宋体"/>
                <w:szCs w:val="21"/>
              </w:rPr>
              <w:t>（适用于政府采购项目）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09" w:type="dxa"/>
            <w:vAlign w:val="center"/>
          </w:tcPr>
          <w:p>
            <w:pPr>
              <w:adjustRightInd w:val="0"/>
              <w:snapToGrid w:val="0"/>
              <w:spacing w:before="108" w:beforeLines="45" w:after="108" w:afterLines="45"/>
              <w:jc w:val="center"/>
              <w:rPr>
                <w:b/>
                <w:szCs w:val="21"/>
              </w:rPr>
            </w:pPr>
            <w:r>
              <w:rPr>
                <w:b/>
                <w:szCs w:val="21"/>
              </w:rPr>
              <w:t>19</w:t>
            </w:r>
          </w:p>
        </w:tc>
        <w:tc>
          <w:tcPr>
            <w:tcW w:w="1035" w:type="dxa"/>
            <w:vAlign w:val="center"/>
          </w:tcPr>
          <w:p>
            <w:pPr>
              <w:adjustRightInd w:val="0"/>
              <w:snapToGrid w:val="0"/>
              <w:jc w:val="center"/>
              <w:rPr>
                <w:szCs w:val="21"/>
              </w:rPr>
            </w:pPr>
            <w:r>
              <w:rPr>
                <w:szCs w:val="21"/>
              </w:rPr>
              <w:t>1.12</w:t>
            </w:r>
          </w:p>
        </w:tc>
        <w:tc>
          <w:tcPr>
            <w:tcW w:w="1632" w:type="dxa"/>
            <w:vAlign w:val="center"/>
          </w:tcPr>
          <w:p>
            <w:pPr>
              <w:adjustRightInd w:val="0"/>
              <w:snapToGrid w:val="0"/>
              <w:rPr>
                <w:szCs w:val="21"/>
              </w:rPr>
            </w:pPr>
            <w:r>
              <w:rPr>
                <w:rFonts w:hint="eastAsia"/>
                <w:szCs w:val="21"/>
              </w:rPr>
              <w:t>偏离</w:t>
            </w:r>
          </w:p>
        </w:tc>
        <w:tc>
          <w:tcPr>
            <w:tcW w:w="5106" w:type="dxa"/>
            <w:vAlign w:val="center"/>
          </w:tcPr>
          <w:p>
            <w:pPr>
              <w:tabs>
                <w:tab w:val="left" w:pos="1137"/>
                <w:tab w:val="left" w:pos="2554"/>
                <w:tab w:val="right" w:pos="6609"/>
              </w:tabs>
              <w:adjustRightInd w:val="0"/>
              <w:snapToGrid w:val="0"/>
              <w:spacing w:before="36" w:beforeLines="15" w:after="36" w:afterLines="15"/>
              <w:ind w:left="-12" w:leftChars="-6"/>
              <w:outlineLvl w:val="0"/>
              <w:rPr>
                <w:szCs w:val="21"/>
              </w:rPr>
            </w:pPr>
            <w:r>
              <w:rPr>
                <w:rFonts w:hint="eastAsia"/>
                <w:szCs w:val="21"/>
              </w:rPr>
              <w:t>□不允许</w:t>
            </w:r>
          </w:p>
          <w:p>
            <w:pPr>
              <w:tabs>
                <w:tab w:val="left" w:pos="1137"/>
                <w:tab w:val="left" w:pos="2554"/>
                <w:tab w:val="right" w:pos="6609"/>
              </w:tabs>
              <w:adjustRightInd w:val="0"/>
              <w:snapToGrid w:val="0"/>
              <w:spacing w:before="36" w:beforeLines="15" w:after="36" w:afterLines="15"/>
              <w:ind w:left="-12" w:leftChars="-6"/>
              <w:outlineLvl w:val="0"/>
              <w:rPr>
                <w:szCs w:val="21"/>
              </w:rPr>
            </w:pPr>
            <w:r>
              <w:rPr>
                <w:rFonts w:hint="eastAsia"/>
                <w:szCs w:val="21"/>
              </w:rPr>
              <w:t>□</w:t>
            </w:r>
            <w:r>
              <w:rPr>
                <w:szCs w:val="21"/>
              </w:rPr>
              <w:t xml:space="preserve"> </w:t>
            </w:r>
            <w:r>
              <w:rPr>
                <w:rFonts w:hint="eastAsia"/>
                <w:szCs w:val="21"/>
              </w:rPr>
              <w:t>允许</w:t>
            </w:r>
          </w:p>
          <w:p>
            <w:pPr>
              <w:tabs>
                <w:tab w:val="left" w:pos="1137"/>
                <w:tab w:val="left" w:pos="2554"/>
                <w:tab w:val="right" w:pos="6609"/>
              </w:tabs>
              <w:adjustRightInd w:val="0"/>
              <w:snapToGrid w:val="0"/>
              <w:spacing w:before="36" w:beforeLines="15" w:after="36" w:afterLines="15"/>
              <w:ind w:left="-12" w:leftChars="-6"/>
              <w:outlineLvl w:val="0"/>
              <w:rPr>
                <w:szCs w:val="21"/>
              </w:rPr>
            </w:pPr>
            <w:r>
              <w:rPr>
                <w:rFonts w:hint="eastAsia"/>
                <w:szCs w:val="21"/>
              </w:rPr>
              <w:t>偏离的内容和范围：</w:t>
            </w:r>
            <w:r>
              <w:rPr>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09" w:type="dxa"/>
            <w:vAlign w:val="center"/>
          </w:tcPr>
          <w:p>
            <w:pPr>
              <w:adjustRightInd w:val="0"/>
              <w:snapToGrid w:val="0"/>
              <w:spacing w:before="108" w:beforeLines="45" w:after="108" w:afterLines="45"/>
              <w:jc w:val="center"/>
              <w:rPr>
                <w:b/>
                <w:szCs w:val="21"/>
              </w:rPr>
            </w:pPr>
            <w:r>
              <w:rPr>
                <w:b/>
                <w:szCs w:val="21"/>
              </w:rPr>
              <w:t>20</w:t>
            </w:r>
          </w:p>
        </w:tc>
        <w:tc>
          <w:tcPr>
            <w:tcW w:w="1035" w:type="dxa"/>
            <w:vAlign w:val="center"/>
          </w:tcPr>
          <w:p>
            <w:pPr>
              <w:adjustRightInd w:val="0"/>
              <w:snapToGrid w:val="0"/>
              <w:jc w:val="center"/>
              <w:rPr>
                <w:szCs w:val="21"/>
              </w:rPr>
            </w:pPr>
            <w:r>
              <w:rPr>
                <w:szCs w:val="21"/>
              </w:rPr>
              <w:t>2.1</w:t>
            </w:r>
            <w:r>
              <w:rPr>
                <w:rFonts w:hint="eastAsia"/>
                <w:szCs w:val="21"/>
              </w:rPr>
              <w:t>（</w:t>
            </w:r>
            <w:r>
              <w:rPr>
                <w:szCs w:val="21"/>
              </w:rPr>
              <w:t>10</w:t>
            </w:r>
            <w:r>
              <w:rPr>
                <w:rFonts w:hint="eastAsia"/>
                <w:szCs w:val="21"/>
              </w:rPr>
              <w:t>）</w:t>
            </w:r>
          </w:p>
        </w:tc>
        <w:tc>
          <w:tcPr>
            <w:tcW w:w="1632" w:type="dxa"/>
            <w:vAlign w:val="center"/>
          </w:tcPr>
          <w:p>
            <w:pPr>
              <w:adjustRightInd w:val="0"/>
              <w:snapToGrid w:val="0"/>
              <w:rPr>
                <w:szCs w:val="21"/>
              </w:rPr>
            </w:pPr>
            <w:r>
              <w:rPr>
                <w:rFonts w:hint="eastAsia"/>
                <w:szCs w:val="21"/>
              </w:rPr>
              <w:t>构成招标文件的其他材料</w:t>
            </w:r>
          </w:p>
        </w:tc>
        <w:tc>
          <w:tcPr>
            <w:tcW w:w="5106" w:type="dxa"/>
            <w:vAlign w:val="center"/>
          </w:tcPr>
          <w:p>
            <w:pPr>
              <w:tabs>
                <w:tab w:val="left" w:pos="1137"/>
                <w:tab w:val="left" w:pos="2554"/>
                <w:tab w:val="right" w:pos="6609"/>
              </w:tabs>
              <w:adjustRightInd w:val="0"/>
              <w:snapToGrid w:val="0"/>
              <w:spacing w:before="36" w:beforeLines="15" w:after="36" w:afterLines="15"/>
              <w:ind w:left="-12" w:leftChars="-6" w:firstLine="4" w:firstLineChars="2"/>
              <w:outlineLvl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09" w:type="dxa"/>
            <w:vAlign w:val="center"/>
          </w:tcPr>
          <w:p>
            <w:pPr>
              <w:adjustRightInd w:val="0"/>
              <w:snapToGrid w:val="0"/>
              <w:spacing w:before="108" w:beforeLines="45" w:after="108" w:afterLines="45"/>
              <w:jc w:val="center"/>
              <w:rPr>
                <w:b/>
                <w:szCs w:val="21"/>
              </w:rPr>
            </w:pPr>
            <w:r>
              <w:rPr>
                <w:b/>
                <w:szCs w:val="21"/>
              </w:rPr>
              <w:t>21</w:t>
            </w:r>
          </w:p>
        </w:tc>
        <w:tc>
          <w:tcPr>
            <w:tcW w:w="1035" w:type="dxa"/>
            <w:vAlign w:val="center"/>
          </w:tcPr>
          <w:p>
            <w:pPr>
              <w:adjustRightInd w:val="0"/>
              <w:snapToGrid w:val="0"/>
              <w:jc w:val="center"/>
              <w:rPr>
                <w:szCs w:val="21"/>
              </w:rPr>
            </w:pPr>
            <w:r>
              <w:rPr>
                <w:szCs w:val="21"/>
              </w:rPr>
              <w:t>2.2.1</w:t>
            </w:r>
          </w:p>
        </w:tc>
        <w:tc>
          <w:tcPr>
            <w:tcW w:w="1632" w:type="dxa"/>
            <w:vAlign w:val="center"/>
          </w:tcPr>
          <w:p>
            <w:pPr>
              <w:adjustRightInd w:val="0"/>
              <w:snapToGrid w:val="0"/>
              <w:rPr>
                <w:szCs w:val="21"/>
              </w:rPr>
            </w:pPr>
            <w:r>
              <w:rPr>
                <w:rFonts w:hint="eastAsia"/>
                <w:szCs w:val="21"/>
              </w:rPr>
              <w:t>投标人要求澄清招标文件的截止时间</w:t>
            </w:r>
          </w:p>
        </w:tc>
        <w:tc>
          <w:tcPr>
            <w:tcW w:w="5106" w:type="dxa"/>
            <w:vAlign w:val="center"/>
          </w:tcPr>
          <w:p>
            <w:pPr>
              <w:adjustRightInd w:val="0"/>
              <w:snapToGrid w:val="0"/>
              <w:spacing w:before="36" w:beforeLines="15" w:after="36" w:afterLines="15"/>
              <w:rPr>
                <w:szCs w:val="21"/>
              </w:rPr>
            </w:pP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u w:val="single"/>
              </w:rPr>
              <w:t xml:space="preserve">  </w:t>
            </w:r>
            <w:r>
              <w:rPr>
                <w:rFonts w:hint="eastAsia"/>
                <w:szCs w:val="21"/>
              </w:rPr>
              <w:t>时</w:t>
            </w:r>
            <w:r>
              <w:rPr>
                <w:szCs w:val="21"/>
                <w:u w:val="single"/>
              </w:rPr>
              <w:t xml:space="preserve">  </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09" w:type="dxa"/>
            <w:vAlign w:val="center"/>
          </w:tcPr>
          <w:p>
            <w:pPr>
              <w:adjustRightInd w:val="0"/>
              <w:snapToGrid w:val="0"/>
              <w:spacing w:before="108" w:beforeLines="45" w:after="108" w:afterLines="45"/>
              <w:jc w:val="center"/>
              <w:rPr>
                <w:b/>
                <w:szCs w:val="21"/>
              </w:rPr>
            </w:pPr>
            <w:r>
              <w:rPr>
                <w:b/>
                <w:szCs w:val="21"/>
              </w:rPr>
              <w:t>22</w:t>
            </w:r>
          </w:p>
        </w:tc>
        <w:tc>
          <w:tcPr>
            <w:tcW w:w="1035" w:type="dxa"/>
            <w:vAlign w:val="center"/>
          </w:tcPr>
          <w:p>
            <w:pPr>
              <w:adjustRightInd w:val="0"/>
              <w:snapToGrid w:val="0"/>
              <w:jc w:val="center"/>
              <w:rPr>
                <w:szCs w:val="21"/>
              </w:rPr>
            </w:pPr>
            <w:r>
              <w:rPr>
                <w:szCs w:val="21"/>
              </w:rPr>
              <w:t>2.2.2</w:t>
            </w:r>
          </w:p>
        </w:tc>
        <w:tc>
          <w:tcPr>
            <w:tcW w:w="1632" w:type="dxa"/>
            <w:vAlign w:val="center"/>
          </w:tcPr>
          <w:p>
            <w:pPr>
              <w:adjustRightInd w:val="0"/>
              <w:snapToGrid w:val="0"/>
              <w:rPr>
                <w:szCs w:val="21"/>
              </w:rPr>
            </w:pPr>
            <w:r>
              <w:rPr>
                <w:rFonts w:hint="eastAsia"/>
                <w:szCs w:val="21"/>
              </w:rPr>
              <w:t>招标人书面澄清的时间</w:t>
            </w:r>
          </w:p>
        </w:tc>
        <w:tc>
          <w:tcPr>
            <w:tcW w:w="5106" w:type="dxa"/>
            <w:vAlign w:val="center"/>
          </w:tcPr>
          <w:p>
            <w:pPr>
              <w:adjustRightInd w:val="0"/>
              <w:snapToGrid w:val="0"/>
              <w:spacing w:before="36" w:beforeLines="15" w:after="36" w:afterLines="15"/>
              <w:rPr>
                <w:szCs w:val="21"/>
                <w:u w:val="single"/>
              </w:rPr>
            </w:pP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u w:val="single"/>
              </w:rPr>
              <w:t xml:space="preserve">  </w:t>
            </w:r>
            <w:r>
              <w:rPr>
                <w:rFonts w:hint="eastAsia"/>
                <w:szCs w:val="21"/>
              </w:rPr>
              <w:t>时</w:t>
            </w:r>
            <w:r>
              <w:rPr>
                <w:szCs w:val="21"/>
                <w:u w:val="single"/>
              </w:rPr>
              <w:t xml:space="preserve">  </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09" w:type="dxa"/>
            <w:vAlign w:val="center"/>
          </w:tcPr>
          <w:p>
            <w:pPr>
              <w:adjustRightInd w:val="0"/>
              <w:snapToGrid w:val="0"/>
              <w:spacing w:before="108" w:beforeLines="45" w:after="108" w:afterLines="45"/>
              <w:jc w:val="center"/>
              <w:rPr>
                <w:b/>
                <w:szCs w:val="21"/>
              </w:rPr>
            </w:pPr>
            <w:r>
              <w:rPr>
                <w:b/>
                <w:szCs w:val="21"/>
              </w:rPr>
              <w:t>23</w:t>
            </w:r>
          </w:p>
        </w:tc>
        <w:tc>
          <w:tcPr>
            <w:tcW w:w="1035" w:type="dxa"/>
            <w:vAlign w:val="center"/>
          </w:tcPr>
          <w:p>
            <w:pPr>
              <w:adjustRightInd w:val="0"/>
              <w:snapToGrid w:val="0"/>
              <w:jc w:val="center"/>
              <w:rPr>
                <w:szCs w:val="21"/>
              </w:rPr>
            </w:pPr>
            <w:r>
              <w:rPr>
                <w:szCs w:val="21"/>
              </w:rPr>
              <w:t>2.2.3</w:t>
            </w:r>
          </w:p>
        </w:tc>
        <w:tc>
          <w:tcPr>
            <w:tcW w:w="1632" w:type="dxa"/>
            <w:vAlign w:val="center"/>
          </w:tcPr>
          <w:p>
            <w:pPr>
              <w:adjustRightInd w:val="0"/>
              <w:snapToGrid w:val="0"/>
              <w:rPr>
                <w:szCs w:val="21"/>
              </w:rPr>
            </w:pPr>
            <w:r>
              <w:rPr>
                <w:rFonts w:hint="eastAsia"/>
                <w:szCs w:val="21"/>
              </w:rPr>
              <w:t>投标人确认收到招标文件澄清的时间</w:t>
            </w:r>
          </w:p>
        </w:tc>
        <w:tc>
          <w:tcPr>
            <w:tcW w:w="5106" w:type="dxa"/>
            <w:vAlign w:val="center"/>
          </w:tcPr>
          <w:p>
            <w:pPr>
              <w:adjustRightInd w:val="0"/>
              <w:snapToGrid w:val="0"/>
              <w:spacing w:before="36" w:beforeLines="15" w:after="36" w:afterLines="15"/>
              <w:rPr>
                <w:szCs w:val="21"/>
              </w:rPr>
            </w:pPr>
            <w:r>
              <w:rPr>
                <w:rFonts w:hint="eastAsia"/>
                <w:szCs w:val="21"/>
              </w:rPr>
              <w:t>在收到相应澄清文件后</w:t>
            </w:r>
            <w:r>
              <w:rPr>
                <w:szCs w:val="21"/>
                <w:u w:val="single"/>
              </w:rPr>
              <w:t xml:space="preserve">     </w:t>
            </w:r>
            <w:r>
              <w:rPr>
                <w:rFonts w:hint="eastAsia"/>
                <w:szCs w:val="21"/>
              </w:rPr>
              <w:t>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09" w:type="dxa"/>
            <w:vAlign w:val="center"/>
          </w:tcPr>
          <w:p>
            <w:pPr>
              <w:adjustRightInd w:val="0"/>
              <w:snapToGrid w:val="0"/>
              <w:spacing w:before="108" w:beforeLines="45" w:after="108" w:afterLines="45"/>
              <w:jc w:val="center"/>
              <w:rPr>
                <w:b/>
                <w:szCs w:val="21"/>
              </w:rPr>
            </w:pPr>
            <w:r>
              <w:rPr>
                <w:b/>
                <w:szCs w:val="21"/>
              </w:rPr>
              <w:t>24</w:t>
            </w:r>
          </w:p>
        </w:tc>
        <w:tc>
          <w:tcPr>
            <w:tcW w:w="1035" w:type="dxa"/>
            <w:vAlign w:val="center"/>
          </w:tcPr>
          <w:p>
            <w:pPr>
              <w:adjustRightInd w:val="0"/>
              <w:snapToGrid w:val="0"/>
              <w:jc w:val="center"/>
              <w:rPr>
                <w:szCs w:val="21"/>
              </w:rPr>
            </w:pPr>
            <w:r>
              <w:rPr>
                <w:szCs w:val="21"/>
              </w:rPr>
              <w:t>2.3.2</w:t>
            </w:r>
          </w:p>
        </w:tc>
        <w:tc>
          <w:tcPr>
            <w:tcW w:w="1632" w:type="dxa"/>
            <w:vAlign w:val="center"/>
          </w:tcPr>
          <w:p>
            <w:pPr>
              <w:adjustRightInd w:val="0"/>
              <w:snapToGrid w:val="0"/>
              <w:rPr>
                <w:szCs w:val="21"/>
              </w:rPr>
            </w:pPr>
            <w:r>
              <w:rPr>
                <w:rFonts w:hint="eastAsia"/>
                <w:szCs w:val="21"/>
              </w:rPr>
              <w:t>投标人确认收到招标文件修改的时间</w:t>
            </w:r>
          </w:p>
        </w:tc>
        <w:tc>
          <w:tcPr>
            <w:tcW w:w="5106" w:type="dxa"/>
            <w:vAlign w:val="center"/>
          </w:tcPr>
          <w:p>
            <w:pPr>
              <w:adjustRightInd w:val="0"/>
              <w:snapToGrid w:val="0"/>
              <w:spacing w:before="36" w:beforeLines="15" w:after="36" w:afterLines="15"/>
              <w:rPr>
                <w:szCs w:val="21"/>
              </w:rPr>
            </w:pPr>
            <w:r>
              <w:rPr>
                <w:rFonts w:hint="eastAsia"/>
                <w:szCs w:val="21"/>
              </w:rPr>
              <w:t>在收到相应修改文件后</w:t>
            </w:r>
            <w:r>
              <w:rPr>
                <w:szCs w:val="21"/>
                <w:u w:val="single"/>
              </w:rPr>
              <w:t xml:space="preserve">     </w:t>
            </w:r>
            <w:r>
              <w:rPr>
                <w:rFonts w:hint="eastAsia"/>
                <w:szCs w:val="21"/>
              </w:rPr>
              <w:t>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09" w:type="dxa"/>
            <w:vAlign w:val="center"/>
          </w:tcPr>
          <w:p>
            <w:pPr>
              <w:adjustRightInd w:val="0"/>
              <w:snapToGrid w:val="0"/>
              <w:spacing w:before="108" w:beforeLines="45" w:after="108" w:afterLines="45"/>
              <w:jc w:val="center"/>
              <w:rPr>
                <w:b/>
                <w:szCs w:val="21"/>
              </w:rPr>
            </w:pPr>
            <w:r>
              <w:rPr>
                <w:b/>
                <w:szCs w:val="21"/>
              </w:rPr>
              <w:t>25</w:t>
            </w:r>
          </w:p>
        </w:tc>
        <w:tc>
          <w:tcPr>
            <w:tcW w:w="1035" w:type="dxa"/>
            <w:vAlign w:val="center"/>
          </w:tcPr>
          <w:p>
            <w:pPr>
              <w:adjustRightInd w:val="0"/>
              <w:snapToGrid w:val="0"/>
              <w:jc w:val="center"/>
              <w:rPr>
                <w:szCs w:val="21"/>
              </w:rPr>
            </w:pPr>
            <w:r>
              <w:rPr>
                <w:szCs w:val="21"/>
              </w:rPr>
              <w:t>3.1.1(11)</w:t>
            </w:r>
          </w:p>
        </w:tc>
        <w:tc>
          <w:tcPr>
            <w:tcW w:w="1632" w:type="dxa"/>
            <w:vAlign w:val="center"/>
          </w:tcPr>
          <w:p>
            <w:pPr>
              <w:adjustRightInd w:val="0"/>
              <w:snapToGrid w:val="0"/>
              <w:rPr>
                <w:szCs w:val="21"/>
              </w:rPr>
            </w:pPr>
            <w:r>
              <w:rPr>
                <w:rFonts w:hint="eastAsia"/>
                <w:szCs w:val="21"/>
              </w:rPr>
              <w:t>构成投标文件的其他材料</w:t>
            </w:r>
          </w:p>
        </w:tc>
        <w:tc>
          <w:tcPr>
            <w:tcW w:w="5106" w:type="dxa"/>
            <w:vAlign w:val="center"/>
          </w:tcPr>
          <w:p>
            <w:pPr>
              <w:adjustRightInd w:val="0"/>
              <w:snapToGrid w:val="0"/>
              <w:spacing w:before="36" w:beforeLines="15" w:after="36" w:afterLines="15"/>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09" w:type="dxa"/>
            <w:vAlign w:val="center"/>
          </w:tcPr>
          <w:p>
            <w:pPr>
              <w:adjustRightInd w:val="0"/>
              <w:snapToGrid w:val="0"/>
              <w:spacing w:before="108" w:beforeLines="45" w:after="108" w:afterLines="45"/>
              <w:jc w:val="center"/>
              <w:rPr>
                <w:b/>
                <w:szCs w:val="21"/>
              </w:rPr>
            </w:pPr>
            <w:r>
              <w:rPr>
                <w:b/>
                <w:szCs w:val="21"/>
              </w:rPr>
              <w:t>26</w:t>
            </w:r>
          </w:p>
        </w:tc>
        <w:tc>
          <w:tcPr>
            <w:tcW w:w="1035" w:type="dxa"/>
            <w:vAlign w:val="center"/>
          </w:tcPr>
          <w:p>
            <w:pPr>
              <w:adjustRightInd w:val="0"/>
              <w:snapToGrid w:val="0"/>
              <w:jc w:val="center"/>
              <w:rPr>
                <w:szCs w:val="21"/>
              </w:rPr>
            </w:pPr>
            <w:r>
              <w:rPr>
                <w:szCs w:val="21"/>
              </w:rPr>
              <w:t>3.2.1</w:t>
            </w:r>
          </w:p>
        </w:tc>
        <w:tc>
          <w:tcPr>
            <w:tcW w:w="1632" w:type="dxa"/>
            <w:vAlign w:val="center"/>
          </w:tcPr>
          <w:p>
            <w:pPr>
              <w:adjustRightInd w:val="0"/>
              <w:snapToGrid w:val="0"/>
              <w:rPr>
                <w:szCs w:val="21"/>
              </w:rPr>
            </w:pPr>
            <w:r>
              <w:rPr>
                <w:rFonts w:hint="eastAsia"/>
                <w:szCs w:val="21"/>
              </w:rPr>
              <w:t>工程计价方式</w:t>
            </w:r>
            <w:r>
              <w:rPr>
                <w:szCs w:val="21"/>
              </w:rPr>
              <w:t xml:space="preserve"> </w:t>
            </w:r>
          </w:p>
        </w:tc>
        <w:tc>
          <w:tcPr>
            <w:tcW w:w="5106" w:type="dxa"/>
            <w:vAlign w:val="center"/>
          </w:tcPr>
          <w:p>
            <w:pPr>
              <w:adjustRightInd w:val="0"/>
              <w:snapToGrid w:val="0"/>
              <w:spacing w:before="36" w:beforeLines="15" w:after="36" w:afterLines="15"/>
              <w:ind w:firstLine="12"/>
              <w:rPr>
                <w:bCs/>
                <w:szCs w:val="21"/>
              </w:rPr>
            </w:pPr>
            <w:r>
              <w:rPr>
                <w:rFonts w:hint="eastAsia"/>
                <w:szCs w:val="21"/>
              </w:rPr>
              <w:t>工程量清单计价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09" w:type="dxa"/>
            <w:vAlign w:val="center"/>
          </w:tcPr>
          <w:p>
            <w:pPr>
              <w:adjustRightInd w:val="0"/>
              <w:snapToGrid w:val="0"/>
              <w:spacing w:before="108" w:beforeLines="45" w:after="108" w:afterLines="45"/>
              <w:jc w:val="center"/>
              <w:rPr>
                <w:b/>
                <w:szCs w:val="21"/>
              </w:rPr>
            </w:pPr>
            <w:r>
              <w:rPr>
                <w:rFonts w:hint="eastAsia"/>
                <w:b/>
                <w:szCs w:val="21"/>
              </w:rPr>
              <w:t>28</w:t>
            </w:r>
          </w:p>
        </w:tc>
        <w:tc>
          <w:tcPr>
            <w:tcW w:w="1035" w:type="dxa"/>
            <w:vAlign w:val="center"/>
          </w:tcPr>
          <w:p>
            <w:pPr>
              <w:adjustRightInd w:val="0"/>
              <w:snapToGrid w:val="0"/>
              <w:jc w:val="center"/>
              <w:rPr>
                <w:szCs w:val="21"/>
              </w:rPr>
            </w:pPr>
            <w:r>
              <w:rPr>
                <w:rFonts w:hint="eastAsia"/>
                <w:szCs w:val="21"/>
              </w:rPr>
              <w:t>3.2.4</w:t>
            </w:r>
          </w:p>
          <w:p>
            <w:pPr>
              <w:adjustRightInd w:val="0"/>
              <w:snapToGrid w:val="0"/>
              <w:jc w:val="center"/>
              <w:rPr>
                <w:szCs w:val="21"/>
              </w:rPr>
            </w:pPr>
            <w:r>
              <w:rPr>
                <w:rFonts w:hint="eastAsia"/>
                <w:szCs w:val="21"/>
              </w:rPr>
              <w:t>3.2.5</w:t>
            </w:r>
          </w:p>
        </w:tc>
        <w:tc>
          <w:tcPr>
            <w:tcW w:w="1632" w:type="dxa"/>
            <w:vAlign w:val="center"/>
          </w:tcPr>
          <w:p>
            <w:pPr>
              <w:adjustRightInd w:val="0"/>
              <w:snapToGrid w:val="0"/>
              <w:rPr>
                <w:szCs w:val="21"/>
              </w:rPr>
            </w:pPr>
            <w:r>
              <w:rPr>
                <w:rFonts w:hint="eastAsia"/>
                <w:szCs w:val="21"/>
              </w:rPr>
              <w:t>建筑垃圾运输处置费</w:t>
            </w:r>
          </w:p>
          <w:p>
            <w:pPr>
              <w:adjustRightInd w:val="0"/>
              <w:snapToGrid w:val="0"/>
              <w:rPr>
                <w:szCs w:val="21"/>
              </w:rPr>
            </w:pPr>
            <w:r>
              <w:rPr>
                <w:rFonts w:hint="eastAsia"/>
                <w:szCs w:val="21"/>
              </w:rPr>
              <w:t>安全文明施工费</w:t>
            </w:r>
          </w:p>
        </w:tc>
        <w:tc>
          <w:tcPr>
            <w:tcW w:w="5106" w:type="dxa"/>
            <w:vAlign w:val="center"/>
          </w:tcPr>
          <w:p>
            <w:pPr>
              <w:adjustRightInd w:val="0"/>
              <w:snapToGrid w:val="0"/>
              <w:spacing w:before="36" w:beforeLines="15" w:after="36" w:afterLines="15"/>
              <w:rPr>
                <w:szCs w:val="21"/>
                <w:u w:val="single"/>
              </w:rPr>
            </w:pPr>
            <w:r>
              <w:rPr>
                <w:rFonts w:hint="eastAsia"/>
                <w:szCs w:val="21"/>
              </w:rPr>
              <w:t xml:space="preserve">建筑垃圾运输处置费应符合 </w:t>
            </w:r>
            <w:r>
              <w:rPr>
                <w:rFonts w:hint="eastAsia"/>
                <w:szCs w:val="21"/>
                <w:u w:val="single"/>
              </w:rPr>
              <w:t xml:space="preserve">                 </w:t>
            </w:r>
            <w:r>
              <w:rPr>
                <w:rFonts w:hint="eastAsia"/>
                <w:szCs w:val="21"/>
              </w:rPr>
              <w:t>规定</w:t>
            </w:r>
          </w:p>
          <w:p>
            <w:pPr>
              <w:adjustRightInd w:val="0"/>
              <w:snapToGrid w:val="0"/>
              <w:spacing w:before="36" w:beforeLines="15" w:after="36" w:afterLines="15"/>
              <w:rPr>
                <w:szCs w:val="21"/>
                <w:u w:val="single"/>
              </w:rPr>
            </w:pPr>
            <w:r>
              <w:rPr>
                <w:rFonts w:hint="eastAsia"/>
                <w:szCs w:val="21"/>
              </w:rPr>
              <w:t xml:space="preserve">安全文明施工费应符合 </w:t>
            </w:r>
            <w:r>
              <w:rPr>
                <w:rFonts w:hint="eastAsia"/>
                <w:szCs w:val="21"/>
                <w:u w:val="single"/>
              </w:rPr>
              <w:t xml:space="preserve">                     </w:t>
            </w:r>
            <w:r>
              <w:rPr>
                <w:rFonts w:hint="eastAsia"/>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09" w:type="dxa"/>
            <w:vAlign w:val="center"/>
          </w:tcPr>
          <w:p>
            <w:pPr>
              <w:adjustRightInd w:val="0"/>
              <w:snapToGrid w:val="0"/>
              <w:spacing w:before="108" w:beforeLines="45" w:after="108" w:afterLines="45"/>
              <w:jc w:val="center"/>
              <w:rPr>
                <w:b/>
                <w:szCs w:val="21"/>
              </w:rPr>
            </w:pPr>
            <w:r>
              <w:rPr>
                <w:b/>
                <w:szCs w:val="21"/>
              </w:rPr>
              <w:t>27</w:t>
            </w:r>
          </w:p>
        </w:tc>
        <w:tc>
          <w:tcPr>
            <w:tcW w:w="1035" w:type="dxa"/>
            <w:vAlign w:val="center"/>
          </w:tcPr>
          <w:p>
            <w:pPr>
              <w:adjustRightInd w:val="0"/>
              <w:snapToGrid w:val="0"/>
              <w:jc w:val="center"/>
              <w:rPr>
                <w:szCs w:val="21"/>
              </w:rPr>
            </w:pPr>
            <w:r>
              <w:rPr>
                <w:szCs w:val="21"/>
              </w:rPr>
              <w:t>3.3.1</w:t>
            </w:r>
          </w:p>
        </w:tc>
        <w:tc>
          <w:tcPr>
            <w:tcW w:w="1632" w:type="dxa"/>
            <w:vAlign w:val="center"/>
          </w:tcPr>
          <w:p>
            <w:pPr>
              <w:adjustRightInd w:val="0"/>
              <w:snapToGrid w:val="0"/>
              <w:rPr>
                <w:szCs w:val="21"/>
              </w:rPr>
            </w:pPr>
            <w:r>
              <w:rPr>
                <w:rFonts w:hint="eastAsia"/>
                <w:szCs w:val="21"/>
              </w:rPr>
              <w:t>投标有效期</w:t>
            </w:r>
          </w:p>
        </w:tc>
        <w:tc>
          <w:tcPr>
            <w:tcW w:w="5106" w:type="dxa"/>
            <w:vAlign w:val="center"/>
          </w:tcPr>
          <w:p>
            <w:pPr>
              <w:adjustRightInd w:val="0"/>
              <w:snapToGrid w:val="0"/>
              <w:spacing w:before="36" w:beforeLines="15" w:after="36" w:afterLines="15"/>
              <w:rPr>
                <w:szCs w:val="21"/>
              </w:rPr>
            </w:pPr>
            <w:r>
              <w:rPr>
                <w:rFonts w:hint="eastAsia"/>
                <w:szCs w:val="21"/>
              </w:rPr>
              <w:t>从投标递交截止之时起：</w:t>
            </w:r>
            <w:r>
              <w:rPr>
                <w:szCs w:val="21"/>
                <w:u w:val="single"/>
              </w:rPr>
              <w:t xml:space="preserve">    </w:t>
            </w:r>
            <w:r>
              <w:rPr>
                <w:rFonts w:hint="eastAsia"/>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709" w:type="dxa"/>
            <w:vAlign w:val="center"/>
          </w:tcPr>
          <w:p>
            <w:pPr>
              <w:adjustRightInd w:val="0"/>
              <w:snapToGrid w:val="0"/>
              <w:spacing w:before="108" w:beforeLines="45" w:after="108" w:afterLines="45"/>
              <w:jc w:val="center"/>
              <w:rPr>
                <w:b/>
                <w:szCs w:val="21"/>
              </w:rPr>
            </w:pPr>
            <w:r>
              <w:rPr>
                <w:b/>
                <w:szCs w:val="21"/>
              </w:rPr>
              <w:t>28</w:t>
            </w:r>
          </w:p>
        </w:tc>
        <w:tc>
          <w:tcPr>
            <w:tcW w:w="1035" w:type="dxa"/>
            <w:vAlign w:val="center"/>
          </w:tcPr>
          <w:p>
            <w:pPr>
              <w:adjustRightInd w:val="0"/>
              <w:snapToGrid w:val="0"/>
              <w:jc w:val="center"/>
              <w:rPr>
                <w:szCs w:val="21"/>
              </w:rPr>
            </w:pPr>
            <w:r>
              <w:rPr>
                <w:szCs w:val="21"/>
              </w:rPr>
              <w:t>3.4.1</w:t>
            </w:r>
          </w:p>
        </w:tc>
        <w:tc>
          <w:tcPr>
            <w:tcW w:w="1632" w:type="dxa"/>
            <w:vAlign w:val="center"/>
          </w:tcPr>
          <w:p>
            <w:pPr>
              <w:adjustRightInd w:val="0"/>
              <w:snapToGrid w:val="0"/>
              <w:rPr>
                <w:szCs w:val="21"/>
              </w:rPr>
            </w:pPr>
            <w:r>
              <w:rPr>
                <w:rFonts w:hint="eastAsia"/>
                <w:szCs w:val="21"/>
              </w:rPr>
              <w:t>投标担保</w:t>
            </w:r>
          </w:p>
        </w:tc>
        <w:tc>
          <w:tcPr>
            <w:tcW w:w="5106" w:type="dxa"/>
            <w:vAlign w:val="center"/>
          </w:tcPr>
          <w:p>
            <w:pPr>
              <w:spacing w:before="36" w:beforeLines="15" w:after="36" w:afterLines="15"/>
              <w:rPr>
                <w:rFonts w:ascii="宋体" w:hAnsi="宋体" w:cs="Arial"/>
                <w:szCs w:val="21"/>
              </w:rPr>
            </w:pPr>
            <w:r>
              <w:rPr>
                <w:rFonts w:hint="eastAsia" w:ascii="宋体" w:hAnsi="宋体" w:cs="Arial"/>
                <w:szCs w:val="21"/>
              </w:rPr>
              <w:t>□ 不要求提供</w:t>
            </w:r>
          </w:p>
          <w:p>
            <w:pPr>
              <w:adjustRightInd w:val="0"/>
              <w:snapToGrid w:val="0"/>
              <w:spacing w:before="36" w:beforeLines="15" w:after="36" w:afterLines="15"/>
              <w:rPr>
                <w:rFonts w:ascii="宋体" w:hAnsi="宋体" w:cs="Arial"/>
                <w:szCs w:val="21"/>
              </w:rPr>
            </w:pPr>
            <w:r>
              <w:rPr>
                <w:rFonts w:hint="eastAsia" w:ascii="宋体" w:hAnsi="宋体" w:cs="Arial"/>
                <w:szCs w:val="21"/>
              </w:rPr>
              <w:t>□ 要求提供，应满足下列要求：</w:t>
            </w:r>
          </w:p>
          <w:p>
            <w:pPr>
              <w:adjustRightInd w:val="0"/>
              <w:snapToGrid w:val="0"/>
              <w:rPr>
                <w:szCs w:val="21"/>
              </w:rPr>
            </w:pPr>
            <w:r>
              <w:rPr>
                <w:rFonts w:hint="eastAsia"/>
                <w:szCs w:val="21"/>
              </w:rPr>
              <w:t>（1）投标担保的数额：</w:t>
            </w:r>
            <w:r>
              <w:rPr>
                <w:szCs w:val="21"/>
                <w:u w:val="single"/>
              </w:rPr>
              <w:t xml:space="preserve">     </w:t>
            </w:r>
            <w:r>
              <w:rPr>
                <w:rFonts w:hint="eastAsia"/>
                <w:szCs w:val="21"/>
              </w:rPr>
              <w:t>万元人民币</w:t>
            </w:r>
          </w:p>
          <w:p>
            <w:pPr>
              <w:adjustRightInd w:val="0"/>
              <w:snapToGrid w:val="0"/>
              <w:rPr>
                <w:szCs w:val="21"/>
                <w:u w:val="single"/>
              </w:rPr>
            </w:pPr>
            <w:r>
              <w:rPr>
                <w:rFonts w:hint="eastAsia"/>
                <w:szCs w:val="21"/>
              </w:rPr>
              <w:t>（2）投标担保的形式：</w:t>
            </w:r>
            <w:r>
              <w:rPr>
                <w:rFonts w:hint="eastAsia"/>
                <w:szCs w:val="21"/>
                <w:u w:val="single"/>
              </w:rPr>
              <w:t xml:space="preserve">                    </w:t>
            </w:r>
          </w:p>
          <w:p>
            <w:pPr>
              <w:adjustRightInd w:val="0"/>
              <w:snapToGrid w:val="0"/>
              <w:rPr>
                <w:szCs w:val="21"/>
              </w:rPr>
            </w:pPr>
            <w:r>
              <w:rPr>
                <w:rFonts w:hint="eastAsia"/>
                <w:szCs w:val="21"/>
              </w:rPr>
              <w:t>递交方式：</w:t>
            </w:r>
          </w:p>
          <w:p>
            <w:pPr>
              <w:adjustRightInd w:val="0"/>
              <w:snapToGrid w:val="0"/>
              <w:rPr>
                <w:szCs w:val="21"/>
              </w:rPr>
            </w:pPr>
            <w:r>
              <w:rPr>
                <w:rFonts w:hint="eastAsia"/>
                <w:szCs w:val="21"/>
              </w:rPr>
              <w:t>□ 采用电子保函</w:t>
            </w:r>
          </w:p>
          <w:p>
            <w:pPr>
              <w:adjustRightInd w:val="0"/>
              <w:snapToGrid w:val="0"/>
              <w:rPr>
                <w:szCs w:val="21"/>
              </w:rPr>
            </w:pPr>
            <w:r>
              <w:rPr>
                <w:rFonts w:hint="eastAsia"/>
                <w:szCs w:val="21"/>
              </w:rPr>
              <w:t>□ 采用现金</w:t>
            </w:r>
          </w:p>
          <w:p>
            <w:pPr>
              <w:adjustRightInd w:val="0"/>
              <w:snapToGrid w:val="0"/>
              <w:rPr>
                <w:szCs w:val="21"/>
              </w:rPr>
            </w:pPr>
            <w:r>
              <w:rPr>
                <w:rFonts w:hint="eastAsia"/>
                <w:szCs w:val="21"/>
              </w:rPr>
              <w:t>□ 采用银行保函</w:t>
            </w:r>
          </w:p>
          <w:p>
            <w:pPr>
              <w:adjustRightInd w:val="0"/>
              <w:snapToGrid w:val="0"/>
              <w:rPr>
                <w:szCs w:val="21"/>
              </w:rPr>
            </w:pPr>
            <w:r>
              <w:rPr>
                <w:rFonts w:hint="eastAsia"/>
                <w:szCs w:val="21"/>
              </w:rPr>
              <w:t>□ 采用汇票</w:t>
            </w:r>
          </w:p>
          <w:p>
            <w:pPr>
              <w:adjustRightInd w:val="0"/>
              <w:snapToGrid w:val="0"/>
              <w:rPr>
                <w:szCs w:val="21"/>
              </w:rPr>
            </w:pPr>
            <w:r>
              <w:rPr>
                <w:rFonts w:hint="eastAsia"/>
                <w:szCs w:val="21"/>
              </w:rPr>
              <w:t>□ 采用支票</w:t>
            </w:r>
          </w:p>
          <w:p>
            <w:pPr>
              <w:adjustRightInd w:val="0"/>
              <w:snapToGrid w:val="0"/>
              <w:rPr>
                <w:szCs w:val="21"/>
                <w:u w:val="single"/>
              </w:rPr>
            </w:pPr>
            <w:r>
              <w:rPr>
                <w:rFonts w:hint="eastAsia"/>
                <w:szCs w:val="21"/>
              </w:rPr>
              <w:t>□ 采用其他</w:t>
            </w:r>
            <w:r>
              <w:rPr>
                <w:rFonts w:hint="eastAsia"/>
                <w:szCs w:val="21"/>
                <w:u w:val="single"/>
              </w:rPr>
              <w:t xml:space="preserve">                                   </w:t>
            </w:r>
          </w:p>
          <w:p>
            <w:pPr>
              <w:adjustRightInd w:val="0"/>
              <w:snapToGrid w:val="0"/>
              <w:rPr>
                <w:szCs w:val="21"/>
                <w:u w:val="single"/>
              </w:rPr>
            </w:pPr>
            <w:r>
              <w:rPr>
                <w:rFonts w:hint="eastAsia"/>
                <w:szCs w:val="21"/>
              </w:rPr>
              <w:t>指定账户：</w:t>
            </w:r>
          </w:p>
          <w:p>
            <w:pPr>
              <w:adjustRightInd w:val="0"/>
              <w:snapToGrid w:val="0"/>
              <w:rPr>
                <w:szCs w:val="21"/>
              </w:rPr>
            </w:pPr>
            <w:r>
              <w:rPr>
                <w:rFonts w:hint="eastAsia"/>
                <w:szCs w:val="21"/>
              </w:rPr>
              <w:t>账户名称：</w:t>
            </w:r>
            <w:r>
              <w:rPr>
                <w:rFonts w:hint="eastAsia"/>
                <w:szCs w:val="21"/>
                <w:u w:val="single"/>
              </w:rPr>
              <w:t xml:space="preserve">                                      </w:t>
            </w:r>
            <w:r>
              <w:rPr>
                <w:rFonts w:hint="eastAsia"/>
                <w:szCs w:val="21"/>
              </w:rPr>
              <w:t xml:space="preserve">        </w:t>
            </w:r>
          </w:p>
          <w:p>
            <w:pPr>
              <w:adjustRightInd w:val="0"/>
              <w:snapToGrid w:val="0"/>
              <w:rPr>
                <w:szCs w:val="21"/>
              </w:rPr>
            </w:pPr>
            <w:r>
              <w:rPr>
                <w:rFonts w:hint="eastAsia"/>
                <w:szCs w:val="21"/>
              </w:rPr>
              <w:t>开户行：</w:t>
            </w:r>
            <w:r>
              <w:rPr>
                <w:rFonts w:hint="eastAsia"/>
                <w:szCs w:val="21"/>
                <w:u w:val="single"/>
              </w:rPr>
              <w:t xml:space="preserve">                                        </w:t>
            </w:r>
            <w:r>
              <w:rPr>
                <w:rFonts w:hint="eastAsia"/>
                <w:szCs w:val="21"/>
              </w:rPr>
              <w:t xml:space="preserve">                                            </w:t>
            </w:r>
          </w:p>
          <w:p>
            <w:pPr>
              <w:adjustRightInd w:val="0"/>
              <w:snapToGrid w:val="0"/>
              <w:rPr>
                <w:szCs w:val="21"/>
              </w:rPr>
            </w:pPr>
            <w:r>
              <w:rPr>
                <w:rFonts w:hint="eastAsia"/>
                <w:szCs w:val="21"/>
              </w:rPr>
              <w:t>账号：</w:t>
            </w:r>
            <w:r>
              <w:rPr>
                <w:rFonts w:hint="eastAsia"/>
                <w:szCs w:val="21"/>
                <w:u w:val="single"/>
              </w:rPr>
              <w:t xml:space="preserve">                                          </w:t>
            </w:r>
            <w:r>
              <w:rPr>
                <w:rFonts w:hint="eastAsia"/>
                <w:szCs w:val="21"/>
              </w:rPr>
              <w:t xml:space="preserve">                                              </w:t>
            </w:r>
          </w:p>
          <w:p>
            <w:pPr>
              <w:adjustRightInd w:val="0"/>
              <w:snapToGrid w:val="0"/>
              <w:rPr>
                <w:szCs w:val="21"/>
              </w:rPr>
            </w:pPr>
            <w:r>
              <w:rPr>
                <w:rFonts w:hint="eastAsia"/>
                <w:szCs w:val="21"/>
              </w:rPr>
              <w:t>（3）退还投标保证金利息：</w:t>
            </w:r>
          </w:p>
          <w:p>
            <w:pPr>
              <w:adjustRightInd w:val="0"/>
              <w:snapToGrid w:val="0"/>
              <w:rPr>
                <w:szCs w:val="21"/>
              </w:rPr>
            </w:pPr>
            <w:r>
              <w:rPr>
                <w:rFonts w:hint="eastAsia"/>
                <w:szCs w:val="21"/>
              </w:rPr>
              <w:t>利息计算标准：</w:t>
            </w:r>
            <w:r>
              <w:rPr>
                <w:rFonts w:hint="eastAsia"/>
                <w:szCs w:val="21"/>
                <w:u w:val="single"/>
              </w:rPr>
              <w:t xml:space="preserve">                                  </w:t>
            </w:r>
            <w:r>
              <w:rPr>
                <w:rFonts w:hint="eastAsia"/>
                <w:szCs w:val="21"/>
              </w:rPr>
              <w:t xml:space="preserve">                                                         </w:t>
            </w:r>
          </w:p>
          <w:p>
            <w:pPr>
              <w:adjustRightInd w:val="0"/>
              <w:snapToGrid w:val="0"/>
              <w:rPr>
                <w:szCs w:val="21"/>
              </w:rPr>
            </w:pPr>
            <w:r>
              <w:rPr>
                <w:rFonts w:hint="eastAsia"/>
                <w:szCs w:val="21"/>
              </w:rPr>
              <w:t>利息计算起止时间：</w:t>
            </w:r>
            <w:r>
              <w:rPr>
                <w:rFonts w:hint="eastAsia"/>
                <w:szCs w:val="21"/>
                <w:u w:val="single"/>
              </w:rPr>
              <w:t xml:space="preserve">                              </w:t>
            </w:r>
            <w:r>
              <w:rPr>
                <w:rFonts w:hint="eastAsia"/>
                <w:szCs w:val="21"/>
              </w:rPr>
              <w:t xml:space="preserve">                                                     </w:t>
            </w:r>
          </w:p>
          <w:p>
            <w:pPr>
              <w:adjustRightInd w:val="0"/>
              <w:snapToGrid w:val="0"/>
              <w:rPr>
                <w:szCs w:val="21"/>
              </w:rPr>
            </w:pPr>
            <w:r>
              <w:rPr>
                <w:rFonts w:hint="eastAsia"/>
                <w:szCs w:val="21"/>
              </w:rPr>
              <w:t>利息退还方式：</w:t>
            </w:r>
            <w:r>
              <w:rPr>
                <w:rFonts w:hint="eastAsia"/>
                <w:szCs w:val="21"/>
                <w:u w:val="single"/>
              </w:rPr>
              <w:t xml:space="preserve">                                  </w:t>
            </w:r>
            <w:r>
              <w:rPr>
                <w:rFonts w:hint="eastAsia"/>
                <w:szCs w:val="21"/>
              </w:rPr>
              <w:t xml:space="preserve">                                 </w:t>
            </w:r>
            <w:r>
              <w:rPr>
                <w:rFonts w:hint="eastAsia"/>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8" w:hRule="atLeast"/>
          <w:jc w:val="center"/>
        </w:trPr>
        <w:tc>
          <w:tcPr>
            <w:tcW w:w="709" w:type="dxa"/>
            <w:vAlign w:val="center"/>
          </w:tcPr>
          <w:p>
            <w:pPr>
              <w:adjustRightInd w:val="0"/>
              <w:snapToGrid w:val="0"/>
              <w:spacing w:before="108" w:beforeLines="45" w:after="108" w:afterLines="45"/>
              <w:jc w:val="center"/>
              <w:rPr>
                <w:b/>
                <w:szCs w:val="21"/>
              </w:rPr>
            </w:pPr>
            <w:r>
              <w:rPr>
                <w:b/>
                <w:szCs w:val="21"/>
              </w:rPr>
              <w:t>29</w:t>
            </w:r>
          </w:p>
        </w:tc>
        <w:tc>
          <w:tcPr>
            <w:tcW w:w="1035" w:type="dxa"/>
            <w:vAlign w:val="center"/>
          </w:tcPr>
          <w:p>
            <w:pPr>
              <w:spacing w:line="440" w:lineRule="exact"/>
              <w:jc w:val="center"/>
              <w:rPr>
                <w:szCs w:val="21"/>
              </w:rPr>
            </w:pPr>
            <w:r>
              <w:rPr>
                <w:szCs w:val="21"/>
              </w:rPr>
              <w:t>3.5</w:t>
            </w:r>
          </w:p>
        </w:tc>
        <w:tc>
          <w:tcPr>
            <w:tcW w:w="1632" w:type="dxa"/>
            <w:vAlign w:val="center"/>
          </w:tcPr>
          <w:p>
            <w:pPr>
              <w:spacing w:line="440" w:lineRule="exact"/>
              <w:rPr>
                <w:szCs w:val="21"/>
              </w:rPr>
            </w:pPr>
            <w:r>
              <w:rPr>
                <w:rFonts w:hint="eastAsia"/>
                <w:szCs w:val="21"/>
              </w:rPr>
              <w:t>资格审查资料</w:t>
            </w:r>
          </w:p>
        </w:tc>
        <w:tc>
          <w:tcPr>
            <w:tcW w:w="5106" w:type="dxa"/>
            <w:vAlign w:val="center"/>
          </w:tcPr>
          <w:p>
            <w:pPr>
              <w:rPr>
                <w:szCs w:val="21"/>
              </w:rPr>
            </w:pPr>
            <w:r>
              <w:rPr>
                <w:rFonts w:hint="eastAsia"/>
                <w:kern w:val="0"/>
                <w:szCs w:val="21"/>
              </w:rPr>
              <w:t>投标人在投标过程中发生下列情形的，应当及时书面告知招标人，</w:t>
            </w:r>
            <w:r>
              <w:rPr>
                <w:rFonts w:hint="eastAsia"/>
                <w:szCs w:val="21"/>
              </w:rPr>
              <w:t>并获得招标人书面确认同意：</w:t>
            </w:r>
          </w:p>
          <w:p>
            <w:pPr>
              <w:numPr>
                <w:ilvl w:val="0"/>
                <w:numId w:val="4"/>
              </w:numPr>
              <w:ind w:left="526" w:hanging="526"/>
              <w:rPr>
                <w:szCs w:val="21"/>
              </w:rPr>
            </w:pPr>
            <w:r>
              <w:rPr>
                <w:rFonts w:hint="eastAsia"/>
                <w:szCs w:val="21"/>
              </w:rPr>
              <w:t>投标人名称变化；</w:t>
            </w:r>
          </w:p>
          <w:p>
            <w:pPr>
              <w:numPr>
                <w:ilvl w:val="0"/>
                <w:numId w:val="4"/>
              </w:numPr>
              <w:ind w:left="526" w:hanging="526"/>
              <w:rPr>
                <w:szCs w:val="21"/>
              </w:rPr>
            </w:pPr>
            <w:r>
              <w:rPr>
                <w:rFonts w:hint="eastAsia"/>
                <w:szCs w:val="21"/>
              </w:rPr>
              <w:t>投标人发生合并、分立、破产等重大变化；</w:t>
            </w:r>
          </w:p>
          <w:p>
            <w:pPr>
              <w:numPr>
                <w:ilvl w:val="0"/>
                <w:numId w:val="4"/>
              </w:numPr>
              <w:ind w:left="526" w:hanging="526"/>
              <w:rPr>
                <w:szCs w:val="21"/>
              </w:rPr>
            </w:pPr>
            <w:r>
              <w:rPr>
                <w:rFonts w:hint="eastAsia"/>
                <w:szCs w:val="21"/>
              </w:rPr>
              <w:t>投标人财务状况、经营状况发生重大变化；</w:t>
            </w:r>
          </w:p>
          <w:p>
            <w:pPr>
              <w:numPr>
                <w:ilvl w:val="0"/>
                <w:numId w:val="4"/>
              </w:numPr>
              <w:ind w:left="526" w:hanging="526"/>
              <w:rPr>
                <w:szCs w:val="21"/>
              </w:rPr>
            </w:pPr>
            <w:r>
              <w:rPr>
                <w:rFonts w:hint="eastAsia"/>
                <w:szCs w:val="21"/>
              </w:rPr>
              <w:t>联合体分工比例变化；</w:t>
            </w:r>
          </w:p>
          <w:p>
            <w:pPr>
              <w:numPr>
                <w:ilvl w:val="0"/>
                <w:numId w:val="4"/>
              </w:numPr>
              <w:ind w:left="526" w:hanging="526"/>
              <w:rPr>
                <w:szCs w:val="21"/>
              </w:rPr>
            </w:pPr>
            <w:r>
              <w:rPr>
                <w:szCs w:val="21"/>
              </w:rPr>
              <w:t>……</w:t>
            </w:r>
          </w:p>
          <w:p>
            <w:pPr>
              <w:rPr>
                <w:szCs w:val="21"/>
              </w:rPr>
            </w:pPr>
            <w:r>
              <w:rPr>
                <w:rFonts w:hint="eastAsia"/>
                <w:szCs w:val="21"/>
              </w:rPr>
              <w:t>投标人应当将招标人书面意见，以及更新后的有关资料纳入投标文件中。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09" w:type="dxa"/>
            <w:vAlign w:val="center"/>
          </w:tcPr>
          <w:p>
            <w:pPr>
              <w:adjustRightInd w:val="0"/>
              <w:snapToGrid w:val="0"/>
              <w:spacing w:before="108" w:beforeLines="45" w:after="108" w:afterLines="45"/>
              <w:jc w:val="center"/>
              <w:rPr>
                <w:b/>
                <w:szCs w:val="21"/>
              </w:rPr>
            </w:pPr>
            <w:r>
              <w:rPr>
                <w:b/>
                <w:szCs w:val="21"/>
              </w:rPr>
              <w:t>30</w:t>
            </w:r>
          </w:p>
        </w:tc>
        <w:tc>
          <w:tcPr>
            <w:tcW w:w="1035" w:type="dxa"/>
            <w:vAlign w:val="center"/>
          </w:tcPr>
          <w:p>
            <w:pPr>
              <w:adjustRightInd w:val="0"/>
              <w:snapToGrid w:val="0"/>
              <w:jc w:val="center"/>
              <w:rPr>
                <w:szCs w:val="21"/>
              </w:rPr>
            </w:pPr>
            <w:r>
              <w:rPr>
                <w:szCs w:val="21"/>
              </w:rPr>
              <w:t>3.6</w:t>
            </w:r>
          </w:p>
        </w:tc>
        <w:tc>
          <w:tcPr>
            <w:tcW w:w="1632" w:type="dxa"/>
            <w:vAlign w:val="center"/>
          </w:tcPr>
          <w:p>
            <w:pPr>
              <w:adjustRightInd w:val="0"/>
              <w:snapToGrid w:val="0"/>
              <w:rPr>
                <w:szCs w:val="21"/>
              </w:rPr>
            </w:pPr>
            <w:r>
              <w:rPr>
                <w:rFonts w:hint="eastAsia"/>
                <w:szCs w:val="21"/>
              </w:rPr>
              <w:t>是否允许递交备选投标方案</w:t>
            </w:r>
          </w:p>
        </w:tc>
        <w:tc>
          <w:tcPr>
            <w:tcW w:w="5106" w:type="dxa"/>
            <w:vAlign w:val="center"/>
          </w:tcPr>
          <w:p>
            <w:pPr>
              <w:pStyle w:val="145"/>
              <w:topLinePunct/>
              <w:spacing w:line="400" w:lineRule="exact"/>
              <w:rPr>
                <w:rFonts w:ascii="Times New Roman"/>
                <w:sz w:val="21"/>
                <w:szCs w:val="21"/>
              </w:rPr>
            </w:pPr>
            <w:r>
              <w:rPr>
                <w:rFonts w:hint="eastAsia" w:hAnsi="宋体" w:cs="Arial"/>
                <w:sz w:val="21"/>
                <w:szCs w:val="21"/>
              </w:rPr>
              <w:t>□</w:t>
            </w:r>
            <w:r>
              <w:rPr>
                <w:rFonts w:ascii="Times New Roman"/>
                <w:sz w:val="21"/>
                <w:szCs w:val="21"/>
              </w:rPr>
              <w:t>不允许</w:t>
            </w:r>
          </w:p>
          <w:p>
            <w:pPr>
              <w:rPr>
                <w:szCs w:val="21"/>
              </w:rPr>
            </w:pPr>
            <w:r>
              <w:rPr>
                <w:rFonts w:hint="eastAsia" w:ascii="宋体" w:hAnsi="宋体" w:cs="Arial"/>
                <w:szCs w:val="21"/>
              </w:rPr>
              <w:t>□</w:t>
            </w:r>
            <w:r>
              <w:rPr>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jc w:val="center"/>
        </w:trPr>
        <w:tc>
          <w:tcPr>
            <w:tcW w:w="709" w:type="dxa"/>
            <w:vAlign w:val="center"/>
          </w:tcPr>
          <w:p>
            <w:pPr>
              <w:adjustRightInd w:val="0"/>
              <w:snapToGrid w:val="0"/>
              <w:spacing w:before="108" w:beforeLines="45" w:after="108" w:afterLines="45"/>
              <w:jc w:val="center"/>
              <w:rPr>
                <w:b/>
                <w:szCs w:val="21"/>
              </w:rPr>
            </w:pPr>
            <w:r>
              <w:rPr>
                <w:b/>
                <w:szCs w:val="21"/>
              </w:rPr>
              <w:t>31</w:t>
            </w:r>
          </w:p>
        </w:tc>
        <w:tc>
          <w:tcPr>
            <w:tcW w:w="1035" w:type="dxa"/>
            <w:vAlign w:val="center"/>
          </w:tcPr>
          <w:p>
            <w:pPr>
              <w:adjustRightInd w:val="0"/>
              <w:snapToGrid w:val="0"/>
              <w:jc w:val="center"/>
              <w:rPr>
                <w:szCs w:val="21"/>
              </w:rPr>
            </w:pPr>
            <w:r>
              <w:rPr>
                <w:szCs w:val="21"/>
              </w:rPr>
              <w:t>3.7.4</w:t>
            </w:r>
          </w:p>
        </w:tc>
        <w:tc>
          <w:tcPr>
            <w:tcW w:w="1632" w:type="dxa"/>
            <w:vAlign w:val="center"/>
          </w:tcPr>
          <w:p>
            <w:pPr>
              <w:adjustRightInd w:val="0"/>
              <w:snapToGrid w:val="0"/>
              <w:rPr>
                <w:szCs w:val="21"/>
              </w:rPr>
            </w:pPr>
            <w:r>
              <w:rPr>
                <w:rFonts w:hint="eastAsia"/>
                <w:szCs w:val="21"/>
              </w:rPr>
              <w:t>施工组织设计的编制要求</w:t>
            </w:r>
          </w:p>
        </w:tc>
        <w:tc>
          <w:tcPr>
            <w:tcW w:w="5106" w:type="dxa"/>
            <w:vAlign w:val="center"/>
          </w:tcPr>
          <w:p>
            <w:pPr>
              <w:adjustRightInd w:val="0"/>
              <w:snapToGrid w:val="0"/>
              <w:spacing w:before="36" w:beforeLines="15" w:after="36" w:afterLines="15"/>
              <w:ind w:left="-4" w:leftChars="-2" w:firstLine="2" w:firstLineChars="1"/>
              <w:rPr>
                <w:szCs w:val="21"/>
              </w:rPr>
            </w:pPr>
            <w:r>
              <w:rPr>
                <w:rFonts w:hint="eastAsia"/>
                <w:szCs w:val="21"/>
              </w:rPr>
              <w:t>施工组织设计评审采用：</w:t>
            </w:r>
            <w:r>
              <w:rPr>
                <w:szCs w:val="21"/>
              </w:rPr>
              <w:t xml:space="preserve"> </w:t>
            </w:r>
          </w:p>
          <w:p>
            <w:pPr>
              <w:snapToGrid w:val="0"/>
              <w:spacing w:before="36" w:beforeLines="15" w:after="36" w:afterLines="15"/>
              <w:ind w:left="-4" w:leftChars="-2" w:firstLine="2" w:firstLineChars="1"/>
              <w:rPr>
                <w:bCs/>
                <w:szCs w:val="21"/>
              </w:rPr>
            </w:pPr>
            <w:r>
              <w:rPr>
                <w:b/>
                <w:szCs w:val="21"/>
              </w:rPr>
              <w:t>“</w:t>
            </w:r>
            <w:r>
              <w:rPr>
                <w:rFonts w:hint="eastAsia"/>
                <w:b/>
                <w:szCs w:val="21"/>
              </w:rPr>
              <w:t>暗标</w:t>
            </w:r>
            <w:r>
              <w:rPr>
                <w:b/>
                <w:szCs w:val="21"/>
              </w:rPr>
              <w:t>”</w:t>
            </w:r>
            <w:r>
              <w:rPr>
                <w:rFonts w:hint="eastAsia"/>
                <w:bCs/>
                <w:szCs w:val="21"/>
              </w:rPr>
              <w:t>，</w:t>
            </w:r>
            <w:r>
              <w:rPr>
                <w:rFonts w:hint="eastAsia"/>
                <w:szCs w:val="21"/>
              </w:rPr>
              <w:t>施工组织设计的编制应符合</w:t>
            </w:r>
            <w:r>
              <w:rPr>
                <w:b/>
                <w:szCs w:val="21"/>
              </w:rPr>
              <w:t>“</w:t>
            </w:r>
            <w:r>
              <w:rPr>
                <w:rFonts w:hint="eastAsia"/>
                <w:b/>
                <w:szCs w:val="21"/>
              </w:rPr>
              <w:t>暗标</w:t>
            </w:r>
            <w:r>
              <w:rPr>
                <w:b/>
                <w:szCs w:val="21"/>
              </w:rPr>
              <w:t>”</w:t>
            </w:r>
            <w:r>
              <w:rPr>
                <w:rFonts w:hint="eastAsia"/>
                <w:szCs w:val="21"/>
              </w:rPr>
              <w:t>评审要求，具体的</w:t>
            </w:r>
            <w:r>
              <w:rPr>
                <w:rFonts w:hint="eastAsia"/>
                <w:bCs/>
                <w:szCs w:val="21"/>
              </w:rPr>
              <w:t>编制要求详见投标人须知。</w:t>
            </w:r>
          </w:p>
          <w:p>
            <w:pPr>
              <w:snapToGrid w:val="0"/>
              <w:spacing w:before="36" w:beforeLines="15" w:after="36" w:afterLines="15"/>
              <w:ind w:left="-4" w:leftChars="-2" w:firstLine="2" w:firstLineChars="1"/>
              <w:rPr>
                <w:bCs/>
                <w:szCs w:val="21"/>
              </w:rPr>
            </w:pPr>
            <w:r>
              <w:rPr>
                <w:rFonts w:hint="eastAsia"/>
                <w:bCs/>
                <w:szCs w:val="21"/>
              </w:rPr>
              <w:t>□ 选择采用否决性评审的，限制施工组织设计的总篇幅不得超过100页。</w:t>
            </w:r>
          </w:p>
          <w:p>
            <w:pPr>
              <w:pStyle w:val="145"/>
              <w:topLinePunct/>
              <w:rPr>
                <w:bCs/>
                <w:sz w:val="21"/>
                <w:szCs w:val="21"/>
              </w:rPr>
            </w:pPr>
            <w:r>
              <w:rPr>
                <w:rFonts w:hint="eastAsia"/>
                <w:bCs/>
                <w:sz w:val="21"/>
                <w:szCs w:val="21"/>
              </w:rPr>
              <w:t>□选择采用限制性评审的，施工组织设计总篇幅超过100页，依照第三章评标办法附表7进行评审。</w:t>
            </w:r>
          </w:p>
          <w:p>
            <w:pPr>
              <w:adjustRightInd w:val="0"/>
              <w:snapToGrid w:val="0"/>
              <w:spacing w:before="36" w:beforeLines="15" w:after="36" w:afterLines="15"/>
              <w:ind w:left="-4" w:leftChars="-2" w:firstLine="2" w:firstLineChars="1"/>
              <w:rPr>
                <w:bCs/>
                <w:szCs w:val="21"/>
              </w:rPr>
            </w:pPr>
            <w:r>
              <w:rPr>
                <w:rFonts w:hint="eastAsia"/>
              </w:rPr>
              <w:t>其他要求</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09" w:type="dxa"/>
            <w:vAlign w:val="center"/>
          </w:tcPr>
          <w:p>
            <w:pPr>
              <w:adjustRightInd w:val="0"/>
              <w:snapToGrid w:val="0"/>
              <w:spacing w:before="108" w:beforeLines="45" w:after="108" w:afterLines="45"/>
              <w:jc w:val="center"/>
              <w:rPr>
                <w:b/>
                <w:szCs w:val="21"/>
              </w:rPr>
            </w:pPr>
            <w:r>
              <w:rPr>
                <w:b/>
                <w:szCs w:val="21"/>
              </w:rPr>
              <w:t>32</w:t>
            </w:r>
          </w:p>
        </w:tc>
        <w:tc>
          <w:tcPr>
            <w:tcW w:w="1035" w:type="dxa"/>
            <w:vAlign w:val="center"/>
          </w:tcPr>
          <w:p>
            <w:pPr>
              <w:adjustRightInd w:val="0"/>
              <w:snapToGrid w:val="0"/>
              <w:jc w:val="center"/>
              <w:rPr>
                <w:szCs w:val="21"/>
              </w:rPr>
            </w:pPr>
            <w:r>
              <w:rPr>
                <w:szCs w:val="21"/>
              </w:rPr>
              <w:t>4.1</w:t>
            </w:r>
          </w:p>
        </w:tc>
        <w:tc>
          <w:tcPr>
            <w:tcW w:w="1632" w:type="dxa"/>
            <w:vAlign w:val="center"/>
          </w:tcPr>
          <w:p>
            <w:pPr>
              <w:adjustRightInd w:val="0"/>
              <w:snapToGrid w:val="0"/>
              <w:rPr>
                <w:szCs w:val="21"/>
              </w:rPr>
            </w:pPr>
            <w:r>
              <w:rPr>
                <w:rFonts w:hint="eastAsia"/>
                <w:szCs w:val="21"/>
              </w:rPr>
              <w:t>投标文件的加密</w:t>
            </w:r>
          </w:p>
        </w:tc>
        <w:tc>
          <w:tcPr>
            <w:tcW w:w="5106" w:type="dxa"/>
            <w:vAlign w:val="center"/>
          </w:tcPr>
          <w:p>
            <w:pPr>
              <w:snapToGrid w:val="0"/>
              <w:rPr>
                <w:szCs w:val="21"/>
              </w:rPr>
            </w:pPr>
            <w:r>
              <w:rPr>
                <w:rFonts w:hint="eastAsia" w:ascii="宋体" w:hAnsi="宋体" w:cs="Arial"/>
                <w:iCs/>
                <w:szCs w:val="21"/>
              </w:rPr>
              <w:t>投标文件递交前，应当使用投标人企业</w:t>
            </w:r>
            <w:r>
              <w:rPr>
                <w:rFonts w:ascii="宋体" w:hAnsi="宋体" w:cs="Arial"/>
                <w:iCs/>
                <w:szCs w:val="21"/>
              </w:rPr>
              <w:t>CA</w:t>
            </w:r>
            <w:r>
              <w:rPr>
                <w:rFonts w:hint="eastAsia" w:ascii="宋体" w:hAnsi="宋体" w:cs="Arial"/>
                <w:iCs/>
                <w:szCs w:val="21"/>
              </w:rPr>
              <w:t>电子印章进行加密。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09" w:type="dxa"/>
            <w:vAlign w:val="center"/>
          </w:tcPr>
          <w:p>
            <w:pPr>
              <w:adjustRightInd w:val="0"/>
              <w:snapToGrid w:val="0"/>
              <w:spacing w:before="108" w:beforeLines="45" w:after="108" w:afterLines="45"/>
              <w:jc w:val="center"/>
              <w:rPr>
                <w:b/>
                <w:szCs w:val="21"/>
              </w:rPr>
            </w:pPr>
            <w:r>
              <w:rPr>
                <w:b/>
                <w:szCs w:val="21"/>
              </w:rPr>
              <w:t>33</w:t>
            </w:r>
          </w:p>
        </w:tc>
        <w:tc>
          <w:tcPr>
            <w:tcW w:w="1035" w:type="dxa"/>
            <w:vAlign w:val="center"/>
          </w:tcPr>
          <w:p>
            <w:pPr>
              <w:adjustRightInd w:val="0"/>
              <w:snapToGrid w:val="0"/>
              <w:jc w:val="center"/>
              <w:rPr>
                <w:szCs w:val="21"/>
              </w:rPr>
            </w:pPr>
            <w:r>
              <w:rPr>
                <w:szCs w:val="21"/>
              </w:rPr>
              <w:t>4.2</w:t>
            </w:r>
          </w:p>
          <w:p>
            <w:pPr>
              <w:adjustRightInd w:val="0"/>
              <w:snapToGrid w:val="0"/>
              <w:jc w:val="center"/>
              <w:rPr>
                <w:szCs w:val="21"/>
              </w:rPr>
            </w:pPr>
          </w:p>
        </w:tc>
        <w:tc>
          <w:tcPr>
            <w:tcW w:w="1632" w:type="dxa"/>
            <w:vAlign w:val="center"/>
          </w:tcPr>
          <w:p>
            <w:pPr>
              <w:adjustRightInd w:val="0"/>
              <w:snapToGrid w:val="0"/>
              <w:rPr>
                <w:szCs w:val="21"/>
              </w:rPr>
            </w:pPr>
            <w:r>
              <w:rPr>
                <w:rFonts w:hint="eastAsia"/>
                <w:szCs w:val="21"/>
              </w:rPr>
              <w:t>投标文件递交及投标截止时间</w:t>
            </w:r>
          </w:p>
        </w:tc>
        <w:tc>
          <w:tcPr>
            <w:tcW w:w="5106" w:type="dxa"/>
            <w:vAlign w:val="center"/>
          </w:tcPr>
          <w:p>
            <w:pPr>
              <w:spacing w:line="400" w:lineRule="exact"/>
              <w:rPr>
                <w:rFonts w:ascii="宋体" w:cs="Arial"/>
                <w:iCs/>
                <w:szCs w:val="28"/>
              </w:rPr>
            </w:pPr>
            <w:r>
              <w:rPr>
                <w:rFonts w:hint="eastAsia" w:ascii="宋体" w:hAnsi="宋体" w:cs="Arial"/>
                <w:iCs/>
                <w:szCs w:val="28"/>
              </w:rPr>
              <w:t>投标人应当按照招标文件规定的递交方式递交投标文件。</w:t>
            </w:r>
          </w:p>
          <w:p>
            <w:pPr>
              <w:spacing w:line="400" w:lineRule="exact"/>
              <w:rPr>
                <w:rFonts w:ascii="宋体" w:cs="Arial"/>
                <w:iCs/>
                <w:szCs w:val="28"/>
              </w:rPr>
            </w:pPr>
            <w:r>
              <w:rPr>
                <w:rFonts w:hint="eastAsia"/>
              </w:rPr>
              <w:t>投标人应当在招标文件规定的投标文件递交截止时间前，通过</w:t>
            </w:r>
            <w:r>
              <w:rPr>
                <w:rFonts w:hint="eastAsia" w:ascii="宋体" w:hAnsi="宋体" w:cs="Arial"/>
                <w:iCs/>
                <w:szCs w:val="28"/>
              </w:rPr>
              <w:t>因特网或交易中心大厅局域网</w:t>
            </w:r>
            <w:r>
              <w:rPr>
                <w:rFonts w:hint="eastAsia"/>
              </w:rPr>
              <w:t>将经加密的电子投标文件上传至电子化平台，电子化平台在成功接收投标文件之后提供回执。</w:t>
            </w:r>
          </w:p>
          <w:p>
            <w:pPr>
              <w:spacing w:line="400" w:lineRule="exact"/>
              <w:rPr>
                <w:rFonts w:ascii="宋体" w:cs="Arial"/>
                <w:iCs/>
                <w:szCs w:val="28"/>
              </w:rPr>
            </w:pPr>
            <w:r>
              <w:rPr>
                <w:rFonts w:hint="eastAsia"/>
              </w:rPr>
              <w:t>递交成功时间以电子化平台回执载明的传输完成时间为准。投标人在上传电子投标文件前必须查杀病毒。</w:t>
            </w:r>
          </w:p>
          <w:p>
            <w:pPr>
              <w:tabs>
                <w:tab w:val="left" w:pos="520"/>
              </w:tabs>
              <w:adjustRightInd w:val="0"/>
              <w:snapToGrid w:val="0"/>
              <w:ind w:left="527" w:leftChars="-4" w:hanging="535" w:hangingChars="255"/>
              <w:rPr>
                <w:szCs w:val="21"/>
                <w:u w:val="single"/>
              </w:rPr>
            </w:pPr>
            <w:r>
              <w:rPr>
                <w:rFonts w:hint="eastAsia"/>
                <w:szCs w:val="21"/>
              </w:rPr>
              <w:t>截止时间：</w:t>
            </w:r>
            <w:r>
              <w:rPr>
                <w:szCs w:val="21"/>
                <w:u w:val="single"/>
              </w:rPr>
              <w:t xml:space="preserve">                    </w:t>
            </w:r>
            <w:r>
              <w:rPr>
                <w:rFonts w:hint="eastAsia"/>
                <w:szCs w:val="21"/>
                <w:u w:val="single"/>
              </w:rPr>
              <w:t>（填写明确）</w:t>
            </w:r>
          </w:p>
          <w:p>
            <w:pPr>
              <w:adjustRightInd w:val="0"/>
              <w:snapToGrid w:val="0"/>
              <w:spacing w:before="84" w:beforeLines="35" w:after="84" w:afterLines="35"/>
              <w:ind w:left="-6" w:leftChars="-4" w:hanging="2"/>
              <w:jc w:val="left"/>
              <w:rPr>
                <w:szCs w:val="21"/>
              </w:rPr>
            </w:pPr>
            <w:r>
              <w:rPr>
                <w:rFonts w:hint="eastAsia" w:ascii="宋体" w:hAnsi="宋体" w:cs="Arial"/>
                <w:iCs/>
                <w:szCs w:val="21"/>
              </w:rPr>
              <w:t>除技术标（施工组织设计）外，电子投标文件的封面应加盖企业</w:t>
            </w:r>
            <w:r>
              <w:rPr>
                <w:rFonts w:ascii="宋体" w:hAnsi="宋体" w:cs="Arial"/>
                <w:iCs/>
                <w:szCs w:val="21"/>
              </w:rPr>
              <w:t>CA</w:t>
            </w:r>
            <w:r>
              <w:rPr>
                <w:rFonts w:hint="eastAsia" w:ascii="宋体" w:hAnsi="宋体" w:cs="Arial"/>
                <w:iCs/>
                <w:szCs w:val="21"/>
              </w:rPr>
              <w:t>电子印章，并由法定代表人或其委托代理人加盖个人的</w:t>
            </w:r>
            <w:r>
              <w:rPr>
                <w:rFonts w:ascii="宋体" w:hAnsi="宋体" w:cs="Arial"/>
                <w:iCs/>
                <w:szCs w:val="21"/>
              </w:rPr>
              <w:t>CA</w:t>
            </w:r>
            <w:r>
              <w:rPr>
                <w:rFonts w:hint="eastAsia" w:ascii="宋体" w:hAnsi="宋体" w:cs="Arial"/>
                <w:iCs/>
                <w:szCs w:val="21"/>
              </w:rPr>
              <w:t>电子印章；招标文件给定投标文件格式的，应按格式要求加盖</w:t>
            </w:r>
            <w:r>
              <w:rPr>
                <w:rFonts w:ascii="宋体" w:hAnsi="宋体" w:cs="Arial"/>
                <w:iCs/>
                <w:szCs w:val="21"/>
              </w:rPr>
              <w:t>CA</w:t>
            </w:r>
            <w:r>
              <w:rPr>
                <w:rFonts w:hint="eastAsia" w:ascii="宋体" w:hAnsi="宋体" w:cs="Arial"/>
                <w:iCs/>
                <w:szCs w:val="21"/>
              </w:rPr>
              <w:t>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09" w:type="dxa"/>
            <w:vAlign w:val="center"/>
          </w:tcPr>
          <w:p>
            <w:pPr>
              <w:adjustRightInd w:val="0"/>
              <w:snapToGrid w:val="0"/>
              <w:spacing w:before="108" w:beforeLines="45" w:after="108" w:afterLines="45"/>
              <w:jc w:val="center"/>
              <w:rPr>
                <w:b/>
                <w:szCs w:val="21"/>
              </w:rPr>
            </w:pPr>
            <w:r>
              <w:rPr>
                <w:b/>
                <w:szCs w:val="21"/>
              </w:rPr>
              <w:t>34</w:t>
            </w:r>
          </w:p>
        </w:tc>
        <w:tc>
          <w:tcPr>
            <w:tcW w:w="1035" w:type="dxa"/>
            <w:vAlign w:val="center"/>
          </w:tcPr>
          <w:p>
            <w:pPr>
              <w:adjustRightInd w:val="0"/>
              <w:snapToGrid w:val="0"/>
              <w:ind w:left="-23" w:hanging="6"/>
              <w:jc w:val="center"/>
              <w:rPr>
                <w:iCs/>
                <w:szCs w:val="21"/>
              </w:rPr>
            </w:pPr>
            <w:r>
              <w:rPr>
                <w:iCs/>
                <w:szCs w:val="21"/>
              </w:rPr>
              <w:t>4.2.3</w:t>
            </w:r>
          </w:p>
        </w:tc>
        <w:tc>
          <w:tcPr>
            <w:tcW w:w="1632" w:type="dxa"/>
            <w:vAlign w:val="center"/>
          </w:tcPr>
          <w:p>
            <w:pPr>
              <w:adjustRightInd w:val="0"/>
              <w:snapToGrid w:val="0"/>
              <w:ind w:left="-23" w:hanging="6"/>
              <w:rPr>
                <w:szCs w:val="21"/>
              </w:rPr>
            </w:pPr>
            <w:r>
              <w:rPr>
                <w:rFonts w:hint="eastAsia"/>
                <w:iCs/>
                <w:szCs w:val="21"/>
              </w:rPr>
              <w:t>投标文件的递交方式</w:t>
            </w:r>
          </w:p>
        </w:tc>
        <w:tc>
          <w:tcPr>
            <w:tcW w:w="5106" w:type="dxa"/>
            <w:vAlign w:val="center"/>
          </w:tcPr>
          <w:p>
            <w:pPr>
              <w:rPr>
                <w:szCs w:val="21"/>
              </w:rPr>
            </w:pPr>
            <w:r>
              <w:rPr>
                <w:rFonts w:hint="eastAsia"/>
                <w:szCs w:val="21"/>
              </w:rPr>
              <w:t>本工程投标文件的递交方式：网络递交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09" w:type="dxa"/>
            <w:vAlign w:val="center"/>
          </w:tcPr>
          <w:p>
            <w:pPr>
              <w:adjustRightInd w:val="0"/>
              <w:snapToGrid w:val="0"/>
              <w:spacing w:before="108" w:beforeLines="45" w:after="108" w:afterLines="45"/>
              <w:jc w:val="center"/>
              <w:rPr>
                <w:b/>
                <w:szCs w:val="21"/>
              </w:rPr>
            </w:pPr>
            <w:r>
              <w:rPr>
                <w:b/>
                <w:szCs w:val="21"/>
              </w:rPr>
              <w:t>35</w:t>
            </w:r>
          </w:p>
        </w:tc>
        <w:tc>
          <w:tcPr>
            <w:tcW w:w="1035" w:type="dxa"/>
            <w:vAlign w:val="center"/>
          </w:tcPr>
          <w:p>
            <w:pPr>
              <w:adjustRightInd w:val="0"/>
              <w:snapToGrid w:val="0"/>
              <w:jc w:val="center"/>
              <w:rPr>
                <w:szCs w:val="21"/>
              </w:rPr>
            </w:pPr>
            <w:r>
              <w:rPr>
                <w:szCs w:val="21"/>
              </w:rPr>
              <w:t>4.2.4</w:t>
            </w:r>
          </w:p>
        </w:tc>
        <w:tc>
          <w:tcPr>
            <w:tcW w:w="1632" w:type="dxa"/>
            <w:vAlign w:val="center"/>
          </w:tcPr>
          <w:p>
            <w:pPr>
              <w:adjustRightInd w:val="0"/>
              <w:snapToGrid w:val="0"/>
              <w:rPr>
                <w:szCs w:val="21"/>
              </w:rPr>
            </w:pPr>
            <w:r>
              <w:rPr>
                <w:rFonts w:hint="eastAsia"/>
                <w:szCs w:val="21"/>
              </w:rPr>
              <w:t>是否退还投标文件</w:t>
            </w:r>
          </w:p>
        </w:tc>
        <w:tc>
          <w:tcPr>
            <w:tcW w:w="5106" w:type="dxa"/>
            <w:vAlign w:val="center"/>
          </w:tcPr>
          <w:p>
            <w:pPr>
              <w:rPr>
                <w:szCs w:val="21"/>
              </w:rPr>
            </w:pPr>
            <w:r>
              <w:rPr>
                <w:rFonts w:hint="eastAsia"/>
                <w:szCs w:val="21"/>
              </w:rPr>
              <w:t>□</w:t>
            </w:r>
            <w:r>
              <w:rPr>
                <w:rFonts w:hint="eastAsia"/>
                <w:iCs/>
                <w:szCs w:val="21"/>
              </w:rPr>
              <w:t xml:space="preserve"> </w:t>
            </w:r>
            <w:r>
              <w:rPr>
                <w:rFonts w:hint="eastAsia"/>
                <w:szCs w:val="21"/>
              </w:rPr>
              <w:t>是</w:t>
            </w:r>
          </w:p>
          <w:p>
            <w:pPr>
              <w:adjustRightInd w:val="0"/>
              <w:snapToGrid w:val="0"/>
              <w:jc w:val="left"/>
              <w:rPr>
                <w:szCs w:val="21"/>
              </w:rPr>
            </w:pPr>
            <w:r>
              <w:rPr>
                <w:rFonts w:hint="eastAsia"/>
                <w:szCs w:val="21"/>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709" w:type="dxa"/>
            <w:vAlign w:val="center"/>
          </w:tcPr>
          <w:p>
            <w:pPr>
              <w:adjustRightInd w:val="0"/>
              <w:snapToGrid w:val="0"/>
              <w:spacing w:before="108" w:beforeLines="45" w:after="108" w:afterLines="45"/>
              <w:jc w:val="center"/>
              <w:rPr>
                <w:b/>
                <w:szCs w:val="21"/>
              </w:rPr>
            </w:pPr>
            <w:r>
              <w:rPr>
                <w:b/>
                <w:szCs w:val="21"/>
              </w:rPr>
              <w:t>36</w:t>
            </w:r>
          </w:p>
        </w:tc>
        <w:tc>
          <w:tcPr>
            <w:tcW w:w="1035" w:type="dxa"/>
            <w:vAlign w:val="center"/>
          </w:tcPr>
          <w:p>
            <w:pPr>
              <w:adjustRightInd w:val="0"/>
              <w:snapToGrid w:val="0"/>
              <w:jc w:val="center"/>
              <w:rPr>
                <w:szCs w:val="21"/>
              </w:rPr>
            </w:pPr>
            <w:r>
              <w:rPr>
                <w:szCs w:val="21"/>
              </w:rPr>
              <w:t>5.1</w:t>
            </w:r>
          </w:p>
        </w:tc>
        <w:tc>
          <w:tcPr>
            <w:tcW w:w="1632" w:type="dxa"/>
            <w:vAlign w:val="center"/>
          </w:tcPr>
          <w:p>
            <w:pPr>
              <w:adjustRightInd w:val="0"/>
              <w:snapToGrid w:val="0"/>
              <w:rPr>
                <w:szCs w:val="21"/>
              </w:rPr>
            </w:pPr>
            <w:r>
              <w:rPr>
                <w:rFonts w:hint="eastAsia"/>
                <w:kern w:val="0"/>
                <w:szCs w:val="21"/>
              </w:rPr>
              <w:t>开标形式、时间、现场开标地点、开标网址</w:t>
            </w:r>
          </w:p>
        </w:tc>
        <w:tc>
          <w:tcPr>
            <w:tcW w:w="5106" w:type="dxa"/>
            <w:vAlign w:val="center"/>
          </w:tcPr>
          <w:p>
            <w:pPr>
              <w:rPr>
                <w:szCs w:val="21"/>
              </w:rPr>
            </w:pPr>
            <w:r>
              <w:rPr>
                <w:rFonts w:hint="eastAsia"/>
                <w:szCs w:val="21"/>
              </w:rPr>
              <w:t>开标形式：□</w:t>
            </w:r>
            <w:r>
              <w:rPr>
                <w:rFonts w:hint="eastAsia"/>
                <w:kern w:val="0"/>
                <w:szCs w:val="21"/>
              </w:rPr>
              <w:t>现场开标</w:t>
            </w:r>
            <w:r>
              <w:rPr>
                <w:kern w:val="0"/>
                <w:szCs w:val="21"/>
              </w:rPr>
              <w:t xml:space="preserve"> </w:t>
            </w:r>
            <w:r>
              <w:rPr>
                <w:rFonts w:hint="eastAsia"/>
                <w:szCs w:val="21"/>
              </w:rPr>
              <w:t>□</w:t>
            </w:r>
            <w:r>
              <w:rPr>
                <w:rFonts w:hint="eastAsia"/>
                <w:kern w:val="0"/>
                <w:szCs w:val="21"/>
              </w:rPr>
              <w:t>远程在线开标</w:t>
            </w:r>
          </w:p>
          <w:p>
            <w:pPr>
              <w:adjustRightInd w:val="0"/>
              <w:snapToGrid w:val="0"/>
              <w:spacing w:before="36" w:beforeLines="15" w:after="36" w:afterLines="15"/>
              <w:ind w:left="1022" w:leftChars="-10" w:hanging="1043" w:hangingChars="497"/>
              <w:rPr>
                <w:szCs w:val="21"/>
              </w:rPr>
            </w:pPr>
            <w:r>
              <w:rPr>
                <w:szCs w:val="21"/>
              </w:rPr>
              <w:t>时间：</w:t>
            </w:r>
            <w:r>
              <w:rPr>
                <w:szCs w:val="21"/>
                <w:u w:val="single"/>
              </w:rPr>
              <w:t xml:space="preserve">                         </w:t>
            </w:r>
            <w:r>
              <w:rPr>
                <w:rFonts w:hint="eastAsia"/>
                <w:szCs w:val="21"/>
                <w:u w:val="single"/>
              </w:rPr>
              <w:t xml:space="preserve">         </w:t>
            </w:r>
            <w:r>
              <w:rPr>
                <w:szCs w:val="21"/>
                <w:u w:val="single"/>
              </w:rPr>
              <w:t xml:space="preserve">      </w:t>
            </w:r>
          </w:p>
          <w:p>
            <w:pPr>
              <w:adjustRightInd w:val="0"/>
              <w:snapToGrid w:val="0"/>
              <w:jc w:val="left"/>
              <w:rPr>
                <w:szCs w:val="21"/>
                <w:u w:val="single"/>
              </w:rPr>
            </w:pPr>
            <w:r>
              <w:rPr>
                <w:rFonts w:hint="eastAsia"/>
                <w:szCs w:val="21"/>
              </w:rPr>
              <w:t>现场开标</w:t>
            </w:r>
            <w:r>
              <w:rPr>
                <w:szCs w:val="21"/>
              </w:rPr>
              <w:t>地点：</w:t>
            </w:r>
            <w:r>
              <w:rPr>
                <w:rFonts w:hint="eastAsia"/>
                <w:szCs w:val="21"/>
                <w:u w:val="single"/>
              </w:rPr>
              <w:t xml:space="preserve">                                </w:t>
            </w:r>
          </w:p>
          <w:p>
            <w:pPr>
              <w:adjustRightInd w:val="0"/>
              <w:snapToGrid w:val="0"/>
              <w:jc w:val="left"/>
              <w:rPr>
                <w:szCs w:val="21"/>
                <w:u w:val="single"/>
              </w:rPr>
            </w:pPr>
            <w:r>
              <w:rPr>
                <w:rFonts w:hint="eastAsia"/>
                <w:szCs w:val="21"/>
              </w:rPr>
              <w:t>开标网址：</w:t>
            </w:r>
            <w:r>
              <w:rPr>
                <w:rFonts w:hint="eastAsia"/>
                <w:szCs w:val="21"/>
                <w:u w:val="single"/>
              </w:rPr>
              <w:t xml:space="preserve">北京市公共资源交易远程在线开标系统    </w:t>
            </w:r>
          </w:p>
          <w:p>
            <w:pPr>
              <w:adjustRightInd w:val="0"/>
              <w:snapToGrid w:val="0"/>
              <w:jc w:val="left"/>
              <w:rPr>
                <w:szCs w:val="21"/>
              </w:rPr>
            </w:pPr>
            <w:r>
              <w:rPr>
                <w:rFonts w:hint="eastAsia"/>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09" w:type="dxa"/>
            <w:vAlign w:val="center"/>
          </w:tcPr>
          <w:p>
            <w:pPr>
              <w:adjustRightInd w:val="0"/>
              <w:snapToGrid w:val="0"/>
              <w:spacing w:before="108" w:beforeLines="45" w:after="108" w:afterLines="45"/>
              <w:jc w:val="center"/>
              <w:rPr>
                <w:b/>
                <w:szCs w:val="21"/>
              </w:rPr>
            </w:pPr>
            <w:r>
              <w:rPr>
                <w:b/>
                <w:szCs w:val="21"/>
              </w:rPr>
              <w:t>37</w:t>
            </w:r>
          </w:p>
        </w:tc>
        <w:tc>
          <w:tcPr>
            <w:tcW w:w="1035" w:type="dxa"/>
            <w:vAlign w:val="center"/>
          </w:tcPr>
          <w:p>
            <w:pPr>
              <w:adjustRightInd w:val="0"/>
              <w:snapToGrid w:val="0"/>
              <w:jc w:val="center"/>
              <w:rPr>
                <w:szCs w:val="21"/>
              </w:rPr>
            </w:pPr>
            <w:r>
              <w:rPr>
                <w:szCs w:val="21"/>
              </w:rPr>
              <w:t>5.2</w:t>
            </w:r>
          </w:p>
        </w:tc>
        <w:tc>
          <w:tcPr>
            <w:tcW w:w="1632" w:type="dxa"/>
            <w:vAlign w:val="center"/>
          </w:tcPr>
          <w:p>
            <w:pPr>
              <w:adjustRightInd w:val="0"/>
              <w:snapToGrid w:val="0"/>
              <w:rPr>
                <w:szCs w:val="21"/>
              </w:rPr>
            </w:pPr>
            <w:r>
              <w:rPr>
                <w:rFonts w:hint="eastAsia"/>
                <w:szCs w:val="21"/>
              </w:rPr>
              <w:t>开标程序</w:t>
            </w:r>
          </w:p>
        </w:tc>
        <w:tc>
          <w:tcPr>
            <w:tcW w:w="5106" w:type="dxa"/>
            <w:vAlign w:val="center"/>
          </w:tcPr>
          <w:p>
            <w:pPr>
              <w:adjustRightInd w:val="0"/>
              <w:snapToGrid w:val="0"/>
              <w:spacing w:before="36" w:beforeLines="15" w:after="36" w:afterLines="15"/>
              <w:ind w:left="-9" w:leftChars="-10" w:hanging="12" w:hangingChars="6"/>
              <w:rPr>
                <w:szCs w:val="21"/>
              </w:rPr>
            </w:pPr>
            <w:r>
              <w:rPr>
                <w:rFonts w:hint="eastAsia"/>
                <w:szCs w:val="21"/>
              </w:rPr>
              <w:t>开标顺序：</w:t>
            </w:r>
          </w:p>
          <w:p>
            <w:pPr>
              <w:adjustRightInd w:val="0"/>
              <w:snapToGrid w:val="0"/>
              <w:spacing w:before="36" w:beforeLines="15" w:after="36" w:afterLines="15"/>
              <w:ind w:left="-9" w:leftChars="-10" w:hanging="12" w:hangingChars="6"/>
              <w:rPr>
                <w:szCs w:val="21"/>
              </w:rPr>
            </w:pPr>
            <w:r>
              <w:rPr>
                <w:rFonts w:hint="eastAsia"/>
                <w:szCs w:val="21"/>
              </w:rPr>
              <w:t xml:space="preserve">□按投标文件递交时间 □正序  □倒序   </w:t>
            </w:r>
          </w:p>
          <w:p>
            <w:pPr>
              <w:adjustRightInd w:val="0"/>
              <w:snapToGrid w:val="0"/>
              <w:spacing w:before="36" w:beforeLines="15" w:after="36" w:afterLines="15"/>
              <w:ind w:left="-9" w:leftChars="-10" w:hanging="12" w:hangingChars="6"/>
              <w:rPr>
                <w:szCs w:val="21"/>
                <w:u w:val="single"/>
              </w:rPr>
            </w:pPr>
            <w:r>
              <w:rPr>
                <w:rFonts w:hint="eastAsia"/>
                <w:szCs w:val="21"/>
              </w:rPr>
              <w:t>□按投标文件解密顺序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09" w:type="dxa"/>
            <w:vAlign w:val="center"/>
          </w:tcPr>
          <w:p>
            <w:pPr>
              <w:adjustRightInd w:val="0"/>
              <w:snapToGrid w:val="0"/>
              <w:spacing w:before="108" w:beforeLines="45" w:after="108" w:afterLines="45"/>
              <w:jc w:val="center"/>
              <w:rPr>
                <w:b/>
                <w:szCs w:val="21"/>
              </w:rPr>
            </w:pPr>
            <w:r>
              <w:rPr>
                <w:b/>
                <w:szCs w:val="21"/>
              </w:rPr>
              <w:t>38</w:t>
            </w:r>
          </w:p>
        </w:tc>
        <w:tc>
          <w:tcPr>
            <w:tcW w:w="1035" w:type="dxa"/>
            <w:vAlign w:val="center"/>
          </w:tcPr>
          <w:p>
            <w:pPr>
              <w:adjustRightInd w:val="0"/>
              <w:snapToGrid w:val="0"/>
              <w:jc w:val="center"/>
              <w:rPr>
                <w:szCs w:val="21"/>
              </w:rPr>
            </w:pPr>
            <w:r>
              <w:rPr>
                <w:szCs w:val="21"/>
              </w:rPr>
              <w:t>6.1.1</w:t>
            </w:r>
          </w:p>
        </w:tc>
        <w:tc>
          <w:tcPr>
            <w:tcW w:w="1632" w:type="dxa"/>
            <w:vAlign w:val="center"/>
          </w:tcPr>
          <w:p>
            <w:pPr>
              <w:adjustRightInd w:val="0"/>
              <w:snapToGrid w:val="0"/>
              <w:rPr>
                <w:szCs w:val="21"/>
              </w:rPr>
            </w:pPr>
            <w:r>
              <w:rPr>
                <w:rFonts w:hint="eastAsia"/>
                <w:szCs w:val="21"/>
              </w:rPr>
              <w:t>评标委员会的组建</w:t>
            </w:r>
          </w:p>
        </w:tc>
        <w:tc>
          <w:tcPr>
            <w:tcW w:w="5106" w:type="dxa"/>
            <w:vAlign w:val="center"/>
          </w:tcPr>
          <w:p>
            <w:pPr>
              <w:rPr>
                <w:szCs w:val="21"/>
              </w:rPr>
            </w:pPr>
            <w:r>
              <w:rPr>
                <w:rFonts w:hint="eastAsia"/>
                <w:szCs w:val="21"/>
              </w:rPr>
              <w:t>评标委员会构成</w:t>
            </w:r>
            <w:r>
              <w:rPr>
                <w:szCs w:val="21"/>
                <w:u w:val="single"/>
              </w:rPr>
              <w:t xml:space="preserve">     </w:t>
            </w:r>
            <w:r>
              <w:rPr>
                <w:rFonts w:hint="eastAsia"/>
                <w:szCs w:val="21"/>
              </w:rPr>
              <w:t>人。其中，招标人代表</w:t>
            </w:r>
            <w:r>
              <w:rPr>
                <w:szCs w:val="21"/>
                <w:u w:val="single"/>
              </w:rPr>
              <w:t xml:space="preserve">   </w:t>
            </w:r>
            <w:r>
              <w:rPr>
                <w:rFonts w:hint="eastAsia"/>
                <w:szCs w:val="21"/>
              </w:rPr>
              <w:t>人；技术、经济方面的专家</w:t>
            </w:r>
            <w:r>
              <w:rPr>
                <w:szCs w:val="21"/>
                <w:u w:val="single"/>
              </w:rPr>
              <w:t xml:space="preserve">   </w:t>
            </w:r>
            <w:r>
              <w:rPr>
                <w:rFonts w:hint="eastAsia"/>
                <w:szCs w:val="21"/>
              </w:rPr>
              <w:t>人，其中，技术专家</w:t>
            </w:r>
            <w:r>
              <w:rPr>
                <w:szCs w:val="21"/>
                <w:u w:val="single"/>
              </w:rPr>
              <w:t xml:space="preserve">   </w:t>
            </w:r>
            <w:r>
              <w:rPr>
                <w:rFonts w:hint="eastAsia"/>
                <w:szCs w:val="21"/>
              </w:rPr>
              <w:t>人，经济专家</w:t>
            </w:r>
            <w:r>
              <w:rPr>
                <w:szCs w:val="21"/>
                <w:u w:val="single"/>
              </w:rPr>
              <w:t xml:space="preserve">   </w:t>
            </w:r>
            <w:r>
              <w:rPr>
                <w:rFonts w:hint="eastAsia"/>
                <w:szCs w:val="21"/>
              </w:rPr>
              <w:t>人。</w:t>
            </w:r>
          </w:p>
          <w:p>
            <w:pPr>
              <w:adjustRightInd w:val="0"/>
              <w:snapToGrid w:val="0"/>
              <w:rPr>
                <w:szCs w:val="21"/>
              </w:rPr>
            </w:pPr>
            <w:r>
              <w:rPr>
                <w:rFonts w:hint="eastAsia"/>
                <w:szCs w:val="21"/>
              </w:rPr>
              <w:t>评标专家确定方式</w:t>
            </w:r>
            <w:r>
              <w:rPr>
                <w:szCs w:val="21"/>
                <w:u w:val="single"/>
              </w:rPr>
              <w:t xml:space="preserve"> </w:t>
            </w:r>
            <w:r>
              <w:rPr>
                <w:rFonts w:hint="eastAsia" w:hAnsi="宋体"/>
                <w:szCs w:val="21"/>
                <w:u w:val="single"/>
              </w:rPr>
              <w:t>在北京市评标专家库中随机抽取。</w:t>
            </w:r>
            <w:r>
              <w:rPr>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709" w:type="dxa"/>
            <w:vAlign w:val="center"/>
          </w:tcPr>
          <w:p>
            <w:pPr>
              <w:adjustRightInd w:val="0"/>
              <w:snapToGrid w:val="0"/>
              <w:spacing w:before="108" w:beforeLines="45" w:after="108" w:afterLines="45"/>
              <w:jc w:val="center"/>
              <w:rPr>
                <w:b/>
                <w:szCs w:val="21"/>
              </w:rPr>
            </w:pPr>
            <w:r>
              <w:rPr>
                <w:b/>
                <w:szCs w:val="21"/>
              </w:rPr>
              <w:t>39</w:t>
            </w:r>
          </w:p>
        </w:tc>
        <w:tc>
          <w:tcPr>
            <w:tcW w:w="1035" w:type="dxa"/>
            <w:vAlign w:val="center"/>
          </w:tcPr>
          <w:p>
            <w:pPr>
              <w:adjustRightInd w:val="0"/>
              <w:snapToGrid w:val="0"/>
              <w:jc w:val="center"/>
              <w:rPr>
                <w:szCs w:val="21"/>
              </w:rPr>
            </w:pPr>
            <w:r>
              <w:rPr>
                <w:szCs w:val="21"/>
              </w:rPr>
              <w:t>6.3</w:t>
            </w:r>
          </w:p>
        </w:tc>
        <w:tc>
          <w:tcPr>
            <w:tcW w:w="1632" w:type="dxa"/>
            <w:vAlign w:val="center"/>
          </w:tcPr>
          <w:p>
            <w:pPr>
              <w:adjustRightInd w:val="0"/>
              <w:snapToGrid w:val="0"/>
              <w:rPr>
                <w:szCs w:val="21"/>
              </w:rPr>
            </w:pPr>
            <w:r>
              <w:rPr>
                <w:rFonts w:hint="eastAsia"/>
                <w:szCs w:val="21"/>
              </w:rPr>
              <w:t>评标办法及分值构成</w:t>
            </w:r>
          </w:p>
        </w:tc>
        <w:tc>
          <w:tcPr>
            <w:tcW w:w="5106" w:type="dxa"/>
            <w:vAlign w:val="center"/>
          </w:tcPr>
          <w:p>
            <w:pPr>
              <w:adjustRightInd w:val="0"/>
              <w:snapToGrid w:val="0"/>
              <w:spacing w:before="36" w:beforeLines="15" w:after="36" w:afterLines="15"/>
              <w:rPr>
                <w:szCs w:val="21"/>
              </w:rPr>
            </w:pPr>
            <w:r>
              <w:rPr>
                <w:rFonts w:hint="eastAsia"/>
                <w:szCs w:val="21"/>
              </w:rPr>
              <w:t>综合评估法</w:t>
            </w:r>
            <w:r>
              <w:rPr>
                <w:szCs w:val="21"/>
              </w:rPr>
              <w:t>/</w:t>
            </w:r>
            <w:r>
              <w:rPr>
                <w:rFonts w:hint="eastAsia"/>
                <w:szCs w:val="21"/>
              </w:rPr>
              <w:t>分值构成：</w:t>
            </w:r>
          </w:p>
          <w:p>
            <w:pPr>
              <w:adjustRightInd w:val="0"/>
              <w:snapToGrid w:val="0"/>
              <w:spacing w:before="36" w:beforeLines="15" w:after="36" w:afterLines="15"/>
              <w:rPr>
                <w:szCs w:val="21"/>
              </w:rPr>
            </w:pPr>
            <w:r>
              <w:rPr>
                <w:rFonts w:hint="eastAsia"/>
                <w:szCs w:val="21"/>
              </w:rPr>
              <w:t>施工组织设计</w:t>
            </w:r>
            <w:r>
              <w:rPr>
                <w:szCs w:val="21"/>
                <w:u w:val="single"/>
              </w:rPr>
              <w:t xml:space="preserve">               </w:t>
            </w:r>
            <w:r>
              <w:rPr>
                <w:rFonts w:hint="eastAsia"/>
                <w:szCs w:val="21"/>
              </w:rPr>
              <w:t>分</w:t>
            </w:r>
          </w:p>
          <w:p>
            <w:pPr>
              <w:adjustRightInd w:val="0"/>
              <w:snapToGrid w:val="0"/>
              <w:spacing w:before="36" w:beforeLines="15" w:after="36" w:afterLines="15"/>
              <w:rPr>
                <w:szCs w:val="21"/>
              </w:rPr>
            </w:pPr>
            <w:r>
              <w:rPr>
                <w:rFonts w:hint="eastAsia"/>
                <w:szCs w:val="21"/>
              </w:rPr>
              <w:t>企业实力和管理机构</w:t>
            </w:r>
            <w:r>
              <w:rPr>
                <w:szCs w:val="21"/>
                <w:u w:val="single"/>
              </w:rPr>
              <w:t xml:space="preserve">         </w:t>
            </w:r>
            <w:r>
              <w:rPr>
                <w:rFonts w:hint="eastAsia"/>
                <w:szCs w:val="21"/>
              </w:rPr>
              <w:t>分</w:t>
            </w:r>
          </w:p>
          <w:p>
            <w:pPr>
              <w:adjustRightInd w:val="0"/>
              <w:snapToGrid w:val="0"/>
              <w:spacing w:before="36" w:beforeLines="15" w:after="36" w:afterLines="15"/>
              <w:rPr>
                <w:szCs w:val="21"/>
              </w:rPr>
            </w:pPr>
            <w:r>
              <w:rPr>
                <w:rFonts w:hint="eastAsia"/>
                <w:szCs w:val="21"/>
              </w:rPr>
              <w:t>投标报价</w:t>
            </w:r>
            <w:r>
              <w:rPr>
                <w:szCs w:val="21"/>
                <w:u w:val="single"/>
              </w:rPr>
              <w:t xml:space="preserve">                   </w:t>
            </w:r>
            <w:r>
              <w:rPr>
                <w:rFonts w:hint="eastAsia"/>
                <w:szCs w:val="21"/>
              </w:rPr>
              <w:t>分</w:t>
            </w:r>
          </w:p>
          <w:p>
            <w:pPr>
              <w:adjustRightInd w:val="0"/>
              <w:snapToGrid w:val="0"/>
              <w:spacing w:before="36" w:beforeLines="15" w:after="36" w:afterLines="15"/>
              <w:rPr>
                <w:szCs w:val="21"/>
              </w:rPr>
            </w:pPr>
            <w:r>
              <w:rPr>
                <w:rFonts w:hint="eastAsia"/>
                <w:szCs w:val="21"/>
              </w:rPr>
              <w:t>信誉评分标准</w:t>
            </w:r>
            <w:r>
              <w:rPr>
                <w:szCs w:val="21"/>
              </w:rPr>
              <w:t xml:space="preserve"> </w:t>
            </w:r>
            <w:r>
              <w:rPr>
                <w:szCs w:val="21"/>
                <w:u w:val="single"/>
              </w:rPr>
              <w:t xml:space="preserve">              </w:t>
            </w:r>
            <w:r>
              <w:rPr>
                <w:rFonts w:hint="eastAsia"/>
                <w:szCs w:val="21"/>
              </w:rPr>
              <w:t>分</w:t>
            </w:r>
          </w:p>
          <w:p>
            <w:pPr>
              <w:adjustRightInd w:val="0"/>
              <w:snapToGrid w:val="0"/>
              <w:spacing w:before="36" w:beforeLines="15" w:after="36" w:afterLines="15"/>
              <w:rPr>
                <w:szCs w:val="21"/>
              </w:rPr>
            </w:pPr>
            <w:r>
              <w:rPr>
                <w:rFonts w:hint="eastAsia"/>
                <w:szCs w:val="21"/>
              </w:rPr>
              <w:t>其他因素</w:t>
            </w:r>
            <w:r>
              <w:rPr>
                <w:szCs w:val="21"/>
                <w:u w:val="single"/>
              </w:rPr>
              <w:t xml:space="preserve">                   </w:t>
            </w:r>
            <w:r>
              <w:rPr>
                <w:rFonts w:hint="eastAsia"/>
                <w:szCs w:val="21"/>
              </w:rPr>
              <w:t>分</w:t>
            </w:r>
          </w:p>
          <w:p>
            <w:pPr>
              <w:adjustRightInd w:val="0"/>
              <w:snapToGrid w:val="0"/>
              <w:spacing w:before="36" w:beforeLines="15" w:after="36" w:afterLines="15"/>
              <w:rPr>
                <w:szCs w:val="21"/>
              </w:rPr>
            </w:pPr>
            <w:r>
              <w:rPr>
                <w:rFonts w:hint="eastAsia"/>
                <w:szCs w:val="21"/>
              </w:rPr>
              <w:t>□ 是□ 否 对未预留份额专门面向中小企业采购的采购项目，以及预留份额项目中的非预留部分采购包，对小微企业采用原报价进行评分的基础上增加其价格得分的</w:t>
            </w:r>
            <w:r>
              <w:rPr>
                <w:rFonts w:hint="eastAsia"/>
                <w:szCs w:val="21"/>
                <w:u w:val="single"/>
              </w:rPr>
              <w:t xml:space="preserve">   </w:t>
            </w:r>
            <w:r>
              <w:rPr>
                <w:rFonts w:hint="eastAsia"/>
                <w:szCs w:val="21"/>
              </w:rPr>
              <w:t>%作为其价格分。</w:t>
            </w:r>
          </w:p>
          <w:p>
            <w:pPr>
              <w:adjustRightInd w:val="0"/>
              <w:snapToGrid w:val="0"/>
              <w:spacing w:before="36" w:beforeLines="15" w:after="36" w:afterLines="15"/>
              <w:rPr>
                <w:szCs w:val="21"/>
              </w:rPr>
            </w:pPr>
            <w:r>
              <w:rPr>
                <w:rFonts w:hint="eastAsia"/>
                <w:szCs w:val="21"/>
              </w:rPr>
              <w:t>对于经主管预算单位统筹后未预留份额专门面向中小企业采购的采购项目，以及预留份额项目中的非预留部分采购包，大中型企业与小微企业组成联合体的，或者允许大中型企业向一家或者多家小微企业分包的采购项目，且联合协议或者分包意向协议约定小微企业的合同份额占合同总额30%以上的，采用原报价进行评分的基础上增加其价格得分的</w:t>
            </w:r>
            <w:r>
              <w:rPr>
                <w:rFonts w:hint="eastAsia"/>
                <w:szCs w:val="21"/>
                <w:u w:val="single"/>
              </w:rPr>
              <w:t xml:space="preserve">   </w:t>
            </w:r>
            <w:r>
              <w:rPr>
                <w:rFonts w:hint="eastAsia"/>
                <w:szCs w:val="21"/>
              </w:rPr>
              <w:t>%作为其价格分。（组成联合体或者接受分包的小微企业与联合体内其他企业、分包企业之间存在直接控股、管理关系的，不享受价格扣除优惠政策。价格加分比例对小型企业和微型企业同等对待，不作区分。）</w:t>
            </w:r>
          </w:p>
          <w:p>
            <w:pPr>
              <w:adjustRightInd w:val="0"/>
              <w:snapToGrid w:val="0"/>
              <w:spacing w:before="36" w:beforeLines="15" w:after="36" w:afterLines="15"/>
              <w:rPr>
                <w:b/>
                <w:szCs w:val="21"/>
              </w:rPr>
            </w:pPr>
            <w:r>
              <w:rPr>
                <w:rFonts w:hint="eastAsia"/>
                <w:b/>
                <w:szCs w:val="21"/>
              </w:rPr>
              <w:t>*中小企业参加政府采购活动，应当按照招标文件给定的格式出具《中小企业声明函》，否则不得享受相关中小企业扶持政策。</w:t>
            </w:r>
          </w:p>
          <w:p>
            <w:pPr>
              <w:adjustRightInd w:val="0"/>
              <w:snapToGrid w:val="0"/>
              <w:spacing w:before="36" w:beforeLines="15" w:after="36" w:afterLines="15"/>
              <w:rPr>
                <w:szCs w:val="21"/>
              </w:rPr>
            </w:pPr>
            <w:r>
              <w:rPr>
                <w:rFonts w:hint="eastAsia"/>
                <w:szCs w:val="21"/>
              </w:rPr>
              <w:t>□ 是□ 否采用去掉评标委员会成员打分的一个最高值和最低值后汇总投标人得分，并以算数平均分作为投标人最终得分。</w:t>
            </w:r>
            <w:r>
              <w:rPr>
                <w:szCs w:val="21"/>
              </w:rPr>
              <w:t xml:space="preserve"> </w:t>
            </w:r>
          </w:p>
          <w:p>
            <w:pPr>
              <w:adjustRightInd w:val="0"/>
              <w:snapToGrid w:val="0"/>
              <w:spacing w:before="36" w:beforeLines="15" w:after="36" w:afterLines="15"/>
              <w:rPr>
                <w:szCs w:val="21"/>
              </w:rPr>
            </w:pPr>
            <w:r>
              <w:rPr>
                <w:rFonts w:hint="eastAsia"/>
                <w:szCs w:val="21"/>
              </w:rPr>
              <w:t>具体的评审内容详见第三章评标办法。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709" w:type="dxa"/>
            <w:vAlign w:val="center"/>
          </w:tcPr>
          <w:p>
            <w:pPr>
              <w:adjustRightInd w:val="0"/>
              <w:snapToGrid w:val="0"/>
              <w:spacing w:before="108" w:beforeLines="45" w:after="108" w:afterLines="45"/>
              <w:jc w:val="center"/>
              <w:rPr>
                <w:b/>
                <w:szCs w:val="21"/>
              </w:rPr>
            </w:pPr>
            <w:r>
              <w:rPr>
                <w:b/>
                <w:szCs w:val="21"/>
              </w:rPr>
              <w:t>40</w:t>
            </w:r>
          </w:p>
        </w:tc>
        <w:tc>
          <w:tcPr>
            <w:tcW w:w="1035" w:type="dxa"/>
            <w:vAlign w:val="center"/>
          </w:tcPr>
          <w:p>
            <w:pPr>
              <w:adjustRightInd w:val="0"/>
              <w:snapToGrid w:val="0"/>
              <w:jc w:val="center"/>
              <w:rPr>
                <w:szCs w:val="21"/>
              </w:rPr>
            </w:pPr>
            <w:r>
              <w:rPr>
                <w:szCs w:val="21"/>
              </w:rPr>
              <w:t>7.1</w:t>
            </w:r>
          </w:p>
        </w:tc>
        <w:tc>
          <w:tcPr>
            <w:tcW w:w="1632" w:type="dxa"/>
            <w:vAlign w:val="center"/>
          </w:tcPr>
          <w:p>
            <w:pPr>
              <w:adjustRightInd w:val="0"/>
              <w:snapToGrid w:val="0"/>
              <w:rPr>
                <w:szCs w:val="21"/>
              </w:rPr>
            </w:pPr>
            <w:r>
              <w:rPr>
                <w:rFonts w:hint="eastAsia"/>
                <w:szCs w:val="21"/>
              </w:rPr>
              <w:t>是否授权评标委员会确定中标人</w:t>
            </w:r>
          </w:p>
        </w:tc>
        <w:tc>
          <w:tcPr>
            <w:tcW w:w="5106" w:type="dxa"/>
            <w:vAlign w:val="center"/>
          </w:tcPr>
          <w:p>
            <w:pPr>
              <w:spacing w:line="360" w:lineRule="auto"/>
              <w:rPr>
                <w:szCs w:val="21"/>
              </w:rPr>
            </w:pPr>
            <w:r>
              <w:rPr>
                <w:rFonts w:hint="eastAsia"/>
                <w:szCs w:val="21"/>
              </w:rPr>
              <w:t>□</w:t>
            </w:r>
            <w:r>
              <w:rPr>
                <w:iCs/>
                <w:szCs w:val="21"/>
              </w:rPr>
              <w:t xml:space="preserve"> </w:t>
            </w:r>
            <w:r>
              <w:rPr>
                <w:rFonts w:hint="eastAsia"/>
                <w:szCs w:val="21"/>
              </w:rPr>
              <w:t>是</w:t>
            </w:r>
          </w:p>
          <w:p>
            <w:pPr>
              <w:snapToGrid w:val="0"/>
              <w:rPr>
                <w:szCs w:val="21"/>
                <w:u w:val="single"/>
              </w:rPr>
            </w:pPr>
            <w:r>
              <w:rPr>
                <w:rFonts w:hint="eastAsia"/>
                <w:szCs w:val="21"/>
              </w:rPr>
              <w:t>□</w:t>
            </w:r>
            <w:r>
              <w:rPr>
                <w:szCs w:val="21"/>
              </w:rPr>
              <w:t xml:space="preserve"> </w:t>
            </w:r>
            <w:r>
              <w:rPr>
                <w:rFonts w:hint="eastAsia"/>
                <w:szCs w:val="21"/>
              </w:rPr>
              <w:t>否，推荐的中标候选人数：</w:t>
            </w:r>
            <w:r>
              <w:rPr>
                <w:szCs w:val="21"/>
                <w:u w:val="single"/>
              </w:rPr>
              <w:t xml:space="preserve">      </w:t>
            </w:r>
          </w:p>
          <w:p>
            <w:pPr>
              <w:snapToGrid w:val="0"/>
              <w:rPr>
                <w:szCs w:val="21"/>
              </w:rPr>
            </w:pPr>
            <w:r>
              <w:rPr>
                <w:rFonts w:hint="eastAsia"/>
                <w:szCs w:val="21"/>
              </w:rPr>
              <w:t>当具备竞争力的候选人不足三家时，以实际家数为准。政采项目除外。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09" w:type="dxa"/>
            <w:vAlign w:val="center"/>
          </w:tcPr>
          <w:p>
            <w:pPr>
              <w:adjustRightInd w:val="0"/>
              <w:snapToGrid w:val="0"/>
              <w:spacing w:before="108" w:beforeLines="45" w:after="108" w:afterLines="45"/>
              <w:jc w:val="center"/>
              <w:rPr>
                <w:b/>
                <w:szCs w:val="21"/>
              </w:rPr>
            </w:pPr>
            <w:r>
              <w:rPr>
                <w:b/>
                <w:szCs w:val="21"/>
              </w:rPr>
              <w:t>41</w:t>
            </w:r>
          </w:p>
        </w:tc>
        <w:tc>
          <w:tcPr>
            <w:tcW w:w="1035" w:type="dxa"/>
            <w:vAlign w:val="center"/>
          </w:tcPr>
          <w:p>
            <w:pPr>
              <w:adjustRightInd w:val="0"/>
              <w:snapToGrid w:val="0"/>
              <w:jc w:val="center"/>
              <w:rPr>
                <w:szCs w:val="21"/>
              </w:rPr>
            </w:pPr>
            <w:r>
              <w:rPr>
                <w:szCs w:val="21"/>
              </w:rPr>
              <w:t>7.3.1</w:t>
            </w:r>
          </w:p>
        </w:tc>
        <w:tc>
          <w:tcPr>
            <w:tcW w:w="1632" w:type="dxa"/>
            <w:vAlign w:val="center"/>
          </w:tcPr>
          <w:p>
            <w:pPr>
              <w:adjustRightInd w:val="0"/>
              <w:snapToGrid w:val="0"/>
              <w:rPr>
                <w:szCs w:val="21"/>
              </w:rPr>
            </w:pPr>
            <w:r>
              <w:rPr>
                <w:rFonts w:hint="eastAsia"/>
                <w:szCs w:val="21"/>
              </w:rPr>
              <w:t>履约担保</w:t>
            </w:r>
          </w:p>
        </w:tc>
        <w:tc>
          <w:tcPr>
            <w:tcW w:w="5106" w:type="dxa"/>
            <w:vAlign w:val="center"/>
          </w:tcPr>
          <w:p>
            <w:pPr>
              <w:snapToGrid w:val="0"/>
              <w:rPr>
                <w:szCs w:val="21"/>
              </w:rPr>
            </w:pPr>
            <w:r>
              <w:rPr>
                <w:rFonts w:hint="eastAsia"/>
                <w:szCs w:val="21"/>
              </w:rPr>
              <w:t>□无</w:t>
            </w:r>
          </w:p>
          <w:p>
            <w:pPr>
              <w:snapToGrid w:val="0"/>
              <w:rPr>
                <w:szCs w:val="21"/>
              </w:rPr>
            </w:pPr>
            <w:r>
              <w:rPr>
                <w:rFonts w:hint="eastAsia"/>
                <w:szCs w:val="21"/>
              </w:rPr>
              <w:t>□有</w:t>
            </w:r>
          </w:p>
          <w:p>
            <w:pPr>
              <w:snapToGrid w:val="0"/>
              <w:rPr>
                <w:szCs w:val="21"/>
              </w:rPr>
            </w:pPr>
            <w:r>
              <w:rPr>
                <w:rFonts w:hint="eastAsia"/>
                <w:szCs w:val="21"/>
              </w:rPr>
              <w:t>履约担保的形式：</w:t>
            </w:r>
            <w:r>
              <w:rPr>
                <w:kern w:val="0"/>
                <w:szCs w:val="21"/>
                <w:u w:val="single"/>
              </w:rPr>
              <w:t xml:space="preserve">                 </w:t>
            </w:r>
          </w:p>
          <w:p>
            <w:pPr>
              <w:adjustRightInd w:val="0"/>
              <w:snapToGrid w:val="0"/>
              <w:rPr>
                <w:szCs w:val="21"/>
              </w:rPr>
            </w:pPr>
            <w:r>
              <w:rPr>
                <w:rFonts w:hint="eastAsia"/>
                <w:szCs w:val="21"/>
              </w:rPr>
              <w:t>履约担保的金额：</w:t>
            </w:r>
            <w:r>
              <w:rPr>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709" w:type="dxa"/>
            <w:vAlign w:val="center"/>
          </w:tcPr>
          <w:p>
            <w:pPr>
              <w:adjustRightInd w:val="0"/>
              <w:snapToGrid w:val="0"/>
              <w:spacing w:before="108" w:beforeLines="45" w:after="108" w:afterLines="45"/>
              <w:jc w:val="center"/>
              <w:rPr>
                <w:b/>
                <w:szCs w:val="21"/>
              </w:rPr>
            </w:pPr>
            <w:r>
              <w:rPr>
                <w:b/>
                <w:szCs w:val="21"/>
              </w:rPr>
              <w:t>42</w:t>
            </w:r>
          </w:p>
        </w:tc>
        <w:tc>
          <w:tcPr>
            <w:tcW w:w="1035" w:type="dxa"/>
            <w:vAlign w:val="center"/>
          </w:tcPr>
          <w:p>
            <w:pPr>
              <w:adjustRightInd w:val="0"/>
              <w:snapToGrid w:val="0"/>
              <w:jc w:val="center"/>
              <w:rPr>
                <w:szCs w:val="21"/>
              </w:rPr>
            </w:pPr>
            <w:r>
              <w:rPr>
                <w:szCs w:val="21"/>
              </w:rPr>
              <w:t>7.3.3</w:t>
            </w:r>
          </w:p>
        </w:tc>
        <w:tc>
          <w:tcPr>
            <w:tcW w:w="1632" w:type="dxa"/>
            <w:vAlign w:val="center"/>
          </w:tcPr>
          <w:p>
            <w:pPr>
              <w:adjustRightInd w:val="0"/>
              <w:snapToGrid w:val="0"/>
              <w:rPr>
                <w:szCs w:val="21"/>
              </w:rPr>
            </w:pPr>
            <w:r>
              <w:rPr>
                <w:rFonts w:hint="eastAsia"/>
                <w:szCs w:val="21"/>
              </w:rPr>
              <w:t>支付担保</w:t>
            </w:r>
          </w:p>
        </w:tc>
        <w:tc>
          <w:tcPr>
            <w:tcW w:w="5106" w:type="dxa"/>
            <w:vAlign w:val="center"/>
          </w:tcPr>
          <w:p>
            <w:pPr>
              <w:adjustRightInd w:val="0"/>
              <w:snapToGrid w:val="0"/>
              <w:rPr>
                <w:szCs w:val="21"/>
              </w:rPr>
            </w:pPr>
            <w:r>
              <w:rPr>
                <w:rFonts w:hint="eastAsia"/>
                <w:szCs w:val="21"/>
              </w:rPr>
              <w:t>□无</w:t>
            </w:r>
          </w:p>
          <w:p>
            <w:pPr>
              <w:adjustRightInd w:val="0"/>
              <w:snapToGrid w:val="0"/>
              <w:rPr>
                <w:szCs w:val="21"/>
              </w:rPr>
            </w:pPr>
            <w:r>
              <w:rPr>
                <w:rFonts w:hint="eastAsia"/>
                <w:szCs w:val="21"/>
              </w:rPr>
              <w:t>□有</w:t>
            </w:r>
          </w:p>
          <w:p>
            <w:pPr>
              <w:adjustRightInd w:val="0"/>
              <w:snapToGrid w:val="0"/>
              <w:rPr>
                <w:szCs w:val="21"/>
              </w:rPr>
            </w:pPr>
            <w:r>
              <w:rPr>
                <w:rFonts w:hint="eastAsia"/>
                <w:szCs w:val="21"/>
              </w:rPr>
              <w:t>支付担保的形式：</w:t>
            </w:r>
            <w:r>
              <w:rPr>
                <w:szCs w:val="21"/>
                <w:u w:val="single"/>
              </w:rPr>
              <w:t xml:space="preserve">                </w:t>
            </w:r>
            <w:r>
              <w:rPr>
                <w:szCs w:val="21"/>
              </w:rPr>
              <w:t xml:space="preserve"> </w:t>
            </w:r>
          </w:p>
          <w:p>
            <w:pPr>
              <w:adjustRightInd w:val="0"/>
              <w:snapToGrid w:val="0"/>
              <w:rPr>
                <w:szCs w:val="21"/>
              </w:rPr>
            </w:pPr>
            <w:r>
              <w:rPr>
                <w:rFonts w:hint="eastAsia"/>
                <w:szCs w:val="21"/>
              </w:rPr>
              <w:t>支付担保的金额：</w:t>
            </w:r>
            <w:r>
              <w:rPr>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09" w:type="dxa"/>
            <w:vAlign w:val="center"/>
          </w:tcPr>
          <w:p>
            <w:pPr>
              <w:adjustRightInd w:val="0"/>
              <w:snapToGrid w:val="0"/>
              <w:spacing w:before="108" w:beforeLines="45" w:after="108" w:afterLines="45"/>
              <w:jc w:val="center"/>
              <w:rPr>
                <w:b/>
                <w:szCs w:val="21"/>
              </w:rPr>
            </w:pPr>
            <w:r>
              <w:rPr>
                <w:b/>
                <w:szCs w:val="21"/>
              </w:rPr>
              <w:t>43</w:t>
            </w:r>
          </w:p>
        </w:tc>
        <w:tc>
          <w:tcPr>
            <w:tcW w:w="1035" w:type="dxa"/>
            <w:vAlign w:val="center"/>
          </w:tcPr>
          <w:p>
            <w:pPr>
              <w:adjustRightInd w:val="0"/>
              <w:snapToGrid w:val="0"/>
              <w:jc w:val="center"/>
              <w:rPr>
                <w:szCs w:val="21"/>
              </w:rPr>
            </w:pPr>
            <w:r>
              <w:rPr>
                <w:szCs w:val="21"/>
              </w:rPr>
              <w:t>8.1</w:t>
            </w:r>
          </w:p>
        </w:tc>
        <w:tc>
          <w:tcPr>
            <w:tcW w:w="1632" w:type="dxa"/>
            <w:vAlign w:val="center"/>
          </w:tcPr>
          <w:p>
            <w:pPr>
              <w:adjustRightInd w:val="0"/>
              <w:snapToGrid w:val="0"/>
              <w:rPr>
                <w:szCs w:val="21"/>
              </w:rPr>
            </w:pPr>
            <w:r>
              <w:rPr>
                <w:rFonts w:hint="eastAsia"/>
                <w:szCs w:val="21"/>
              </w:rPr>
              <w:t>依次确定的</w:t>
            </w:r>
            <w:r>
              <w:rPr>
                <w:rFonts w:hint="eastAsia"/>
                <w:kern w:val="0"/>
                <w:szCs w:val="21"/>
              </w:rPr>
              <w:t>其他中标候选人与招标人预期差距较大，或者对招标人明显不利的情况</w:t>
            </w:r>
            <w:r>
              <w:rPr>
                <w:rFonts w:hint="eastAsia"/>
                <w:szCs w:val="21"/>
              </w:rPr>
              <w:t>说明</w:t>
            </w:r>
          </w:p>
        </w:tc>
        <w:tc>
          <w:tcPr>
            <w:tcW w:w="5106" w:type="dxa"/>
            <w:vAlign w:val="center"/>
          </w:tcPr>
          <w:p>
            <w:pPr>
              <w:snapToGrid w:val="0"/>
              <w:rPr>
                <w:szCs w:val="21"/>
              </w:rPr>
            </w:pPr>
            <w:r>
              <w:rPr>
                <w:rFonts w:hint="eastAsia"/>
                <w:szCs w:val="21"/>
              </w:rPr>
              <w:t>排名第一的中标候选人放弃中标、因不可抗力提出不能履行合同、不按照招标文件的要求提交履约担保，或者被查实存在影响中标结果的违法行为等情形，不符合中标条件的，招标人可以按照评标委员会提出的中标候选人名单排序依次确定其他中标候选人为中标人，也可以重新招标。</w:t>
            </w:r>
          </w:p>
          <w:p>
            <w:pPr>
              <w:snapToGrid w:val="0"/>
              <w:rPr>
                <w:szCs w:val="21"/>
              </w:rPr>
            </w:pPr>
            <w:r>
              <w:rPr>
                <w:rFonts w:hint="eastAsia"/>
                <w:szCs w:val="21"/>
              </w:rPr>
              <w:t>当依次确定的其他中标候选人的投标报价高于排名在前的中标候选人的投标报价</w:t>
            </w:r>
            <w:r>
              <w:rPr>
                <w:szCs w:val="21"/>
                <w:u w:val="single"/>
              </w:rPr>
              <w:t xml:space="preserve">       </w:t>
            </w:r>
            <w:r>
              <w:rPr>
                <w:rFonts w:hint="eastAsia"/>
                <w:szCs w:val="21"/>
              </w:rPr>
              <w:t>万元（含）或</w:t>
            </w:r>
            <w:r>
              <w:rPr>
                <w:szCs w:val="21"/>
                <w:u w:val="single"/>
              </w:rPr>
              <w:t xml:space="preserve">   </w:t>
            </w:r>
            <w:r>
              <w:rPr>
                <w:szCs w:val="21"/>
              </w:rPr>
              <w:t>%</w:t>
            </w:r>
            <w:r>
              <w:rPr>
                <w:rFonts w:hint="eastAsia"/>
                <w:szCs w:val="21"/>
              </w:rPr>
              <w:t>的，招标人将重新招标。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09" w:type="dxa"/>
            <w:vAlign w:val="center"/>
          </w:tcPr>
          <w:p>
            <w:pPr>
              <w:adjustRightInd w:val="0"/>
              <w:snapToGrid w:val="0"/>
              <w:spacing w:before="108" w:beforeLines="45" w:after="108" w:afterLines="45"/>
              <w:jc w:val="center"/>
              <w:rPr>
                <w:b/>
                <w:szCs w:val="21"/>
              </w:rPr>
            </w:pPr>
            <w:r>
              <w:rPr>
                <w:rFonts w:hint="eastAsia"/>
                <w:b/>
                <w:szCs w:val="21"/>
              </w:rPr>
              <w:t>44</w:t>
            </w:r>
          </w:p>
        </w:tc>
        <w:tc>
          <w:tcPr>
            <w:tcW w:w="1035" w:type="dxa"/>
            <w:vAlign w:val="center"/>
          </w:tcPr>
          <w:p>
            <w:pPr>
              <w:adjustRightInd w:val="0"/>
              <w:snapToGrid w:val="0"/>
              <w:jc w:val="center"/>
              <w:rPr>
                <w:szCs w:val="21"/>
              </w:rPr>
            </w:pPr>
            <w:r>
              <w:rPr>
                <w:rFonts w:hint="eastAsia"/>
                <w:szCs w:val="21"/>
              </w:rPr>
              <w:t>9</w:t>
            </w:r>
          </w:p>
        </w:tc>
        <w:tc>
          <w:tcPr>
            <w:tcW w:w="1632" w:type="dxa"/>
            <w:vAlign w:val="center"/>
          </w:tcPr>
          <w:p>
            <w:pPr>
              <w:adjustRightInd w:val="0"/>
              <w:snapToGrid w:val="0"/>
              <w:rPr>
                <w:szCs w:val="21"/>
              </w:rPr>
            </w:pPr>
            <w:r>
              <w:rPr>
                <w:rFonts w:hint="eastAsia"/>
                <w:szCs w:val="21"/>
              </w:rPr>
              <w:t>纪律与监督</w:t>
            </w:r>
          </w:p>
        </w:tc>
        <w:tc>
          <w:tcPr>
            <w:tcW w:w="5106" w:type="dxa"/>
            <w:vAlign w:val="center"/>
          </w:tcPr>
          <w:p>
            <w:pPr>
              <w:snapToGrid w:val="0"/>
              <w:rPr>
                <w:szCs w:val="21"/>
              </w:rPr>
            </w:pPr>
            <w:r>
              <w:rPr>
                <w:rFonts w:hint="eastAsia"/>
                <w:szCs w:val="21"/>
              </w:rPr>
              <w:t>本招标工程接受</w:t>
            </w:r>
            <w:r>
              <w:rPr>
                <w:rFonts w:hint="eastAsia"/>
                <w:szCs w:val="21"/>
                <w:u w:val="single"/>
              </w:rPr>
              <w:t xml:space="preserve">                        </w:t>
            </w:r>
            <w:commentRangeStart w:id="0"/>
            <w:r>
              <w:rPr>
                <w:rFonts w:hint="eastAsia"/>
                <w:szCs w:val="21"/>
              </w:rPr>
              <w:t>监督。</w:t>
            </w:r>
            <w:commentRangeEnd w:id="0"/>
            <w:r>
              <w:rPr>
                <w:rStyle w:val="57"/>
                <w:kern w:val="0"/>
                <w:szCs w:val="20"/>
              </w:rPr>
              <w:commentReference w:id="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jc w:val="center"/>
        </w:trPr>
        <w:tc>
          <w:tcPr>
            <w:tcW w:w="709" w:type="dxa"/>
            <w:vAlign w:val="center"/>
          </w:tcPr>
          <w:p>
            <w:pPr>
              <w:adjustRightInd w:val="0"/>
              <w:snapToGrid w:val="0"/>
              <w:spacing w:before="108" w:beforeLines="45" w:after="108" w:afterLines="45"/>
              <w:jc w:val="center"/>
              <w:rPr>
                <w:b/>
                <w:szCs w:val="21"/>
              </w:rPr>
            </w:pPr>
            <w:r>
              <w:rPr>
                <w:b/>
                <w:szCs w:val="21"/>
              </w:rPr>
              <w:t>4</w:t>
            </w:r>
            <w:r>
              <w:rPr>
                <w:rFonts w:hint="eastAsia"/>
                <w:b/>
                <w:szCs w:val="21"/>
              </w:rPr>
              <w:t>5</w:t>
            </w:r>
          </w:p>
        </w:tc>
        <w:tc>
          <w:tcPr>
            <w:tcW w:w="1035" w:type="dxa"/>
            <w:vAlign w:val="center"/>
          </w:tcPr>
          <w:p>
            <w:pPr>
              <w:adjustRightInd w:val="0"/>
              <w:snapToGrid w:val="0"/>
              <w:jc w:val="center"/>
              <w:rPr>
                <w:szCs w:val="21"/>
              </w:rPr>
            </w:pPr>
            <w:r>
              <w:rPr>
                <w:szCs w:val="21"/>
              </w:rPr>
              <w:t>10</w:t>
            </w:r>
          </w:p>
        </w:tc>
        <w:tc>
          <w:tcPr>
            <w:tcW w:w="1632" w:type="dxa"/>
            <w:vAlign w:val="center"/>
          </w:tcPr>
          <w:p>
            <w:pPr>
              <w:adjustRightInd w:val="0"/>
              <w:snapToGrid w:val="0"/>
              <w:rPr>
                <w:szCs w:val="21"/>
                <w:u w:val="single"/>
              </w:rPr>
            </w:pPr>
            <w:r>
              <w:rPr>
                <w:rFonts w:hint="eastAsia"/>
                <w:szCs w:val="21"/>
              </w:rPr>
              <w:t>异议与投诉</w:t>
            </w:r>
          </w:p>
        </w:tc>
        <w:tc>
          <w:tcPr>
            <w:tcW w:w="5106" w:type="dxa"/>
            <w:vAlign w:val="center"/>
          </w:tcPr>
          <w:p>
            <w:pPr>
              <w:snapToGrid w:val="0"/>
              <w:rPr>
                <w:szCs w:val="21"/>
              </w:rPr>
            </w:pPr>
            <w:r>
              <w:rPr>
                <w:rFonts w:hint="eastAsia"/>
                <w:szCs w:val="21"/>
              </w:rPr>
              <w:t>异议与投诉遵从《工程建设工程招标投标活动投诉处理办法》（国家发改委等七部委</w:t>
            </w:r>
            <w:r>
              <w:rPr>
                <w:szCs w:val="21"/>
              </w:rPr>
              <w:t>11</w:t>
            </w:r>
            <w:r>
              <w:rPr>
                <w:rFonts w:hint="eastAsia"/>
                <w:szCs w:val="21"/>
              </w:rPr>
              <w:t>号令）和《中华人民共和国招标投标法实施条例》（中华人民共和国国务院令第</w:t>
            </w:r>
            <w:r>
              <w:rPr>
                <w:szCs w:val="21"/>
              </w:rPr>
              <w:t>613</w:t>
            </w:r>
            <w:r>
              <w:rPr>
                <w:rFonts w:hint="eastAsia"/>
                <w:szCs w:val="21"/>
              </w:rPr>
              <w:t>号）的有关要求与规定。具体详见投标人须知。</w:t>
            </w:r>
          </w:p>
          <w:p>
            <w:pPr>
              <w:snapToGrid w:val="0"/>
              <w:rPr>
                <w:szCs w:val="21"/>
              </w:rPr>
            </w:pPr>
            <w:r>
              <w:rPr>
                <w:rFonts w:hint="eastAsia"/>
                <w:szCs w:val="21"/>
              </w:rPr>
              <w:t>投诉受理单位：</w:t>
            </w:r>
            <w:r>
              <w:rPr>
                <w:rFonts w:hint="eastAsia"/>
                <w:szCs w:val="21"/>
                <w:u w:val="single"/>
              </w:rPr>
              <w:t xml:space="preserve">                    </w:t>
            </w:r>
            <w:r>
              <w:rPr>
                <w:szCs w:val="21"/>
              </w:rPr>
              <w:t xml:space="preserve"> </w:t>
            </w:r>
          </w:p>
          <w:p>
            <w:pPr>
              <w:snapToGrid w:val="0"/>
              <w:rPr>
                <w:szCs w:val="21"/>
                <w:u w:val="single"/>
              </w:rPr>
            </w:pPr>
            <w:r>
              <w:rPr>
                <w:rFonts w:hint="eastAsia"/>
                <w:szCs w:val="21"/>
              </w:rPr>
              <w:t>单位地址：</w:t>
            </w:r>
            <w:r>
              <w:rPr>
                <w:rFonts w:hint="eastAsia"/>
                <w:szCs w:val="21"/>
                <w:u w:val="single"/>
              </w:rPr>
              <w:t xml:space="preserve">                       </w:t>
            </w:r>
            <w:r>
              <w:rPr>
                <w:szCs w:val="21"/>
                <w:u w:val="single"/>
              </w:rPr>
              <w:t xml:space="preserve"> </w:t>
            </w:r>
          </w:p>
          <w:p>
            <w:pPr>
              <w:snapToGrid w:val="0"/>
              <w:ind w:left="-31" w:leftChars="-15" w:firstLine="46" w:firstLineChars="22"/>
              <w:rPr>
                <w:szCs w:val="21"/>
              </w:rPr>
            </w:pPr>
            <w:r>
              <w:rPr>
                <w:rFonts w:hint="eastAsia"/>
                <w:szCs w:val="21"/>
              </w:rPr>
              <w:t>投诉电话：</w:t>
            </w:r>
            <w:r>
              <w:rPr>
                <w:szCs w:val="21"/>
                <w:u w:val="single"/>
              </w:rPr>
              <w:t xml:space="preserve"> </w:t>
            </w:r>
            <w:r>
              <w:rPr>
                <w:rFonts w:hint="eastAsia"/>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09" w:type="dxa"/>
            <w:vAlign w:val="center"/>
          </w:tcPr>
          <w:p>
            <w:pPr>
              <w:adjustRightInd w:val="0"/>
              <w:snapToGrid w:val="0"/>
              <w:spacing w:before="108" w:beforeLines="45" w:after="108" w:afterLines="45"/>
              <w:jc w:val="center"/>
              <w:rPr>
                <w:b/>
                <w:szCs w:val="21"/>
              </w:rPr>
            </w:pPr>
            <w:r>
              <w:rPr>
                <w:b/>
                <w:szCs w:val="21"/>
              </w:rPr>
              <w:t>46</w:t>
            </w:r>
          </w:p>
        </w:tc>
        <w:tc>
          <w:tcPr>
            <w:tcW w:w="1035" w:type="dxa"/>
            <w:vAlign w:val="center"/>
          </w:tcPr>
          <w:p>
            <w:pPr>
              <w:adjustRightInd w:val="0"/>
              <w:snapToGrid w:val="0"/>
              <w:jc w:val="center"/>
              <w:rPr>
                <w:szCs w:val="21"/>
              </w:rPr>
            </w:pPr>
            <w:r>
              <w:rPr>
                <w:szCs w:val="21"/>
              </w:rPr>
              <w:t>11</w:t>
            </w:r>
          </w:p>
        </w:tc>
        <w:tc>
          <w:tcPr>
            <w:tcW w:w="1632" w:type="dxa"/>
            <w:vAlign w:val="center"/>
          </w:tcPr>
          <w:p>
            <w:pPr>
              <w:adjustRightInd w:val="0"/>
              <w:snapToGrid w:val="0"/>
              <w:rPr>
                <w:szCs w:val="21"/>
              </w:rPr>
            </w:pPr>
            <w:r>
              <w:rPr>
                <w:rFonts w:hint="eastAsia"/>
                <w:szCs w:val="21"/>
              </w:rPr>
              <w:t>其他内容</w:t>
            </w:r>
          </w:p>
        </w:tc>
        <w:tc>
          <w:tcPr>
            <w:tcW w:w="5106" w:type="dxa"/>
            <w:vAlign w:val="center"/>
          </w:tcPr>
          <w:p>
            <w:pPr>
              <w:pStyle w:val="21"/>
              <w:topLinePunct/>
              <w:snapToGrid w:val="0"/>
              <w:spacing w:line="340" w:lineRule="exact"/>
              <w:jc w:val="left"/>
              <w:rPr>
                <w:rFonts w:hAnsi="宋体"/>
                <w:strike/>
                <w:sz w:val="21"/>
                <w:szCs w:val="21"/>
              </w:rPr>
            </w:pPr>
            <w:commentRangeStart w:id="1"/>
            <w:r>
              <w:rPr>
                <w:rFonts w:hint="eastAsia"/>
                <w:sz w:val="21"/>
                <w:szCs w:val="21"/>
                <w:u w:val="single"/>
              </w:rPr>
              <w:t>采用电子化招投标的园林绿化工程项目投标人以及项目负责人的基本信息、业绩信息和信用信息等以北京市园林绿化建设市场信用信息系统中的信息为依据并直接调用，其他所需证明材料的附件可通过远程或者到招标投标交易场所使用数字身份认证锁登录电子化平台上传</w:t>
            </w:r>
            <w:r>
              <w:rPr>
                <w:rFonts w:hint="eastAsia" w:hAnsi="宋体"/>
                <w:sz w:val="21"/>
                <w:szCs w:val="21"/>
                <w:u w:val="single"/>
              </w:rPr>
              <w:t xml:space="preserve">；电子资格预审申请文件中所使用信息的证明文件需提前准备好原件，以备查验。            </w:t>
            </w:r>
          </w:p>
          <w:p>
            <w:pPr>
              <w:pStyle w:val="21"/>
              <w:topLinePunct/>
              <w:snapToGrid w:val="0"/>
              <w:spacing w:line="340" w:lineRule="exact"/>
              <w:jc w:val="left"/>
              <w:rPr>
                <w:rFonts w:hAnsi="宋体"/>
                <w:strike/>
                <w:sz w:val="21"/>
                <w:szCs w:val="21"/>
              </w:rPr>
            </w:pPr>
            <w:r>
              <w:rPr>
                <w:rFonts w:hint="eastAsia" w:hAnsi="宋体"/>
                <w:strike/>
                <w:sz w:val="21"/>
                <w:szCs w:val="21"/>
              </w:rPr>
              <w:t xml:space="preserve">                                               </w:t>
            </w:r>
            <w:commentRangeEnd w:id="1"/>
            <w:r>
              <w:rPr>
                <w:rStyle w:val="57"/>
                <w:kern w:val="0"/>
                <w:szCs w:val="20"/>
              </w:rPr>
              <w:commentReference w:id="1"/>
            </w:r>
            <w:r>
              <w:rPr>
                <w:rFonts w:hint="eastAsia" w:hAnsi="宋体"/>
                <w:strike/>
                <w:sz w:val="21"/>
                <w:szCs w:val="21"/>
              </w:rPr>
              <w:t xml:space="preserve">   </w:t>
            </w:r>
          </w:p>
        </w:tc>
      </w:tr>
    </w:tbl>
    <w:p>
      <w:pPr>
        <w:spacing w:line="440" w:lineRule="exact"/>
        <w:jc w:val="center"/>
        <w:rPr>
          <w:b/>
          <w:sz w:val="30"/>
          <w:szCs w:val="30"/>
        </w:rPr>
      </w:pPr>
      <w:r>
        <w:rPr>
          <w:sz w:val="30"/>
          <w:szCs w:val="30"/>
        </w:rPr>
        <w:br w:type="page"/>
      </w:r>
      <w:bookmarkEnd w:id="75"/>
      <w:bookmarkEnd w:id="76"/>
      <w:r>
        <w:rPr>
          <w:rFonts w:hint="eastAsia"/>
          <w:b/>
          <w:sz w:val="30"/>
          <w:szCs w:val="30"/>
        </w:rPr>
        <w:t>投标人须知</w:t>
      </w:r>
    </w:p>
    <w:p>
      <w:pPr>
        <w:pStyle w:val="6"/>
        <w:spacing w:before="156" w:beforeLines="65" w:after="84" w:afterLines="35" w:line="440" w:lineRule="exact"/>
        <w:ind w:firstLine="497" w:firstLineChars="177"/>
        <w:jc w:val="both"/>
      </w:pPr>
      <w:bookmarkStart w:id="77" w:name="_Toc64971940"/>
      <w:r>
        <w:t>1.</w:t>
      </w:r>
      <w:r>
        <w:tab/>
      </w:r>
      <w:r>
        <w:rPr>
          <w:rFonts w:hint="eastAsia"/>
        </w:rPr>
        <w:t>总则</w:t>
      </w:r>
    </w:p>
    <w:p>
      <w:pPr>
        <w:pStyle w:val="6"/>
        <w:tabs>
          <w:tab w:val="left" w:pos="926"/>
        </w:tabs>
        <w:spacing w:before="156" w:beforeLines="65" w:after="84" w:afterLines="35" w:line="440" w:lineRule="exact"/>
        <w:ind w:left="-2" w:firstLine="486" w:firstLineChars="202"/>
        <w:jc w:val="both"/>
        <w:rPr>
          <w:sz w:val="24"/>
          <w:szCs w:val="24"/>
        </w:rPr>
      </w:pPr>
      <w:r>
        <w:rPr>
          <w:sz w:val="24"/>
          <w:szCs w:val="24"/>
        </w:rPr>
        <w:t>1.1</w:t>
      </w:r>
      <w:r>
        <w:rPr>
          <w:sz w:val="24"/>
          <w:szCs w:val="24"/>
        </w:rPr>
        <w:tab/>
      </w:r>
      <w:r>
        <w:rPr>
          <w:rFonts w:hint="eastAsia"/>
          <w:sz w:val="24"/>
          <w:szCs w:val="24"/>
        </w:rPr>
        <w:t>工程概况</w:t>
      </w:r>
    </w:p>
    <w:p>
      <w:pPr>
        <w:tabs>
          <w:tab w:val="left" w:pos="938"/>
        </w:tabs>
        <w:snapToGrid w:val="0"/>
        <w:spacing w:after="84" w:afterLines="35" w:line="400" w:lineRule="exact"/>
        <w:ind w:firstLine="516" w:firstLineChars="215"/>
        <w:rPr>
          <w:sz w:val="24"/>
        </w:rPr>
      </w:pPr>
      <w:r>
        <w:rPr>
          <w:sz w:val="24"/>
        </w:rPr>
        <w:t xml:space="preserve">1.1.1 </w:t>
      </w:r>
      <w:r>
        <w:rPr>
          <w:rFonts w:hint="eastAsia"/>
          <w:sz w:val="24"/>
        </w:rPr>
        <w:t>根据《中华人民共和国招标投标法》</w:t>
      </w:r>
      <w:r>
        <w:rPr>
          <w:sz w:val="24"/>
        </w:rPr>
        <w:t>《中华人民共和国招标投标法实施条例》</w:t>
      </w:r>
      <w:r>
        <w:rPr>
          <w:rFonts w:hint="eastAsia"/>
          <w:sz w:val="24"/>
        </w:rPr>
        <w:t>等有关法律、法规和规章的规定，本招标工程已具备招标条件，现对本标段施工进行招标。</w:t>
      </w:r>
    </w:p>
    <w:p>
      <w:pPr>
        <w:tabs>
          <w:tab w:val="left" w:pos="938"/>
        </w:tabs>
        <w:snapToGrid w:val="0"/>
        <w:spacing w:after="84" w:afterLines="35" w:line="400" w:lineRule="exact"/>
        <w:ind w:firstLine="516" w:firstLineChars="215"/>
        <w:rPr>
          <w:sz w:val="24"/>
        </w:rPr>
      </w:pPr>
      <w:r>
        <w:rPr>
          <w:sz w:val="24"/>
        </w:rPr>
        <w:t>1.1.2</w:t>
      </w:r>
      <w:r>
        <w:rPr>
          <w:rFonts w:hint="eastAsia"/>
          <w:sz w:val="24"/>
        </w:rPr>
        <w:t>招标人：见投标人须知前附表。</w:t>
      </w:r>
    </w:p>
    <w:p>
      <w:pPr>
        <w:tabs>
          <w:tab w:val="left" w:pos="938"/>
        </w:tabs>
        <w:snapToGrid w:val="0"/>
        <w:spacing w:after="84" w:afterLines="35" w:line="400" w:lineRule="exact"/>
        <w:ind w:firstLine="516" w:firstLineChars="215"/>
        <w:rPr>
          <w:sz w:val="24"/>
        </w:rPr>
      </w:pPr>
      <w:r>
        <w:rPr>
          <w:sz w:val="24"/>
        </w:rPr>
        <w:t>1.1.3</w:t>
      </w:r>
      <w:r>
        <w:rPr>
          <w:rFonts w:hint="eastAsia"/>
          <w:sz w:val="24"/>
        </w:rPr>
        <w:t>招标代理机构：见投标人须知前附表。</w:t>
      </w:r>
    </w:p>
    <w:p>
      <w:pPr>
        <w:tabs>
          <w:tab w:val="left" w:pos="938"/>
        </w:tabs>
        <w:snapToGrid w:val="0"/>
        <w:spacing w:after="84" w:afterLines="35" w:line="400" w:lineRule="exact"/>
        <w:ind w:firstLine="516" w:firstLineChars="215"/>
        <w:rPr>
          <w:sz w:val="24"/>
        </w:rPr>
      </w:pPr>
      <w:r>
        <w:rPr>
          <w:sz w:val="24"/>
        </w:rPr>
        <w:t>1.1.4</w:t>
      </w:r>
      <w:r>
        <w:rPr>
          <w:rFonts w:hint="eastAsia"/>
          <w:sz w:val="24"/>
        </w:rPr>
        <w:t>工程名称：见投标人须知前附表。</w:t>
      </w:r>
    </w:p>
    <w:p>
      <w:pPr>
        <w:tabs>
          <w:tab w:val="left" w:pos="938"/>
          <w:tab w:val="left" w:pos="2456"/>
        </w:tabs>
        <w:snapToGrid w:val="0"/>
        <w:spacing w:after="84" w:afterLines="35" w:line="400" w:lineRule="exact"/>
        <w:ind w:firstLine="516" w:firstLineChars="215"/>
        <w:rPr>
          <w:sz w:val="24"/>
        </w:rPr>
      </w:pPr>
      <w:r>
        <w:rPr>
          <w:sz w:val="24"/>
        </w:rPr>
        <w:t xml:space="preserve">1.1.5 </w:t>
      </w:r>
      <w:r>
        <w:rPr>
          <w:rFonts w:hint="eastAsia"/>
          <w:sz w:val="24"/>
        </w:rPr>
        <w:t>工程批准文号：详见本须知前附表。</w:t>
      </w:r>
    </w:p>
    <w:p>
      <w:pPr>
        <w:tabs>
          <w:tab w:val="left" w:pos="938"/>
        </w:tabs>
        <w:snapToGrid w:val="0"/>
        <w:spacing w:after="84" w:afterLines="35" w:line="400" w:lineRule="exact"/>
        <w:ind w:firstLine="516" w:firstLineChars="215"/>
        <w:rPr>
          <w:sz w:val="24"/>
        </w:rPr>
      </w:pPr>
      <w:r>
        <w:rPr>
          <w:sz w:val="24"/>
        </w:rPr>
        <w:t>1.1.6</w:t>
      </w:r>
      <w:r>
        <w:rPr>
          <w:rFonts w:hint="eastAsia"/>
          <w:sz w:val="24"/>
        </w:rPr>
        <w:t>工程建设地点：见投标人须知前附表。</w:t>
      </w:r>
    </w:p>
    <w:p>
      <w:pPr>
        <w:tabs>
          <w:tab w:val="left" w:pos="938"/>
        </w:tabs>
        <w:snapToGrid w:val="0"/>
        <w:spacing w:after="84" w:afterLines="35" w:line="400" w:lineRule="exact"/>
        <w:ind w:firstLine="516" w:firstLineChars="215"/>
        <w:rPr>
          <w:sz w:val="24"/>
        </w:rPr>
      </w:pPr>
      <w:r>
        <w:rPr>
          <w:sz w:val="24"/>
        </w:rPr>
        <w:t>1.1.7</w:t>
      </w:r>
      <w:r>
        <w:rPr>
          <w:rFonts w:hint="eastAsia"/>
          <w:sz w:val="24"/>
        </w:rPr>
        <w:t>工程建设规模：见投标人须知前附表。</w:t>
      </w:r>
    </w:p>
    <w:p>
      <w:pPr>
        <w:tabs>
          <w:tab w:val="left" w:pos="938"/>
          <w:tab w:val="left" w:pos="2456"/>
        </w:tabs>
        <w:snapToGrid w:val="0"/>
        <w:spacing w:after="84" w:afterLines="35" w:line="400" w:lineRule="exact"/>
        <w:ind w:firstLine="516" w:firstLineChars="215"/>
        <w:rPr>
          <w:sz w:val="24"/>
        </w:rPr>
      </w:pPr>
      <w:r>
        <w:rPr>
          <w:sz w:val="24"/>
        </w:rPr>
        <w:t xml:space="preserve">1.1.8 </w:t>
      </w:r>
      <w:r>
        <w:rPr>
          <w:rFonts w:hint="eastAsia"/>
          <w:sz w:val="24"/>
        </w:rPr>
        <w:t>招标控制价（最高投标限价）：详见本须知前附表。</w:t>
      </w:r>
    </w:p>
    <w:p>
      <w:pPr>
        <w:tabs>
          <w:tab w:val="left" w:pos="938"/>
          <w:tab w:val="left" w:pos="2456"/>
        </w:tabs>
        <w:snapToGrid w:val="0"/>
        <w:spacing w:after="84" w:afterLines="35" w:line="400" w:lineRule="exact"/>
        <w:ind w:firstLine="516" w:firstLineChars="215"/>
        <w:rPr>
          <w:sz w:val="24"/>
        </w:rPr>
      </w:pPr>
      <w:r>
        <w:rPr>
          <w:sz w:val="24"/>
        </w:rPr>
        <w:t xml:space="preserve">1.1.9 </w:t>
      </w:r>
      <w:r>
        <w:rPr>
          <w:rFonts w:hint="eastAsia"/>
          <w:sz w:val="24"/>
        </w:rPr>
        <w:t>招标方式：详见本须知前附表。</w:t>
      </w:r>
    </w:p>
    <w:p>
      <w:pPr>
        <w:tabs>
          <w:tab w:val="left" w:pos="938"/>
          <w:tab w:val="left" w:pos="2456"/>
        </w:tabs>
        <w:snapToGrid w:val="0"/>
        <w:spacing w:after="84" w:afterLines="35" w:line="400" w:lineRule="exact"/>
        <w:ind w:firstLine="516" w:firstLineChars="215"/>
        <w:rPr>
          <w:sz w:val="24"/>
        </w:rPr>
      </w:pPr>
      <w:r>
        <w:rPr>
          <w:sz w:val="24"/>
        </w:rPr>
        <w:t xml:space="preserve">1.1.10 </w:t>
      </w:r>
      <w:r>
        <w:rPr>
          <w:rFonts w:hint="eastAsia"/>
          <w:sz w:val="24"/>
        </w:rPr>
        <w:t>承包方式：详见本须知前附表。</w:t>
      </w:r>
    </w:p>
    <w:p>
      <w:pPr>
        <w:pStyle w:val="6"/>
        <w:tabs>
          <w:tab w:val="left" w:pos="926"/>
        </w:tabs>
        <w:spacing w:before="156" w:beforeLines="65" w:after="84" w:afterLines="35" w:line="440" w:lineRule="exact"/>
        <w:ind w:left="-2" w:firstLine="486" w:firstLineChars="202"/>
        <w:jc w:val="both"/>
        <w:rPr>
          <w:sz w:val="24"/>
          <w:szCs w:val="24"/>
        </w:rPr>
      </w:pPr>
      <w:r>
        <w:rPr>
          <w:sz w:val="24"/>
          <w:szCs w:val="24"/>
        </w:rPr>
        <w:t>1.2</w:t>
      </w:r>
      <w:r>
        <w:rPr>
          <w:sz w:val="24"/>
          <w:szCs w:val="24"/>
        </w:rPr>
        <w:tab/>
      </w:r>
      <w:r>
        <w:rPr>
          <w:rFonts w:hint="eastAsia"/>
          <w:sz w:val="24"/>
          <w:szCs w:val="24"/>
        </w:rPr>
        <w:t>资金来源和落实情况</w:t>
      </w:r>
    </w:p>
    <w:p>
      <w:pPr>
        <w:spacing w:after="84" w:afterLines="35" w:line="400" w:lineRule="exact"/>
        <w:ind w:firstLine="511" w:firstLineChars="213"/>
      </w:pPr>
      <w:r>
        <w:rPr>
          <w:sz w:val="24"/>
        </w:rPr>
        <w:t>1.2.1</w:t>
      </w:r>
      <w:r>
        <w:rPr>
          <w:rFonts w:hint="eastAsia"/>
          <w:sz w:val="24"/>
        </w:rPr>
        <w:t>计划投资总额：见投标人须知前附表。</w:t>
      </w:r>
    </w:p>
    <w:p>
      <w:pPr>
        <w:tabs>
          <w:tab w:val="left" w:pos="938"/>
        </w:tabs>
        <w:snapToGrid w:val="0"/>
        <w:spacing w:after="84" w:afterLines="35" w:line="400" w:lineRule="exact"/>
        <w:ind w:firstLine="516" w:firstLineChars="215"/>
        <w:rPr>
          <w:sz w:val="24"/>
        </w:rPr>
      </w:pPr>
      <w:r>
        <w:rPr>
          <w:sz w:val="24"/>
        </w:rPr>
        <w:t>1.2.2</w:t>
      </w:r>
      <w:r>
        <w:rPr>
          <w:rFonts w:hint="eastAsia"/>
          <w:sz w:val="24"/>
        </w:rPr>
        <w:t>资金来源：见投标人须知前附表。</w:t>
      </w:r>
    </w:p>
    <w:p>
      <w:pPr>
        <w:tabs>
          <w:tab w:val="left" w:pos="938"/>
        </w:tabs>
        <w:snapToGrid w:val="0"/>
        <w:spacing w:after="84" w:afterLines="35" w:line="400" w:lineRule="exact"/>
        <w:ind w:firstLine="516" w:firstLineChars="215"/>
        <w:rPr>
          <w:sz w:val="24"/>
        </w:rPr>
      </w:pPr>
      <w:r>
        <w:rPr>
          <w:sz w:val="24"/>
        </w:rPr>
        <w:t>1.2.3</w:t>
      </w:r>
      <w:r>
        <w:rPr>
          <w:rFonts w:hint="eastAsia"/>
          <w:sz w:val="24"/>
        </w:rPr>
        <w:t>出资比例：见投标人须知前附表。</w:t>
      </w:r>
    </w:p>
    <w:p>
      <w:pPr>
        <w:tabs>
          <w:tab w:val="left" w:pos="938"/>
        </w:tabs>
        <w:snapToGrid w:val="0"/>
        <w:spacing w:after="84" w:afterLines="35" w:line="400" w:lineRule="exact"/>
        <w:ind w:firstLine="516" w:firstLineChars="215"/>
        <w:rPr>
          <w:sz w:val="24"/>
        </w:rPr>
      </w:pPr>
      <w:r>
        <w:rPr>
          <w:sz w:val="24"/>
        </w:rPr>
        <w:t>1.2.4</w:t>
      </w:r>
      <w:r>
        <w:rPr>
          <w:rFonts w:hint="eastAsia"/>
          <w:sz w:val="24"/>
        </w:rPr>
        <w:t>资金落实情况：见投标人须知前附表。</w:t>
      </w:r>
    </w:p>
    <w:p>
      <w:pPr>
        <w:pStyle w:val="6"/>
        <w:tabs>
          <w:tab w:val="left" w:pos="926"/>
        </w:tabs>
        <w:spacing w:before="156" w:beforeLines="65" w:after="84" w:afterLines="35" w:line="440" w:lineRule="exact"/>
        <w:ind w:left="-2" w:firstLine="486" w:firstLineChars="202"/>
        <w:jc w:val="both"/>
        <w:rPr>
          <w:sz w:val="24"/>
          <w:szCs w:val="24"/>
        </w:rPr>
      </w:pPr>
      <w:r>
        <w:rPr>
          <w:sz w:val="24"/>
          <w:szCs w:val="24"/>
        </w:rPr>
        <w:t>1.3</w:t>
      </w:r>
      <w:r>
        <w:rPr>
          <w:sz w:val="24"/>
          <w:szCs w:val="24"/>
        </w:rPr>
        <w:tab/>
      </w:r>
      <w:r>
        <w:rPr>
          <w:rFonts w:hint="eastAsia"/>
          <w:sz w:val="24"/>
          <w:szCs w:val="24"/>
        </w:rPr>
        <w:t>招标范围、计划工期、质量要求和现场安全文明施工目标要求</w:t>
      </w:r>
    </w:p>
    <w:p>
      <w:pPr>
        <w:pStyle w:val="6"/>
        <w:tabs>
          <w:tab w:val="left" w:pos="926"/>
        </w:tabs>
        <w:spacing w:before="156" w:beforeLines="65" w:after="84" w:afterLines="35" w:line="440" w:lineRule="exact"/>
        <w:ind w:left="-2" w:firstLine="484" w:firstLineChars="202"/>
        <w:jc w:val="both"/>
        <w:rPr>
          <w:b w:val="0"/>
          <w:sz w:val="24"/>
        </w:rPr>
      </w:pPr>
      <w:r>
        <w:rPr>
          <w:b w:val="0"/>
          <w:sz w:val="24"/>
        </w:rPr>
        <w:t>1.3.1</w:t>
      </w:r>
      <w:r>
        <w:rPr>
          <w:rFonts w:hint="eastAsia"/>
          <w:b w:val="0"/>
          <w:sz w:val="24"/>
        </w:rPr>
        <w:t>招标范围：见投标人须知前附表。</w:t>
      </w:r>
    </w:p>
    <w:p>
      <w:pPr>
        <w:tabs>
          <w:tab w:val="left" w:pos="938"/>
        </w:tabs>
        <w:snapToGrid w:val="0"/>
        <w:spacing w:after="84" w:afterLines="35" w:line="400" w:lineRule="exact"/>
        <w:ind w:firstLine="516" w:firstLineChars="215"/>
        <w:rPr>
          <w:sz w:val="24"/>
        </w:rPr>
      </w:pPr>
      <w:r>
        <w:rPr>
          <w:sz w:val="24"/>
        </w:rPr>
        <w:t>1.3.2</w:t>
      </w:r>
      <w:r>
        <w:rPr>
          <w:rFonts w:hint="eastAsia"/>
          <w:sz w:val="24"/>
        </w:rPr>
        <w:t>计划工期：见投标人须知前附表。</w:t>
      </w:r>
    </w:p>
    <w:p>
      <w:pPr>
        <w:tabs>
          <w:tab w:val="left" w:pos="938"/>
        </w:tabs>
        <w:snapToGrid w:val="0"/>
        <w:spacing w:after="84" w:afterLines="35" w:line="400" w:lineRule="exact"/>
        <w:ind w:firstLine="516" w:firstLineChars="215"/>
        <w:rPr>
          <w:sz w:val="24"/>
        </w:rPr>
      </w:pPr>
      <w:r>
        <w:rPr>
          <w:sz w:val="24"/>
        </w:rPr>
        <w:t>1.3.3</w:t>
      </w:r>
      <w:r>
        <w:rPr>
          <w:rFonts w:hint="eastAsia"/>
          <w:sz w:val="24"/>
        </w:rPr>
        <w:t>质量要求和现场安全文明施工目标要求：见投标人须知前附表。</w:t>
      </w:r>
    </w:p>
    <w:p>
      <w:pPr>
        <w:pStyle w:val="6"/>
        <w:tabs>
          <w:tab w:val="left" w:pos="926"/>
        </w:tabs>
        <w:spacing w:before="156" w:beforeLines="65" w:after="84" w:afterLines="35" w:line="440" w:lineRule="exact"/>
        <w:ind w:left="-2" w:firstLine="486" w:firstLineChars="202"/>
        <w:jc w:val="both"/>
        <w:rPr>
          <w:sz w:val="24"/>
          <w:szCs w:val="24"/>
        </w:rPr>
      </w:pPr>
      <w:r>
        <w:rPr>
          <w:sz w:val="24"/>
          <w:szCs w:val="24"/>
        </w:rPr>
        <w:t>1.4</w:t>
      </w:r>
      <w:r>
        <w:rPr>
          <w:sz w:val="24"/>
          <w:szCs w:val="24"/>
        </w:rPr>
        <w:tab/>
      </w:r>
      <w:r>
        <w:rPr>
          <w:rFonts w:hint="eastAsia"/>
          <w:sz w:val="24"/>
          <w:szCs w:val="24"/>
        </w:rPr>
        <w:t>投标人资格要求</w:t>
      </w:r>
    </w:p>
    <w:p>
      <w:pPr>
        <w:tabs>
          <w:tab w:val="left" w:pos="938"/>
        </w:tabs>
        <w:snapToGrid w:val="0"/>
        <w:spacing w:after="84" w:afterLines="35" w:line="400" w:lineRule="exact"/>
        <w:ind w:firstLine="516" w:firstLineChars="215"/>
        <w:rPr>
          <w:sz w:val="24"/>
        </w:rPr>
      </w:pPr>
      <w:r>
        <w:rPr>
          <w:sz w:val="24"/>
        </w:rPr>
        <w:t>1.4.1</w:t>
      </w:r>
      <w:r>
        <w:rPr>
          <w:rFonts w:hint="eastAsia"/>
          <w:sz w:val="24"/>
        </w:rPr>
        <w:t>投标人资格要求见投标人须知前附表。</w:t>
      </w:r>
    </w:p>
    <w:bookmarkEnd w:id="77"/>
    <w:p>
      <w:pPr>
        <w:tabs>
          <w:tab w:val="left" w:pos="938"/>
        </w:tabs>
        <w:snapToGrid w:val="0"/>
        <w:spacing w:after="84" w:afterLines="35" w:line="400" w:lineRule="exact"/>
        <w:ind w:firstLine="516" w:firstLineChars="215"/>
        <w:rPr>
          <w:sz w:val="24"/>
        </w:rPr>
      </w:pPr>
      <w:bookmarkStart w:id="78" w:name="_Toc64971944"/>
      <w:r>
        <w:rPr>
          <w:rFonts w:hint="eastAsia"/>
          <w:sz w:val="24"/>
        </w:rPr>
        <w:t>（</w:t>
      </w:r>
      <w:r>
        <w:rPr>
          <w:sz w:val="24"/>
        </w:rPr>
        <w:t>1</w:t>
      </w:r>
      <w:r>
        <w:rPr>
          <w:rFonts w:hint="eastAsia"/>
          <w:sz w:val="24"/>
        </w:rPr>
        <w:t>）资格条件：见投标人须知前附表；</w:t>
      </w:r>
    </w:p>
    <w:p>
      <w:pPr>
        <w:tabs>
          <w:tab w:val="left" w:pos="938"/>
        </w:tabs>
        <w:snapToGrid w:val="0"/>
        <w:spacing w:after="84" w:afterLines="35" w:line="400" w:lineRule="exact"/>
        <w:ind w:firstLine="516" w:firstLineChars="215"/>
        <w:rPr>
          <w:sz w:val="24"/>
        </w:rPr>
      </w:pPr>
      <w:r>
        <w:rPr>
          <w:rFonts w:hint="eastAsia"/>
          <w:sz w:val="24"/>
        </w:rPr>
        <w:t>（</w:t>
      </w:r>
      <w:r>
        <w:rPr>
          <w:sz w:val="24"/>
        </w:rPr>
        <w:t>2</w:t>
      </w:r>
      <w:r>
        <w:rPr>
          <w:rFonts w:hint="eastAsia"/>
          <w:sz w:val="24"/>
        </w:rPr>
        <w:t>）项目负责人要求：见投标人须知前附表；</w:t>
      </w:r>
    </w:p>
    <w:p>
      <w:pPr>
        <w:tabs>
          <w:tab w:val="left" w:pos="938"/>
        </w:tabs>
        <w:snapToGrid w:val="0"/>
        <w:spacing w:after="84" w:afterLines="35" w:line="400" w:lineRule="exact"/>
        <w:ind w:firstLine="516" w:firstLineChars="215"/>
        <w:rPr>
          <w:sz w:val="24"/>
        </w:rPr>
      </w:pPr>
      <w:r>
        <w:rPr>
          <w:rFonts w:hint="eastAsia"/>
          <w:sz w:val="24"/>
        </w:rPr>
        <w:t>（</w:t>
      </w:r>
      <w:r>
        <w:rPr>
          <w:sz w:val="24"/>
        </w:rPr>
        <w:t>3</w:t>
      </w:r>
      <w:r>
        <w:rPr>
          <w:rFonts w:hint="eastAsia"/>
          <w:sz w:val="24"/>
        </w:rPr>
        <w:t>）财务要求：见投标人须知前附表；</w:t>
      </w:r>
    </w:p>
    <w:p>
      <w:pPr>
        <w:tabs>
          <w:tab w:val="left" w:pos="938"/>
        </w:tabs>
        <w:snapToGrid w:val="0"/>
        <w:spacing w:after="84" w:afterLines="35" w:line="400" w:lineRule="exact"/>
        <w:ind w:firstLine="516" w:firstLineChars="215"/>
        <w:rPr>
          <w:sz w:val="24"/>
        </w:rPr>
      </w:pPr>
      <w:r>
        <w:rPr>
          <w:rFonts w:hint="eastAsia"/>
          <w:sz w:val="24"/>
        </w:rPr>
        <w:t>（</w:t>
      </w:r>
      <w:r>
        <w:rPr>
          <w:sz w:val="24"/>
        </w:rPr>
        <w:t>4</w:t>
      </w:r>
      <w:r>
        <w:rPr>
          <w:rFonts w:hint="eastAsia"/>
          <w:sz w:val="24"/>
        </w:rPr>
        <w:t>）业绩要求：见投标人须知前附表；</w:t>
      </w:r>
    </w:p>
    <w:p>
      <w:pPr>
        <w:tabs>
          <w:tab w:val="left" w:pos="938"/>
        </w:tabs>
        <w:snapToGrid w:val="0"/>
        <w:spacing w:after="84" w:afterLines="35" w:line="400" w:lineRule="exact"/>
        <w:ind w:firstLine="516" w:firstLineChars="215"/>
        <w:rPr>
          <w:sz w:val="24"/>
        </w:rPr>
      </w:pPr>
      <w:r>
        <w:rPr>
          <w:rFonts w:hint="eastAsia"/>
          <w:sz w:val="24"/>
        </w:rPr>
        <w:t>（</w:t>
      </w:r>
      <w:r>
        <w:rPr>
          <w:sz w:val="24"/>
        </w:rPr>
        <w:t>5</w:t>
      </w:r>
      <w:r>
        <w:rPr>
          <w:rFonts w:hint="eastAsia"/>
          <w:sz w:val="24"/>
        </w:rPr>
        <w:t>）信誉要求：见投标人须知前附表；</w:t>
      </w:r>
    </w:p>
    <w:p>
      <w:pPr>
        <w:tabs>
          <w:tab w:val="left" w:pos="938"/>
        </w:tabs>
        <w:snapToGrid w:val="0"/>
        <w:spacing w:after="84" w:afterLines="35" w:line="400" w:lineRule="exact"/>
        <w:ind w:firstLine="516" w:firstLineChars="215"/>
        <w:rPr>
          <w:sz w:val="24"/>
        </w:rPr>
      </w:pPr>
      <w:r>
        <w:rPr>
          <w:rFonts w:hint="eastAsia"/>
          <w:sz w:val="24"/>
        </w:rPr>
        <w:t>（6）中小企业政策要求：见申请人须知前附表；</w:t>
      </w:r>
    </w:p>
    <w:p>
      <w:pPr>
        <w:tabs>
          <w:tab w:val="left" w:pos="938"/>
        </w:tabs>
        <w:snapToGrid w:val="0"/>
        <w:spacing w:after="84" w:afterLines="35" w:line="400" w:lineRule="exact"/>
        <w:ind w:firstLine="516" w:firstLineChars="215"/>
        <w:rPr>
          <w:sz w:val="24"/>
        </w:rPr>
      </w:pPr>
      <w:r>
        <w:rPr>
          <w:rFonts w:hint="eastAsia"/>
          <w:sz w:val="24"/>
        </w:rPr>
        <w:t>（7）其他要求：见投标人须知前附表。</w:t>
      </w:r>
    </w:p>
    <w:p>
      <w:pPr>
        <w:tabs>
          <w:tab w:val="left" w:pos="938"/>
        </w:tabs>
        <w:snapToGrid w:val="0"/>
        <w:spacing w:after="84" w:afterLines="35" w:line="400" w:lineRule="exact"/>
        <w:ind w:firstLine="516" w:firstLineChars="215"/>
        <w:rPr>
          <w:sz w:val="24"/>
        </w:rPr>
      </w:pPr>
      <w:r>
        <w:rPr>
          <w:sz w:val="24"/>
        </w:rPr>
        <w:t xml:space="preserve">1.4.2 </w:t>
      </w:r>
      <w:r>
        <w:rPr>
          <w:rFonts w:hint="eastAsia"/>
          <w:sz w:val="24"/>
        </w:rPr>
        <w:t>投标人须知前附表规定接受联合体投标的，除应符合本章第</w:t>
      </w:r>
      <w:r>
        <w:rPr>
          <w:sz w:val="24"/>
        </w:rPr>
        <w:t xml:space="preserve"> 1.4.1 </w:t>
      </w:r>
      <w:r>
        <w:rPr>
          <w:rFonts w:hint="eastAsia"/>
          <w:sz w:val="24"/>
        </w:rPr>
        <w:t>项和投标人须知前附表的要求外，还应遵守以下规定：</w:t>
      </w:r>
    </w:p>
    <w:p>
      <w:pPr>
        <w:tabs>
          <w:tab w:val="left" w:pos="938"/>
        </w:tabs>
        <w:snapToGrid w:val="0"/>
        <w:spacing w:after="84" w:afterLines="35" w:line="400" w:lineRule="exact"/>
        <w:ind w:firstLine="516" w:firstLineChars="215"/>
        <w:rPr>
          <w:sz w:val="24"/>
        </w:rPr>
      </w:pPr>
      <w:r>
        <w:rPr>
          <w:rFonts w:hint="eastAsia"/>
          <w:sz w:val="24"/>
        </w:rPr>
        <w:t>（</w:t>
      </w:r>
      <w:r>
        <w:rPr>
          <w:sz w:val="24"/>
        </w:rPr>
        <w:t>1</w:t>
      </w:r>
      <w:r>
        <w:rPr>
          <w:rFonts w:hint="eastAsia"/>
          <w:sz w:val="24"/>
        </w:rPr>
        <w:t>）联合体各方应按招标文件提供的格式签订联合体协议书，明确联合体牵头人和各方权利义务；</w:t>
      </w:r>
    </w:p>
    <w:p>
      <w:pPr>
        <w:tabs>
          <w:tab w:val="left" w:pos="938"/>
        </w:tabs>
        <w:snapToGrid w:val="0"/>
        <w:spacing w:after="84" w:afterLines="35" w:line="400" w:lineRule="exact"/>
        <w:ind w:firstLine="516" w:firstLineChars="215"/>
        <w:rPr>
          <w:sz w:val="24"/>
        </w:rPr>
      </w:pPr>
      <w:r>
        <w:rPr>
          <w:rFonts w:hint="eastAsia"/>
          <w:sz w:val="24"/>
        </w:rPr>
        <w:t>（</w:t>
      </w:r>
      <w:r>
        <w:rPr>
          <w:sz w:val="24"/>
        </w:rPr>
        <w:t>2</w:t>
      </w:r>
      <w:r>
        <w:rPr>
          <w:rFonts w:hint="eastAsia"/>
          <w:sz w:val="24"/>
        </w:rPr>
        <w:t>）联合体各方不得再以自己名义单独或参加其他联合体在同一标段中投标。</w:t>
      </w:r>
    </w:p>
    <w:p>
      <w:pPr>
        <w:tabs>
          <w:tab w:val="left" w:pos="938"/>
        </w:tabs>
        <w:snapToGrid w:val="0"/>
        <w:spacing w:after="84" w:afterLines="35" w:line="400" w:lineRule="exact"/>
        <w:ind w:firstLine="516" w:firstLineChars="215"/>
        <w:rPr>
          <w:sz w:val="24"/>
        </w:rPr>
      </w:pPr>
      <w:r>
        <w:rPr>
          <w:sz w:val="24"/>
        </w:rPr>
        <w:t>1.4.3</w:t>
      </w:r>
      <w:r>
        <w:rPr>
          <w:rFonts w:hint="eastAsia"/>
          <w:sz w:val="24"/>
        </w:rPr>
        <w:t>投标人不得存在下列情形之一：</w:t>
      </w:r>
    </w:p>
    <w:p>
      <w:pPr>
        <w:tabs>
          <w:tab w:val="left" w:pos="938"/>
        </w:tabs>
        <w:snapToGrid w:val="0"/>
        <w:spacing w:after="84" w:afterLines="35" w:line="400" w:lineRule="exact"/>
        <w:ind w:firstLine="516" w:firstLineChars="215"/>
        <w:rPr>
          <w:sz w:val="24"/>
        </w:rPr>
      </w:pPr>
      <w:r>
        <w:rPr>
          <w:rFonts w:hint="eastAsia"/>
          <w:sz w:val="24"/>
        </w:rPr>
        <w:t>（</w:t>
      </w:r>
      <w:r>
        <w:rPr>
          <w:sz w:val="24"/>
        </w:rPr>
        <w:t>1</w:t>
      </w:r>
      <w:r>
        <w:rPr>
          <w:rFonts w:hint="eastAsia"/>
          <w:sz w:val="24"/>
        </w:rPr>
        <w:t>）为招标人不具有独立法人资格的附属机构（单位）；</w:t>
      </w:r>
    </w:p>
    <w:p>
      <w:pPr>
        <w:tabs>
          <w:tab w:val="left" w:pos="938"/>
        </w:tabs>
        <w:snapToGrid w:val="0"/>
        <w:spacing w:after="84" w:afterLines="35" w:line="400" w:lineRule="exact"/>
        <w:ind w:firstLine="516" w:firstLineChars="215"/>
        <w:rPr>
          <w:sz w:val="24"/>
        </w:rPr>
      </w:pPr>
      <w:r>
        <w:rPr>
          <w:rFonts w:hint="eastAsia"/>
          <w:sz w:val="24"/>
        </w:rPr>
        <w:t>（</w:t>
      </w:r>
      <w:r>
        <w:rPr>
          <w:sz w:val="24"/>
        </w:rPr>
        <w:t>2</w:t>
      </w:r>
      <w:r>
        <w:rPr>
          <w:rFonts w:hint="eastAsia"/>
          <w:sz w:val="24"/>
        </w:rPr>
        <w:t>）为本招标项目前期准备提供设计或咨询服务的，但设计施工总承包的除外；</w:t>
      </w:r>
    </w:p>
    <w:p>
      <w:pPr>
        <w:tabs>
          <w:tab w:val="left" w:pos="938"/>
        </w:tabs>
        <w:snapToGrid w:val="0"/>
        <w:spacing w:after="84" w:afterLines="35" w:line="400" w:lineRule="exact"/>
        <w:ind w:firstLine="516" w:firstLineChars="215"/>
        <w:rPr>
          <w:sz w:val="24"/>
        </w:rPr>
      </w:pPr>
      <w:r>
        <w:rPr>
          <w:rFonts w:hint="eastAsia"/>
          <w:sz w:val="24"/>
        </w:rPr>
        <w:t>（</w:t>
      </w:r>
      <w:r>
        <w:rPr>
          <w:sz w:val="24"/>
        </w:rPr>
        <w:t>3</w:t>
      </w:r>
      <w:r>
        <w:rPr>
          <w:rFonts w:hint="eastAsia"/>
          <w:sz w:val="24"/>
        </w:rPr>
        <w:t>）为本招标项目的监理人；</w:t>
      </w:r>
    </w:p>
    <w:p>
      <w:pPr>
        <w:tabs>
          <w:tab w:val="left" w:pos="938"/>
        </w:tabs>
        <w:snapToGrid w:val="0"/>
        <w:spacing w:after="84" w:afterLines="35" w:line="400" w:lineRule="exact"/>
        <w:ind w:firstLine="516" w:firstLineChars="215"/>
        <w:rPr>
          <w:sz w:val="24"/>
        </w:rPr>
      </w:pPr>
      <w:r>
        <w:rPr>
          <w:rFonts w:hint="eastAsia"/>
          <w:sz w:val="24"/>
        </w:rPr>
        <w:t>（</w:t>
      </w:r>
      <w:r>
        <w:rPr>
          <w:sz w:val="24"/>
        </w:rPr>
        <w:t>4</w:t>
      </w:r>
      <w:r>
        <w:rPr>
          <w:rFonts w:hint="eastAsia"/>
          <w:sz w:val="24"/>
        </w:rPr>
        <w:t>）为本招标项目的代建人；</w:t>
      </w:r>
    </w:p>
    <w:p>
      <w:pPr>
        <w:tabs>
          <w:tab w:val="left" w:pos="938"/>
        </w:tabs>
        <w:snapToGrid w:val="0"/>
        <w:spacing w:after="84" w:afterLines="35" w:line="400" w:lineRule="exact"/>
        <w:ind w:firstLine="516" w:firstLineChars="215"/>
        <w:rPr>
          <w:sz w:val="24"/>
        </w:rPr>
      </w:pPr>
      <w:r>
        <w:rPr>
          <w:rFonts w:hint="eastAsia"/>
          <w:sz w:val="24"/>
        </w:rPr>
        <w:t>（</w:t>
      </w:r>
      <w:r>
        <w:rPr>
          <w:sz w:val="24"/>
        </w:rPr>
        <w:t>5</w:t>
      </w:r>
      <w:r>
        <w:rPr>
          <w:rFonts w:hint="eastAsia"/>
          <w:sz w:val="24"/>
        </w:rPr>
        <w:t>）为本招标项目提供招标代理服务的招标代理机构；</w:t>
      </w:r>
    </w:p>
    <w:p>
      <w:pPr>
        <w:tabs>
          <w:tab w:val="left" w:pos="938"/>
        </w:tabs>
        <w:snapToGrid w:val="0"/>
        <w:spacing w:after="84" w:afterLines="35" w:line="400" w:lineRule="exact"/>
        <w:ind w:firstLine="516" w:firstLineChars="215"/>
        <w:rPr>
          <w:sz w:val="24"/>
        </w:rPr>
      </w:pPr>
      <w:r>
        <w:rPr>
          <w:rFonts w:hint="eastAsia"/>
          <w:sz w:val="24"/>
        </w:rPr>
        <w:t>（</w:t>
      </w:r>
      <w:r>
        <w:rPr>
          <w:sz w:val="24"/>
        </w:rPr>
        <w:t>6</w:t>
      </w:r>
      <w:r>
        <w:rPr>
          <w:rFonts w:hint="eastAsia"/>
          <w:sz w:val="24"/>
        </w:rPr>
        <w:t>）与本招标项目的项目管理单位、监理人、代建人、招标代理机构同为一个法定代表人或相互控股或参股或相互任职的；</w:t>
      </w:r>
    </w:p>
    <w:p>
      <w:pPr>
        <w:tabs>
          <w:tab w:val="left" w:pos="938"/>
        </w:tabs>
        <w:snapToGrid w:val="0"/>
        <w:spacing w:after="84" w:afterLines="35" w:line="400" w:lineRule="exact"/>
        <w:ind w:firstLine="516" w:firstLineChars="215"/>
        <w:rPr>
          <w:sz w:val="24"/>
        </w:rPr>
      </w:pPr>
      <w:r>
        <w:rPr>
          <w:rFonts w:hint="eastAsia"/>
          <w:sz w:val="24"/>
        </w:rPr>
        <w:t>（7）被责令停业的；</w:t>
      </w:r>
    </w:p>
    <w:p>
      <w:pPr>
        <w:tabs>
          <w:tab w:val="left" w:pos="938"/>
        </w:tabs>
        <w:snapToGrid w:val="0"/>
        <w:spacing w:after="84" w:afterLines="35" w:line="400" w:lineRule="exact"/>
        <w:ind w:firstLine="516" w:firstLineChars="215"/>
        <w:rPr>
          <w:sz w:val="24"/>
        </w:rPr>
      </w:pPr>
      <w:r>
        <w:rPr>
          <w:rFonts w:hint="eastAsia"/>
          <w:sz w:val="24"/>
        </w:rPr>
        <w:t>（8）被暂停或取消投标资格的；</w:t>
      </w:r>
    </w:p>
    <w:p>
      <w:pPr>
        <w:tabs>
          <w:tab w:val="left" w:pos="938"/>
        </w:tabs>
        <w:snapToGrid w:val="0"/>
        <w:spacing w:after="84" w:afterLines="35" w:line="400" w:lineRule="exact"/>
        <w:ind w:firstLine="516" w:firstLineChars="215"/>
        <w:rPr>
          <w:sz w:val="24"/>
        </w:rPr>
      </w:pPr>
      <w:r>
        <w:rPr>
          <w:rFonts w:hint="eastAsia"/>
          <w:sz w:val="24"/>
        </w:rPr>
        <w:t>（9）财产被接管或冻结的；</w:t>
      </w:r>
    </w:p>
    <w:p>
      <w:pPr>
        <w:tabs>
          <w:tab w:val="left" w:pos="938"/>
        </w:tabs>
        <w:snapToGrid w:val="0"/>
        <w:spacing w:after="84" w:afterLines="35" w:line="400" w:lineRule="exact"/>
        <w:ind w:firstLine="516" w:firstLineChars="215"/>
        <w:rPr>
          <w:sz w:val="24"/>
        </w:rPr>
      </w:pPr>
      <w:r>
        <w:rPr>
          <w:rFonts w:hint="eastAsia"/>
          <w:sz w:val="24"/>
        </w:rPr>
        <w:t>（</w:t>
      </w:r>
      <w:r>
        <w:rPr>
          <w:sz w:val="24"/>
        </w:rPr>
        <w:t>1</w:t>
      </w:r>
      <w:r>
        <w:rPr>
          <w:rFonts w:hint="eastAsia"/>
          <w:sz w:val="24"/>
        </w:rPr>
        <w:t>0）在最近三年内有骗取中标或严重违约或重大工程质量问题的。</w:t>
      </w:r>
    </w:p>
    <w:p>
      <w:pPr>
        <w:pStyle w:val="6"/>
        <w:tabs>
          <w:tab w:val="left" w:pos="926"/>
        </w:tabs>
        <w:spacing w:before="156" w:beforeLines="65" w:after="84" w:afterLines="35" w:line="440" w:lineRule="exact"/>
        <w:ind w:left="-2" w:firstLine="486" w:firstLineChars="202"/>
        <w:jc w:val="both"/>
        <w:rPr>
          <w:sz w:val="24"/>
          <w:szCs w:val="24"/>
        </w:rPr>
      </w:pPr>
      <w:r>
        <w:rPr>
          <w:sz w:val="24"/>
          <w:szCs w:val="24"/>
        </w:rPr>
        <w:t>1.5</w:t>
      </w:r>
      <w:r>
        <w:rPr>
          <w:sz w:val="24"/>
          <w:szCs w:val="24"/>
        </w:rPr>
        <w:tab/>
      </w:r>
      <w:r>
        <w:rPr>
          <w:rFonts w:hint="eastAsia"/>
          <w:sz w:val="24"/>
          <w:szCs w:val="24"/>
        </w:rPr>
        <w:t>费用承担</w:t>
      </w:r>
    </w:p>
    <w:p>
      <w:pPr>
        <w:tabs>
          <w:tab w:val="left" w:pos="938"/>
        </w:tabs>
        <w:snapToGrid w:val="0"/>
        <w:spacing w:after="84" w:afterLines="35" w:line="400" w:lineRule="exact"/>
        <w:ind w:firstLine="516" w:firstLineChars="215"/>
        <w:rPr>
          <w:sz w:val="24"/>
        </w:rPr>
      </w:pPr>
      <w:r>
        <w:rPr>
          <w:rFonts w:hint="eastAsia"/>
          <w:sz w:val="24"/>
        </w:rPr>
        <w:t>投标人准备和参加投标活动发生的费用自理。</w:t>
      </w:r>
    </w:p>
    <w:p>
      <w:pPr>
        <w:pStyle w:val="6"/>
        <w:tabs>
          <w:tab w:val="left" w:pos="926"/>
        </w:tabs>
        <w:spacing w:before="156" w:beforeLines="65" w:after="84" w:afterLines="35" w:line="440" w:lineRule="exact"/>
        <w:ind w:left="-2" w:firstLine="486" w:firstLineChars="202"/>
        <w:jc w:val="both"/>
        <w:rPr>
          <w:sz w:val="24"/>
          <w:szCs w:val="24"/>
        </w:rPr>
      </w:pPr>
      <w:r>
        <w:rPr>
          <w:sz w:val="24"/>
          <w:szCs w:val="24"/>
        </w:rPr>
        <w:t>1.6</w:t>
      </w:r>
      <w:r>
        <w:rPr>
          <w:sz w:val="24"/>
          <w:szCs w:val="24"/>
        </w:rPr>
        <w:tab/>
      </w:r>
      <w:r>
        <w:rPr>
          <w:rFonts w:hint="eastAsia"/>
          <w:sz w:val="24"/>
          <w:szCs w:val="24"/>
        </w:rPr>
        <w:t>保密</w:t>
      </w:r>
    </w:p>
    <w:p>
      <w:pPr>
        <w:tabs>
          <w:tab w:val="left" w:pos="938"/>
        </w:tabs>
        <w:snapToGrid w:val="0"/>
        <w:spacing w:after="84" w:afterLines="35" w:line="400" w:lineRule="exact"/>
        <w:ind w:firstLine="516" w:firstLineChars="215"/>
        <w:rPr>
          <w:sz w:val="24"/>
        </w:rPr>
      </w:pPr>
      <w:r>
        <w:rPr>
          <w:rFonts w:hint="eastAsia"/>
          <w:sz w:val="24"/>
        </w:rPr>
        <w:t>参与招标投标活动的各方应对招标文件和投标文件中的商业和技术等秘密保密，违者应对由此造成的后果承担法律责任。</w:t>
      </w:r>
    </w:p>
    <w:p>
      <w:pPr>
        <w:pStyle w:val="6"/>
        <w:tabs>
          <w:tab w:val="left" w:pos="926"/>
        </w:tabs>
        <w:spacing w:before="156" w:beforeLines="65" w:after="84" w:afterLines="35" w:line="440" w:lineRule="exact"/>
        <w:ind w:left="-2" w:firstLine="486" w:firstLineChars="202"/>
        <w:jc w:val="both"/>
        <w:rPr>
          <w:sz w:val="24"/>
          <w:szCs w:val="24"/>
        </w:rPr>
      </w:pPr>
      <w:r>
        <w:rPr>
          <w:sz w:val="24"/>
          <w:szCs w:val="24"/>
        </w:rPr>
        <w:t>1.7</w:t>
      </w:r>
      <w:r>
        <w:rPr>
          <w:sz w:val="24"/>
          <w:szCs w:val="24"/>
        </w:rPr>
        <w:tab/>
      </w:r>
      <w:r>
        <w:rPr>
          <w:rFonts w:hint="eastAsia"/>
          <w:sz w:val="24"/>
          <w:szCs w:val="24"/>
        </w:rPr>
        <w:t>语言文字</w:t>
      </w:r>
    </w:p>
    <w:p>
      <w:pPr>
        <w:tabs>
          <w:tab w:val="left" w:pos="938"/>
        </w:tabs>
        <w:snapToGrid w:val="0"/>
        <w:spacing w:after="84" w:afterLines="35" w:line="400" w:lineRule="exact"/>
        <w:ind w:firstLine="516" w:firstLineChars="215"/>
        <w:rPr>
          <w:sz w:val="24"/>
        </w:rPr>
      </w:pPr>
      <w:r>
        <w:rPr>
          <w:rFonts w:hint="eastAsia"/>
          <w:sz w:val="24"/>
        </w:rPr>
        <w:t>除专用术语外，与招标投标有关的语言均使用中文。必要时专用术语应附有中文注释。</w:t>
      </w:r>
    </w:p>
    <w:p>
      <w:pPr>
        <w:pStyle w:val="6"/>
        <w:tabs>
          <w:tab w:val="left" w:pos="926"/>
        </w:tabs>
        <w:spacing w:before="156" w:beforeLines="65" w:after="84" w:afterLines="35" w:line="440" w:lineRule="exact"/>
        <w:ind w:left="-2" w:firstLine="486" w:firstLineChars="202"/>
        <w:jc w:val="both"/>
        <w:rPr>
          <w:sz w:val="24"/>
          <w:szCs w:val="24"/>
        </w:rPr>
      </w:pPr>
      <w:r>
        <w:rPr>
          <w:sz w:val="24"/>
          <w:szCs w:val="24"/>
        </w:rPr>
        <w:t>1.8</w:t>
      </w:r>
      <w:r>
        <w:rPr>
          <w:sz w:val="24"/>
          <w:szCs w:val="24"/>
        </w:rPr>
        <w:tab/>
      </w:r>
      <w:r>
        <w:rPr>
          <w:rFonts w:hint="eastAsia"/>
          <w:sz w:val="24"/>
          <w:szCs w:val="24"/>
        </w:rPr>
        <w:t>计量单位</w:t>
      </w:r>
    </w:p>
    <w:p>
      <w:pPr>
        <w:tabs>
          <w:tab w:val="left" w:pos="938"/>
        </w:tabs>
        <w:snapToGrid w:val="0"/>
        <w:spacing w:line="440" w:lineRule="exact"/>
        <w:ind w:firstLine="516" w:firstLineChars="215"/>
        <w:rPr>
          <w:sz w:val="24"/>
        </w:rPr>
      </w:pPr>
      <w:r>
        <w:rPr>
          <w:rFonts w:hint="eastAsia"/>
          <w:sz w:val="24"/>
        </w:rPr>
        <w:t>所有计量均采用中华人民共和国法定计量单位。</w:t>
      </w:r>
    </w:p>
    <w:p>
      <w:pPr>
        <w:pStyle w:val="6"/>
        <w:tabs>
          <w:tab w:val="left" w:pos="926"/>
        </w:tabs>
        <w:spacing w:before="156" w:beforeLines="65" w:after="84" w:afterLines="35" w:line="440" w:lineRule="exact"/>
        <w:ind w:left="-2" w:firstLine="486" w:firstLineChars="202"/>
        <w:jc w:val="both"/>
        <w:rPr>
          <w:sz w:val="24"/>
          <w:szCs w:val="24"/>
        </w:rPr>
      </w:pPr>
      <w:r>
        <w:rPr>
          <w:sz w:val="24"/>
          <w:szCs w:val="24"/>
        </w:rPr>
        <w:t>1.9</w:t>
      </w:r>
      <w:r>
        <w:rPr>
          <w:sz w:val="24"/>
          <w:szCs w:val="24"/>
        </w:rPr>
        <w:tab/>
      </w:r>
      <w:r>
        <w:rPr>
          <w:rFonts w:hint="eastAsia"/>
          <w:sz w:val="24"/>
          <w:szCs w:val="24"/>
        </w:rPr>
        <w:t>踏勘现场</w:t>
      </w:r>
    </w:p>
    <w:p>
      <w:pPr>
        <w:tabs>
          <w:tab w:val="left" w:pos="938"/>
        </w:tabs>
        <w:snapToGrid w:val="0"/>
        <w:spacing w:line="440" w:lineRule="exact"/>
        <w:ind w:firstLine="516" w:firstLineChars="215"/>
        <w:rPr>
          <w:sz w:val="24"/>
        </w:rPr>
      </w:pPr>
      <w:r>
        <w:rPr>
          <w:sz w:val="24"/>
        </w:rPr>
        <w:t xml:space="preserve">1.9.1 </w:t>
      </w:r>
      <w:r>
        <w:rPr>
          <w:rFonts w:hint="eastAsia"/>
          <w:sz w:val="24"/>
        </w:rPr>
        <w:t>投标人须知前附表规定组织踏勘现场的，招标人按投标人须知前附表规定的时间、地点组织投标人踏勘工程现场。</w:t>
      </w:r>
    </w:p>
    <w:p>
      <w:pPr>
        <w:tabs>
          <w:tab w:val="left" w:pos="938"/>
        </w:tabs>
        <w:snapToGrid w:val="0"/>
        <w:spacing w:line="440" w:lineRule="exact"/>
        <w:ind w:firstLine="516" w:firstLineChars="215"/>
        <w:rPr>
          <w:sz w:val="24"/>
        </w:rPr>
      </w:pPr>
      <w:r>
        <w:rPr>
          <w:sz w:val="24"/>
        </w:rPr>
        <w:t xml:space="preserve">1.9.2 </w:t>
      </w:r>
      <w:r>
        <w:rPr>
          <w:rFonts w:hint="eastAsia"/>
          <w:sz w:val="24"/>
        </w:rPr>
        <w:t>投标人踏勘现场发生的费用自理。</w:t>
      </w:r>
    </w:p>
    <w:p>
      <w:pPr>
        <w:tabs>
          <w:tab w:val="left" w:pos="938"/>
        </w:tabs>
        <w:snapToGrid w:val="0"/>
        <w:spacing w:line="440" w:lineRule="exact"/>
        <w:ind w:firstLine="516" w:firstLineChars="215"/>
        <w:rPr>
          <w:sz w:val="24"/>
        </w:rPr>
      </w:pPr>
      <w:r>
        <w:rPr>
          <w:sz w:val="24"/>
        </w:rPr>
        <w:t xml:space="preserve">1.9.3 </w:t>
      </w:r>
      <w:r>
        <w:rPr>
          <w:rFonts w:hint="eastAsia"/>
          <w:sz w:val="24"/>
        </w:rPr>
        <w:t>除招标人的原因外，投标人自行负责在踏勘现场中所发生的人员伤亡和财产损失。</w:t>
      </w:r>
    </w:p>
    <w:p>
      <w:pPr>
        <w:tabs>
          <w:tab w:val="left" w:pos="938"/>
        </w:tabs>
        <w:snapToGrid w:val="0"/>
        <w:spacing w:line="440" w:lineRule="exact"/>
        <w:ind w:firstLine="516" w:firstLineChars="215"/>
        <w:rPr>
          <w:sz w:val="24"/>
        </w:rPr>
      </w:pPr>
      <w:r>
        <w:rPr>
          <w:sz w:val="24"/>
        </w:rPr>
        <w:t xml:space="preserve">1.9.4 </w:t>
      </w:r>
      <w:r>
        <w:rPr>
          <w:rFonts w:hint="eastAsia"/>
          <w:sz w:val="24"/>
        </w:rPr>
        <w:t>投标人应对本工程场地和周围环境进行考察，如现场地表的形态、气候条件、土壤情况、现场的水源和电源、取土和弃土场地、进入现场的交通和道路条件、工人生活基地的安排以及临时工程用地条件等，以获取有关准备投标文件和签署合同所需要的资料和信息。招标人在踏勘现场中介绍的工程场地和相关的周边环境情况，供投标人在编制投标文件时参考，招标人不对投标人据此作出的判断和决策负责。</w:t>
      </w:r>
    </w:p>
    <w:p>
      <w:pPr>
        <w:pStyle w:val="6"/>
        <w:tabs>
          <w:tab w:val="left" w:pos="926"/>
        </w:tabs>
        <w:spacing w:before="156" w:beforeLines="65" w:after="84" w:afterLines="35" w:line="440" w:lineRule="exact"/>
        <w:ind w:left="-2" w:firstLine="486" w:firstLineChars="202"/>
        <w:jc w:val="both"/>
        <w:rPr>
          <w:sz w:val="24"/>
          <w:szCs w:val="24"/>
        </w:rPr>
      </w:pPr>
      <w:r>
        <w:rPr>
          <w:sz w:val="24"/>
          <w:szCs w:val="24"/>
        </w:rPr>
        <w:t xml:space="preserve">1.10 </w:t>
      </w:r>
      <w:r>
        <w:rPr>
          <w:rFonts w:hint="eastAsia"/>
          <w:sz w:val="24"/>
          <w:szCs w:val="24"/>
        </w:rPr>
        <w:t>投标预备会</w:t>
      </w:r>
    </w:p>
    <w:p>
      <w:pPr>
        <w:tabs>
          <w:tab w:val="left" w:pos="938"/>
        </w:tabs>
        <w:snapToGrid w:val="0"/>
        <w:spacing w:line="440" w:lineRule="exact"/>
        <w:ind w:firstLine="516" w:firstLineChars="215"/>
        <w:rPr>
          <w:sz w:val="24"/>
        </w:rPr>
      </w:pPr>
      <w:r>
        <w:rPr>
          <w:sz w:val="24"/>
        </w:rPr>
        <w:t xml:space="preserve">1.10.1 </w:t>
      </w:r>
      <w:r>
        <w:rPr>
          <w:rFonts w:hint="eastAsia"/>
          <w:sz w:val="24"/>
        </w:rPr>
        <w:t>投标人须知前附表规定召开投标预备会的，招标人按投标人须知前附表规定的时间和地点召开投标预备会，澄清投标人提出的问题。</w:t>
      </w:r>
    </w:p>
    <w:p>
      <w:pPr>
        <w:snapToGrid w:val="0"/>
        <w:spacing w:line="440" w:lineRule="exact"/>
        <w:ind w:firstLine="537" w:firstLineChars="224"/>
        <w:rPr>
          <w:sz w:val="24"/>
        </w:rPr>
      </w:pPr>
      <w:r>
        <w:rPr>
          <w:sz w:val="24"/>
        </w:rPr>
        <w:t xml:space="preserve">1.10.2 </w:t>
      </w:r>
      <w:r>
        <w:rPr>
          <w:rFonts w:hint="eastAsia"/>
          <w:sz w:val="24"/>
        </w:rPr>
        <w:t>投标人应在投标人须知前附表规定的时间前，通过电子化平台将提出的问题送达招标人，以便招标人在会议期间澄清。</w:t>
      </w:r>
    </w:p>
    <w:p>
      <w:pPr>
        <w:tabs>
          <w:tab w:val="left" w:pos="938"/>
        </w:tabs>
        <w:snapToGrid w:val="0"/>
        <w:spacing w:line="440" w:lineRule="exact"/>
        <w:ind w:firstLine="516" w:firstLineChars="215"/>
        <w:rPr>
          <w:sz w:val="24"/>
        </w:rPr>
      </w:pPr>
      <w:r>
        <w:rPr>
          <w:sz w:val="24"/>
        </w:rPr>
        <w:t xml:space="preserve">1.10.3 </w:t>
      </w:r>
      <w:r>
        <w:rPr>
          <w:rFonts w:hint="eastAsia"/>
          <w:sz w:val="24"/>
        </w:rPr>
        <w:t>投标预备会后，招标人在投标人须知前附表规定的时间内，将对投标人所提问题的澄清，通过电子化平台通知所有获取招标文件的投标人。该澄清内容为招标文件的组成部分。</w:t>
      </w:r>
    </w:p>
    <w:bookmarkEnd w:id="78"/>
    <w:p>
      <w:pPr>
        <w:pStyle w:val="6"/>
        <w:tabs>
          <w:tab w:val="left" w:pos="926"/>
        </w:tabs>
        <w:spacing w:before="156" w:beforeLines="65" w:after="84" w:afterLines="35" w:line="440" w:lineRule="exact"/>
        <w:ind w:left="-2" w:firstLine="486" w:firstLineChars="202"/>
        <w:jc w:val="both"/>
        <w:rPr>
          <w:sz w:val="24"/>
          <w:szCs w:val="24"/>
        </w:rPr>
      </w:pPr>
      <w:r>
        <w:rPr>
          <w:sz w:val="24"/>
          <w:szCs w:val="24"/>
        </w:rPr>
        <w:t xml:space="preserve">1.11 </w:t>
      </w:r>
      <w:r>
        <w:rPr>
          <w:rFonts w:hint="eastAsia"/>
          <w:sz w:val="24"/>
          <w:szCs w:val="24"/>
        </w:rPr>
        <w:t>分包</w:t>
      </w:r>
    </w:p>
    <w:p>
      <w:pPr>
        <w:tabs>
          <w:tab w:val="left" w:pos="938"/>
        </w:tabs>
        <w:snapToGrid w:val="0"/>
        <w:spacing w:line="440" w:lineRule="exact"/>
        <w:ind w:firstLine="516" w:firstLineChars="215"/>
        <w:rPr>
          <w:sz w:val="24"/>
        </w:rPr>
      </w:pPr>
      <w:r>
        <w:rPr>
          <w:rFonts w:hint="eastAsia"/>
          <w:sz w:val="24"/>
        </w:rPr>
        <w:t>投标人拟在中标后将中标工程的部分非主体、非关键性工作进行分包的，应符合投标人须知前附表规定的分包内容、分包金额和接受分包的第三人资质要求等限制性条件。</w:t>
      </w:r>
    </w:p>
    <w:p>
      <w:pPr>
        <w:pStyle w:val="6"/>
        <w:tabs>
          <w:tab w:val="left" w:pos="926"/>
        </w:tabs>
        <w:spacing w:before="156" w:beforeLines="65" w:after="84" w:afterLines="35" w:line="440" w:lineRule="exact"/>
        <w:ind w:left="-2" w:firstLine="486" w:firstLineChars="202"/>
        <w:jc w:val="both"/>
        <w:rPr>
          <w:sz w:val="24"/>
          <w:szCs w:val="24"/>
        </w:rPr>
      </w:pPr>
      <w:r>
        <w:rPr>
          <w:sz w:val="24"/>
          <w:szCs w:val="24"/>
        </w:rPr>
        <w:t xml:space="preserve">1.12 </w:t>
      </w:r>
      <w:r>
        <w:rPr>
          <w:rFonts w:hint="eastAsia"/>
          <w:sz w:val="24"/>
          <w:szCs w:val="24"/>
        </w:rPr>
        <w:t>偏离</w:t>
      </w:r>
    </w:p>
    <w:p>
      <w:pPr>
        <w:tabs>
          <w:tab w:val="left" w:pos="938"/>
        </w:tabs>
        <w:snapToGrid w:val="0"/>
        <w:spacing w:line="440" w:lineRule="exact"/>
        <w:ind w:firstLine="516" w:firstLineChars="215"/>
        <w:rPr>
          <w:sz w:val="24"/>
        </w:rPr>
      </w:pPr>
      <w:r>
        <w:rPr>
          <w:rFonts w:hint="eastAsia"/>
          <w:sz w:val="24"/>
        </w:rPr>
        <w:t>投标人须知前附表允许投标文件偏离招标文件某些要求的，偏离应当符合招标文件规定的偏离范围和幅度。</w:t>
      </w:r>
    </w:p>
    <w:p>
      <w:pPr>
        <w:pStyle w:val="6"/>
        <w:tabs>
          <w:tab w:val="left" w:pos="926"/>
        </w:tabs>
        <w:spacing w:before="156" w:beforeLines="65" w:after="84" w:afterLines="35" w:line="440" w:lineRule="exact"/>
        <w:ind w:firstLine="500" w:firstLineChars="178"/>
        <w:jc w:val="both"/>
      </w:pPr>
      <w:r>
        <w:t>2.</w:t>
      </w:r>
      <w:r>
        <w:tab/>
      </w:r>
      <w:r>
        <w:rPr>
          <w:rFonts w:hint="eastAsia"/>
        </w:rPr>
        <w:t>招标文件</w:t>
      </w:r>
    </w:p>
    <w:p>
      <w:pPr>
        <w:pStyle w:val="6"/>
        <w:tabs>
          <w:tab w:val="left" w:pos="926"/>
        </w:tabs>
        <w:spacing w:before="156" w:beforeLines="65" w:after="84" w:afterLines="35" w:line="440" w:lineRule="exact"/>
        <w:ind w:left="-2" w:firstLine="486" w:firstLineChars="202"/>
        <w:jc w:val="both"/>
        <w:rPr>
          <w:sz w:val="24"/>
          <w:szCs w:val="24"/>
        </w:rPr>
      </w:pPr>
      <w:r>
        <w:rPr>
          <w:sz w:val="24"/>
          <w:szCs w:val="24"/>
        </w:rPr>
        <w:t>2.1</w:t>
      </w:r>
      <w:r>
        <w:rPr>
          <w:sz w:val="24"/>
          <w:szCs w:val="24"/>
        </w:rPr>
        <w:tab/>
      </w:r>
      <w:r>
        <w:rPr>
          <w:rFonts w:hint="eastAsia"/>
          <w:sz w:val="24"/>
          <w:szCs w:val="24"/>
        </w:rPr>
        <w:t>招标文件的组成</w:t>
      </w:r>
    </w:p>
    <w:p>
      <w:pPr>
        <w:tabs>
          <w:tab w:val="left" w:pos="938"/>
        </w:tabs>
        <w:snapToGrid w:val="0"/>
        <w:spacing w:line="440" w:lineRule="exact"/>
        <w:ind w:firstLine="480" w:firstLineChars="200"/>
        <w:rPr>
          <w:sz w:val="24"/>
        </w:rPr>
      </w:pPr>
      <w:r>
        <w:rPr>
          <w:rFonts w:hint="eastAsia"/>
          <w:sz w:val="24"/>
        </w:rPr>
        <w:t>本招标文件包括：</w:t>
      </w:r>
    </w:p>
    <w:p>
      <w:pPr>
        <w:tabs>
          <w:tab w:val="left" w:pos="938"/>
        </w:tabs>
        <w:snapToGrid w:val="0"/>
        <w:spacing w:line="440" w:lineRule="exact"/>
        <w:ind w:firstLine="516" w:firstLineChars="215"/>
        <w:rPr>
          <w:sz w:val="24"/>
        </w:rPr>
      </w:pPr>
      <w:r>
        <w:rPr>
          <w:rFonts w:hint="eastAsia"/>
          <w:sz w:val="24"/>
        </w:rPr>
        <w:t>（</w:t>
      </w:r>
      <w:r>
        <w:rPr>
          <w:sz w:val="24"/>
        </w:rPr>
        <w:t>1</w:t>
      </w:r>
      <w:r>
        <w:rPr>
          <w:rFonts w:hint="eastAsia"/>
          <w:sz w:val="24"/>
        </w:rPr>
        <w:t>）招标公告（或投标邀请书）；</w:t>
      </w:r>
    </w:p>
    <w:p>
      <w:pPr>
        <w:tabs>
          <w:tab w:val="left" w:pos="938"/>
        </w:tabs>
        <w:snapToGrid w:val="0"/>
        <w:spacing w:line="440" w:lineRule="exact"/>
        <w:ind w:firstLine="516" w:firstLineChars="215"/>
        <w:rPr>
          <w:sz w:val="24"/>
        </w:rPr>
      </w:pPr>
      <w:r>
        <w:rPr>
          <w:rFonts w:hint="eastAsia"/>
          <w:sz w:val="24"/>
        </w:rPr>
        <w:t>（</w:t>
      </w:r>
      <w:r>
        <w:rPr>
          <w:sz w:val="24"/>
        </w:rPr>
        <w:t>2</w:t>
      </w:r>
      <w:r>
        <w:rPr>
          <w:rFonts w:hint="eastAsia"/>
          <w:sz w:val="24"/>
        </w:rPr>
        <w:t>）投标人须知；</w:t>
      </w:r>
    </w:p>
    <w:p>
      <w:pPr>
        <w:tabs>
          <w:tab w:val="left" w:pos="938"/>
        </w:tabs>
        <w:snapToGrid w:val="0"/>
        <w:spacing w:line="440" w:lineRule="exact"/>
        <w:ind w:firstLine="516" w:firstLineChars="215"/>
        <w:rPr>
          <w:sz w:val="24"/>
        </w:rPr>
      </w:pPr>
      <w:r>
        <w:rPr>
          <w:rFonts w:hint="eastAsia"/>
          <w:sz w:val="24"/>
        </w:rPr>
        <w:t>（</w:t>
      </w:r>
      <w:r>
        <w:rPr>
          <w:sz w:val="24"/>
        </w:rPr>
        <w:t>3</w:t>
      </w:r>
      <w:r>
        <w:rPr>
          <w:rFonts w:hint="eastAsia"/>
          <w:sz w:val="24"/>
        </w:rPr>
        <w:t>）评标办法；</w:t>
      </w:r>
    </w:p>
    <w:p>
      <w:pPr>
        <w:tabs>
          <w:tab w:val="left" w:pos="938"/>
        </w:tabs>
        <w:snapToGrid w:val="0"/>
        <w:spacing w:line="440" w:lineRule="exact"/>
        <w:ind w:firstLine="516" w:firstLineChars="215"/>
        <w:rPr>
          <w:sz w:val="24"/>
        </w:rPr>
      </w:pPr>
      <w:r>
        <w:rPr>
          <w:rFonts w:hint="eastAsia"/>
          <w:sz w:val="24"/>
        </w:rPr>
        <w:t>（</w:t>
      </w:r>
      <w:r>
        <w:rPr>
          <w:sz w:val="24"/>
        </w:rPr>
        <w:t>4</w:t>
      </w:r>
      <w:r>
        <w:rPr>
          <w:rFonts w:hint="eastAsia"/>
          <w:sz w:val="24"/>
        </w:rPr>
        <w:t>）合同条款及格式；</w:t>
      </w:r>
    </w:p>
    <w:p>
      <w:pPr>
        <w:tabs>
          <w:tab w:val="left" w:pos="938"/>
        </w:tabs>
        <w:snapToGrid w:val="0"/>
        <w:spacing w:line="440" w:lineRule="exact"/>
        <w:ind w:firstLine="516" w:firstLineChars="215"/>
        <w:rPr>
          <w:sz w:val="24"/>
        </w:rPr>
      </w:pPr>
      <w:r>
        <w:rPr>
          <w:rFonts w:hint="eastAsia"/>
          <w:sz w:val="24"/>
        </w:rPr>
        <w:t>（</w:t>
      </w:r>
      <w:r>
        <w:rPr>
          <w:sz w:val="24"/>
        </w:rPr>
        <w:t>5</w:t>
      </w:r>
      <w:r>
        <w:rPr>
          <w:rFonts w:hint="eastAsia"/>
          <w:sz w:val="24"/>
        </w:rPr>
        <w:t>）招标工程量清单；</w:t>
      </w:r>
    </w:p>
    <w:p>
      <w:pPr>
        <w:tabs>
          <w:tab w:val="left" w:pos="938"/>
        </w:tabs>
        <w:snapToGrid w:val="0"/>
        <w:spacing w:line="440" w:lineRule="exact"/>
        <w:ind w:firstLine="516" w:firstLineChars="215"/>
        <w:rPr>
          <w:sz w:val="24"/>
        </w:rPr>
      </w:pPr>
      <w:r>
        <w:rPr>
          <w:rFonts w:hint="eastAsia"/>
          <w:sz w:val="24"/>
        </w:rPr>
        <w:t>（</w:t>
      </w:r>
      <w:r>
        <w:rPr>
          <w:sz w:val="24"/>
        </w:rPr>
        <w:t>6</w:t>
      </w:r>
      <w:r>
        <w:rPr>
          <w:rFonts w:hint="eastAsia"/>
          <w:sz w:val="24"/>
        </w:rPr>
        <w:t>）图纸；</w:t>
      </w:r>
    </w:p>
    <w:p>
      <w:pPr>
        <w:tabs>
          <w:tab w:val="left" w:pos="938"/>
        </w:tabs>
        <w:snapToGrid w:val="0"/>
        <w:spacing w:line="440" w:lineRule="exact"/>
        <w:ind w:firstLine="516" w:firstLineChars="215"/>
        <w:rPr>
          <w:sz w:val="24"/>
        </w:rPr>
      </w:pPr>
      <w:r>
        <w:rPr>
          <w:rFonts w:hint="eastAsia"/>
          <w:sz w:val="24"/>
        </w:rPr>
        <w:t>（</w:t>
      </w:r>
      <w:r>
        <w:rPr>
          <w:sz w:val="24"/>
        </w:rPr>
        <w:t>7</w:t>
      </w:r>
      <w:r>
        <w:rPr>
          <w:rFonts w:hint="eastAsia"/>
          <w:sz w:val="24"/>
        </w:rPr>
        <w:t>）技术标准和要求；</w:t>
      </w:r>
    </w:p>
    <w:p>
      <w:pPr>
        <w:tabs>
          <w:tab w:val="left" w:pos="938"/>
        </w:tabs>
        <w:snapToGrid w:val="0"/>
        <w:spacing w:line="440" w:lineRule="exact"/>
        <w:ind w:firstLine="516" w:firstLineChars="215"/>
        <w:rPr>
          <w:sz w:val="24"/>
        </w:rPr>
      </w:pPr>
      <w:r>
        <w:rPr>
          <w:rFonts w:hint="eastAsia"/>
          <w:sz w:val="24"/>
        </w:rPr>
        <w:t>（</w:t>
      </w:r>
      <w:r>
        <w:rPr>
          <w:sz w:val="24"/>
        </w:rPr>
        <w:t>8</w:t>
      </w:r>
      <w:r>
        <w:rPr>
          <w:rFonts w:hint="eastAsia"/>
          <w:sz w:val="24"/>
        </w:rPr>
        <w:t>）投标文件格式；</w:t>
      </w:r>
    </w:p>
    <w:p>
      <w:pPr>
        <w:tabs>
          <w:tab w:val="left" w:pos="938"/>
        </w:tabs>
        <w:snapToGrid w:val="0"/>
        <w:spacing w:line="440" w:lineRule="exact"/>
        <w:ind w:firstLine="516" w:firstLineChars="215"/>
        <w:rPr>
          <w:sz w:val="24"/>
        </w:rPr>
      </w:pPr>
      <w:r>
        <w:rPr>
          <w:rFonts w:hint="eastAsia"/>
          <w:sz w:val="24"/>
        </w:rPr>
        <w:t>（</w:t>
      </w:r>
      <w:r>
        <w:rPr>
          <w:sz w:val="24"/>
        </w:rPr>
        <w:t>9</w:t>
      </w:r>
      <w:r>
        <w:rPr>
          <w:rFonts w:hint="eastAsia"/>
          <w:sz w:val="24"/>
        </w:rPr>
        <w:t>）招标控制价；</w:t>
      </w:r>
    </w:p>
    <w:p>
      <w:pPr>
        <w:tabs>
          <w:tab w:val="left" w:pos="938"/>
        </w:tabs>
        <w:snapToGrid w:val="0"/>
        <w:spacing w:line="440" w:lineRule="exact"/>
        <w:ind w:firstLine="516" w:firstLineChars="215"/>
        <w:rPr>
          <w:sz w:val="24"/>
        </w:rPr>
      </w:pPr>
      <w:r>
        <w:rPr>
          <w:rFonts w:hint="eastAsia"/>
          <w:sz w:val="24"/>
        </w:rPr>
        <w:t>（</w:t>
      </w:r>
      <w:r>
        <w:rPr>
          <w:sz w:val="24"/>
        </w:rPr>
        <w:t>10</w:t>
      </w:r>
      <w:r>
        <w:rPr>
          <w:rFonts w:hint="eastAsia"/>
          <w:sz w:val="24"/>
        </w:rPr>
        <w:t>）投标人须知前附表规定的其他材料。</w:t>
      </w:r>
    </w:p>
    <w:p>
      <w:pPr>
        <w:tabs>
          <w:tab w:val="left" w:pos="938"/>
        </w:tabs>
        <w:snapToGrid w:val="0"/>
        <w:spacing w:line="440" w:lineRule="exact"/>
        <w:ind w:firstLine="516" w:firstLineChars="215"/>
        <w:rPr>
          <w:sz w:val="24"/>
        </w:rPr>
      </w:pPr>
      <w:r>
        <w:rPr>
          <w:rFonts w:hint="eastAsia"/>
          <w:sz w:val="24"/>
        </w:rPr>
        <w:t>根据本章第</w:t>
      </w:r>
      <w:r>
        <w:rPr>
          <w:sz w:val="24"/>
        </w:rPr>
        <w:t xml:space="preserve"> </w:t>
      </w:r>
      <w:r>
        <w:rPr>
          <w:rFonts w:hint="eastAsia"/>
          <w:sz w:val="24"/>
        </w:rPr>
        <w:t>2.1</w:t>
      </w:r>
      <w:r>
        <w:rPr>
          <w:sz w:val="24"/>
        </w:rPr>
        <w:t xml:space="preserve"> </w:t>
      </w:r>
      <w:r>
        <w:rPr>
          <w:rFonts w:hint="eastAsia"/>
          <w:sz w:val="24"/>
        </w:rPr>
        <w:t>款、第</w:t>
      </w:r>
      <w:r>
        <w:rPr>
          <w:sz w:val="24"/>
        </w:rPr>
        <w:t xml:space="preserve"> 2.2 </w:t>
      </w:r>
      <w:r>
        <w:rPr>
          <w:rFonts w:hint="eastAsia"/>
          <w:sz w:val="24"/>
        </w:rPr>
        <w:t>款和第</w:t>
      </w:r>
      <w:r>
        <w:rPr>
          <w:sz w:val="24"/>
        </w:rPr>
        <w:t xml:space="preserve"> 2.3 </w:t>
      </w:r>
      <w:r>
        <w:rPr>
          <w:rFonts w:hint="eastAsia"/>
          <w:sz w:val="24"/>
        </w:rPr>
        <w:t>款对招标文件所作的澄清、修改，构成招标文件的组成部分。</w:t>
      </w:r>
    </w:p>
    <w:p>
      <w:pPr>
        <w:tabs>
          <w:tab w:val="left" w:pos="912"/>
          <w:tab w:val="left" w:pos="2456"/>
        </w:tabs>
        <w:snapToGrid w:val="0"/>
        <w:spacing w:after="84" w:afterLines="35" w:line="400" w:lineRule="exact"/>
        <w:ind w:left="-2" w:firstLine="484" w:firstLineChars="202"/>
        <w:rPr>
          <w:sz w:val="24"/>
        </w:rPr>
      </w:pPr>
      <w:r>
        <w:rPr>
          <w:rFonts w:hint="eastAsia"/>
          <w:sz w:val="24"/>
        </w:rPr>
        <w:t>招标文件所附的图纸和技术资料仅用于投标人编制投标文件之目的，未经招标人书面许可，投标人不得将上述文件用于其他目的，也不得将招标文件泄漏给任何第三方。凡获得招标文件者，无论中标与否，均应对招标文件保密，并承担因其泄密而引起的一切责任。招标人有权追究因投标人侵犯招标人的知识产权或泄密而引起的一切责任。</w:t>
      </w:r>
    </w:p>
    <w:p>
      <w:pPr>
        <w:pStyle w:val="6"/>
        <w:tabs>
          <w:tab w:val="left" w:pos="926"/>
        </w:tabs>
        <w:spacing w:before="156" w:beforeLines="65" w:after="84" w:afterLines="35" w:line="440" w:lineRule="exact"/>
        <w:ind w:left="-2" w:firstLine="486" w:firstLineChars="202"/>
        <w:jc w:val="both"/>
        <w:rPr>
          <w:sz w:val="24"/>
          <w:szCs w:val="24"/>
        </w:rPr>
      </w:pPr>
      <w:r>
        <w:rPr>
          <w:sz w:val="24"/>
          <w:szCs w:val="24"/>
        </w:rPr>
        <w:t>2.2</w:t>
      </w:r>
      <w:r>
        <w:rPr>
          <w:sz w:val="24"/>
          <w:szCs w:val="24"/>
        </w:rPr>
        <w:tab/>
      </w:r>
      <w:r>
        <w:rPr>
          <w:rFonts w:hint="eastAsia"/>
          <w:sz w:val="24"/>
          <w:szCs w:val="24"/>
        </w:rPr>
        <w:t>招标文件的澄清</w:t>
      </w:r>
    </w:p>
    <w:p>
      <w:pPr>
        <w:tabs>
          <w:tab w:val="left" w:pos="938"/>
        </w:tabs>
        <w:snapToGrid w:val="0"/>
        <w:spacing w:line="440" w:lineRule="exact"/>
        <w:ind w:firstLine="516" w:firstLineChars="215"/>
        <w:rPr>
          <w:strike/>
          <w:sz w:val="24"/>
        </w:rPr>
      </w:pPr>
      <w:r>
        <w:rPr>
          <w:sz w:val="24"/>
        </w:rPr>
        <w:t>2.2.1</w:t>
      </w:r>
      <w:r>
        <w:rPr>
          <w:sz w:val="24"/>
        </w:rPr>
        <w:tab/>
      </w:r>
      <w:r>
        <w:rPr>
          <w:rFonts w:hint="eastAsia"/>
          <w:sz w:val="24"/>
        </w:rPr>
        <w:t>投标人应仔细阅读和检查招标文件的全部内容。如发现缺页或附件不全，应及时向招标人提出，以便补齐。如有疑问，应在投标人须知前附表规定的时间前</w:t>
      </w:r>
      <w:r>
        <w:rPr>
          <w:rFonts w:hint="eastAsia" w:ascii="宋体" w:hAnsi="宋体" w:cs="Arial"/>
          <w:iCs/>
          <w:sz w:val="24"/>
          <w:szCs w:val="28"/>
        </w:rPr>
        <w:t>通过电子化平台递交，</w:t>
      </w:r>
      <w:r>
        <w:rPr>
          <w:rFonts w:hint="eastAsia"/>
          <w:sz w:val="24"/>
        </w:rPr>
        <w:t>要求招标人对招标文件予以澄清。</w:t>
      </w:r>
    </w:p>
    <w:p>
      <w:pPr>
        <w:tabs>
          <w:tab w:val="left" w:pos="938"/>
        </w:tabs>
        <w:snapToGrid w:val="0"/>
        <w:spacing w:line="440" w:lineRule="exact"/>
        <w:ind w:firstLine="516" w:firstLineChars="215"/>
        <w:rPr>
          <w:sz w:val="24"/>
        </w:rPr>
      </w:pPr>
      <w:r>
        <w:rPr>
          <w:sz w:val="24"/>
        </w:rPr>
        <w:t xml:space="preserve">2.2.2 </w:t>
      </w:r>
      <w:r>
        <w:rPr>
          <w:rFonts w:hint="eastAsia"/>
          <w:sz w:val="24"/>
        </w:rPr>
        <w:t>招标文件的澄清在投标人须知前附表规定的投标截止时间</w:t>
      </w:r>
      <w:r>
        <w:rPr>
          <w:sz w:val="24"/>
        </w:rPr>
        <w:t>15</w:t>
      </w:r>
      <w:r>
        <w:rPr>
          <w:rFonts w:hint="eastAsia"/>
          <w:sz w:val="24"/>
        </w:rPr>
        <w:t>天前</w:t>
      </w:r>
      <w:r>
        <w:rPr>
          <w:rFonts w:hint="eastAsia" w:ascii="宋体" w:hAnsi="宋体" w:cs="Arial"/>
          <w:iCs/>
          <w:sz w:val="24"/>
          <w:szCs w:val="28"/>
        </w:rPr>
        <w:t>通过电子化平台</w:t>
      </w:r>
      <w:r>
        <w:rPr>
          <w:rFonts w:hint="eastAsia"/>
          <w:sz w:val="24"/>
        </w:rPr>
        <w:t>发给所有购买招标文件的投标人，但不指明澄清问题的来源。如果澄清发出的时间距投标截止时间不足</w:t>
      </w:r>
      <w:r>
        <w:rPr>
          <w:sz w:val="24"/>
        </w:rPr>
        <w:t xml:space="preserve"> 15 </w:t>
      </w:r>
      <w:r>
        <w:rPr>
          <w:rFonts w:hint="eastAsia"/>
          <w:sz w:val="24"/>
        </w:rPr>
        <w:t>天，相应延长投标截止时间。</w:t>
      </w:r>
    </w:p>
    <w:p>
      <w:pPr>
        <w:tabs>
          <w:tab w:val="left" w:pos="938"/>
        </w:tabs>
        <w:snapToGrid w:val="0"/>
        <w:spacing w:line="440" w:lineRule="exact"/>
        <w:ind w:firstLine="516" w:firstLineChars="215"/>
        <w:rPr>
          <w:sz w:val="24"/>
        </w:rPr>
      </w:pPr>
      <w:r>
        <w:rPr>
          <w:sz w:val="24"/>
        </w:rPr>
        <w:t xml:space="preserve">2.2.3 </w:t>
      </w:r>
      <w:r>
        <w:rPr>
          <w:rFonts w:hint="eastAsia"/>
          <w:sz w:val="24"/>
        </w:rPr>
        <w:t>投标人在收到澄清后，应在投标人须知前附表规定的时间内</w:t>
      </w:r>
      <w:r>
        <w:rPr>
          <w:rFonts w:hint="eastAsia" w:ascii="宋体" w:hAnsi="宋体" w:cs="Arial"/>
          <w:iCs/>
          <w:sz w:val="24"/>
          <w:szCs w:val="28"/>
        </w:rPr>
        <w:t>通过电子化平台</w:t>
      </w:r>
      <w:r>
        <w:rPr>
          <w:rFonts w:hint="eastAsia"/>
          <w:sz w:val="24"/>
        </w:rPr>
        <w:t>通知招标人，确认已收到该澄清。</w:t>
      </w:r>
    </w:p>
    <w:p>
      <w:pPr>
        <w:tabs>
          <w:tab w:val="left" w:pos="912"/>
          <w:tab w:val="left" w:pos="2456"/>
        </w:tabs>
        <w:snapToGrid w:val="0"/>
        <w:spacing w:after="84" w:afterLines="35" w:line="400" w:lineRule="exact"/>
        <w:ind w:left="-2" w:firstLine="484" w:firstLineChars="202"/>
        <w:rPr>
          <w:sz w:val="24"/>
        </w:rPr>
      </w:pPr>
      <w:r>
        <w:rPr>
          <w:sz w:val="24"/>
        </w:rPr>
        <w:t xml:space="preserve">2.2.4 </w:t>
      </w:r>
      <w:r>
        <w:rPr>
          <w:rFonts w:hint="eastAsia"/>
          <w:sz w:val="24"/>
        </w:rPr>
        <w:t>澄清文件与原招标文件具有同等的效力，若澄清文件与原招标文件的内容不一致时，以日期在后者为准。</w:t>
      </w:r>
    </w:p>
    <w:p>
      <w:pPr>
        <w:pStyle w:val="6"/>
        <w:tabs>
          <w:tab w:val="left" w:pos="926"/>
        </w:tabs>
        <w:spacing w:before="156" w:beforeLines="65" w:after="84" w:afterLines="35" w:line="440" w:lineRule="exact"/>
        <w:ind w:left="-2" w:firstLine="486" w:firstLineChars="202"/>
        <w:jc w:val="both"/>
        <w:rPr>
          <w:sz w:val="24"/>
          <w:szCs w:val="24"/>
        </w:rPr>
      </w:pPr>
      <w:r>
        <w:rPr>
          <w:sz w:val="24"/>
          <w:szCs w:val="24"/>
        </w:rPr>
        <w:t>2.3</w:t>
      </w:r>
      <w:r>
        <w:rPr>
          <w:sz w:val="24"/>
          <w:szCs w:val="24"/>
        </w:rPr>
        <w:tab/>
      </w:r>
      <w:r>
        <w:rPr>
          <w:rFonts w:hint="eastAsia"/>
          <w:sz w:val="24"/>
          <w:szCs w:val="24"/>
        </w:rPr>
        <w:t>招标文件的修改</w:t>
      </w:r>
    </w:p>
    <w:p>
      <w:pPr>
        <w:tabs>
          <w:tab w:val="left" w:pos="912"/>
          <w:tab w:val="left" w:pos="2456"/>
        </w:tabs>
        <w:snapToGrid w:val="0"/>
        <w:spacing w:after="84" w:afterLines="35" w:line="400" w:lineRule="exact"/>
        <w:ind w:left="-2" w:firstLine="484" w:firstLineChars="202"/>
        <w:rPr>
          <w:sz w:val="24"/>
        </w:rPr>
      </w:pPr>
      <w:r>
        <w:rPr>
          <w:sz w:val="24"/>
        </w:rPr>
        <w:t>2.3.1</w:t>
      </w:r>
      <w:r>
        <w:rPr>
          <w:rFonts w:hint="eastAsia"/>
          <w:sz w:val="24"/>
        </w:rPr>
        <w:t>在投标截止时间</w:t>
      </w:r>
      <w:r>
        <w:rPr>
          <w:sz w:val="24"/>
        </w:rPr>
        <w:t xml:space="preserve"> 15 </w:t>
      </w:r>
      <w:r>
        <w:rPr>
          <w:rFonts w:hint="eastAsia"/>
          <w:sz w:val="24"/>
        </w:rPr>
        <w:t>天前，招标人可</w:t>
      </w:r>
      <w:r>
        <w:rPr>
          <w:rFonts w:hint="eastAsia" w:ascii="宋体" w:hAnsi="宋体" w:cs="Arial"/>
          <w:iCs/>
          <w:sz w:val="24"/>
          <w:szCs w:val="28"/>
        </w:rPr>
        <w:t>通过电子化平台</w:t>
      </w:r>
      <w:r>
        <w:rPr>
          <w:rFonts w:hint="eastAsia"/>
          <w:sz w:val="24"/>
        </w:rPr>
        <w:t>修改招标文件，修改的部分将</w:t>
      </w:r>
      <w:r>
        <w:rPr>
          <w:rFonts w:hint="eastAsia" w:ascii="宋体" w:hAnsi="宋体" w:cs="Arial"/>
          <w:iCs/>
          <w:sz w:val="24"/>
          <w:szCs w:val="28"/>
        </w:rPr>
        <w:t>通过电子化平台</w:t>
      </w:r>
      <w:r>
        <w:rPr>
          <w:rFonts w:hint="eastAsia"/>
          <w:sz w:val="24"/>
        </w:rPr>
        <w:t>发给所有获得招标文件的投标人。如果修改招标文件的时间距投标截止时间不足</w:t>
      </w:r>
      <w:r>
        <w:rPr>
          <w:sz w:val="24"/>
        </w:rPr>
        <w:t xml:space="preserve"> 15 </w:t>
      </w:r>
      <w:r>
        <w:rPr>
          <w:rFonts w:hint="eastAsia"/>
          <w:sz w:val="24"/>
        </w:rPr>
        <w:t>天，相应延长投标截止时间。</w:t>
      </w:r>
    </w:p>
    <w:p>
      <w:pPr>
        <w:tabs>
          <w:tab w:val="left" w:pos="912"/>
          <w:tab w:val="left" w:pos="2456"/>
        </w:tabs>
        <w:snapToGrid w:val="0"/>
        <w:spacing w:after="84" w:afterLines="35" w:line="400" w:lineRule="exact"/>
        <w:ind w:left="-2" w:firstLine="484" w:firstLineChars="202"/>
        <w:rPr>
          <w:sz w:val="24"/>
        </w:rPr>
      </w:pPr>
      <w:r>
        <w:rPr>
          <w:sz w:val="24"/>
        </w:rPr>
        <w:t xml:space="preserve">2.3.2 </w:t>
      </w:r>
      <w:r>
        <w:rPr>
          <w:rFonts w:hint="eastAsia"/>
          <w:sz w:val="24"/>
        </w:rPr>
        <w:t>投标人收到修改内容后，应在投标人须知前附表规定的时间内</w:t>
      </w:r>
      <w:r>
        <w:rPr>
          <w:rFonts w:hint="eastAsia" w:ascii="宋体" w:hAnsi="宋体" w:cs="Arial"/>
          <w:iCs/>
          <w:sz w:val="24"/>
          <w:szCs w:val="28"/>
        </w:rPr>
        <w:t>通过电子化平台</w:t>
      </w:r>
      <w:r>
        <w:rPr>
          <w:rFonts w:hint="eastAsia"/>
          <w:sz w:val="24"/>
        </w:rPr>
        <w:t>通知招标人，确认已收到该修改。</w:t>
      </w:r>
    </w:p>
    <w:p>
      <w:pPr>
        <w:tabs>
          <w:tab w:val="left" w:pos="912"/>
          <w:tab w:val="left" w:pos="2456"/>
        </w:tabs>
        <w:snapToGrid w:val="0"/>
        <w:spacing w:after="84" w:afterLines="35" w:line="400" w:lineRule="exact"/>
        <w:ind w:left="-2" w:firstLine="484" w:firstLineChars="202"/>
        <w:rPr>
          <w:sz w:val="24"/>
        </w:rPr>
      </w:pPr>
      <w:r>
        <w:rPr>
          <w:sz w:val="24"/>
        </w:rPr>
        <w:t xml:space="preserve">2.3.3 </w:t>
      </w:r>
      <w:r>
        <w:rPr>
          <w:rFonts w:hint="eastAsia"/>
          <w:sz w:val="24"/>
        </w:rPr>
        <w:t>修改文件与原招标文件具有同等的效力，若修改内容与原招标文件的内容有矛盾时，以日期在后者为准。</w:t>
      </w:r>
    </w:p>
    <w:p>
      <w:pPr>
        <w:pStyle w:val="6"/>
        <w:tabs>
          <w:tab w:val="left" w:pos="926"/>
        </w:tabs>
        <w:spacing w:before="156" w:beforeLines="65" w:after="84" w:afterLines="35" w:line="440" w:lineRule="exact"/>
        <w:ind w:firstLine="500" w:firstLineChars="178"/>
        <w:jc w:val="both"/>
      </w:pPr>
      <w:r>
        <w:t>3.</w:t>
      </w:r>
      <w:r>
        <w:tab/>
      </w:r>
      <w:r>
        <w:rPr>
          <w:rFonts w:hint="eastAsia"/>
        </w:rPr>
        <w:t>投标文件</w:t>
      </w:r>
    </w:p>
    <w:p>
      <w:pPr>
        <w:pStyle w:val="6"/>
        <w:tabs>
          <w:tab w:val="left" w:pos="926"/>
        </w:tabs>
        <w:spacing w:before="156" w:beforeLines="65" w:after="84" w:afterLines="35" w:line="440" w:lineRule="exact"/>
        <w:ind w:left="-2" w:firstLine="486" w:firstLineChars="202"/>
        <w:jc w:val="both"/>
        <w:rPr>
          <w:sz w:val="24"/>
          <w:szCs w:val="24"/>
        </w:rPr>
      </w:pPr>
      <w:r>
        <w:rPr>
          <w:sz w:val="24"/>
          <w:szCs w:val="24"/>
        </w:rPr>
        <w:t>3.1</w:t>
      </w:r>
      <w:r>
        <w:rPr>
          <w:sz w:val="24"/>
          <w:szCs w:val="24"/>
        </w:rPr>
        <w:tab/>
      </w:r>
      <w:r>
        <w:rPr>
          <w:rFonts w:hint="eastAsia"/>
          <w:sz w:val="24"/>
          <w:szCs w:val="24"/>
        </w:rPr>
        <w:t>投标文件的组成</w:t>
      </w:r>
    </w:p>
    <w:p>
      <w:pPr>
        <w:tabs>
          <w:tab w:val="left" w:pos="912"/>
          <w:tab w:val="left" w:pos="2456"/>
        </w:tabs>
        <w:snapToGrid w:val="0"/>
        <w:spacing w:after="84" w:afterLines="35" w:line="400" w:lineRule="exact"/>
        <w:ind w:left="-2" w:firstLine="484" w:firstLineChars="202"/>
        <w:rPr>
          <w:sz w:val="24"/>
        </w:rPr>
      </w:pPr>
      <w:r>
        <w:rPr>
          <w:sz w:val="24"/>
        </w:rPr>
        <w:t xml:space="preserve">3.1.1 </w:t>
      </w:r>
      <w:r>
        <w:rPr>
          <w:rFonts w:hint="eastAsia"/>
          <w:sz w:val="24"/>
        </w:rPr>
        <w:t>投标文件应包括下列内容：</w:t>
      </w:r>
    </w:p>
    <w:p>
      <w:pPr>
        <w:tabs>
          <w:tab w:val="left" w:pos="912"/>
          <w:tab w:val="left" w:pos="2456"/>
        </w:tabs>
        <w:snapToGrid w:val="0"/>
        <w:spacing w:after="84" w:afterLines="35" w:line="400" w:lineRule="exact"/>
        <w:ind w:left="-2" w:firstLine="484" w:firstLineChars="202"/>
        <w:rPr>
          <w:sz w:val="24"/>
        </w:rPr>
      </w:pPr>
      <w:r>
        <w:rPr>
          <w:rFonts w:hint="eastAsia"/>
          <w:sz w:val="24"/>
        </w:rPr>
        <w:t>（</w:t>
      </w:r>
      <w:r>
        <w:rPr>
          <w:sz w:val="24"/>
        </w:rPr>
        <w:t>1</w:t>
      </w:r>
      <w:r>
        <w:rPr>
          <w:rFonts w:hint="eastAsia"/>
          <w:sz w:val="24"/>
        </w:rPr>
        <w:t>）投标函</w:t>
      </w:r>
    </w:p>
    <w:p>
      <w:pPr>
        <w:tabs>
          <w:tab w:val="left" w:pos="912"/>
          <w:tab w:val="left" w:pos="2456"/>
        </w:tabs>
        <w:snapToGrid w:val="0"/>
        <w:spacing w:after="84" w:afterLines="35" w:line="400" w:lineRule="exact"/>
        <w:ind w:left="-2" w:firstLine="484" w:firstLineChars="202"/>
        <w:rPr>
          <w:sz w:val="24"/>
        </w:rPr>
      </w:pPr>
      <w:r>
        <w:rPr>
          <w:rFonts w:hint="eastAsia"/>
          <w:sz w:val="24"/>
        </w:rPr>
        <w:t>（2）投标函附录；</w:t>
      </w:r>
    </w:p>
    <w:p>
      <w:pPr>
        <w:tabs>
          <w:tab w:val="left" w:pos="912"/>
          <w:tab w:val="left" w:pos="2456"/>
        </w:tabs>
        <w:snapToGrid w:val="0"/>
        <w:spacing w:after="84" w:afterLines="35" w:line="400" w:lineRule="exact"/>
        <w:ind w:left="-2" w:firstLine="484" w:firstLineChars="202"/>
        <w:rPr>
          <w:sz w:val="24"/>
        </w:rPr>
      </w:pPr>
      <w:r>
        <w:rPr>
          <w:rFonts w:hint="eastAsia"/>
          <w:sz w:val="24"/>
        </w:rPr>
        <w:t>（3）法定代表人身份证明；</w:t>
      </w:r>
    </w:p>
    <w:p>
      <w:pPr>
        <w:tabs>
          <w:tab w:val="left" w:pos="912"/>
          <w:tab w:val="left" w:pos="2456"/>
        </w:tabs>
        <w:snapToGrid w:val="0"/>
        <w:spacing w:after="84" w:afterLines="35" w:line="400" w:lineRule="exact"/>
        <w:ind w:left="-2" w:firstLine="484" w:firstLineChars="202"/>
        <w:rPr>
          <w:sz w:val="24"/>
        </w:rPr>
      </w:pPr>
      <w:r>
        <w:rPr>
          <w:rFonts w:hint="eastAsia"/>
          <w:sz w:val="24"/>
        </w:rPr>
        <w:t>（4）投标文件签署授权委托书</w:t>
      </w:r>
      <w:r>
        <w:rPr>
          <w:rFonts w:hint="eastAsia" w:ascii="宋体" w:hAnsi="宋体"/>
          <w:strike/>
          <w:sz w:val="24"/>
        </w:rPr>
        <w:t>法定代表人身份证明</w:t>
      </w:r>
      <w:r>
        <w:rPr>
          <w:rFonts w:hint="eastAsia"/>
          <w:strike/>
          <w:sz w:val="24"/>
        </w:rPr>
        <w:t>的授权委托</w:t>
      </w:r>
      <w:r>
        <w:rPr>
          <w:rFonts w:hint="eastAsia"/>
          <w:sz w:val="24"/>
        </w:rPr>
        <w:t>书；</w:t>
      </w:r>
    </w:p>
    <w:p>
      <w:pPr>
        <w:tabs>
          <w:tab w:val="left" w:pos="912"/>
          <w:tab w:val="left" w:pos="2456"/>
        </w:tabs>
        <w:snapToGrid w:val="0"/>
        <w:spacing w:after="84" w:afterLines="35" w:line="400" w:lineRule="exact"/>
        <w:ind w:left="-2" w:firstLine="484" w:firstLineChars="202"/>
        <w:rPr>
          <w:sz w:val="24"/>
        </w:rPr>
      </w:pPr>
      <w:r>
        <w:rPr>
          <w:rFonts w:hint="eastAsia"/>
          <w:sz w:val="24"/>
        </w:rPr>
        <w:t>（5）联合体协议书；</w:t>
      </w:r>
    </w:p>
    <w:p>
      <w:pPr>
        <w:tabs>
          <w:tab w:val="left" w:pos="912"/>
          <w:tab w:val="left" w:pos="2456"/>
        </w:tabs>
        <w:snapToGrid w:val="0"/>
        <w:spacing w:after="84" w:afterLines="35" w:line="400" w:lineRule="exact"/>
        <w:ind w:left="-2" w:firstLine="484" w:firstLineChars="202"/>
        <w:rPr>
          <w:sz w:val="24"/>
        </w:rPr>
      </w:pPr>
      <w:r>
        <w:rPr>
          <w:rFonts w:hint="eastAsia"/>
          <w:sz w:val="24"/>
        </w:rPr>
        <w:t>（6）投标担保；</w:t>
      </w:r>
    </w:p>
    <w:p>
      <w:pPr>
        <w:tabs>
          <w:tab w:val="left" w:pos="912"/>
          <w:tab w:val="left" w:pos="2456"/>
        </w:tabs>
        <w:snapToGrid w:val="0"/>
        <w:spacing w:after="84" w:afterLines="35" w:line="400" w:lineRule="exact"/>
        <w:ind w:left="-2" w:firstLine="484" w:firstLineChars="202"/>
        <w:rPr>
          <w:sz w:val="24"/>
        </w:rPr>
      </w:pPr>
      <w:r>
        <w:rPr>
          <w:rFonts w:hint="eastAsia"/>
          <w:sz w:val="24"/>
        </w:rPr>
        <w:t>（7）资格审查资料；</w:t>
      </w:r>
    </w:p>
    <w:p>
      <w:pPr>
        <w:tabs>
          <w:tab w:val="left" w:pos="912"/>
          <w:tab w:val="left" w:pos="2456"/>
        </w:tabs>
        <w:snapToGrid w:val="0"/>
        <w:spacing w:after="84" w:afterLines="35" w:line="400" w:lineRule="exact"/>
        <w:ind w:left="-2" w:firstLine="484" w:firstLineChars="202"/>
        <w:rPr>
          <w:sz w:val="24"/>
        </w:rPr>
      </w:pPr>
      <w:r>
        <w:rPr>
          <w:rFonts w:hint="eastAsia"/>
          <w:sz w:val="24"/>
        </w:rPr>
        <w:t>（8）拟分包工程情况；</w:t>
      </w:r>
    </w:p>
    <w:p>
      <w:pPr>
        <w:tabs>
          <w:tab w:val="left" w:pos="912"/>
          <w:tab w:val="left" w:pos="2456"/>
        </w:tabs>
        <w:snapToGrid w:val="0"/>
        <w:spacing w:after="84" w:afterLines="35" w:line="400" w:lineRule="exact"/>
        <w:ind w:left="-2" w:firstLine="484" w:firstLineChars="202"/>
        <w:rPr>
          <w:sz w:val="24"/>
        </w:rPr>
      </w:pPr>
      <w:r>
        <w:rPr>
          <w:rFonts w:hint="eastAsia"/>
          <w:sz w:val="24"/>
        </w:rPr>
        <w:t>（9）声明及承诺；</w:t>
      </w:r>
    </w:p>
    <w:p>
      <w:pPr>
        <w:tabs>
          <w:tab w:val="left" w:pos="912"/>
          <w:tab w:val="left" w:pos="2456"/>
        </w:tabs>
        <w:snapToGrid w:val="0"/>
        <w:spacing w:after="84" w:afterLines="35" w:line="400" w:lineRule="exact"/>
        <w:ind w:left="-2" w:firstLine="484" w:firstLineChars="202"/>
        <w:rPr>
          <w:sz w:val="24"/>
        </w:rPr>
      </w:pPr>
      <w:r>
        <w:rPr>
          <w:rFonts w:hint="eastAsia"/>
          <w:sz w:val="24"/>
        </w:rPr>
        <w:t>（10）中小企业声明函格式（适用于政府采购工程）；</w:t>
      </w:r>
    </w:p>
    <w:p>
      <w:pPr>
        <w:tabs>
          <w:tab w:val="left" w:pos="912"/>
          <w:tab w:val="left" w:pos="2456"/>
        </w:tabs>
        <w:snapToGrid w:val="0"/>
        <w:spacing w:after="84" w:afterLines="35" w:line="400" w:lineRule="exact"/>
        <w:ind w:left="-2" w:firstLine="484" w:firstLineChars="202"/>
        <w:rPr>
          <w:sz w:val="24"/>
        </w:rPr>
      </w:pPr>
      <w:r>
        <w:rPr>
          <w:rFonts w:hint="eastAsia"/>
          <w:sz w:val="24"/>
        </w:rPr>
        <w:t>（11）拟分包情况说明（适用于政府采购工程）；</w:t>
      </w:r>
    </w:p>
    <w:p>
      <w:pPr>
        <w:tabs>
          <w:tab w:val="left" w:pos="912"/>
          <w:tab w:val="left" w:pos="2456"/>
        </w:tabs>
        <w:snapToGrid w:val="0"/>
        <w:spacing w:after="84" w:afterLines="35" w:line="400" w:lineRule="exact"/>
        <w:ind w:left="-2" w:firstLine="484" w:firstLineChars="202"/>
        <w:rPr>
          <w:sz w:val="24"/>
        </w:rPr>
      </w:pPr>
      <w:r>
        <w:rPr>
          <w:rFonts w:hint="eastAsia"/>
          <w:sz w:val="24"/>
        </w:rPr>
        <w:t>（12）其他落实政府采购政策的资格要求（如有）；</w:t>
      </w:r>
    </w:p>
    <w:p>
      <w:pPr>
        <w:tabs>
          <w:tab w:val="left" w:pos="912"/>
          <w:tab w:val="left" w:pos="2456"/>
        </w:tabs>
        <w:snapToGrid w:val="0"/>
        <w:spacing w:after="84" w:afterLines="35" w:line="400" w:lineRule="exact"/>
        <w:ind w:left="-2" w:firstLine="484" w:firstLineChars="202"/>
        <w:rPr>
          <w:sz w:val="24"/>
        </w:rPr>
      </w:pPr>
      <w:r>
        <w:rPr>
          <w:rFonts w:hint="eastAsia"/>
          <w:sz w:val="24"/>
        </w:rPr>
        <w:t>（13）联合协议（适用于政府采购工程 如有）；</w:t>
      </w:r>
    </w:p>
    <w:p>
      <w:pPr>
        <w:tabs>
          <w:tab w:val="left" w:pos="912"/>
          <w:tab w:val="left" w:pos="2456"/>
        </w:tabs>
        <w:snapToGrid w:val="0"/>
        <w:spacing w:after="84" w:afterLines="35" w:line="400" w:lineRule="exact"/>
        <w:ind w:left="-2" w:firstLine="484" w:firstLineChars="202"/>
        <w:rPr>
          <w:sz w:val="24"/>
        </w:rPr>
      </w:pPr>
      <w:r>
        <w:rPr>
          <w:rFonts w:hint="eastAsia"/>
          <w:sz w:val="24"/>
        </w:rPr>
        <w:t>（14）其他</w:t>
      </w:r>
      <w:r>
        <w:rPr>
          <w:rFonts w:hint="eastAsia"/>
          <w:strike/>
          <w:sz w:val="24"/>
        </w:rPr>
        <w:t>材料</w:t>
      </w:r>
      <w:r>
        <w:rPr>
          <w:rFonts w:hint="eastAsia"/>
          <w:sz w:val="24"/>
        </w:rPr>
        <w:t>；</w:t>
      </w:r>
    </w:p>
    <w:p>
      <w:pPr>
        <w:tabs>
          <w:tab w:val="left" w:pos="912"/>
          <w:tab w:val="left" w:pos="2456"/>
        </w:tabs>
        <w:snapToGrid w:val="0"/>
        <w:spacing w:after="84" w:afterLines="35" w:line="400" w:lineRule="exact"/>
        <w:ind w:left="-2" w:firstLine="484" w:firstLineChars="202"/>
        <w:rPr>
          <w:sz w:val="24"/>
        </w:rPr>
      </w:pPr>
      <w:r>
        <w:rPr>
          <w:rFonts w:hint="eastAsia"/>
          <w:sz w:val="24"/>
        </w:rPr>
        <w:t>（15）已标价工程量清单；</w:t>
      </w:r>
    </w:p>
    <w:p>
      <w:pPr>
        <w:tabs>
          <w:tab w:val="left" w:pos="912"/>
          <w:tab w:val="left" w:pos="2456"/>
        </w:tabs>
        <w:snapToGrid w:val="0"/>
        <w:spacing w:after="84" w:afterLines="35" w:line="400" w:lineRule="exact"/>
        <w:ind w:left="-2" w:firstLine="484" w:firstLineChars="202"/>
        <w:rPr>
          <w:sz w:val="24"/>
        </w:rPr>
      </w:pPr>
      <w:r>
        <w:rPr>
          <w:rFonts w:hint="eastAsia"/>
          <w:sz w:val="24"/>
        </w:rPr>
        <w:t>（16）施工组织设计。</w:t>
      </w:r>
    </w:p>
    <w:p>
      <w:pPr>
        <w:tabs>
          <w:tab w:val="left" w:pos="912"/>
          <w:tab w:val="left" w:pos="2456"/>
        </w:tabs>
        <w:snapToGrid w:val="0"/>
        <w:spacing w:after="84" w:afterLines="35" w:line="400" w:lineRule="exact"/>
        <w:ind w:left="-2" w:firstLine="484" w:firstLineChars="202"/>
        <w:rPr>
          <w:sz w:val="24"/>
        </w:rPr>
      </w:pPr>
      <w:r>
        <w:rPr>
          <w:sz w:val="24"/>
        </w:rPr>
        <w:t xml:space="preserve">3.1.2 </w:t>
      </w:r>
      <w:r>
        <w:rPr>
          <w:rFonts w:hint="eastAsia"/>
          <w:sz w:val="24"/>
        </w:rPr>
        <w:t>投标人须知前附表规定不接受联合体投标的，或投标人没有组成联合体的，投标文件不包括本章第</w:t>
      </w:r>
      <w:r>
        <w:rPr>
          <w:sz w:val="24"/>
        </w:rPr>
        <w:t xml:space="preserve"> 3.1.1</w:t>
      </w:r>
      <w:r>
        <w:rPr>
          <w:rFonts w:hint="eastAsia"/>
          <w:sz w:val="24"/>
        </w:rPr>
        <w:t>（4）目所指的联合体协议书。</w:t>
      </w:r>
    </w:p>
    <w:p>
      <w:pPr>
        <w:pStyle w:val="6"/>
        <w:tabs>
          <w:tab w:val="left" w:pos="926"/>
        </w:tabs>
        <w:spacing w:before="156" w:beforeLines="65" w:after="84" w:afterLines="35" w:line="440" w:lineRule="exact"/>
        <w:ind w:left="-2" w:firstLine="486" w:firstLineChars="202"/>
        <w:jc w:val="both"/>
        <w:rPr>
          <w:sz w:val="24"/>
          <w:szCs w:val="24"/>
        </w:rPr>
      </w:pPr>
      <w:r>
        <w:rPr>
          <w:sz w:val="24"/>
          <w:szCs w:val="24"/>
        </w:rPr>
        <w:t>3.2</w:t>
      </w:r>
      <w:r>
        <w:rPr>
          <w:sz w:val="24"/>
          <w:szCs w:val="24"/>
        </w:rPr>
        <w:tab/>
      </w:r>
      <w:r>
        <w:rPr>
          <w:rFonts w:hint="eastAsia"/>
          <w:sz w:val="24"/>
          <w:szCs w:val="24"/>
        </w:rPr>
        <w:t>投标报价</w:t>
      </w:r>
    </w:p>
    <w:p>
      <w:pPr>
        <w:tabs>
          <w:tab w:val="left" w:pos="912"/>
          <w:tab w:val="left" w:pos="2456"/>
        </w:tabs>
        <w:snapToGrid w:val="0"/>
        <w:spacing w:after="84" w:afterLines="35" w:line="400" w:lineRule="exact"/>
        <w:ind w:left="-2" w:firstLine="484" w:firstLineChars="202"/>
        <w:rPr>
          <w:sz w:val="24"/>
        </w:rPr>
      </w:pPr>
      <w:r>
        <w:rPr>
          <w:sz w:val="24"/>
        </w:rPr>
        <w:t>3.2.1</w:t>
      </w:r>
      <w:r>
        <w:rPr>
          <w:rFonts w:hint="eastAsia"/>
          <w:sz w:val="24"/>
        </w:rPr>
        <w:t>工程计价方式见投标人须知前附表。投标人应按第五章“招标工程量清单”的要求填写相应表格。</w:t>
      </w:r>
    </w:p>
    <w:p>
      <w:pPr>
        <w:tabs>
          <w:tab w:val="left" w:pos="912"/>
          <w:tab w:val="left" w:pos="2456"/>
        </w:tabs>
        <w:snapToGrid w:val="0"/>
        <w:spacing w:after="84" w:afterLines="35" w:line="400" w:lineRule="exact"/>
        <w:ind w:left="-2" w:firstLine="484" w:firstLineChars="202"/>
        <w:rPr>
          <w:sz w:val="24"/>
        </w:rPr>
      </w:pPr>
      <w:r>
        <w:rPr>
          <w:sz w:val="24"/>
        </w:rPr>
        <w:t xml:space="preserve">3.2.2 </w:t>
      </w:r>
      <w:r>
        <w:rPr>
          <w:rFonts w:hint="eastAsia"/>
          <w:sz w:val="24"/>
        </w:rPr>
        <w:t>投标人在投标截止时间前修改投标函中的投标总报价，应同时修改第五章“招标工程量清单”中的相应报价。此修改须符合本章第</w:t>
      </w:r>
      <w:r>
        <w:rPr>
          <w:sz w:val="24"/>
        </w:rPr>
        <w:t xml:space="preserve"> 4.3 </w:t>
      </w:r>
      <w:r>
        <w:rPr>
          <w:rFonts w:hint="eastAsia"/>
          <w:sz w:val="24"/>
        </w:rPr>
        <w:t>款的有关要求。</w:t>
      </w:r>
    </w:p>
    <w:p>
      <w:pPr>
        <w:tabs>
          <w:tab w:val="left" w:pos="912"/>
          <w:tab w:val="left" w:pos="2456"/>
        </w:tabs>
        <w:snapToGrid w:val="0"/>
        <w:spacing w:after="84" w:afterLines="35" w:line="400" w:lineRule="exact"/>
        <w:ind w:left="-2" w:firstLine="484" w:firstLineChars="202"/>
        <w:rPr>
          <w:sz w:val="24"/>
        </w:rPr>
      </w:pPr>
      <w:r>
        <w:rPr>
          <w:sz w:val="24"/>
        </w:rPr>
        <w:t>3.2.3</w:t>
      </w:r>
      <w:r>
        <w:rPr>
          <w:rFonts w:hint="eastAsia"/>
          <w:sz w:val="24"/>
        </w:rPr>
        <w:t>投标人报价依据《关于建筑业营业税改征增值税调整北京市建设工程计价依据的实施意见》（京建发〔</w:t>
      </w:r>
      <w:r>
        <w:rPr>
          <w:sz w:val="24"/>
        </w:rPr>
        <w:t>2016</w:t>
      </w:r>
      <w:r>
        <w:rPr>
          <w:rFonts w:hint="eastAsia"/>
          <w:sz w:val="24"/>
        </w:rPr>
        <w:t>〕</w:t>
      </w:r>
      <w:r>
        <w:rPr>
          <w:sz w:val="24"/>
        </w:rPr>
        <w:t>116</w:t>
      </w:r>
      <w:r>
        <w:rPr>
          <w:rFonts w:hint="eastAsia"/>
          <w:sz w:val="24"/>
        </w:rPr>
        <w:t>号）、《财政部</w:t>
      </w:r>
      <w:r>
        <w:rPr>
          <w:sz w:val="24"/>
        </w:rPr>
        <w:t> </w:t>
      </w:r>
      <w:r>
        <w:rPr>
          <w:rFonts w:hint="eastAsia"/>
          <w:sz w:val="24"/>
        </w:rPr>
        <w:t>税务总局关于调整增值税税率的通知》（财税〔</w:t>
      </w:r>
      <w:r>
        <w:rPr>
          <w:sz w:val="24"/>
        </w:rPr>
        <w:t>2018</w:t>
      </w:r>
      <w:r>
        <w:rPr>
          <w:rFonts w:hint="eastAsia"/>
          <w:sz w:val="24"/>
        </w:rPr>
        <w:t>〕</w:t>
      </w:r>
      <w:r>
        <w:rPr>
          <w:sz w:val="24"/>
        </w:rPr>
        <w:t>32</w:t>
      </w:r>
      <w:r>
        <w:rPr>
          <w:rFonts w:hint="eastAsia"/>
          <w:sz w:val="24"/>
        </w:rPr>
        <w:t>号）《住房城乡建设部办公厅关于调整建设工程计价依据增值税税率的通知》（建办标函〔</w:t>
      </w:r>
      <w:r>
        <w:rPr>
          <w:sz w:val="24"/>
        </w:rPr>
        <w:t>2019</w:t>
      </w:r>
      <w:r>
        <w:rPr>
          <w:rFonts w:hint="eastAsia"/>
          <w:sz w:val="24"/>
        </w:rPr>
        <w:t>〕</w:t>
      </w:r>
      <w:r>
        <w:rPr>
          <w:sz w:val="24"/>
        </w:rPr>
        <w:t>193</w:t>
      </w:r>
      <w:r>
        <w:rPr>
          <w:rFonts w:hint="eastAsia"/>
          <w:sz w:val="24"/>
        </w:rPr>
        <w:t>号）、《北京市建设工程计价依据——预算消耗量标准》</w:t>
      </w:r>
      <w:r>
        <w:rPr>
          <w:rFonts w:hint="eastAsia" w:ascii="宋体" w:hAnsi="宋体" w:cs="宋体"/>
          <w:kern w:val="0"/>
          <w:sz w:val="24"/>
        </w:rPr>
        <w:t>、《关于进一步做好受新冠肺炎疫情影响工程造价和工期调整工作的指导意见》（京建发〔</w:t>
      </w:r>
      <w:r>
        <w:rPr>
          <w:sz w:val="24"/>
        </w:rPr>
        <w:t>2022</w:t>
      </w:r>
      <w:r>
        <w:rPr>
          <w:rFonts w:hint="eastAsia"/>
          <w:sz w:val="24"/>
        </w:rPr>
        <w:t>〕</w:t>
      </w:r>
      <w:r>
        <w:rPr>
          <w:sz w:val="24"/>
        </w:rPr>
        <w:t>176</w:t>
      </w:r>
      <w:r>
        <w:rPr>
          <w:rFonts w:hint="eastAsia"/>
          <w:sz w:val="24"/>
        </w:rPr>
        <w:t>号）及最新相关政策文件执行。</w:t>
      </w:r>
      <w:r>
        <w:rPr>
          <w:sz w:val="24"/>
        </w:rPr>
        <w:t xml:space="preserve"> </w:t>
      </w:r>
    </w:p>
    <w:p>
      <w:pPr>
        <w:tabs>
          <w:tab w:val="left" w:pos="912"/>
          <w:tab w:val="left" w:pos="2456"/>
        </w:tabs>
        <w:snapToGrid w:val="0"/>
        <w:spacing w:after="84" w:afterLines="35" w:line="400" w:lineRule="exact"/>
        <w:ind w:left="-2" w:firstLine="484" w:firstLineChars="202"/>
        <w:rPr>
          <w:sz w:val="24"/>
        </w:rPr>
      </w:pPr>
      <w:r>
        <w:rPr>
          <w:rFonts w:hint="eastAsia"/>
          <w:sz w:val="24"/>
        </w:rPr>
        <w:t>3.2.4投标人报价中的建筑垃圾运输处置费应符合本市相关规定的要求。投标人应根据招标文件要求和招标工程量清单，遵照有关建筑垃圾运输处置管理的规定，结合工程和自身实际情况，自主填报建筑垃圾运输处置项目的价格，但不得低于成本。</w:t>
      </w:r>
    </w:p>
    <w:p>
      <w:pPr>
        <w:tabs>
          <w:tab w:val="left" w:pos="912"/>
          <w:tab w:val="left" w:pos="2456"/>
        </w:tabs>
        <w:snapToGrid w:val="0"/>
        <w:spacing w:after="84" w:afterLines="35" w:line="400" w:lineRule="exact"/>
        <w:ind w:left="-2" w:firstLine="484" w:firstLineChars="202"/>
        <w:rPr>
          <w:sz w:val="24"/>
        </w:rPr>
      </w:pPr>
      <w:r>
        <w:rPr>
          <w:rFonts w:hint="eastAsia"/>
          <w:sz w:val="24"/>
        </w:rPr>
        <w:t>3.2.5 投标人报价中的安全文明施工费计取应符合《中华人民共和国噪声污染防治法》及本市安全文明施工费相关规定的要求。</w:t>
      </w:r>
    </w:p>
    <w:p>
      <w:pPr>
        <w:pStyle w:val="6"/>
        <w:tabs>
          <w:tab w:val="left" w:pos="926"/>
        </w:tabs>
        <w:spacing w:before="156" w:beforeLines="65" w:after="84" w:afterLines="35" w:line="440" w:lineRule="exact"/>
        <w:ind w:left="-2" w:firstLine="486" w:firstLineChars="202"/>
        <w:jc w:val="both"/>
        <w:rPr>
          <w:sz w:val="24"/>
          <w:szCs w:val="24"/>
        </w:rPr>
      </w:pPr>
      <w:r>
        <w:rPr>
          <w:rFonts w:hint="eastAsia"/>
          <w:sz w:val="24"/>
          <w:szCs w:val="24"/>
        </w:rPr>
        <w:t>3.3投标有效期</w:t>
      </w:r>
    </w:p>
    <w:p>
      <w:pPr>
        <w:tabs>
          <w:tab w:val="left" w:pos="912"/>
          <w:tab w:val="left" w:pos="2456"/>
        </w:tabs>
        <w:snapToGrid w:val="0"/>
        <w:spacing w:after="84" w:afterLines="35" w:line="400" w:lineRule="exact"/>
        <w:ind w:left="-2" w:firstLine="484" w:firstLineChars="202"/>
        <w:rPr>
          <w:sz w:val="24"/>
        </w:rPr>
      </w:pPr>
      <w:r>
        <w:rPr>
          <w:sz w:val="24"/>
        </w:rPr>
        <w:t>3.3.1</w:t>
      </w:r>
      <w:r>
        <w:rPr>
          <w:rFonts w:hint="eastAsia"/>
          <w:sz w:val="24"/>
        </w:rPr>
        <w:t>投标有效期的期限见投标人须知前附表，在投标人须知前附表规定的投标有效期内，投标人不得要求撤销或修改其投标文件。</w:t>
      </w:r>
    </w:p>
    <w:p>
      <w:pPr>
        <w:tabs>
          <w:tab w:val="left" w:pos="912"/>
          <w:tab w:val="left" w:pos="2456"/>
        </w:tabs>
        <w:snapToGrid w:val="0"/>
        <w:spacing w:after="84" w:afterLines="35" w:line="400" w:lineRule="exact"/>
        <w:ind w:left="-2" w:firstLine="484" w:firstLineChars="202"/>
        <w:rPr>
          <w:sz w:val="24"/>
        </w:rPr>
      </w:pPr>
      <w:r>
        <w:rPr>
          <w:sz w:val="24"/>
        </w:rPr>
        <w:t xml:space="preserve">3.3.2 </w:t>
      </w:r>
      <w:r>
        <w:rPr>
          <w:rFonts w:hint="eastAsia"/>
          <w:sz w:val="24"/>
        </w:rPr>
        <w:t>出现特殊情况需要延长投标有效期的，招标人应在投标有效期截止前通知所有投标人延长投标有效期。投标人同意延长的，应相应延长其投标担保的有效期，但不得要求或被允许修改或撤销其投标文件；投标人拒绝延长的，其投标失效，但投标人有权收回其投标担保。</w:t>
      </w:r>
    </w:p>
    <w:p>
      <w:pPr>
        <w:pStyle w:val="6"/>
        <w:tabs>
          <w:tab w:val="left" w:pos="926"/>
        </w:tabs>
        <w:spacing w:before="156" w:beforeLines="65" w:after="84" w:afterLines="35" w:line="440" w:lineRule="exact"/>
        <w:ind w:left="-2" w:firstLine="486" w:firstLineChars="202"/>
        <w:jc w:val="both"/>
        <w:rPr>
          <w:sz w:val="24"/>
          <w:szCs w:val="24"/>
        </w:rPr>
      </w:pPr>
      <w:r>
        <w:rPr>
          <w:sz w:val="24"/>
          <w:szCs w:val="24"/>
        </w:rPr>
        <w:t>3.4</w:t>
      </w:r>
      <w:r>
        <w:rPr>
          <w:sz w:val="24"/>
          <w:szCs w:val="24"/>
        </w:rPr>
        <w:tab/>
      </w:r>
      <w:r>
        <w:rPr>
          <w:rFonts w:hint="eastAsia"/>
          <w:sz w:val="24"/>
          <w:szCs w:val="24"/>
        </w:rPr>
        <w:t>投标担保</w:t>
      </w:r>
    </w:p>
    <w:p>
      <w:pPr>
        <w:tabs>
          <w:tab w:val="left" w:pos="912"/>
          <w:tab w:val="left" w:pos="2456"/>
        </w:tabs>
        <w:snapToGrid w:val="0"/>
        <w:spacing w:after="84" w:afterLines="35" w:line="400" w:lineRule="exact"/>
        <w:ind w:left="-2" w:firstLine="484" w:firstLineChars="202"/>
        <w:rPr>
          <w:sz w:val="24"/>
        </w:rPr>
      </w:pPr>
      <w:r>
        <w:rPr>
          <w:sz w:val="24"/>
        </w:rPr>
        <w:t xml:space="preserve">3.4.1 </w:t>
      </w:r>
      <w:r>
        <w:rPr>
          <w:rFonts w:hint="eastAsia"/>
          <w:sz w:val="24"/>
        </w:rPr>
        <w:t>投标人在递交投标文件的同时，应按投标人须知前附表规定的金额、担保形式</w:t>
      </w:r>
      <w:r>
        <w:rPr>
          <w:sz w:val="24"/>
        </w:rPr>
        <w:t>和第</w:t>
      </w:r>
      <w:r>
        <w:rPr>
          <w:rFonts w:hint="eastAsia"/>
          <w:sz w:val="24"/>
        </w:rPr>
        <w:t>八</w:t>
      </w:r>
      <w:r>
        <w:rPr>
          <w:sz w:val="24"/>
        </w:rPr>
        <w:t>章</w:t>
      </w:r>
      <w:r>
        <w:rPr>
          <w:rFonts w:hint="eastAsia"/>
          <w:sz w:val="24"/>
        </w:rPr>
        <w:t>“</w:t>
      </w:r>
      <w:r>
        <w:rPr>
          <w:sz w:val="24"/>
        </w:rPr>
        <w:t>投标文件格式</w:t>
      </w:r>
      <w:r>
        <w:rPr>
          <w:rFonts w:hint="eastAsia"/>
          <w:sz w:val="24"/>
        </w:rPr>
        <w:t>”</w:t>
      </w:r>
      <w:r>
        <w:rPr>
          <w:sz w:val="24"/>
        </w:rPr>
        <w:t>规定的投标</w:t>
      </w:r>
      <w:r>
        <w:rPr>
          <w:rFonts w:hint="eastAsia"/>
          <w:sz w:val="24"/>
        </w:rPr>
        <w:t>担保</w:t>
      </w:r>
      <w:r>
        <w:rPr>
          <w:sz w:val="24"/>
        </w:rPr>
        <w:t>格式</w:t>
      </w:r>
      <w:r>
        <w:rPr>
          <w:rFonts w:hint="eastAsia"/>
          <w:sz w:val="24"/>
        </w:rPr>
        <w:t>递交投标保担保，并作为其投标文件的组成部分。联合体投标的，其投标保担保可由牵头人递交，并应符合投标人须知前附表的规定。</w:t>
      </w:r>
    </w:p>
    <w:p>
      <w:pPr>
        <w:tabs>
          <w:tab w:val="left" w:pos="912"/>
          <w:tab w:val="left" w:pos="2456"/>
        </w:tabs>
        <w:snapToGrid w:val="0"/>
        <w:spacing w:after="84" w:afterLines="35" w:line="400" w:lineRule="exact"/>
        <w:ind w:left="-2" w:firstLine="484" w:firstLineChars="202"/>
        <w:rPr>
          <w:sz w:val="24"/>
        </w:rPr>
      </w:pPr>
      <w:r>
        <w:rPr>
          <w:rFonts w:hint="eastAsia"/>
          <w:sz w:val="24"/>
        </w:rPr>
        <w:t>（1）若采用电子保函，投标人可通过电子化平台从北京市公共资源交易担保金融服务平台提供的保函业务金融机构中选择相关金融机构申请办理电子保函。</w:t>
      </w:r>
    </w:p>
    <w:p>
      <w:pPr>
        <w:tabs>
          <w:tab w:val="left" w:pos="912"/>
          <w:tab w:val="left" w:pos="2456"/>
        </w:tabs>
        <w:snapToGrid w:val="0"/>
        <w:spacing w:after="84" w:afterLines="35" w:line="400" w:lineRule="exact"/>
        <w:ind w:left="-2" w:firstLine="484" w:firstLineChars="202"/>
        <w:rPr>
          <w:sz w:val="24"/>
        </w:rPr>
      </w:pPr>
      <w:r>
        <w:rPr>
          <w:rFonts w:hint="eastAsia"/>
          <w:sz w:val="24"/>
        </w:rPr>
        <w:t>（2）若采用现金，投标人在递交投标文件截止时间之前，可通过电子化平台将投标保证金由投标人的基本账户转入北京市公共资源交易担保金融服务平台合作银行中任选一家的指定账户，否则视为投标保证金无效。</w:t>
      </w:r>
    </w:p>
    <w:p>
      <w:pPr>
        <w:tabs>
          <w:tab w:val="left" w:pos="912"/>
          <w:tab w:val="left" w:pos="2456"/>
        </w:tabs>
        <w:snapToGrid w:val="0"/>
        <w:spacing w:after="84" w:afterLines="35" w:line="400" w:lineRule="exact"/>
        <w:ind w:left="-2" w:firstLine="484" w:firstLineChars="202"/>
        <w:rPr>
          <w:sz w:val="24"/>
        </w:rPr>
      </w:pPr>
      <w:r>
        <w:rPr>
          <w:rFonts w:hint="eastAsia"/>
          <w:sz w:val="24"/>
        </w:rPr>
        <w:t>（3）若采用银行保函，则应采用招标文件提供的格式。保函扫描件附在投标文件内，原件应在投标文件递交截止时间前单独密封递交给招标人。</w:t>
      </w:r>
    </w:p>
    <w:p>
      <w:pPr>
        <w:tabs>
          <w:tab w:val="left" w:pos="912"/>
          <w:tab w:val="left" w:pos="2456"/>
        </w:tabs>
        <w:snapToGrid w:val="0"/>
        <w:spacing w:after="84" w:afterLines="35" w:line="400" w:lineRule="exact"/>
        <w:ind w:left="-2" w:firstLine="484" w:firstLineChars="202"/>
        <w:rPr>
          <w:sz w:val="24"/>
        </w:rPr>
      </w:pPr>
      <w:r>
        <w:rPr>
          <w:rFonts w:hint="eastAsia"/>
          <w:sz w:val="24"/>
        </w:rPr>
        <w:t>（4）若采用电汇、汇票、转账支票，投标人应当从其基本账户转出，并在投标截止时间前到账。转出凭证扫描件附在投标文件内，原件应在投标文件递交截止时间前单独密封递交给招标人。</w:t>
      </w:r>
    </w:p>
    <w:p>
      <w:pPr>
        <w:tabs>
          <w:tab w:val="left" w:pos="912"/>
          <w:tab w:val="left" w:pos="2456"/>
        </w:tabs>
        <w:snapToGrid w:val="0"/>
        <w:spacing w:after="84" w:afterLines="35" w:line="400" w:lineRule="exact"/>
        <w:ind w:left="-2" w:firstLine="484" w:firstLineChars="202"/>
        <w:rPr>
          <w:sz w:val="24"/>
        </w:rPr>
      </w:pPr>
      <w:r>
        <w:rPr>
          <w:rFonts w:hint="eastAsia"/>
          <w:sz w:val="24"/>
        </w:rPr>
        <w:t>投标担保采用“一标段一收取”方式，投标人在提交投标担保时，应当明确投标担保对应的招标标段，以便查对核实。</w:t>
      </w:r>
    </w:p>
    <w:p>
      <w:pPr>
        <w:tabs>
          <w:tab w:val="left" w:pos="912"/>
          <w:tab w:val="left" w:pos="2456"/>
        </w:tabs>
        <w:snapToGrid w:val="0"/>
        <w:spacing w:after="84" w:afterLines="35" w:line="400" w:lineRule="exact"/>
        <w:ind w:left="-2" w:firstLine="484" w:firstLineChars="202"/>
        <w:rPr>
          <w:sz w:val="24"/>
        </w:rPr>
      </w:pPr>
      <w:r>
        <w:rPr>
          <w:rFonts w:hint="eastAsia"/>
          <w:sz w:val="24"/>
        </w:rPr>
        <w:t>无论采取何种形式的投标担保，投标担保有效期均应与投标有效期一致。招标人如果按本章3.3.2项的规定延长投标有效期，则投标担保的有效期也相应延长。</w:t>
      </w:r>
    </w:p>
    <w:p>
      <w:pPr>
        <w:tabs>
          <w:tab w:val="left" w:pos="912"/>
          <w:tab w:val="left" w:pos="2456"/>
        </w:tabs>
        <w:snapToGrid w:val="0"/>
        <w:spacing w:after="84" w:afterLines="35" w:line="400" w:lineRule="exact"/>
        <w:ind w:left="-2" w:firstLine="484" w:firstLineChars="202"/>
        <w:rPr>
          <w:sz w:val="24"/>
        </w:rPr>
      </w:pPr>
      <w:r>
        <w:rPr>
          <w:sz w:val="24"/>
        </w:rPr>
        <w:t xml:space="preserve">3.4.2 </w:t>
      </w:r>
      <w:r>
        <w:rPr>
          <w:rFonts w:hint="eastAsia"/>
          <w:sz w:val="24"/>
        </w:rPr>
        <w:t>投标人不按本章第</w:t>
      </w:r>
      <w:r>
        <w:rPr>
          <w:sz w:val="24"/>
        </w:rPr>
        <w:t xml:space="preserve"> 3.4.1 </w:t>
      </w:r>
      <w:r>
        <w:rPr>
          <w:rFonts w:hint="eastAsia"/>
          <w:sz w:val="24"/>
        </w:rPr>
        <w:t>项要求提交投标担保的，其投标文件将被否决或被作为无效投标处理。</w:t>
      </w:r>
    </w:p>
    <w:p>
      <w:pPr>
        <w:tabs>
          <w:tab w:val="left" w:pos="912"/>
          <w:tab w:val="left" w:pos="2456"/>
        </w:tabs>
        <w:snapToGrid w:val="0"/>
        <w:spacing w:after="84" w:afterLines="35" w:line="400" w:lineRule="exact"/>
        <w:ind w:firstLine="484" w:firstLineChars="202"/>
        <w:rPr>
          <w:rFonts w:ascii="宋体" w:hAnsi="宋体" w:cs="宋体"/>
          <w:kern w:val="0"/>
          <w:sz w:val="24"/>
        </w:rPr>
      </w:pPr>
      <w:r>
        <w:rPr>
          <w:kern w:val="0"/>
          <w:sz w:val="24"/>
        </w:rPr>
        <w:t>3.4.</w:t>
      </w:r>
      <w:r>
        <w:rPr>
          <w:rFonts w:hint="eastAsia"/>
          <w:kern w:val="0"/>
          <w:sz w:val="24"/>
        </w:rPr>
        <w:t>3</w:t>
      </w:r>
      <w:r>
        <w:rPr>
          <w:rFonts w:hint="eastAsia" w:ascii="宋体" w:hAnsi="宋体" w:cs="宋体"/>
          <w:kern w:val="0"/>
          <w:sz w:val="24"/>
        </w:rPr>
        <w:t>投标保证金的退还应按照《北京市公共资源交易担保金融服务管理办法（试行）》的规定执行。投标保证金以现金形式递交的，招标人最迟将在与中标人签订合同后</w:t>
      </w:r>
      <w:r>
        <w:rPr>
          <w:rFonts w:hint="eastAsia"/>
          <w:kern w:val="0"/>
          <w:sz w:val="24"/>
          <w:lang w:bidi="ar"/>
        </w:rPr>
        <w:t>5</w:t>
      </w:r>
      <w:r>
        <w:rPr>
          <w:kern w:val="0"/>
          <w:sz w:val="24"/>
          <w:lang w:bidi="ar"/>
        </w:rPr>
        <w:t xml:space="preserve"> </w:t>
      </w:r>
      <w:r>
        <w:rPr>
          <w:rFonts w:hint="eastAsia" w:ascii="宋体" w:hAnsi="宋体" w:cs="宋体"/>
          <w:kern w:val="0"/>
          <w:sz w:val="24"/>
        </w:rPr>
        <w:t>日内向中标人和其他未中标人退还投标保证金及银行同期存款利息。</w:t>
      </w:r>
    </w:p>
    <w:p>
      <w:pPr>
        <w:tabs>
          <w:tab w:val="left" w:pos="912"/>
          <w:tab w:val="left" w:pos="2456"/>
        </w:tabs>
        <w:snapToGrid w:val="0"/>
        <w:spacing w:after="84" w:afterLines="35" w:line="400" w:lineRule="exact"/>
        <w:rPr>
          <w:sz w:val="24"/>
        </w:rPr>
      </w:pPr>
      <w:r>
        <w:rPr>
          <w:rFonts w:hint="eastAsia" w:ascii="宋体" w:hAnsi="宋体" w:cs="宋体"/>
          <w:kern w:val="0"/>
          <w:sz w:val="24"/>
        </w:rPr>
        <w:t xml:space="preserve">    </w:t>
      </w:r>
      <w:r>
        <w:rPr>
          <w:sz w:val="24"/>
        </w:rPr>
        <w:t xml:space="preserve">3.4.4 </w:t>
      </w:r>
      <w:r>
        <w:rPr>
          <w:rFonts w:hint="eastAsia"/>
          <w:sz w:val="24"/>
        </w:rPr>
        <w:t>投标担保有效期应当与投标有效期一致。</w:t>
      </w:r>
    </w:p>
    <w:p>
      <w:pPr>
        <w:tabs>
          <w:tab w:val="left" w:pos="912"/>
          <w:tab w:val="left" w:pos="2456"/>
        </w:tabs>
        <w:snapToGrid w:val="0"/>
        <w:spacing w:after="84" w:afterLines="35" w:line="400" w:lineRule="exact"/>
        <w:ind w:left="-2" w:firstLine="484" w:firstLineChars="202"/>
        <w:rPr>
          <w:sz w:val="24"/>
        </w:rPr>
      </w:pPr>
      <w:r>
        <w:rPr>
          <w:sz w:val="24"/>
        </w:rPr>
        <w:t xml:space="preserve">3.4.5 </w:t>
      </w:r>
      <w:r>
        <w:rPr>
          <w:rFonts w:hint="eastAsia"/>
          <w:sz w:val="24"/>
        </w:rPr>
        <w:t>有下列情形之一的，投标担保将不予退还：</w:t>
      </w:r>
    </w:p>
    <w:p>
      <w:pPr>
        <w:tabs>
          <w:tab w:val="left" w:pos="912"/>
          <w:tab w:val="left" w:pos="2456"/>
        </w:tabs>
        <w:snapToGrid w:val="0"/>
        <w:spacing w:after="84" w:afterLines="35" w:line="400" w:lineRule="exact"/>
        <w:ind w:left="-2" w:firstLine="484" w:firstLineChars="202"/>
        <w:rPr>
          <w:sz w:val="24"/>
        </w:rPr>
      </w:pPr>
      <w:r>
        <w:rPr>
          <w:rFonts w:hint="eastAsia"/>
          <w:sz w:val="24"/>
        </w:rPr>
        <w:t>（</w:t>
      </w:r>
      <w:r>
        <w:rPr>
          <w:sz w:val="24"/>
        </w:rPr>
        <w:t>1</w:t>
      </w:r>
      <w:r>
        <w:rPr>
          <w:rFonts w:hint="eastAsia"/>
          <w:sz w:val="24"/>
        </w:rPr>
        <w:t>）投标人在规定的投标有效期内撤销</w:t>
      </w:r>
      <w:r>
        <w:rPr>
          <w:rFonts w:hint="eastAsia"/>
          <w:strike/>
          <w:sz w:val="24"/>
        </w:rPr>
        <w:t>或修改</w:t>
      </w:r>
      <w:r>
        <w:rPr>
          <w:rFonts w:hint="eastAsia"/>
          <w:sz w:val="24"/>
        </w:rPr>
        <w:t>其投标文件；</w:t>
      </w:r>
    </w:p>
    <w:p>
      <w:pPr>
        <w:tabs>
          <w:tab w:val="left" w:pos="912"/>
          <w:tab w:val="left" w:pos="2456"/>
        </w:tabs>
        <w:snapToGrid w:val="0"/>
        <w:spacing w:after="84" w:afterLines="35" w:line="400" w:lineRule="exact"/>
        <w:ind w:left="-2" w:firstLine="484" w:firstLineChars="202"/>
        <w:rPr>
          <w:strike/>
          <w:sz w:val="24"/>
        </w:rPr>
      </w:pPr>
      <w:r>
        <w:rPr>
          <w:rFonts w:hint="eastAsia"/>
          <w:sz w:val="24"/>
        </w:rPr>
        <w:t>（</w:t>
      </w:r>
      <w:r>
        <w:rPr>
          <w:sz w:val="24"/>
        </w:rPr>
        <w:t>2</w:t>
      </w:r>
      <w:r>
        <w:rPr>
          <w:rFonts w:hint="eastAsia"/>
          <w:sz w:val="24"/>
        </w:rPr>
        <w:t>）中标人在收到中标通知书后，无正当理由</w:t>
      </w:r>
      <w:r>
        <w:rPr>
          <w:sz w:val="24"/>
        </w:rPr>
        <w:t>不与</w:t>
      </w:r>
      <w:r>
        <w:rPr>
          <w:rFonts w:hint="eastAsia"/>
          <w:sz w:val="24"/>
        </w:rPr>
        <w:t>招标人订立合同，在签订合同时向招标人提出附加条件，或者不按照招标文件要求提交履约担保金的。</w:t>
      </w:r>
    </w:p>
    <w:p>
      <w:pPr>
        <w:pStyle w:val="6"/>
        <w:tabs>
          <w:tab w:val="left" w:pos="926"/>
        </w:tabs>
        <w:spacing w:before="156" w:beforeLines="65" w:after="84" w:afterLines="35" w:line="440" w:lineRule="exact"/>
        <w:ind w:left="-2" w:firstLine="486" w:firstLineChars="202"/>
        <w:jc w:val="both"/>
        <w:rPr>
          <w:sz w:val="24"/>
          <w:szCs w:val="24"/>
        </w:rPr>
      </w:pPr>
      <w:r>
        <w:rPr>
          <w:sz w:val="24"/>
          <w:szCs w:val="24"/>
        </w:rPr>
        <w:t>3.5</w:t>
      </w:r>
      <w:r>
        <w:rPr>
          <w:sz w:val="24"/>
          <w:szCs w:val="24"/>
        </w:rPr>
        <w:tab/>
      </w:r>
      <w:r>
        <w:rPr>
          <w:rFonts w:hint="eastAsia"/>
          <w:sz w:val="24"/>
          <w:szCs w:val="24"/>
        </w:rPr>
        <w:t>资格审查资料</w:t>
      </w:r>
    </w:p>
    <w:p>
      <w:pPr>
        <w:tabs>
          <w:tab w:val="left" w:pos="912"/>
          <w:tab w:val="left" w:pos="2456"/>
        </w:tabs>
        <w:snapToGrid w:val="0"/>
        <w:spacing w:after="84" w:afterLines="35" w:line="400" w:lineRule="exact"/>
        <w:ind w:left="-2" w:firstLine="484" w:firstLineChars="202"/>
        <w:rPr>
          <w:sz w:val="24"/>
        </w:rPr>
      </w:pPr>
      <w:r>
        <w:rPr>
          <w:rFonts w:hint="eastAsia"/>
          <w:sz w:val="24"/>
        </w:rPr>
        <w:t>投标人在编制投标文件时，应确保资格审查资料的真实性并对其真实性负责。评标委员会必要时可通过质疑澄清程序，核验资格审查资料的原件。</w:t>
      </w:r>
    </w:p>
    <w:p>
      <w:pPr>
        <w:pStyle w:val="6"/>
        <w:tabs>
          <w:tab w:val="left" w:pos="926"/>
        </w:tabs>
        <w:spacing w:before="156" w:beforeLines="65" w:after="84" w:afterLines="35" w:line="440" w:lineRule="exact"/>
        <w:ind w:left="-2" w:firstLine="486" w:firstLineChars="202"/>
        <w:jc w:val="both"/>
        <w:rPr>
          <w:sz w:val="24"/>
          <w:szCs w:val="24"/>
        </w:rPr>
      </w:pPr>
      <w:r>
        <w:rPr>
          <w:sz w:val="24"/>
          <w:szCs w:val="24"/>
        </w:rPr>
        <w:t>3.6</w:t>
      </w:r>
      <w:r>
        <w:rPr>
          <w:sz w:val="24"/>
          <w:szCs w:val="24"/>
        </w:rPr>
        <w:tab/>
      </w:r>
      <w:r>
        <w:rPr>
          <w:rFonts w:hint="eastAsia"/>
          <w:sz w:val="24"/>
          <w:szCs w:val="24"/>
        </w:rPr>
        <w:t>备选投标方案</w:t>
      </w:r>
    </w:p>
    <w:p>
      <w:pPr>
        <w:tabs>
          <w:tab w:val="left" w:pos="912"/>
          <w:tab w:val="left" w:pos="2456"/>
        </w:tabs>
        <w:snapToGrid w:val="0"/>
        <w:spacing w:after="84" w:afterLines="35" w:line="400" w:lineRule="exact"/>
        <w:ind w:left="-2" w:firstLine="484" w:firstLineChars="202"/>
        <w:rPr>
          <w:sz w:val="24"/>
        </w:rPr>
      </w:pPr>
      <w:r>
        <w:rPr>
          <w:rFonts w:hint="eastAsia"/>
          <w:sz w:val="24"/>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6"/>
        <w:tabs>
          <w:tab w:val="left" w:pos="926"/>
        </w:tabs>
        <w:spacing w:before="156" w:beforeLines="65" w:after="84" w:afterLines="35" w:line="440" w:lineRule="exact"/>
        <w:ind w:left="-2" w:firstLine="486" w:firstLineChars="202"/>
        <w:jc w:val="both"/>
        <w:rPr>
          <w:sz w:val="24"/>
          <w:szCs w:val="24"/>
        </w:rPr>
      </w:pPr>
      <w:r>
        <w:rPr>
          <w:sz w:val="24"/>
          <w:szCs w:val="24"/>
        </w:rPr>
        <w:t>3.7</w:t>
      </w:r>
      <w:r>
        <w:rPr>
          <w:sz w:val="24"/>
          <w:szCs w:val="24"/>
        </w:rPr>
        <w:tab/>
      </w:r>
      <w:r>
        <w:rPr>
          <w:rFonts w:hint="eastAsia"/>
          <w:sz w:val="24"/>
          <w:szCs w:val="24"/>
        </w:rPr>
        <w:t>投标文件的编制</w:t>
      </w:r>
    </w:p>
    <w:p>
      <w:pPr>
        <w:tabs>
          <w:tab w:val="left" w:pos="912"/>
          <w:tab w:val="left" w:pos="2456"/>
        </w:tabs>
        <w:snapToGrid w:val="0"/>
        <w:spacing w:after="84" w:afterLines="35" w:line="400" w:lineRule="exact"/>
        <w:ind w:left="-2" w:firstLine="484" w:firstLineChars="202"/>
        <w:rPr>
          <w:sz w:val="24"/>
        </w:rPr>
      </w:pPr>
      <w:r>
        <w:rPr>
          <w:sz w:val="24"/>
        </w:rPr>
        <w:t xml:space="preserve">3.7.1 </w:t>
      </w:r>
      <w:r>
        <w:rPr>
          <w:rFonts w:hint="eastAsia"/>
          <w:sz w:val="24"/>
        </w:rPr>
        <w:t>投标文件应按第八章“投标文件格式”进行编写，表格可以按同样格式扩展。如有必要，可以增加附页，作为投标文件的组成部分。招标文件未提出格式要求的内容，由投标人自行编写，但应简洁、明了，详略得当。其中，投标函附录在满足招标文件实质性要求的基础上，可以提出比招标文件要求更有利于招标人的承诺。</w:t>
      </w:r>
    </w:p>
    <w:p>
      <w:pPr>
        <w:tabs>
          <w:tab w:val="left" w:pos="912"/>
          <w:tab w:val="left" w:pos="2456"/>
        </w:tabs>
        <w:snapToGrid w:val="0"/>
        <w:spacing w:after="84" w:afterLines="35" w:line="400" w:lineRule="exact"/>
        <w:ind w:left="-2" w:firstLine="484" w:firstLineChars="202"/>
        <w:rPr>
          <w:sz w:val="24"/>
        </w:rPr>
      </w:pPr>
      <w:r>
        <w:rPr>
          <w:sz w:val="24"/>
        </w:rPr>
        <w:t xml:space="preserve">3.7.2 </w:t>
      </w:r>
      <w:r>
        <w:rPr>
          <w:rFonts w:hint="eastAsia"/>
          <w:sz w:val="24"/>
        </w:rPr>
        <w:t>投标文件应当对招标文件有关工期、投标有效期、投标担保、质量要求、技术标准和要求、招标范围、合同条件等实质性内容作出响应。</w:t>
      </w:r>
    </w:p>
    <w:p>
      <w:pPr>
        <w:tabs>
          <w:tab w:val="left" w:pos="912"/>
          <w:tab w:val="left" w:pos="2456"/>
        </w:tabs>
        <w:snapToGrid w:val="0"/>
        <w:spacing w:after="84" w:afterLines="35" w:line="400" w:lineRule="exact"/>
        <w:ind w:left="-2" w:firstLine="484" w:firstLineChars="202"/>
        <w:rPr>
          <w:sz w:val="24"/>
        </w:rPr>
      </w:pPr>
      <w:r>
        <w:rPr>
          <w:sz w:val="24"/>
        </w:rPr>
        <w:t>3.7.3</w:t>
      </w:r>
      <w:r>
        <w:rPr>
          <w:rFonts w:hint="eastAsia"/>
          <w:sz w:val="24"/>
        </w:rPr>
        <w:t>投标人应当使用电子化平台认可的</w:t>
      </w:r>
      <w:r>
        <w:rPr>
          <w:sz w:val="24"/>
        </w:rPr>
        <w:t>“</w:t>
      </w:r>
      <w:r>
        <w:rPr>
          <w:rFonts w:hint="eastAsia"/>
          <w:sz w:val="24"/>
        </w:rPr>
        <w:t>电子标书制作工具</w:t>
      </w:r>
      <w:r>
        <w:rPr>
          <w:sz w:val="24"/>
        </w:rPr>
        <w:t>”</w:t>
      </w:r>
      <w:r>
        <w:rPr>
          <w:rFonts w:hint="eastAsia"/>
          <w:sz w:val="24"/>
        </w:rPr>
        <w:t>制作投标文件（含澄清、说明文件）。并按第八章“投标文件格式”要求加盖电子化平台认可的投标人</w:t>
      </w:r>
      <w:r>
        <w:rPr>
          <w:rFonts w:hint="eastAsia" w:ascii="宋体" w:hAnsi="宋体" w:cs="Arial"/>
          <w:iCs/>
          <w:sz w:val="24"/>
          <w:szCs w:val="28"/>
        </w:rPr>
        <w:t>企业</w:t>
      </w:r>
      <w:r>
        <w:rPr>
          <w:rFonts w:ascii="宋体" w:hAnsi="宋体" w:cs="Arial"/>
          <w:iCs/>
          <w:sz w:val="24"/>
          <w:szCs w:val="28"/>
        </w:rPr>
        <w:t>CA</w:t>
      </w:r>
      <w:r>
        <w:rPr>
          <w:rFonts w:hint="eastAsia" w:ascii="宋体" w:hAnsi="宋体" w:cs="Arial"/>
          <w:iCs/>
          <w:sz w:val="24"/>
          <w:szCs w:val="28"/>
        </w:rPr>
        <w:t>电子印章</w:t>
      </w:r>
      <w:r>
        <w:rPr>
          <w:rFonts w:hint="eastAsia"/>
          <w:sz w:val="24"/>
        </w:rPr>
        <w:t>并经法定代表人或其委托代理人加盖电子化平台认可的个人</w:t>
      </w:r>
      <w:r>
        <w:rPr>
          <w:sz w:val="24"/>
        </w:rPr>
        <w:t>CA</w:t>
      </w:r>
      <w:r>
        <w:rPr>
          <w:rFonts w:hint="eastAsia"/>
          <w:sz w:val="24"/>
        </w:rPr>
        <w:t>电子印章，由委托代理人加盖个人</w:t>
      </w:r>
      <w:r>
        <w:rPr>
          <w:sz w:val="24"/>
        </w:rPr>
        <w:t>CA</w:t>
      </w:r>
      <w:r>
        <w:rPr>
          <w:rFonts w:hint="eastAsia"/>
          <w:sz w:val="24"/>
        </w:rPr>
        <w:t>电子印章的在投标文件中须同时提供投标文件签署授权委托书。投标文件签署授权委托书内容、签字及盖章均应符合要求，否则投标文件签署授权委托书无效</w:t>
      </w:r>
    </w:p>
    <w:p>
      <w:pPr>
        <w:tabs>
          <w:tab w:val="left" w:pos="912"/>
          <w:tab w:val="left" w:pos="2456"/>
        </w:tabs>
        <w:snapToGrid w:val="0"/>
        <w:spacing w:after="84" w:afterLines="35" w:line="400" w:lineRule="exact"/>
        <w:ind w:left="-2" w:firstLine="484" w:firstLineChars="202"/>
        <w:rPr>
          <w:sz w:val="24"/>
        </w:rPr>
      </w:pPr>
      <w:r>
        <w:rPr>
          <w:sz w:val="24"/>
        </w:rPr>
        <w:t>3.7.4</w:t>
      </w:r>
      <w:r>
        <w:rPr>
          <w:rFonts w:hint="eastAsia"/>
          <w:sz w:val="24"/>
        </w:rPr>
        <w:t>施工组织设计内容编制与制作要求</w:t>
      </w:r>
    </w:p>
    <w:p>
      <w:pPr>
        <w:tabs>
          <w:tab w:val="left" w:pos="912"/>
          <w:tab w:val="left" w:pos="2456"/>
        </w:tabs>
        <w:snapToGrid w:val="0"/>
        <w:spacing w:after="84" w:afterLines="35" w:line="400" w:lineRule="exact"/>
        <w:ind w:left="-2" w:firstLine="484" w:firstLineChars="202"/>
        <w:rPr>
          <w:sz w:val="24"/>
        </w:rPr>
      </w:pPr>
      <w:r>
        <w:rPr>
          <w:sz w:val="24"/>
        </w:rPr>
        <w:t>3.7.4.1</w:t>
      </w:r>
      <w:r>
        <w:rPr>
          <w:rFonts w:hint="eastAsia"/>
          <w:sz w:val="24"/>
        </w:rPr>
        <w:t>施工组织设计采用</w:t>
      </w:r>
      <w:r>
        <w:rPr>
          <w:b/>
          <w:sz w:val="24"/>
        </w:rPr>
        <w:t>“</w:t>
      </w:r>
      <w:r>
        <w:rPr>
          <w:rFonts w:hint="eastAsia"/>
          <w:b/>
          <w:sz w:val="24"/>
        </w:rPr>
        <w:t>暗标</w:t>
      </w:r>
      <w:r>
        <w:rPr>
          <w:b/>
          <w:sz w:val="24"/>
        </w:rPr>
        <w:t>”</w:t>
      </w:r>
      <w:r>
        <w:rPr>
          <w:rFonts w:hint="eastAsia"/>
          <w:sz w:val="24"/>
        </w:rPr>
        <w:t>评审方式，</w:t>
      </w:r>
      <w:r>
        <w:rPr>
          <w:rFonts w:hint="eastAsia"/>
          <w:b/>
          <w:sz w:val="24"/>
        </w:rPr>
        <w:t>建议按如下要求编制</w:t>
      </w:r>
      <w:r>
        <w:rPr>
          <w:rFonts w:hint="eastAsia"/>
          <w:sz w:val="24"/>
        </w:rPr>
        <w:t>：</w:t>
      </w:r>
    </w:p>
    <w:p>
      <w:pPr>
        <w:tabs>
          <w:tab w:val="left" w:pos="1232"/>
          <w:tab w:val="left" w:pos="1260"/>
        </w:tabs>
        <w:snapToGrid w:val="0"/>
        <w:spacing w:line="420" w:lineRule="exact"/>
        <w:ind w:left="-2" w:firstLine="484" w:firstLineChars="202"/>
        <w:rPr>
          <w:sz w:val="24"/>
        </w:rPr>
      </w:pPr>
      <w:r>
        <w:rPr>
          <w:rFonts w:hint="eastAsia"/>
          <w:sz w:val="24"/>
        </w:rPr>
        <w:t>（</w:t>
      </w:r>
      <w:r>
        <w:rPr>
          <w:sz w:val="24"/>
        </w:rPr>
        <w:t>1</w:t>
      </w:r>
      <w:r>
        <w:rPr>
          <w:rFonts w:hint="eastAsia"/>
          <w:sz w:val="24"/>
        </w:rPr>
        <w:t>）页边距：均约为</w:t>
      </w:r>
      <w:r>
        <w:rPr>
          <w:sz w:val="24"/>
        </w:rPr>
        <w:t>2.5cm</w:t>
      </w:r>
      <w:r>
        <w:rPr>
          <w:rFonts w:hint="eastAsia"/>
          <w:sz w:val="24"/>
        </w:rPr>
        <w:t>。</w:t>
      </w:r>
    </w:p>
    <w:p>
      <w:pPr>
        <w:tabs>
          <w:tab w:val="left" w:pos="1232"/>
          <w:tab w:val="left" w:pos="1260"/>
        </w:tabs>
        <w:snapToGrid w:val="0"/>
        <w:spacing w:line="420" w:lineRule="exact"/>
        <w:ind w:left="-2" w:firstLine="484" w:firstLineChars="202"/>
        <w:rPr>
          <w:sz w:val="24"/>
        </w:rPr>
      </w:pPr>
      <w:r>
        <w:rPr>
          <w:rFonts w:hint="eastAsia"/>
          <w:sz w:val="24"/>
        </w:rPr>
        <w:t>（</w:t>
      </w:r>
      <w:r>
        <w:rPr>
          <w:sz w:val="24"/>
        </w:rPr>
        <w:t>2</w:t>
      </w:r>
      <w:r>
        <w:rPr>
          <w:rFonts w:hint="eastAsia"/>
          <w:sz w:val="24"/>
        </w:rPr>
        <w:t>）行距：固定值</w:t>
      </w:r>
      <w:r>
        <w:rPr>
          <w:sz w:val="24"/>
        </w:rPr>
        <w:t>22</w:t>
      </w:r>
      <w:r>
        <w:rPr>
          <w:rFonts w:hint="eastAsia"/>
          <w:sz w:val="24"/>
        </w:rPr>
        <w:t>磅，段前、段后间距：</w:t>
      </w:r>
      <w:r>
        <w:rPr>
          <w:sz w:val="24"/>
        </w:rPr>
        <w:t>0</w:t>
      </w:r>
      <w:r>
        <w:rPr>
          <w:rFonts w:hint="eastAsia"/>
          <w:sz w:val="24"/>
        </w:rPr>
        <w:t>。</w:t>
      </w:r>
    </w:p>
    <w:p>
      <w:pPr>
        <w:tabs>
          <w:tab w:val="left" w:pos="1232"/>
          <w:tab w:val="left" w:pos="1260"/>
        </w:tabs>
        <w:snapToGrid w:val="0"/>
        <w:spacing w:line="420" w:lineRule="exact"/>
        <w:ind w:left="-2" w:firstLine="484" w:firstLineChars="202"/>
        <w:rPr>
          <w:sz w:val="24"/>
        </w:rPr>
      </w:pPr>
      <w:r>
        <w:rPr>
          <w:rFonts w:hint="eastAsia"/>
          <w:sz w:val="24"/>
        </w:rPr>
        <w:t>（</w:t>
      </w:r>
      <w:r>
        <w:rPr>
          <w:sz w:val="24"/>
        </w:rPr>
        <w:t>3</w:t>
      </w:r>
      <w:r>
        <w:rPr>
          <w:rFonts w:hint="eastAsia"/>
          <w:sz w:val="24"/>
        </w:rPr>
        <w:t>）字体：无论是文本文件还是图表文件中的字体均应采用宋体，不应对规定的字体进行加粗、斜体、底纹等任何修饰。</w:t>
      </w:r>
    </w:p>
    <w:p>
      <w:pPr>
        <w:tabs>
          <w:tab w:val="left" w:pos="1232"/>
          <w:tab w:val="left" w:pos="1260"/>
        </w:tabs>
        <w:snapToGrid w:val="0"/>
        <w:spacing w:line="420" w:lineRule="exact"/>
        <w:ind w:left="-2" w:firstLine="484" w:firstLineChars="202"/>
        <w:rPr>
          <w:sz w:val="24"/>
        </w:rPr>
      </w:pPr>
      <w:r>
        <w:rPr>
          <w:rFonts w:hint="eastAsia"/>
          <w:sz w:val="24"/>
        </w:rPr>
        <w:t>（</w:t>
      </w:r>
      <w:r>
        <w:rPr>
          <w:sz w:val="24"/>
        </w:rPr>
        <w:t>4</w:t>
      </w:r>
      <w:r>
        <w:rPr>
          <w:rFonts w:hint="eastAsia"/>
          <w:sz w:val="24"/>
        </w:rPr>
        <w:t>）字号：一级标题（如</w:t>
      </w:r>
      <w:r>
        <w:rPr>
          <w:sz w:val="24"/>
        </w:rPr>
        <w:t>“</w:t>
      </w:r>
      <w:r>
        <w:rPr>
          <w:rFonts w:hint="eastAsia"/>
          <w:sz w:val="24"/>
        </w:rPr>
        <w:t>章</w:t>
      </w:r>
      <w:r>
        <w:rPr>
          <w:sz w:val="24"/>
        </w:rPr>
        <w:t>”</w:t>
      </w:r>
      <w:r>
        <w:rPr>
          <w:rFonts w:hint="eastAsia"/>
          <w:sz w:val="24"/>
        </w:rPr>
        <w:t>）为</w:t>
      </w:r>
      <w:r>
        <w:rPr>
          <w:sz w:val="24"/>
        </w:rPr>
        <w:t>3</w:t>
      </w:r>
      <w:r>
        <w:rPr>
          <w:rFonts w:hint="eastAsia"/>
          <w:sz w:val="24"/>
        </w:rPr>
        <w:t>号字，其它内容为小</w:t>
      </w:r>
      <w:r>
        <w:rPr>
          <w:sz w:val="24"/>
        </w:rPr>
        <w:t>4</w:t>
      </w:r>
      <w:r>
        <w:rPr>
          <w:rFonts w:hint="eastAsia"/>
          <w:sz w:val="24"/>
        </w:rPr>
        <w:t>号字，图表中文字的字号可根据版面自行确定。</w:t>
      </w:r>
    </w:p>
    <w:p>
      <w:pPr>
        <w:tabs>
          <w:tab w:val="left" w:pos="1232"/>
          <w:tab w:val="left" w:pos="1260"/>
        </w:tabs>
        <w:snapToGrid w:val="0"/>
        <w:spacing w:line="420" w:lineRule="exact"/>
        <w:ind w:left="-2" w:firstLine="484" w:firstLineChars="202"/>
        <w:rPr>
          <w:sz w:val="24"/>
        </w:rPr>
      </w:pPr>
      <w:r>
        <w:rPr>
          <w:rFonts w:hint="eastAsia"/>
          <w:sz w:val="24"/>
        </w:rPr>
        <w:t>（</w:t>
      </w:r>
      <w:r>
        <w:rPr>
          <w:sz w:val="24"/>
        </w:rPr>
        <w:t>5</w:t>
      </w:r>
      <w:r>
        <w:rPr>
          <w:rFonts w:hint="eastAsia"/>
          <w:sz w:val="24"/>
        </w:rPr>
        <w:t>）字间距：标准。</w:t>
      </w:r>
    </w:p>
    <w:p>
      <w:pPr>
        <w:tabs>
          <w:tab w:val="left" w:pos="1232"/>
          <w:tab w:val="left" w:pos="1260"/>
        </w:tabs>
        <w:snapToGrid w:val="0"/>
        <w:spacing w:line="420" w:lineRule="exact"/>
        <w:ind w:left="-2" w:firstLine="484" w:firstLineChars="202"/>
        <w:rPr>
          <w:sz w:val="24"/>
        </w:rPr>
      </w:pPr>
      <w:r>
        <w:rPr>
          <w:rFonts w:hint="eastAsia"/>
          <w:sz w:val="24"/>
        </w:rPr>
        <w:t>（</w:t>
      </w:r>
      <w:r>
        <w:rPr>
          <w:sz w:val="24"/>
        </w:rPr>
        <w:t>6</w:t>
      </w:r>
      <w:r>
        <w:rPr>
          <w:rFonts w:hint="eastAsia"/>
          <w:sz w:val="24"/>
        </w:rPr>
        <w:t>）投标人在编制电子投标文件时，对其施工组织设计内容应按照第三章“评标办法”附表</w:t>
      </w:r>
      <w:r>
        <w:rPr>
          <w:sz w:val="24"/>
        </w:rPr>
        <w:t>7</w:t>
      </w:r>
      <w:r>
        <w:rPr>
          <w:rFonts w:hint="eastAsia"/>
          <w:sz w:val="24"/>
        </w:rPr>
        <w:t>中的模块要求进行编制。</w:t>
      </w:r>
    </w:p>
    <w:p>
      <w:pPr>
        <w:tabs>
          <w:tab w:val="left" w:pos="1232"/>
          <w:tab w:val="left" w:pos="1260"/>
        </w:tabs>
        <w:snapToGrid w:val="0"/>
        <w:spacing w:line="420" w:lineRule="exact"/>
        <w:ind w:left="-2" w:firstLine="484" w:firstLineChars="202"/>
        <w:rPr>
          <w:sz w:val="24"/>
        </w:rPr>
      </w:pPr>
      <w:r>
        <w:rPr>
          <w:rFonts w:hint="eastAsia"/>
          <w:sz w:val="24"/>
        </w:rPr>
        <w:t>（</w:t>
      </w:r>
      <w:r>
        <w:rPr>
          <w:sz w:val="24"/>
        </w:rPr>
        <w:t>7</w:t>
      </w:r>
      <w:r>
        <w:rPr>
          <w:rFonts w:hint="eastAsia"/>
          <w:sz w:val="24"/>
        </w:rPr>
        <w:t>）颜色：图纸和文字均为黑色。</w:t>
      </w:r>
    </w:p>
    <w:p>
      <w:pPr>
        <w:tabs>
          <w:tab w:val="left" w:pos="1232"/>
          <w:tab w:val="left" w:pos="1260"/>
        </w:tabs>
        <w:snapToGrid w:val="0"/>
        <w:spacing w:line="420" w:lineRule="exact"/>
        <w:ind w:left="-2" w:firstLine="484" w:firstLineChars="202"/>
        <w:rPr>
          <w:sz w:val="24"/>
        </w:rPr>
      </w:pPr>
      <w:r>
        <w:rPr>
          <w:rFonts w:hint="eastAsia"/>
          <w:sz w:val="24"/>
        </w:rPr>
        <w:t>（</w:t>
      </w:r>
      <w:r>
        <w:rPr>
          <w:sz w:val="24"/>
        </w:rPr>
        <w:t>8</w:t>
      </w:r>
      <w:r>
        <w:rPr>
          <w:rFonts w:hint="eastAsia"/>
          <w:sz w:val="24"/>
        </w:rPr>
        <w:t>）页眉：无内容。</w:t>
      </w:r>
    </w:p>
    <w:p>
      <w:pPr>
        <w:tabs>
          <w:tab w:val="left" w:pos="1232"/>
          <w:tab w:val="left" w:pos="1260"/>
        </w:tabs>
        <w:snapToGrid w:val="0"/>
        <w:spacing w:line="420" w:lineRule="exact"/>
        <w:ind w:left="-2" w:firstLine="484" w:firstLineChars="202"/>
        <w:rPr>
          <w:sz w:val="24"/>
        </w:rPr>
      </w:pPr>
      <w:r>
        <w:rPr>
          <w:rFonts w:hint="eastAsia"/>
          <w:sz w:val="24"/>
        </w:rPr>
        <w:t>（</w:t>
      </w:r>
      <w:r>
        <w:rPr>
          <w:sz w:val="24"/>
        </w:rPr>
        <w:t>9</w:t>
      </w:r>
      <w:r>
        <w:rPr>
          <w:rFonts w:hint="eastAsia"/>
          <w:sz w:val="24"/>
        </w:rPr>
        <w:t>）页脚：须设置页码。页码采用阿拉伯数字格式，位置应居中，不做任何修饰，字号为小</w:t>
      </w:r>
      <w:r>
        <w:rPr>
          <w:sz w:val="24"/>
        </w:rPr>
        <w:t>4</w:t>
      </w:r>
      <w:r>
        <w:rPr>
          <w:rFonts w:hint="eastAsia"/>
          <w:sz w:val="24"/>
        </w:rPr>
        <w:t>号。编制“技术暗标”各评审模块的文件时，每个评审模块的文件须独立生成连续的页码。</w:t>
      </w:r>
    </w:p>
    <w:p>
      <w:pPr>
        <w:tabs>
          <w:tab w:val="left" w:pos="1232"/>
          <w:tab w:val="left" w:pos="1260"/>
        </w:tabs>
        <w:snapToGrid w:val="0"/>
        <w:spacing w:line="420" w:lineRule="exact"/>
        <w:ind w:left="-2" w:firstLine="484" w:firstLineChars="202"/>
        <w:rPr>
          <w:sz w:val="24"/>
        </w:rPr>
      </w:pPr>
      <w:r>
        <w:rPr>
          <w:rFonts w:hint="eastAsia"/>
          <w:sz w:val="24"/>
        </w:rPr>
        <w:t>（10）其他要求：</w:t>
      </w:r>
    </w:p>
    <w:p>
      <w:pPr>
        <w:tabs>
          <w:tab w:val="left" w:pos="1232"/>
          <w:tab w:val="left" w:pos="1260"/>
        </w:tabs>
        <w:snapToGrid w:val="0"/>
        <w:spacing w:line="420" w:lineRule="exact"/>
        <w:ind w:firstLine="480" w:firstLineChars="200"/>
        <w:rPr>
          <w:sz w:val="24"/>
        </w:rPr>
      </w:pPr>
      <w:r>
        <w:rPr>
          <w:rFonts w:hint="eastAsia"/>
          <w:sz w:val="24"/>
        </w:rPr>
        <w:t>选择采用否决性评审的，限制施工组织设计的总篇幅不得超过100页。</w:t>
      </w:r>
    </w:p>
    <w:p>
      <w:pPr>
        <w:tabs>
          <w:tab w:val="left" w:pos="1232"/>
          <w:tab w:val="left" w:pos="1260"/>
        </w:tabs>
        <w:snapToGrid w:val="0"/>
        <w:spacing w:line="420" w:lineRule="exact"/>
        <w:ind w:left="-2" w:firstLine="484" w:firstLineChars="202"/>
        <w:rPr>
          <w:strike/>
          <w:sz w:val="24"/>
        </w:rPr>
      </w:pPr>
      <w:r>
        <w:rPr>
          <w:rFonts w:hint="eastAsia"/>
          <w:sz w:val="24"/>
        </w:rPr>
        <w:t>选择采用限制性评审的，施工组织设计总篇幅超过100页，依照第三章评标办法附表7进行评审。</w:t>
      </w:r>
    </w:p>
    <w:p>
      <w:pPr>
        <w:tabs>
          <w:tab w:val="left" w:pos="912"/>
          <w:tab w:val="left" w:pos="2456"/>
        </w:tabs>
        <w:snapToGrid w:val="0"/>
        <w:spacing w:after="84" w:afterLines="35" w:line="400" w:lineRule="exact"/>
        <w:ind w:left="-2" w:firstLine="484" w:firstLineChars="202"/>
        <w:rPr>
          <w:sz w:val="24"/>
        </w:rPr>
      </w:pPr>
      <w:r>
        <w:rPr>
          <w:sz w:val="24"/>
        </w:rPr>
        <w:t>3.7.4.2</w:t>
      </w:r>
      <w:r>
        <w:rPr>
          <w:rFonts w:hint="eastAsia"/>
          <w:sz w:val="24"/>
        </w:rPr>
        <w:t>按照第</w:t>
      </w:r>
      <w:r>
        <w:rPr>
          <w:sz w:val="24"/>
        </w:rPr>
        <w:t>3.7.4</w:t>
      </w:r>
      <w:r>
        <w:rPr>
          <w:rFonts w:hint="eastAsia"/>
          <w:sz w:val="24"/>
        </w:rPr>
        <w:t>.1项要求在施工组织设计（暗标）页签中导入相关文件。</w:t>
      </w:r>
    </w:p>
    <w:p>
      <w:pPr>
        <w:tabs>
          <w:tab w:val="left" w:pos="912"/>
          <w:tab w:val="left" w:pos="2456"/>
        </w:tabs>
        <w:snapToGrid w:val="0"/>
        <w:spacing w:after="84" w:afterLines="35" w:line="400" w:lineRule="exact"/>
        <w:ind w:left="-2" w:firstLine="484" w:firstLineChars="202"/>
        <w:rPr>
          <w:sz w:val="24"/>
        </w:rPr>
      </w:pPr>
      <w:r>
        <w:rPr>
          <w:sz w:val="24"/>
        </w:rPr>
        <w:t>3.7.4.3</w:t>
      </w:r>
      <w:r>
        <w:rPr>
          <w:rFonts w:hint="eastAsia"/>
          <w:sz w:val="24"/>
        </w:rPr>
        <w:t>任何情况下，施工组织设计（暗标）中不得出现任何涂改、行间插字或删除痕迹。</w:t>
      </w:r>
    </w:p>
    <w:p>
      <w:pPr>
        <w:tabs>
          <w:tab w:val="left" w:pos="912"/>
          <w:tab w:val="left" w:pos="2456"/>
        </w:tabs>
        <w:snapToGrid w:val="0"/>
        <w:spacing w:after="84" w:afterLines="35" w:line="400" w:lineRule="exact"/>
        <w:ind w:left="-2" w:firstLine="484" w:firstLineChars="202"/>
        <w:rPr>
          <w:sz w:val="24"/>
        </w:rPr>
      </w:pPr>
      <w:r>
        <w:rPr>
          <w:sz w:val="24"/>
        </w:rPr>
        <w:t>3.7.4.4</w:t>
      </w:r>
      <w:r>
        <w:rPr>
          <w:rFonts w:hint="eastAsia"/>
          <w:sz w:val="24"/>
        </w:rPr>
        <w:t>除满足上述各项要求外，构成投标文件的施工组织设计（暗标）的正文中均不得出现投标人的名称和其它可识别投标人身份的字符、徽标、人员名称以及其他特殊标记等。</w:t>
      </w:r>
    </w:p>
    <w:p>
      <w:pPr>
        <w:tabs>
          <w:tab w:val="left" w:pos="1232"/>
          <w:tab w:val="left" w:pos="1260"/>
        </w:tabs>
        <w:snapToGrid w:val="0"/>
        <w:spacing w:line="420" w:lineRule="exact"/>
        <w:ind w:firstLine="480" w:firstLineChars="200"/>
        <w:rPr>
          <w:sz w:val="24"/>
        </w:rPr>
      </w:pPr>
      <w:r>
        <w:rPr>
          <w:sz w:val="24"/>
        </w:rPr>
        <w:t>3.7.4.5</w:t>
      </w:r>
      <w:r>
        <w:rPr>
          <w:rFonts w:hint="eastAsia"/>
          <w:sz w:val="24"/>
        </w:rPr>
        <w:t>其他要求：</w:t>
      </w:r>
      <w:r>
        <w:rPr>
          <w:sz w:val="24"/>
        </w:rPr>
        <w:t xml:space="preserve">                                               </w:t>
      </w:r>
    </w:p>
    <w:p>
      <w:pPr>
        <w:tabs>
          <w:tab w:val="left" w:pos="912"/>
          <w:tab w:val="left" w:pos="2456"/>
        </w:tabs>
        <w:snapToGrid w:val="0"/>
        <w:spacing w:after="84" w:afterLines="35" w:line="400" w:lineRule="exact"/>
        <w:ind w:left="-2" w:firstLine="484" w:firstLineChars="202"/>
        <w:rPr>
          <w:sz w:val="24"/>
        </w:rPr>
      </w:pPr>
      <w:r>
        <w:rPr>
          <w:rFonts w:hint="eastAsia"/>
          <w:sz w:val="24"/>
        </w:rPr>
        <w:t>采用电子化招投标的园林绿化工程项目投标人的基本信息、业绩信息和信用信息等应以北京市园林绿化建设市场信用信息系统中的信息为依据，并直接调用。电子投标文件中的证明资料的“原件的扫描件”，作为电子投标文件的组成部分可以上传</w:t>
      </w:r>
      <w:r>
        <w:rPr>
          <w:rFonts w:hint="eastAsia" w:ascii="宋体" w:hAnsi="宋体" w:cs="Arial"/>
          <w:iCs/>
          <w:sz w:val="24"/>
          <w:szCs w:val="28"/>
        </w:rPr>
        <w:t>。</w:t>
      </w:r>
    </w:p>
    <w:p>
      <w:pPr>
        <w:tabs>
          <w:tab w:val="left" w:pos="912"/>
          <w:tab w:val="left" w:pos="2456"/>
        </w:tabs>
        <w:snapToGrid w:val="0"/>
        <w:spacing w:after="84" w:afterLines="35" w:line="400" w:lineRule="exact"/>
        <w:ind w:left="-2" w:firstLine="484" w:firstLineChars="202"/>
        <w:rPr>
          <w:sz w:val="24"/>
        </w:rPr>
      </w:pPr>
      <w:r>
        <w:rPr>
          <w:sz w:val="24"/>
        </w:rPr>
        <w:t>3.7.5</w:t>
      </w:r>
      <w:r>
        <w:rPr>
          <w:rFonts w:hint="eastAsia"/>
          <w:sz w:val="24"/>
        </w:rPr>
        <w:t>采用工程量清单作为计量计价依据时，投标文件中应当采用工程量清单数据</w:t>
      </w:r>
      <w:r>
        <w:rPr>
          <w:sz w:val="24"/>
        </w:rPr>
        <w:t>XML</w:t>
      </w:r>
      <w:r>
        <w:rPr>
          <w:rFonts w:hint="eastAsia"/>
          <w:sz w:val="24"/>
        </w:rPr>
        <w:t>文件导入。</w:t>
      </w:r>
      <w:r>
        <w:rPr>
          <w:sz w:val="24"/>
        </w:rPr>
        <w:t xml:space="preserve"> </w:t>
      </w:r>
    </w:p>
    <w:p>
      <w:pPr>
        <w:pStyle w:val="6"/>
        <w:tabs>
          <w:tab w:val="left" w:pos="926"/>
        </w:tabs>
        <w:spacing w:before="156" w:beforeLines="65" w:after="84" w:afterLines="35" w:line="440" w:lineRule="exact"/>
        <w:ind w:left="-2" w:firstLine="486" w:firstLineChars="202"/>
        <w:jc w:val="both"/>
        <w:rPr>
          <w:sz w:val="24"/>
          <w:szCs w:val="24"/>
        </w:rPr>
      </w:pPr>
      <w:bookmarkStart w:id="79" w:name="_Toc64971960"/>
      <w:r>
        <w:rPr>
          <w:sz w:val="24"/>
          <w:szCs w:val="24"/>
        </w:rPr>
        <w:t>4.</w:t>
      </w:r>
      <w:r>
        <w:rPr>
          <w:sz w:val="24"/>
          <w:szCs w:val="24"/>
        </w:rPr>
        <w:tab/>
      </w:r>
      <w:r>
        <w:rPr>
          <w:rFonts w:hint="eastAsia"/>
          <w:sz w:val="24"/>
          <w:szCs w:val="24"/>
        </w:rPr>
        <w:t>投标</w:t>
      </w:r>
    </w:p>
    <w:p>
      <w:pPr>
        <w:pStyle w:val="6"/>
        <w:tabs>
          <w:tab w:val="left" w:pos="926"/>
        </w:tabs>
        <w:spacing w:before="156" w:beforeLines="65" w:after="84" w:afterLines="35" w:line="440" w:lineRule="exact"/>
        <w:ind w:left="-2" w:firstLine="486" w:firstLineChars="202"/>
        <w:jc w:val="both"/>
        <w:rPr>
          <w:sz w:val="24"/>
          <w:szCs w:val="24"/>
        </w:rPr>
      </w:pPr>
      <w:r>
        <w:rPr>
          <w:sz w:val="24"/>
          <w:szCs w:val="24"/>
        </w:rPr>
        <w:t>4.1</w:t>
      </w:r>
      <w:r>
        <w:rPr>
          <w:sz w:val="24"/>
          <w:szCs w:val="24"/>
        </w:rPr>
        <w:tab/>
      </w:r>
      <w:r>
        <w:rPr>
          <w:rFonts w:hint="eastAsia"/>
          <w:sz w:val="24"/>
          <w:szCs w:val="24"/>
        </w:rPr>
        <w:t>投标文件的加密</w:t>
      </w:r>
    </w:p>
    <w:p>
      <w:pPr>
        <w:spacing w:after="120" w:afterLines="50" w:line="400" w:lineRule="exact"/>
        <w:ind w:firstLine="480" w:firstLineChars="200"/>
        <w:rPr>
          <w:rFonts w:ascii="宋体" w:cs="Arial"/>
          <w:iCs/>
          <w:szCs w:val="28"/>
        </w:rPr>
      </w:pPr>
      <w:r>
        <w:rPr>
          <w:rFonts w:hint="eastAsia" w:ascii="宋体" w:hAnsi="宋体" w:cs="Arial"/>
          <w:iCs/>
          <w:sz w:val="24"/>
          <w:szCs w:val="28"/>
        </w:rPr>
        <w:t>电子投标文件递交前，应当使用该投标人单位的企业</w:t>
      </w:r>
      <w:r>
        <w:rPr>
          <w:rFonts w:ascii="宋体" w:hAnsi="宋体" w:cs="Arial"/>
          <w:iCs/>
          <w:sz w:val="24"/>
          <w:szCs w:val="28"/>
        </w:rPr>
        <w:t>CA</w:t>
      </w:r>
      <w:r>
        <w:rPr>
          <w:rFonts w:hint="eastAsia" w:ascii="宋体" w:hAnsi="宋体" w:cs="Arial"/>
          <w:iCs/>
          <w:sz w:val="24"/>
          <w:szCs w:val="28"/>
        </w:rPr>
        <w:t>电子印章进行加密。</w:t>
      </w:r>
    </w:p>
    <w:p>
      <w:pPr>
        <w:pStyle w:val="6"/>
        <w:tabs>
          <w:tab w:val="left" w:pos="926"/>
        </w:tabs>
        <w:spacing w:before="156" w:beforeLines="65" w:after="84" w:afterLines="35" w:line="440" w:lineRule="exact"/>
        <w:ind w:left="-2" w:firstLine="486" w:firstLineChars="202"/>
        <w:jc w:val="both"/>
        <w:rPr>
          <w:sz w:val="24"/>
          <w:szCs w:val="24"/>
        </w:rPr>
      </w:pPr>
      <w:r>
        <w:rPr>
          <w:sz w:val="24"/>
          <w:szCs w:val="24"/>
        </w:rPr>
        <w:t>4.2</w:t>
      </w:r>
      <w:r>
        <w:rPr>
          <w:sz w:val="24"/>
          <w:szCs w:val="24"/>
        </w:rPr>
        <w:tab/>
      </w:r>
      <w:r>
        <w:rPr>
          <w:rFonts w:hint="eastAsia"/>
          <w:sz w:val="24"/>
          <w:szCs w:val="24"/>
        </w:rPr>
        <w:t>投标文件的递交</w:t>
      </w:r>
    </w:p>
    <w:p>
      <w:pPr>
        <w:spacing w:line="400" w:lineRule="exact"/>
        <w:ind w:firstLine="420" w:firstLineChars="175"/>
        <w:rPr>
          <w:sz w:val="24"/>
        </w:rPr>
      </w:pPr>
      <w:r>
        <w:rPr>
          <w:sz w:val="24"/>
        </w:rPr>
        <w:t>4.2.1</w:t>
      </w:r>
      <w:r>
        <w:rPr>
          <w:rFonts w:hint="eastAsia"/>
          <w:sz w:val="24"/>
        </w:rPr>
        <w:t>投标人应在投标人须知前附表中列明的投标截止时间前通过因特网或交易中心大厅局域网将经加密的投标文件上传至电子化平台，电子化平台在成功接收投标文件之后提供回执。</w:t>
      </w:r>
    </w:p>
    <w:p>
      <w:pPr>
        <w:tabs>
          <w:tab w:val="left" w:pos="912"/>
          <w:tab w:val="left" w:pos="2456"/>
        </w:tabs>
        <w:snapToGrid w:val="0"/>
        <w:spacing w:after="84" w:afterLines="35" w:line="400" w:lineRule="exact"/>
        <w:ind w:left="-2" w:firstLine="484" w:firstLineChars="202"/>
        <w:rPr>
          <w:sz w:val="24"/>
        </w:rPr>
      </w:pPr>
      <w:r>
        <w:rPr>
          <w:rFonts w:hint="eastAsia"/>
          <w:sz w:val="24"/>
        </w:rPr>
        <w:t>投标文件上传成功后平台自动生成的回执时间即为递交成功时间，投标人应保留回执。如果招标人据本须知第</w:t>
      </w:r>
      <w:r>
        <w:rPr>
          <w:sz w:val="24"/>
        </w:rPr>
        <w:t>2.2</w:t>
      </w:r>
      <w:r>
        <w:rPr>
          <w:rFonts w:hint="eastAsia"/>
          <w:sz w:val="24"/>
        </w:rPr>
        <w:t>或</w:t>
      </w:r>
      <w:r>
        <w:rPr>
          <w:sz w:val="24"/>
        </w:rPr>
        <w:t>2.3</w:t>
      </w:r>
      <w:r>
        <w:rPr>
          <w:rFonts w:hint="eastAsia"/>
          <w:sz w:val="24"/>
        </w:rPr>
        <w:t>款规定相应延长了递交投标文件的截止时间，则本招标工程递交投标文件的截止时间以新的时间为准。</w:t>
      </w:r>
    </w:p>
    <w:p>
      <w:pPr>
        <w:spacing w:line="400" w:lineRule="exact"/>
        <w:ind w:left="420"/>
        <w:rPr>
          <w:rFonts w:ascii="宋体" w:cs="Arial"/>
          <w:iCs/>
          <w:szCs w:val="28"/>
        </w:rPr>
      </w:pPr>
      <w:r>
        <w:rPr>
          <w:sz w:val="24"/>
        </w:rPr>
        <w:t xml:space="preserve">4.2.2 </w:t>
      </w:r>
      <w:r>
        <w:rPr>
          <w:rFonts w:hint="eastAsia"/>
          <w:sz w:val="24"/>
        </w:rPr>
        <w:t>投标文件的递交方式：见投标人须知前附表。</w:t>
      </w:r>
    </w:p>
    <w:p>
      <w:pPr>
        <w:tabs>
          <w:tab w:val="left" w:pos="912"/>
          <w:tab w:val="left" w:pos="2456"/>
        </w:tabs>
        <w:snapToGrid w:val="0"/>
        <w:spacing w:after="84" w:afterLines="35" w:line="400" w:lineRule="exact"/>
        <w:ind w:firstLine="424" w:firstLineChars="177"/>
        <w:rPr>
          <w:sz w:val="24"/>
        </w:rPr>
      </w:pPr>
      <w:r>
        <w:rPr>
          <w:sz w:val="24"/>
        </w:rPr>
        <w:t xml:space="preserve">4.2.3 </w:t>
      </w:r>
      <w:r>
        <w:rPr>
          <w:rFonts w:hint="eastAsia"/>
          <w:sz w:val="24"/>
        </w:rPr>
        <w:t>除投标人须知前附表另有规定外，投标人所递交的投标文件不予退还。</w:t>
      </w:r>
      <w:r>
        <w:rPr>
          <w:sz w:val="24"/>
        </w:rPr>
        <w:t xml:space="preserve"> </w:t>
      </w:r>
    </w:p>
    <w:p>
      <w:pPr>
        <w:spacing w:line="400" w:lineRule="exact"/>
        <w:ind w:firstLine="424" w:firstLineChars="177"/>
        <w:rPr>
          <w:rFonts w:ascii="宋体"/>
          <w:sz w:val="24"/>
          <w:szCs w:val="21"/>
        </w:rPr>
      </w:pPr>
      <w:r>
        <w:rPr>
          <w:sz w:val="24"/>
        </w:rPr>
        <w:t xml:space="preserve">4.2.4 </w:t>
      </w:r>
      <w:r>
        <w:rPr>
          <w:rFonts w:hint="eastAsia" w:ascii="宋体" w:hAnsi="宋体"/>
          <w:sz w:val="24"/>
          <w:szCs w:val="21"/>
        </w:rPr>
        <w:t>投标文件有下列情况之一的，招标人将当场予以拒绝，不再对其进行开标和后续评标，并原封退还投标人：</w:t>
      </w:r>
      <w:r>
        <w:rPr>
          <w:rFonts w:ascii="宋体" w:hAnsi="宋体"/>
          <w:sz w:val="24"/>
          <w:szCs w:val="21"/>
        </w:rPr>
        <w:t xml:space="preserve"> </w:t>
      </w:r>
    </w:p>
    <w:p>
      <w:pPr>
        <w:numPr>
          <w:ilvl w:val="0"/>
          <w:numId w:val="5"/>
        </w:numPr>
        <w:spacing w:line="400" w:lineRule="exact"/>
        <w:ind w:firstLine="147"/>
        <w:rPr>
          <w:rFonts w:ascii="宋体"/>
          <w:sz w:val="24"/>
          <w:szCs w:val="21"/>
        </w:rPr>
      </w:pPr>
      <w:r>
        <w:rPr>
          <w:rFonts w:hint="eastAsia" w:ascii="宋体"/>
          <w:sz w:val="24"/>
          <w:szCs w:val="21"/>
        </w:rPr>
        <w:t>投标人未按照招标公告规定的期限和方式获取招标文件的；</w:t>
      </w:r>
    </w:p>
    <w:p>
      <w:pPr>
        <w:numPr>
          <w:ilvl w:val="0"/>
          <w:numId w:val="5"/>
        </w:numPr>
        <w:spacing w:line="400" w:lineRule="exact"/>
        <w:ind w:firstLine="147"/>
        <w:rPr>
          <w:rFonts w:ascii="宋体"/>
          <w:sz w:val="24"/>
          <w:szCs w:val="21"/>
        </w:rPr>
      </w:pPr>
      <w:r>
        <w:rPr>
          <w:rFonts w:hint="eastAsia" w:ascii="宋体" w:hAnsi="宋体"/>
          <w:sz w:val="24"/>
          <w:szCs w:val="21"/>
        </w:rPr>
        <w:t>未按照招标文件规定的递交方式递交的；</w:t>
      </w:r>
    </w:p>
    <w:p>
      <w:pPr>
        <w:numPr>
          <w:ilvl w:val="0"/>
          <w:numId w:val="5"/>
        </w:numPr>
        <w:spacing w:line="400" w:lineRule="exact"/>
        <w:ind w:firstLine="147"/>
        <w:rPr>
          <w:rFonts w:ascii="宋体"/>
          <w:sz w:val="24"/>
          <w:szCs w:val="21"/>
        </w:rPr>
      </w:pPr>
      <w:r>
        <w:rPr>
          <w:rFonts w:hint="eastAsia" w:ascii="宋体" w:hAnsi="宋体"/>
          <w:sz w:val="24"/>
          <w:szCs w:val="21"/>
        </w:rPr>
        <w:t>电子化平台中无投标文件，且不能出示成功递交回执的；</w:t>
      </w:r>
    </w:p>
    <w:p>
      <w:pPr>
        <w:numPr>
          <w:ilvl w:val="0"/>
          <w:numId w:val="5"/>
        </w:numPr>
        <w:spacing w:line="400" w:lineRule="exact"/>
        <w:ind w:firstLine="147"/>
        <w:rPr>
          <w:rFonts w:ascii="宋体"/>
          <w:sz w:val="24"/>
          <w:szCs w:val="21"/>
        </w:rPr>
      </w:pPr>
      <w:r>
        <w:rPr>
          <w:rFonts w:hint="eastAsia" w:ascii="宋体" w:hAnsi="宋体"/>
          <w:sz w:val="24"/>
          <w:szCs w:val="21"/>
        </w:rPr>
        <w:t>回执载明的传输完成时间超出招标文件规定投标文件递交截止时间的；</w:t>
      </w:r>
    </w:p>
    <w:p>
      <w:pPr>
        <w:numPr>
          <w:ilvl w:val="0"/>
          <w:numId w:val="5"/>
        </w:numPr>
        <w:spacing w:line="400" w:lineRule="exact"/>
        <w:ind w:firstLine="147"/>
        <w:rPr>
          <w:rFonts w:ascii="宋体"/>
          <w:sz w:val="24"/>
          <w:szCs w:val="21"/>
        </w:rPr>
      </w:pPr>
      <w:r>
        <w:rPr>
          <w:rFonts w:hint="eastAsia" w:ascii="宋体" w:hAnsi="宋体"/>
          <w:sz w:val="24"/>
          <w:szCs w:val="21"/>
        </w:rPr>
        <w:t>因投标人原因，电子化平台无法正常打开的；</w:t>
      </w:r>
    </w:p>
    <w:p>
      <w:pPr>
        <w:numPr>
          <w:ilvl w:val="0"/>
          <w:numId w:val="5"/>
        </w:numPr>
        <w:spacing w:line="400" w:lineRule="exact"/>
        <w:ind w:firstLine="147"/>
        <w:rPr>
          <w:rFonts w:ascii="宋体"/>
          <w:sz w:val="24"/>
          <w:szCs w:val="21"/>
        </w:rPr>
      </w:pPr>
      <w:r>
        <w:rPr>
          <w:rFonts w:hint="eastAsia" w:ascii="宋体" w:hAnsi="宋体"/>
          <w:sz w:val="24"/>
          <w:szCs w:val="21"/>
        </w:rPr>
        <w:t>法律法规规定的其他情形：</w:t>
      </w:r>
      <w:r>
        <w:rPr>
          <w:rFonts w:ascii="宋体" w:hAnsi="宋体"/>
          <w:sz w:val="24"/>
          <w:szCs w:val="21"/>
          <w:u w:val="single"/>
        </w:rPr>
        <w:t xml:space="preserve">               </w:t>
      </w:r>
      <w:r>
        <w:rPr>
          <w:rFonts w:hint="eastAsia" w:ascii="宋体" w:hAnsi="宋体"/>
          <w:sz w:val="24"/>
          <w:szCs w:val="21"/>
        </w:rPr>
        <w:t>。</w:t>
      </w:r>
    </w:p>
    <w:p>
      <w:pPr>
        <w:pStyle w:val="6"/>
        <w:tabs>
          <w:tab w:val="left" w:pos="926"/>
        </w:tabs>
        <w:spacing w:before="156" w:beforeLines="65" w:after="84" w:afterLines="35" w:line="440" w:lineRule="exact"/>
        <w:ind w:left="-2" w:firstLine="486" w:firstLineChars="202"/>
        <w:jc w:val="both"/>
        <w:rPr>
          <w:sz w:val="24"/>
          <w:szCs w:val="24"/>
        </w:rPr>
      </w:pPr>
      <w:r>
        <w:rPr>
          <w:sz w:val="24"/>
          <w:szCs w:val="24"/>
        </w:rPr>
        <w:t>4.3</w:t>
      </w:r>
      <w:r>
        <w:rPr>
          <w:sz w:val="24"/>
          <w:szCs w:val="24"/>
        </w:rPr>
        <w:tab/>
      </w:r>
      <w:r>
        <w:rPr>
          <w:rFonts w:hint="eastAsia"/>
          <w:sz w:val="24"/>
          <w:szCs w:val="24"/>
        </w:rPr>
        <w:t>投标文件的修改与撤回</w:t>
      </w:r>
    </w:p>
    <w:bookmarkEnd w:id="79"/>
    <w:p>
      <w:pPr>
        <w:tabs>
          <w:tab w:val="left" w:pos="912"/>
          <w:tab w:val="left" w:pos="2456"/>
        </w:tabs>
        <w:snapToGrid w:val="0"/>
        <w:spacing w:after="84" w:afterLines="35" w:line="400" w:lineRule="exact"/>
        <w:ind w:left="-2" w:firstLine="484" w:firstLineChars="202"/>
        <w:rPr>
          <w:sz w:val="24"/>
        </w:rPr>
      </w:pPr>
      <w:bookmarkStart w:id="80" w:name="_Toc64971967"/>
      <w:r>
        <w:rPr>
          <w:sz w:val="24"/>
        </w:rPr>
        <w:t xml:space="preserve">4.3.1 </w:t>
      </w:r>
      <w:r>
        <w:rPr>
          <w:rFonts w:hint="eastAsia"/>
          <w:sz w:val="24"/>
        </w:rPr>
        <w:t>在投标人须知前附表规定的投标截止时间前，投标人可以修改或撤回已递交的投标文件，电子化平台将记录撤回操作。</w:t>
      </w:r>
    </w:p>
    <w:p>
      <w:pPr>
        <w:spacing w:line="400" w:lineRule="exact"/>
        <w:ind w:firstLine="424" w:firstLineChars="177"/>
        <w:rPr>
          <w:rFonts w:ascii="宋体"/>
          <w:sz w:val="24"/>
          <w:szCs w:val="21"/>
        </w:rPr>
      </w:pPr>
      <w:r>
        <w:rPr>
          <w:sz w:val="24"/>
        </w:rPr>
        <w:t>4.3.2</w:t>
      </w:r>
      <w:r>
        <w:rPr>
          <w:rFonts w:hint="eastAsia"/>
          <w:sz w:val="24"/>
        </w:rPr>
        <w:t>投标人在招标文件规定的投标文件递交截止时间前，对已经成功递交的投标文件进行修改、补充的，投标人应当使用“电子标书制作工具”制作成完整的投标文件，并上传电子化平台。电子化平台提供回执。电子</w:t>
      </w:r>
      <w:r>
        <w:rPr>
          <w:rFonts w:hint="eastAsia" w:ascii="宋体" w:hAnsi="宋体"/>
          <w:sz w:val="24"/>
          <w:szCs w:val="21"/>
        </w:rPr>
        <w:t>投标文件以在招标文件规定的电子投标文件递交截止时间前，最后上传成功的为准。</w:t>
      </w:r>
    </w:p>
    <w:p>
      <w:pPr>
        <w:tabs>
          <w:tab w:val="left" w:pos="912"/>
          <w:tab w:val="left" w:pos="2580"/>
        </w:tabs>
        <w:snapToGrid w:val="0"/>
        <w:spacing w:after="84" w:afterLines="35" w:line="400" w:lineRule="exact"/>
        <w:ind w:left="-2" w:firstLine="484" w:firstLineChars="202"/>
        <w:rPr>
          <w:sz w:val="24"/>
        </w:rPr>
      </w:pPr>
      <w:r>
        <w:rPr>
          <w:sz w:val="24"/>
        </w:rPr>
        <w:t>4.3.3</w:t>
      </w:r>
      <w:r>
        <w:rPr>
          <w:rFonts w:hint="eastAsia"/>
          <w:sz w:val="24"/>
        </w:rPr>
        <w:t>招标人将拒绝接受在投标截止时间之后提交的投标文件修订本。投标截止时间至投标有效期满之前，投标人不得撤回其投标文件。</w:t>
      </w:r>
    </w:p>
    <w:p>
      <w:pPr>
        <w:pStyle w:val="6"/>
        <w:tabs>
          <w:tab w:val="left" w:pos="926"/>
        </w:tabs>
        <w:spacing w:before="156" w:beforeLines="65" w:after="84" w:afterLines="35" w:line="440" w:lineRule="exact"/>
        <w:ind w:left="-2" w:firstLine="486" w:firstLineChars="202"/>
        <w:jc w:val="both"/>
        <w:rPr>
          <w:sz w:val="24"/>
          <w:szCs w:val="24"/>
        </w:rPr>
      </w:pPr>
      <w:r>
        <w:rPr>
          <w:sz w:val="24"/>
          <w:szCs w:val="24"/>
        </w:rPr>
        <w:t xml:space="preserve">5. </w:t>
      </w:r>
      <w:r>
        <w:rPr>
          <w:rFonts w:hint="eastAsia"/>
          <w:sz w:val="24"/>
          <w:szCs w:val="24"/>
        </w:rPr>
        <w:t>开标</w:t>
      </w:r>
    </w:p>
    <w:p>
      <w:pPr>
        <w:pStyle w:val="6"/>
        <w:tabs>
          <w:tab w:val="left" w:pos="926"/>
        </w:tabs>
        <w:spacing w:before="156" w:beforeLines="65" w:after="84" w:afterLines="35" w:line="440" w:lineRule="exact"/>
        <w:ind w:left="-2" w:firstLine="486" w:firstLineChars="202"/>
        <w:jc w:val="both"/>
        <w:rPr>
          <w:sz w:val="24"/>
          <w:szCs w:val="24"/>
        </w:rPr>
      </w:pPr>
      <w:r>
        <w:rPr>
          <w:sz w:val="24"/>
          <w:szCs w:val="24"/>
        </w:rPr>
        <w:t>5.1</w:t>
      </w:r>
      <w:r>
        <w:rPr>
          <w:rFonts w:hint="eastAsia"/>
          <w:sz w:val="24"/>
          <w:szCs w:val="24"/>
        </w:rPr>
        <w:t>开标时间和地点（</w:t>
      </w:r>
      <w:r>
        <w:rPr>
          <w:rFonts w:hint="eastAsia"/>
          <w:sz w:val="24"/>
        </w:rPr>
        <w:t>适用于现场开标形式</w:t>
      </w:r>
      <w:r>
        <w:rPr>
          <w:rFonts w:hint="eastAsia"/>
          <w:sz w:val="24"/>
          <w:szCs w:val="24"/>
        </w:rPr>
        <w:t>）</w:t>
      </w:r>
    </w:p>
    <w:p>
      <w:pPr>
        <w:tabs>
          <w:tab w:val="left" w:pos="2456"/>
        </w:tabs>
        <w:snapToGrid w:val="0"/>
        <w:spacing w:after="84" w:afterLines="35" w:line="400" w:lineRule="exact"/>
        <w:ind w:left="-2" w:firstLine="484" w:firstLineChars="202"/>
        <w:rPr>
          <w:sz w:val="24"/>
        </w:rPr>
      </w:pPr>
      <w:r>
        <w:rPr>
          <w:rFonts w:hint="eastAsia"/>
          <w:sz w:val="24"/>
        </w:rPr>
        <w:t>招标人在本章第</w:t>
      </w:r>
      <w:r>
        <w:rPr>
          <w:sz w:val="24"/>
        </w:rPr>
        <w:t xml:space="preserve"> 4.2.1 </w:t>
      </w:r>
      <w:r>
        <w:rPr>
          <w:rFonts w:hint="eastAsia"/>
          <w:sz w:val="24"/>
        </w:rPr>
        <w:t>项规定的投标截止时间（开标时间）和投标人须知前附表规定的地点公开开标，并邀请所有投标人的法定代表人或其委托代理人准时参加。</w:t>
      </w:r>
    </w:p>
    <w:p>
      <w:pPr>
        <w:tabs>
          <w:tab w:val="left" w:pos="912"/>
          <w:tab w:val="left" w:pos="2456"/>
        </w:tabs>
        <w:snapToGrid w:val="0"/>
        <w:spacing w:after="84" w:afterLines="35" w:line="400" w:lineRule="exact"/>
        <w:ind w:left="-2" w:firstLine="486" w:firstLineChars="202"/>
        <w:rPr>
          <w:sz w:val="24"/>
        </w:rPr>
      </w:pPr>
      <w:r>
        <w:rPr>
          <w:rFonts w:hint="eastAsia"/>
          <w:b/>
          <w:sz w:val="24"/>
        </w:rPr>
        <w:t>特别提醒：</w:t>
      </w:r>
      <w:r>
        <w:rPr>
          <w:rFonts w:hint="eastAsia"/>
          <w:sz w:val="24"/>
        </w:rPr>
        <w:t>参加开标会的投标人法定代表人或其委托代理人在递交投标文件截止时间前向招标人提交法定代表人身份证明文件或法定代表人授权委托书，招标人代表和投标人法定代表人或其委托代理人出示本人有效身份证原件签到。</w:t>
      </w:r>
    </w:p>
    <w:p>
      <w:pPr>
        <w:tabs>
          <w:tab w:val="left" w:pos="912"/>
          <w:tab w:val="left" w:pos="2456"/>
        </w:tabs>
        <w:snapToGrid w:val="0"/>
        <w:spacing w:after="84" w:afterLines="35" w:line="400" w:lineRule="exact"/>
        <w:ind w:left="-2" w:firstLine="484" w:firstLineChars="202"/>
        <w:rPr>
          <w:sz w:val="24"/>
        </w:rPr>
      </w:pPr>
      <w:r>
        <w:rPr>
          <w:rFonts w:hint="eastAsia"/>
          <w:sz w:val="24"/>
        </w:rPr>
        <w:t>投标人代表在开标会开始后，使用上传投标文件时加密的企业</w:t>
      </w:r>
      <w:r>
        <w:rPr>
          <w:sz w:val="24"/>
        </w:rPr>
        <w:t>CA</w:t>
      </w:r>
      <w:r>
        <w:rPr>
          <w:rFonts w:hint="eastAsia"/>
          <w:sz w:val="24"/>
        </w:rPr>
        <w:t>电子印章对本单位的投标文件进行解密。</w:t>
      </w:r>
    </w:p>
    <w:p>
      <w:pPr>
        <w:tabs>
          <w:tab w:val="left" w:pos="912"/>
          <w:tab w:val="left" w:pos="2456"/>
        </w:tabs>
        <w:snapToGrid w:val="0"/>
        <w:spacing w:after="84" w:afterLines="35" w:line="400" w:lineRule="exact"/>
        <w:ind w:left="-2" w:firstLine="484" w:firstLineChars="202"/>
        <w:rPr>
          <w:sz w:val="24"/>
        </w:rPr>
      </w:pPr>
      <w:r>
        <w:rPr>
          <w:rFonts w:hint="eastAsia"/>
          <w:sz w:val="24"/>
        </w:rPr>
        <w:t>因投标人原因造成未在规定时间内解密投标文件的，视为撤销其投标文件，投标人自行承担由此导致的全部责任。</w:t>
      </w:r>
    </w:p>
    <w:p>
      <w:pPr>
        <w:tabs>
          <w:tab w:val="left" w:pos="912"/>
          <w:tab w:val="left" w:pos="2456"/>
        </w:tabs>
        <w:snapToGrid w:val="0"/>
        <w:spacing w:after="84" w:afterLines="35" w:line="400" w:lineRule="exact"/>
        <w:ind w:left="-2" w:firstLine="484" w:firstLineChars="202"/>
        <w:rPr>
          <w:sz w:val="24"/>
        </w:rPr>
      </w:pPr>
      <w:r>
        <w:rPr>
          <w:rFonts w:hint="eastAsia"/>
          <w:sz w:val="24"/>
        </w:rPr>
        <w:t>开标结束后，招标人代表和投标人代表使用手写板在开标会记录上签字确认。招标人使用电子化平台认可的企业</w:t>
      </w:r>
      <w:r>
        <w:rPr>
          <w:sz w:val="24"/>
        </w:rPr>
        <w:t>CA</w:t>
      </w:r>
      <w:r>
        <w:rPr>
          <w:rFonts w:hint="eastAsia"/>
          <w:sz w:val="24"/>
        </w:rPr>
        <w:t>电子印章将该工程所有投标文件进行加密，加密用的</w:t>
      </w:r>
      <w:r>
        <w:rPr>
          <w:sz w:val="24"/>
        </w:rPr>
        <w:t>CA</w:t>
      </w:r>
      <w:r>
        <w:rPr>
          <w:rFonts w:hint="eastAsia"/>
          <w:sz w:val="24"/>
        </w:rPr>
        <w:t>电子印章须由招标人妥善保管。</w:t>
      </w:r>
    </w:p>
    <w:p>
      <w:pPr>
        <w:pStyle w:val="6"/>
        <w:tabs>
          <w:tab w:val="left" w:pos="926"/>
        </w:tabs>
        <w:spacing w:before="156" w:beforeLines="65" w:after="84" w:afterLines="35" w:line="440" w:lineRule="exact"/>
        <w:ind w:left="-2" w:firstLine="486" w:firstLineChars="202"/>
        <w:jc w:val="both"/>
        <w:rPr>
          <w:sz w:val="24"/>
          <w:szCs w:val="24"/>
        </w:rPr>
      </w:pPr>
      <w:r>
        <w:rPr>
          <w:rFonts w:hint="eastAsia"/>
          <w:sz w:val="24"/>
          <w:szCs w:val="24"/>
        </w:rPr>
        <w:t>5.1</w:t>
      </w:r>
      <w:r>
        <w:rPr>
          <w:sz w:val="24"/>
          <w:szCs w:val="24"/>
        </w:rPr>
        <w:t>开标时间和</w:t>
      </w:r>
      <w:r>
        <w:rPr>
          <w:rFonts w:hint="eastAsia"/>
          <w:sz w:val="24"/>
          <w:szCs w:val="24"/>
        </w:rPr>
        <w:t>网址（</w:t>
      </w:r>
      <w:r>
        <w:rPr>
          <w:rFonts w:hint="eastAsia"/>
          <w:sz w:val="24"/>
        </w:rPr>
        <w:t>适用于远程在线开标形式</w:t>
      </w:r>
      <w:r>
        <w:rPr>
          <w:rFonts w:hint="eastAsia"/>
          <w:sz w:val="24"/>
          <w:szCs w:val="24"/>
        </w:rPr>
        <w:t>）</w:t>
      </w:r>
    </w:p>
    <w:p>
      <w:pPr>
        <w:tabs>
          <w:tab w:val="left" w:pos="912"/>
          <w:tab w:val="left" w:pos="2456"/>
        </w:tabs>
        <w:snapToGrid w:val="0"/>
        <w:spacing w:after="84" w:afterLines="35" w:line="400" w:lineRule="exact"/>
        <w:ind w:left="-2" w:firstLine="484" w:firstLineChars="202"/>
        <w:rPr>
          <w:sz w:val="24"/>
        </w:rPr>
      </w:pPr>
      <w:r>
        <w:rPr>
          <w:sz w:val="24"/>
        </w:rPr>
        <w:t>招标人</w:t>
      </w:r>
      <w:r>
        <w:rPr>
          <w:rFonts w:hint="eastAsia"/>
          <w:sz w:val="24"/>
        </w:rPr>
        <w:t>在规定的开标网址进行远程在线开标，所有投标人的法定代表人或其委托代理人准时登录电子化平台参加开标。远程在线开标的网址见投标人须知前附表。</w:t>
      </w:r>
    </w:p>
    <w:p>
      <w:pPr>
        <w:tabs>
          <w:tab w:val="left" w:pos="912"/>
          <w:tab w:val="left" w:pos="2456"/>
        </w:tabs>
        <w:snapToGrid w:val="0"/>
        <w:spacing w:after="84" w:afterLines="35" w:line="400" w:lineRule="exact"/>
        <w:ind w:left="-2" w:firstLine="484" w:firstLineChars="202"/>
        <w:rPr>
          <w:sz w:val="24"/>
        </w:rPr>
      </w:pPr>
      <w:r>
        <w:rPr>
          <w:rFonts w:hint="eastAsia"/>
          <w:sz w:val="24"/>
        </w:rPr>
        <w:t>因投标人原因造成未在规定时间内解密投标文件的，视为撤销其投标文件，投标人自行承担由此导致的全部责任。</w:t>
      </w:r>
    </w:p>
    <w:p>
      <w:pPr>
        <w:tabs>
          <w:tab w:val="left" w:pos="912"/>
          <w:tab w:val="left" w:pos="2456"/>
        </w:tabs>
        <w:snapToGrid w:val="0"/>
        <w:spacing w:after="84" w:afterLines="35" w:line="400" w:lineRule="exact"/>
        <w:ind w:left="-2" w:firstLine="484" w:firstLineChars="202"/>
        <w:rPr>
          <w:sz w:val="24"/>
        </w:rPr>
      </w:pPr>
      <w:r>
        <w:rPr>
          <w:rFonts w:hint="eastAsia"/>
          <w:sz w:val="24"/>
        </w:rPr>
        <w:t>投标人的法定代表人或其委托代理人未登录电子化平台参加开标，视为放弃投标。</w:t>
      </w:r>
    </w:p>
    <w:p>
      <w:pPr>
        <w:tabs>
          <w:tab w:val="left" w:pos="912"/>
          <w:tab w:val="left" w:pos="2456"/>
        </w:tabs>
        <w:snapToGrid w:val="0"/>
        <w:spacing w:after="84" w:afterLines="35" w:line="400" w:lineRule="exact"/>
        <w:ind w:left="-2" w:firstLine="486" w:firstLineChars="202"/>
        <w:rPr>
          <w:b/>
          <w:sz w:val="24"/>
        </w:rPr>
      </w:pPr>
      <w:r>
        <w:rPr>
          <w:b/>
          <w:sz w:val="24"/>
        </w:rPr>
        <w:t xml:space="preserve">5.2 </w:t>
      </w:r>
      <w:r>
        <w:rPr>
          <w:rFonts w:hint="eastAsia"/>
          <w:b/>
          <w:sz w:val="24"/>
        </w:rPr>
        <w:t>开标程序（适用于现场开标形式）</w:t>
      </w:r>
    </w:p>
    <w:p>
      <w:pPr>
        <w:tabs>
          <w:tab w:val="left" w:pos="2456"/>
        </w:tabs>
        <w:snapToGrid w:val="0"/>
        <w:spacing w:after="84" w:afterLines="35" w:line="400" w:lineRule="exact"/>
        <w:ind w:left="-2" w:firstLine="484" w:firstLineChars="202"/>
        <w:rPr>
          <w:sz w:val="24"/>
        </w:rPr>
      </w:pPr>
      <w:r>
        <w:rPr>
          <w:rFonts w:hint="eastAsia"/>
          <w:sz w:val="24"/>
        </w:rPr>
        <w:t>开标会由招标人或其委托的招标代理机构主持。参加开标会的各位代表应遵守会场纪律，保持会场秩序。</w:t>
      </w:r>
    </w:p>
    <w:p>
      <w:pPr>
        <w:tabs>
          <w:tab w:val="left" w:pos="2456"/>
        </w:tabs>
        <w:snapToGrid w:val="0"/>
        <w:spacing w:after="84" w:afterLines="35" w:line="400" w:lineRule="exact"/>
        <w:ind w:left="-2" w:firstLine="484" w:firstLineChars="202"/>
        <w:rPr>
          <w:sz w:val="24"/>
        </w:rPr>
      </w:pPr>
      <w:r>
        <w:rPr>
          <w:rFonts w:hint="eastAsia"/>
          <w:sz w:val="24"/>
        </w:rPr>
        <w:t>主持人按下列程序进行开标：</w:t>
      </w:r>
    </w:p>
    <w:p>
      <w:pPr>
        <w:tabs>
          <w:tab w:val="left" w:pos="2456"/>
        </w:tabs>
        <w:snapToGrid w:val="0"/>
        <w:spacing w:after="84" w:afterLines="35" w:line="400" w:lineRule="exact"/>
        <w:ind w:left="-2" w:firstLine="484" w:firstLineChars="202"/>
        <w:rPr>
          <w:sz w:val="24"/>
        </w:rPr>
      </w:pPr>
      <w:r>
        <w:rPr>
          <w:rFonts w:hint="eastAsia"/>
          <w:sz w:val="24"/>
        </w:rPr>
        <w:t>（</w:t>
      </w:r>
      <w:r>
        <w:rPr>
          <w:sz w:val="24"/>
        </w:rPr>
        <w:t>1</w:t>
      </w:r>
      <w:r>
        <w:rPr>
          <w:rFonts w:hint="eastAsia"/>
          <w:sz w:val="24"/>
        </w:rPr>
        <w:t>）宣布开标纪律；</w:t>
      </w:r>
    </w:p>
    <w:p>
      <w:pPr>
        <w:tabs>
          <w:tab w:val="left" w:pos="2456"/>
        </w:tabs>
        <w:snapToGrid w:val="0"/>
        <w:spacing w:after="84" w:afterLines="35" w:line="400" w:lineRule="exact"/>
        <w:ind w:left="-2" w:firstLine="484" w:firstLineChars="202"/>
        <w:rPr>
          <w:sz w:val="24"/>
        </w:rPr>
      </w:pPr>
      <w:r>
        <w:rPr>
          <w:rFonts w:hint="eastAsia"/>
          <w:sz w:val="24"/>
        </w:rPr>
        <w:t>（</w:t>
      </w:r>
      <w:r>
        <w:rPr>
          <w:sz w:val="24"/>
        </w:rPr>
        <w:t>2</w:t>
      </w:r>
      <w:r>
        <w:rPr>
          <w:rFonts w:hint="eastAsia"/>
          <w:sz w:val="24"/>
        </w:rPr>
        <w:t>）公布在投标截止时间前递交投标文件的投标人名称，并点名确认投标人是否派人到场；</w:t>
      </w:r>
    </w:p>
    <w:p>
      <w:pPr>
        <w:tabs>
          <w:tab w:val="left" w:pos="2456"/>
        </w:tabs>
        <w:snapToGrid w:val="0"/>
        <w:spacing w:after="84" w:afterLines="35" w:line="400" w:lineRule="exact"/>
        <w:ind w:left="-2" w:firstLine="484" w:firstLineChars="202"/>
        <w:rPr>
          <w:sz w:val="24"/>
        </w:rPr>
      </w:pPr>
      <w:r>
        <w:rPr>
          <w:rFonts w:hint="eastAsia"/>
          <w:sz w:val="24"/>
        </w:rPr>
        <w:t>（</w:t>
      </w:r>
      <w:r>
        <w:rPr>
          <w:sz w:val="24"/>
        </w:rPr>
        <w:t>3</w:t>
      </w:r>
      <w:r>
        <w:rPr>
          <w:rFonts w:hint="eastAsia"/>
          <w:sz w:val="24"/>
        </w:rPr>
        <w:t>）宣布开标人、唱标人、记录人等有关人员姓名；</w:t>
      </w:r>
    </w:p>
    <w:p>
      <w:pPr>
        <w:tabs>
          <w:tab w:val="left" w:pos="2456"/>
        </w:tabs>
        <w:snapToGrid w:val="0"/>
        <w:spacing w:after="84" w:afterLines="35" w:line="400" w:lineRule="exact"/>
        <w:ind w:left="-2" w:firstLine="484" w:firstLineChars="202"/>
        <w:rPr>
          <w:sz w:val="24"/>
        </w:rPr>
      </w:pPr>
      <w:r>
        <w:rPr>
          <w:sz w:val="24"/>
        </w:rPr>
        <w:t>（</w:t>
      </w:r>
      <w:r>
        <w:rPr>
          <w:rFonts w:hint="eastAsia"/>
          <w:sz w:val="24"/>
        </w:rPr>
        <w:t>4</w:t>
      </w:r>
      <w:r>
        <w:rPr>
          <w:sz w:val="24"/>
        </w:rPr>
        <w:t>）</w:t>
      </w:r>
      <w:r>
        <w:rPr>
          <w:rFonts w:hint="eastAsia"/>
          <w:sz w:val="24"/>
        </w:rPr>
        <w:t>投标人解密投标文件，系统读取所有解密成功的投标文件内容；</w:t>
      </w:r>
    </w:p>
    <w:p>
      <w:pPr>
        <w:tabs>
          <w:tab w:val="left" w:pos="2456"/>
        </w:tabs>
        <w:snapToGrid w:val="0"/>
        <w:spacing w:after="84" w:afterLines="35" w:line="400" w:lineRule="exact"/>
        <w:ind w:left="-2" w:firstLine="484" w:firstLineChars="202"/>
        <w:rPr>
          <w:strike/>
          <w:sz w:val="24"/>
        </w:rPr>
      </w:pPr>
      <w:r>
        <w:rPr>
          <w:rFonts w:hint="eastAsia"/>
          <w:sz w:val="24"/>
        </w:rPr>
        <w:t>（5）自动从北京市园林绿化局官方网站获取所有递交投标文件的投标人企业信用评价分值和（或）拟派项目负责人信用评价分值，并记入开标记录表中；信用标信息采集相关注意事项见本章第</w:t>
      </w:r>
      <w:r>
        <w:rPr>
          <w:sz w:val="24"/>
        </w:rPr>
        <w:t>5.3</w:t>
      </w:r>
      <w:r>
        <w:rPr>
          <w:rFonts w:hint="eastAsia"/>
          <w:sz w:val="24"/>
        </w:rPr>
        <w:t>款内容；</w:t>
      </w:r>
    </w:p>
    <w:p>
      <w:pPr>
        <w:tabs>
          <w:tab w:val="left" w:pos="2456"/>
        </w:tabs>
        <w:snapToGrid w:val="0"/>
        <w:spacing w:after="84" w:afterLines="35" w:line="400" w:lineRule="exact"/>
        <w:ind w:left="-2" w:firstLine="484" w:firstLineChars="202"/>
        <w:rPr>
          <w:sz w:val="24"/>
        </w:rPr>
      </w:pPr>
      <w:r>
        <w:rPr>
          <w:rFonts w:hint="eastAsia"/>
          <w:sz w:val="24"/>
        </w:rPr>
        <w:t>（6）按照投标人须知前附表的规定确定并宣布投标文件开标顺序；</w:t>
      </w:r>
    </w:p>
    <w:p>
      <w:pPr>
        <w:tabs>
          <w:tab w:val="left" w:pos="2456"/>
        </w:tabs>
        <w:snapToGrid w:val="0"/>
        <w:spacing w:after="84" w:afterLines="35" w:line="400" w:lineRule="exact"/>
        <w:ind w:left="-2" w:firstLine="484" w:firstLineChars="202"/>
        <w:rPr>
          <w:sz w:val="24"/>
        </w:rPr>
      </w:pPr>
      <w:r>
        <w:rPr>
          <w:rFonts w:hint="eastAsia"/>
          <w:sz w:val="24"/>
        </w:rPr>
        <w:t>（7）设有标底的，公布标底；</w:t>
      </w:r>
    </w:p>
    <w:p>
      <w:pPr>
        <w:tabs>
          <w:tab w:val="left" w:pos="2456"/>
        </w:tabs>
        <w:snapToGrid w:val="0"/>
        <w:spacing w:after="84" w:afterLines="35" w:line="400" w:lineRule="exact"/>
        <w:ind w:left="-2" w:firstLine="484" w:firstLineChars="202"/>
        <w:rPr>
          <w:sz w:val="24"/>
        </w:rPr>
      </w:pPr>
      <w:r>
        <w:rPr>
          <w:rFonts w:hint="eastAsia"/>
          <w:sz w:val="24"/>
        </w:rPr>
        <w:t>（8）按照宣布的开标顺序当众开标，公布投标人名称、标段名称、投标担保的递交情况、投标报价、质量目标、工期、投标人企业信用评价分值和（或）拟派项目负责人信用评价分值及其他内容，并记录在案；联合体投标的，应当将联合体成员单位各自所承担的合同工作量比例，在开标记录表中记录；</w:t>
      </w:r>
    </w:p>
    <w:p>
      <w:pPr>
        <w:tabs>
          <w:tab w:val="left" w:pos="2456"/>
        </w:tabs>
        <w:snapToGrid w:val="0"/>
        <w:spacing w:after="84" w:afterLines="35" w:line="400" w:lineRule="exact"/>
        <w:ind w:left="-2" w:firstLine="427" w:firstLineChars="178"/>
        <w:rPr>
          <w:sz w:val="24"/>
        </w:rPr>
      </w:pPr>
      <w:r>
        <w:rPr>
          <w:rFonts w:hint="eastAsia"/>
          <w:sz w:val="24"/>
        </w:rPr>
        <w:t>（9）投标人代表、招标人代表、记录人等有关人员使用手写板在开标会记录上签字确认；投标人代表签字确认的内容，为开标记录表中的所有内容；拒绝确认的，由监管工作人员予以核实，经核实无误后仍拒绝签字确认的，将记录在案。开标记录将作为评标委员会评标的依据之一；</w:t>
      </w:r>
    </w:p>
    <w:p>
      <w:pPr>
        <w:tabs>
          <w:tab w:val="left" w:pos="2456"/>
        </w:tabs>
        <w:snapToGrid w:val="0"/>
        <w:spacing w:after="84" w:afterLines="35" w:line="400" w:lineRule="exact"/>
        <w:ind w:left="-2" w:firstLine="484" w:firstLineChars="202"/>
        <w:rPr>
          <w:sz w:val="24"/>
        </w:rPr>
      </w:pPr>
      <w:r>
        <w:rPr>
          <w:rFonts w:hint="eastAsia"/>
          <w:sz w:val="24"/>
        </w:rPr>
        <w:t>（10）招标人使用电子化平台适用的企业</w:t>
      </w:r>
      <w:r>
        <w:rPr>
          <w:sz w:val="24"/>
        </w:rPr>
        <w:t>CA</w:t>
      </w:r>
      <w:r>
        <w:rPr>
          <w:rFonts w:hint="eastAsia"/>
          <w:sz w:val="24"/>
        </w:rPr>
        <w:t>电子印章将该工程所有投标文件进行加密，加密用的</w:t>
      </w:r>
      <w:r>
        <w:rPr>
          <w:sz w:val="24"/>
        </w:rPr>
        <w:t>CA</w:t>
      </w:r>
      <w:r>
        <w:rPr>
          <w:rFonts w:hint="eastAsia"/>
          <w:sz w:val="24"/>
        </w:rPr>
        <w:t>电子印章须由招标人妥善保管；</w:t>
      </w:r>
    </w:p>
    <w:p>
      <w:pPr>
        <w:tabs>
          <w:tab w:val="left" w:pos="2456"/>
        </w:tabs>
        <w:snapToGrid w:val="0"/>
        <w:spacing w:after="84" w:afterLines="35" w:line="400" w:lineRule="exact"/>
        <w:ind w:left="-2" w:firstLine="484" w:firstLineChars="202"/>
        <w:rPr>
          <w:sz w:val="24"/>
        </w:rPr>
      </w:pPr>
      <w:r>
        <w:rPr>
          <w:rFonts w:hint="eastAsia"/>
          <w:sz w:val="24"/>
        </w:rPr>
        <w:t>（</w:t>
      </w:r>
      <w:r>
        <w:rPr>
          <w:sz w:val="24"/>
        </w:rPr>
        <w:t>1</w:t>
      </w:r>
      <w:r>
        <w:rPr>
          <w:rFonts w:hint="eastAsia"/>
          <w:sz w:val="24"/>
        </w:rPr>
        <w:t>1）开标结束。</w:t>
      </w:r>
    </w:p>
    <w:p>
      <w:pPr>
        <w:pStyle w:val="6"/>
        <w:tabs>
          <w:tab w:val="left" w:pos="926"/>
        </w:tabs>
        <w:spacing w:before="156" w:beforeLines="65" w:after="84" w:afterLines="35" w:line="440" w:lineRule="exact"/>
        <w:ind w:left="-2" w:firstLine="486" w:firstLineChars="202"/>
        <w:jc w:val="both"/>
        <w:rPr>
          <w:sz w:val="24"/>
          <w:szCs w:val="24"/>
        </w:rPr>
      </w:pPr>
      <w:r>
        <w:rPr>
          <w:sz w:val="24"/>
          <w:szCs w:val="24"/>
        </w:rPr>
        <w:t>5.2 开标程序</w:t>
      </w:r>
      <w:r>
        <w:rPr>
          <w:rFonts w:hint="eastAsia"/>
          <w:sz w:val="24"/>
        </w:rPr>
        <w:t>（适用于远程在线开标形式）</w:t>
      </w:r>
    </w:p>
    <w:p>
      <w:pPr>
        <w:spacing w:line="400" w:lineRule="exact"/>
        <w:ind w:firstLine="480" w:firstLineChars="200"/>
        <w:rPr>
          <w:sz w:val="24"/>
        </w:rPr>
      </w:pPr>
      <w:r>
        <w:rPr>
          <w:rFonts w:hint="eastAsia"/>
          <w:sz w:val="24"/>
        </w:rPr>
        <w:t>（1）录入开标准备信息并进行公示，开标准备信息包括：投标文件递交情况、投标保证金（如有）递交情况、所有递交投标文件的投标人的企业市场行为信用评价分值；</w:t>
      </w:r>
    </w:p>
    <w:p>
      <w:pPr>
        <w:spacing w:line="400" w:lineRule="exact"/>
        <w:ind w:firstLine="480" w:firstLineChars="200"/>
        <w:rPr>
          <w:sz w:val="24"/>
        </w:rPr>
      </w:pPr>
      <w:r>
        <w:rPr>
          <w:rFonts w:hint="eastAsia"/>
          <w:sz w:val="24"/>
        </w:rPr>
        <w:t>（2）发起解密指令，投标人应在15分钟内使用投标文件加密时的CA电子印章进行解密操作，等待解密完成；投标人应在招标人发起解密指令后15分钟内完成投标文件解密；</w:t>
      </w:r>
    </w:p>
    <w:p>
      <w:pPr>
        <w:spacing w:line="400" w:lineRule="exact"/>
        <w:ind w:firstLine="480" w:firstLineChars="200"/>
        <w:rPr>
          <w:sz w:val="24"/>
        </w:rPr>
      </w:pPr>
      <w:r>
        <w:rPr>
          <w:rFonts w:hint="eastAsia"/>
          <w:sz w:val="24"/>
        </w:rPr>
        <w:t>（3）解密结束；</w:t>
      </w:r>
    </w:p>
    <w:p>
      <w:pPr>
        <w:spacing w:line="400" w:lineRule="exact"/>
        <w:ind w:firstLine="480" w:firstLineChars="200"/>
        <w:rPr>
          <w:sz w:val="24"/>
        </w:rPr>
      </w:pPr>
      <w:r>
        <w:rPr>
          <w:rFonts w:hint="eastAsia"/>
          <w:sz w:val="24"/>
        </w:rPr>
        <w:t>（4）自动从北京市园林绿化局官方网站获取所有递交投标文件的投标人企业信用评价分值和（或）拟派项目负责人信用评价分值，并记入开标记录表中；信用标信息采集相关注意事项见本章第5.3款内容；</w:t>
      </w:r>
    </w:p>
    <w:p>
      <w:pPr>
        <w:tabs>
          <w:tab w:val="left" w:pos="2456"/>
        </w:tabs>
        <w:snapToGrid w:val="0"/>
        <w:spacing w:after="84" w:afterLines="35" w:line="400" w:lineRule="exact"/>
        <w:ind w:left="-2" w:firstLine="484" w:firstLineChars="202"/>
        <w:rPr>
          <w:sz w:val="24"/>
        </w:rPr>
      </w:pPr>
      <w:r>
        <w:rPr>
          <w:rFonts w:hint="eastAsia"/>
          <w:sz w:val="24"/>
        </w:rPr>
        <w:t>（5）公布开标情况，开标情况包括：投标人名称、投标总价、投标工期、质量标准、安全文明施工费、暂估价、暂列金额、企业信用评价分值、项目负责人姓名、投标担保、项目负责人信用评价分值（如有）、招标控制价（如有）或标底（如有）以及其他情况记录，并记入开标记录表；联合体投标的，应当将联合体成员单位各自所承担的合同工作量比例，在开标记录表中记录；资格预审后，改变原联合体成员单位各自承担合同工作量比例的，应当同时记录原联合体成员单位各自承担的合同工作量比例；</w:t>
      </w:r>
    </w:p>
    <w:p>
      <w:pPr>
        <w:tabs>
          <w:tab w:val="left" w:pos="2456"/>
        </w:tabs>
        <w:snapToGrid w:val="0"/>
        <w:spacing w:line="400" w:lineRule="exact"/>
        <w:ind w:firstLine="484" w:firstLineChars="202"/>
        <w:rPr>
          <w:sz w:val="24"/>
        </w:rPr>
      </w:pPr>
      <w:r>
        <w:rPr>
          <w:rFonts w:hint="eastAsia"/>
          <w:sz w:val="24"/>
        </w:rPr>
        <w:t>（6）发起开标结果确认，投标人应在15分钟内对系统生成的开标记录表进行核对，核对无误的，完成确认；存在异议的，在线提出异议，超时未确认且未提出异议的，系统默认为确认开标结果；</w:t>
      </w:r>
    </w:p>
    <w:p>
      <w:pPr>
        <w:tabs>
          <w:tab w:val="left" w:pos="2456"/>
        </w:tabs>
        <w:snapToGrid w:val="0"/>
        <w:spacing w:after="84" w:afterLines="35" w:line="400" w:lineRule="exact"/>
        <w:ind w:firstLine="484" w:firstLineChars="202"/>
        <w:rPr>
          <w:sz w:val="24"/>
        </w:rPr>
      </w:pPr>
      <w:r>
        <w:rPr>
          <w:sz w:val="24"/>
        </w:rPr>
        <w:t>（</w:t>
      </w:r>
      <w:r>
        <w:rPr>
          <w:rFonts w:hint="eastAsia"/>
          <w:sz w:val="24"/>
        </w:rPr>
        <w:t>7</w:t>
      </w:r>
      <w:r>
        <w:rPr>
          <w:sz w:val="24"/>
        </w:rPr>
        <w:t>）</w:t>
      </w:r>
      <w:r>
        <w:rPr>
          <w:rFonts w:hint="eastAsia"/>
          <w:sz w:val="24"/>
        </w:rPr>
        <w:t>招标人使用电子化平台</w:t>
      </w:r>
      <w:r>
        <w:rPr>
          <w:rFonts w:hint="eastAsia"/>
          <w:kern w:val="0"/>
          <w:sz w:val="24"/>
        </w:rPr>
        <w:t>适用</w:t>
      </w:r>
      <w:r>
        <w:rPr>
          <w:rFonts w:hint="eastAsia"/>
          <w:sz w:val="24"/>
        </w:rPr>
        <w:t>的企业CA电子印章将该工程所有投标文件进行加密，加密用的CA电子印章须由招标人妥善保管；</w:t>
      </w:r>
    </w:p>
    <w:p>
      <w:pPr>
        <w:tabs>
          <w:tab w:val="left" w:pos="2456"/>
        </w:tabs>
        <w:snapToGrid w:val="0"/>
        <w:spacing w:after="84" w:afterLines="35" w:line="400" w:lineRule="exact"/>
        <w:ind w:left="-2" w:firstLine="484" w:firstLineChars="202"/>
        <w:rPr>
          <w:sz w:val="24"/>
        </w:rPr>
      </w:pPr>
      <w:r>
        <w:rPr>
          <w:rFonts w:hint="eastAsia"/>
          <w:sz w:val="24"/>
        </w:rPr>
        <w:t>（8）开标结束；</w:t>
      </w:r>
    </w:p>
    <w:p>
      <w:pPr>
        <w:pStyle w:val="6"/>
        <w:tabs>
          <w:tab w:val="left" w:pos="926"/>
        </w:tabs>
        <w:spacing w:before="156" w:beforeLines="65" w:after="84" w:afterLines="35" w:line="440" w:lineRule="exact"/>
        <w:ind w:left="-2" w:firstLine="486" w:firstLineChars="202"/>
        <w:jc w:val="both"/>
        <w:rPr>
          <w:sz w:val="24"/>
          <w:szCs w:val="24"/>
        </w:rPr>
      </w:pPr>
      <w:r>
        <w:rPr>
          <w:sz w:val="24"/>
          <w:szCs w:val="24"/>
        </w:rPr>
        <w:t>5.3</w:t>
      </w:r>
      <w:r>
        <w:rPr>
          <w:rFonts w:hint="eastAsia"/>
          <w:sz w:val="24"/>
          <w:szCs w:val="24"/>
        </w:rPr>
        <w:t>信用标采集注意事项（适用于采用设置信用标的方式）</w:t>
      </w:r>
    </w:p>
    <w:p>
      <w:pPr>
        <w:tabs>
          <w:tab w:val="left" w:pos="2456"/>
        </w:tabs>
        <w:snapToGrid w:val="0"/>
        <w:spacing w:after="84" w:afterLines="35" w:line="400" w:lineRule="exact"/>
        <w:ind w:left="-2" w:firstLine="484" w:firstLineChars="202"/>
        <w:rPr>
          <w:sz w:val="24"/>
        </w:rPr>
      </w:pPr>
      <w:r>
        <w:rPr>
          <w:sz w:val="24"/>
        </w:rPr>
        <w:t>5.3.</w:t>
      </w:r>
      <w:r>
        <w:rPr>
          <w:rFonts w:hint="eastAsia"/>
          <w:sz w:val="24"/>
        </w:rPr>
        <w:t>1</w:t>
      </w:r>
      <w:r>
        <w:rPr>
          <w:sz w:val="24"/>
        </w:rPr>
        <w:t xml:space="preserve">  </w:t>
      </w:r>
      <w:r>
        <w:rPr>
          <w:rFonts w:hint="eastAsia"/>
          <w:sz w:val="24"/>
        </w:rPr>
        <w:t>开标时信息采集注意事项：</w:t>
      </w:r>
    </w:p>
    <w:p>
      <w:pPr>
        <w:tabs>
          <w:tab w:val="left" w:pos="2456"/>
        </w:tabs>
        <w:snapToGrid w:val="0"/>
        <w:spacing w:after="84" w:afterLines="35" w:line="400" w:lineRule="exact"/>
        <w:ind w:left="-2" w:firstLine="484" w:firstLineChars="202"/>
        <w:rPr>
          <w:sz w:val="24"/>
        </w:rPr>
      </w:pPr>
      <w:r>
        <w:rPr>
          <w:rFonts w:hint="eastAsia"/>
          <w:sz w:val="24"/>
        </w:rPr>
        <w:t>在宣布开标人、唱标人、记录人、监标人等有关人员姓名之后，当场采集本工程开标当日北京市园林绿化建设市场信用信息系统公布的相关投标人企业信用评价分值和（或）拟派项目负责人信用评价分值，并记入开标记录表中。</w:t>
      </w:r>
    </w:p>
    <w:p>
      <w:pPr>
        <w:tabs>
          <w:tab w:val="left" w:pos="2456"/>
        </w:tabs>
        <w:snapToGrid w:val="0"/>
        <w:spacing w:after="84" w:afterLines="35" w:line="400" w:lineRule="exact"/>
        <w:ind w:left="-2" w:firstLine="484" w:firstLineChars="202"/>
        <w:rPr>
          <w:sz w:val="24"/>
        </w:rPr>
      </w:pPr>
      <w:r>
        <w:rPr>
          <w:rFonts w:hint="eastAsia"/>
          <w:sz w:val="24"/>
        </w:rPr>
        <w:t>联合体参与投标的，当场采集本工程开标当日北京市园林绿化建设市场信用信息系统公布的联合体所有成员企业市场行为信用评价分值，并在唱标时，将联合体协议书中约定的分工比例记入开标记录，经联合体牵头人授权代表、招标人授权代表、监标人、记录人等有关人员在开标记录表上加盖个人</w:t>
      </w:r>
      <w:r>
        <w:rPr>
          <w:sz w:val="24"/>
        </w:rPr>
        <w:t>CA</w:t>
      </w:r>
      <w:r>
        <w:rPr>
          <w:rFonts w:hint="eastAsia"/>
          <w:sz w:val="24"/>
        </w:rPr>
        <w:t>电子印章确认。</w:t>
      </w:r>
    </w:p>
    <w:p>
      <w:pPr>
        <w:tabs>
          <w:tab w:val="left" w:pos="2456"/>
        </w:tabs>
        <w:snapToGrid w:val="0"/>
        <w:spacing w:after="84" w:afterLines="35" w:line="400" w:lineRule="exact"/>
        <w:ind w:left="-2" w:firstLine="484" w:firstLineChars="202"/>
        <w:rPr>
          <w:sz w:val="24"/>
        </w:rPr>
      </w:pPr>
      <w:r>
        <w:rPr>
          <w:sz w:val="24"/>
        </w:rPr>
        <w:t>5.3.</w:t>
      </w:r>
      <w:r>
        <w:rPr>
          <w:rFonts w:hint="eastAsia"/>
          <w:sz w:val="24"/>
        </w:rPr>
        <w:t>2</w:t>
      </w:r>
      <w:r>
        <w:rPr>
          <w:sz w:val="24"/>
        </w:rPr>
        <w:t xml:space="preserve">  </w:t>
      </w:r>
      <w:r>
        <w:rPr>
          <w:rFonts w:hint="eastAsia"/>
          <w:sz w:val="24"/>
        </w:rPr>
        <w:t>开标时特殊情况的处理：</w:t>
      </w:r>
    </w:p>
    <w:p>
      <w:pPr>
        <w:tabs>
          <w:tab w:val="left" w:pos="2456"/>
        </w:tabs>
        <w:snapToGrid w:val="0"/>
        <w:spacing w:after="84" w:afterLines="35" w:line="400" w:lineRule="exact"/>
        <w:ind w:left="-2" w:firstLine="484" w:firstLineChars="202"/>
        <w:rPr>
          <w:sz w:val="24"/>
        </w:rPr>
      </w:pPr>
      <w:r>
        <w:rPr>
          <w:rFonts w:hint="eastAsia"/>
          <w:sz w:val="24"/>
        </w:rPr>
        <w:t>因不可抗力原因导致开标现场无法采集到开标当日已经递交了投标文件的投标人的企业市信用评价分值和（或）拟派项目负责人信用评价分值时，招标人将按照下列程序处理：</w:t>
      </w:r>
    </w:p>
    <w:p>
      <w:pPr>
        <w:tabs>
          <w:tab w:val="left" w:pos="2456"/>
        </w:tabs>
        <w:snapToGrid w:val="0"/>
        <w:spacing w:after="84" w:afterLines="35" w:line="400" w:lineRule="exact"/>
        <w:ind w:left="-2" w:firstLine="484" w:firstLineChars="202"/>
        <w:rPr>
          <w:sz w:val="24"/>
        </w:rPr>
      </w:pPr>
      <w:r>
        <w:rPr>
          <w:rFonts w:hint="eastAsia"/>
          <w:sz w:val="24"/>
        </w:rPr>
        <w:t>（</w:t>
      </w:r>
      <w:r>
        <w:rPr>
          <w:sz w:val="24"/>
        </w:rPr>
        <w:t>1</w:t>
      </w:r>
      <w:r>
        <w:rPr>
          <w:rFonts w:hint="eastAsia"/>
          <w:sz w:val="24"/>
        </w:rPr>
        <w:t>）立即终止已经进行的开标程序，并当场宣布开标推迟；</w:t>
      </w:r>
    </w:p>
    <w:p>
      <w:pPr>
        <w:tabs>
          <w:tab w:val="left" w:pos="2456"/>
        </w:tabs>
        <w:snapToGrid w:val="0"/>
        <w:spacing w:after="84" w:afterLines="35" w:line="400" w:lineRule="exact"/>
        <w:ind w:left="-2" w:firstLine="484" w:firstLineChars="202"/>
        <w:rPr>
          <w:sz w:val="24"/>
        </w:rPr>
      </w:pPr>
      <w:r>
        <w:rPr>
          <w:rFonts w:hint="eastAsia"/>
          <w:sz w:val="24"/>
        </w:rPr>
        <w:t>（</w:t>
      </w:r>
      <w:r>
        <w:rPr>
          <w:sz w:val="24"/>
        </w:rPr>
        <w:t>2</w:t>
      </w:r>
      <w:r>
        <w:rPr>
          <w:rFonts w:hint="eastAsia"/>
          <w:sz w:val="24"/>
        </w:rPr>
        <w:t>）如实记录推迟开标的具体原因，由招标人授权代表、记录人、监标人和各投标人的代表当众签字确认；</w:t>
      </w:r>
    </w:p>
    <w:p>
      <w:pPr>
        <w:tabs>
          <w:tab w:val="left" w:pos="2456"/>
        </w:tabs>
        <w:snapToGrid w:val="0"/>
        <w:spacing w:after="84" w:afterLines="35" w:line="400" w:lineRule="exact"/>
        <w:ind w:left="-2" w:firstLine="484" w:firstLineChars="202"/>
        <w:rPr>
          <w:sz w:val="24"/>
        </w:rPr>
      </w:pPr>
      <w:r>
        <w:rPr>
          <w:rFonts w:hint="eastAsia"/>
          <w:sz w:val="24"/>
        </w:rPr>
        <w:t>（</w:t>
      </w:r>
      <w:r>
        <w:rPr>
          <w:sz w:val="24"/>
        </w:rPr>
        <w:t>3</w:t>
      </w:r>
      <w:r>
        <w:rPr>
          <w:rFonts w:hint="eastAsia"/>
          <w:sz w:val="24"/>
        </w:rPr>
        <w:t>）宣布待北京市园林绿化建设市场信用信息系统可以查询所有投标人的企业和（或）拟派项目负责人信用评价分值时，重新组织开标，具体时间以招标人书面通知为准；</w:t>
      </w:r>
    </w:p>
    <w:p>
      <w:pPr>
        <w:tabs>
          <w:tab w:val="left" w:pos="2456"/>
        </w:tabs>
        <w:snapToGrid w:val="0"/>
        <w:spacing w:after="84" w:afterLines="35" w:line="400" w:lineRule="exact"/>
        <w:ind w:left="-2" w:firstLine="484" w:firstLineChars="202"/>
        <w:rPr>
          <w:sz w:val="24"/>
        </w:rPr>
      </w:pPr>
      <w:r>
        <w:rPr>
          <w:rFonts w:hint="eastAsia"/>
          <w:sz w:val="24"/>
        </w:rPr>
        <w:t>（</w:t>
      </w:r>
      <w:r>
        <w:rPr>
          <w:sz w:val="24"/>
        </w:rPr>
        <w:t>4</w:t>
      </w:r>
      <w:r>
        <w:rPr>
          <w:rFonts w:hint="eastAsia"/>
          <w:sz w:val="24"/>
        </w:rPr>
        <w:t>）已经递交的投标文件由招标人封存在电子化平台中；</w:t>
      </w:r>
    </w:p>
    <w:p>
      <w:pPr>
        <w:tabs>
          <w:tab w:val="left" w:pos="2456"/>
        </w:tabs>
        <w:snapToGrid w:val="0"/>
        <w:spacing w:after="84" w:afterLines="35" w:line="400" w:lineRule="exact"/>
        <w:ind w:left="-2" w:firstLine="484" w:firstLineChars="202"/>
        <w:rPr>
          <w:sz w:val="24"/>
        </w:rPr>
      </w:pPr>
      <w:r>
        <w:rPr>
          <w:rFonts w:hint="eastAsia"/>
          <w:sz w:val="24"/>
        </w:rPr>
        <w:t>（</w:t>
      </w:r>
      <w:r>
        <w:rPr>
          <w:sz w:val="24"/>
        </w:rPr>
        <w:t>5</w:t>
      </w:r>
      <w:r>
        <w:rPr>
          <w:rFonts w:hint="eastAsia"/>
          <w:sz w:val="24"/>
        </w:rPr>
        <w:t>）重新组织开标时，除被招标人封存的投标文件外，招标人不再接受任何新的投标文件，也不接受任何投标人对已经递交的投标文件的修改或补充。</w:t>
      </w:r>
    </w:p>
    <w:p>
      <w:pPr>
        <w:tabs>
          <w:tab w:val="left" w:pos="2456"/>
        </w:tabs>
        <w:snapToGrid w:val="0"/>
        <w:spacing w:after="84" w:afterLines="35" w:line="400" w:lineRule="exact"/>
        <w:ind w:left="-2" w:firstLine="484" w:firstLineChars="202"/>
        <w:rPr>
          <w:sz w:val="24"/>
        </w:rPr>
      </w:pPr>
      <w:r>
        <w:rPr>
          <w:sz w:val="24"/>
        </w:rPr>
        <w:t>5.3.</w:t>
      </w:r>
      <w:r>
        <w:rPr>
          <w:rFonts w:hint="eastAsia"/>
          <w:sz w:val="24"/>
        </w:rPr>
        <w:t>3</w:t>
      </w:r>
      <w:r>
        <w:rPr>
          <w:sz w:val="24"/>
        </w:rPr>
        <w:t xml:space="preserve">  </w:t>
      </w:r>
      <w:r>
        <w:rPr>
          <w:rFonts w:hint="eastAsia"/>
          <w:sz w:val="24"/>
        </w:rPr>
        <w:t>招标人推迟开标后续事项处理</w:t>
      </w:r>
    </w:p>
    <w:p>
      <w:pPr>
        <w:tabs>
          <w:tab w:val="left" w:pos="2456"/>
        </w:tabs>
        <w:snapToGrid w:val="0"/>
        <w:spacing w:after="84" w:afterLines="35" w:line="400" w:lineRule="exact"/>
        <w:ind w:left="-2" w:firstLine="484" w:firstLineChars="202"/>
        <w:rPr>
          <w:sz w:val="24"/>
        </w:rPr>
      </w:pPr>
      <w:r>
        <w:rPr>
          <w:rFonts w:hint="eastAsia"/>
          <w:sz w:val="24"/>
        </w:rPr>
        <w:t>（</w:t>
      </w:r>
      <w:r>
        <w:rPr>
          <w:sz w:val="24"/>
        </w:rPr>
        <w:t>1</w:t>
      </w:r>
      <w:r>
        <w:rPr>
          <w:rFonts w:hint="eastAsia"/>
          <w:sz w:val="24"/>
        </w:rPr>
        <w:t>）开标现场无法查询到企业或拟派项目负责人信用评价分值的投标人，应当及时以书面形式向市园林绿化局有关部门反映相关情况，并将有关答复情况书面告知招标人。</w:t>
      </w:r>
    </w:p>
    <w:p>
      <w:pPr>
        <w:tabs>
          <w:tab w:val="left" w:pos="2456"/>
        </w:tabs>
        <w:snapToGrid w:val="0"/>
        <w:spacing w:after="84" w:afterLines="35" w:line="400" w:lineRule="exact"/>
        <w:ind w:left="-2" w:firstLine="484" w:firstLineChars="202"/>
        <w:rPr>
          <w:sz w:val="24"/>
        </w:rPr>
      </w:pPr>
      <w:r>
        <w:rPr>
          <w:rFonts w:hint="eastAsia"/>
          <w:sz w:val="24"/>
        </w:rPr>
        <w:t>（</w:t>
      </w:r>
      <w:r>
        <w:rPr>
          <w:sz w:val="24"/>
        </w:rPr>
        <w:t>2</w:t>
      </w:r>
      <w:r>
        <w:rPr>
          <w:rFonts w:hint="eastAsia"/>
          <w:sz w:val="24"/>
        </w:rPr>
        <w:t>）招标人在确认北京市园林绿化建设市场信用信息系统可以查询到招标工程所有投标人的有关信用评价分值时，以书面形式通知第一次按时递交了投标文件的投标人重新组织开标的时间和地点。</w:t>
      </w:r>
    </w:p>
    <w:p>
      <w:pPr>
        <w:tabs>
          <w:tab w:val="left" w:pos="2456"/>
        </w:tabs>
        <w:snapToGrid w:val="0"/>
        <w:spacing w:after="84" w:afterLines="35" w:line="400" w:lineRule="exact"/>
        <w:ind w:left="-2" w:firstLine="484" w:firstLineChars="202"/>
        <w:rPr>
          <w:sz w:val="24"/>
        </w:rPr>
      </w:pPr>
      <w:r>
        <w:rPr>
          <w:rFonts w:hint="eastAsia"/>
          <w:sz w:val="24"/>
        </w:rPr>
        <w:t>（3）重新组织开标时，投标人的企业和（或）拟派项目负责人信用评价分值，以招标人通知的新开标日为准北京市园林绿化局官方网站公布的相应信用评价分值为准。</w:t>
      </w:r>
    </w:p>
    <w:p>
      <w:pPr>
        <w:tabs>
          <w:tab w:val="left" w:pos="2456"/>
        </w:tabs>
        <w:snapToGrid w:val="0"/>
        <w:spacing w:after="84" w:afterLines="35" w:line="400" w:lineRule="exact"/>
        <w:ind w:left="-2" w:firstLine="484" w:firstLineChars="202"/>
        <w:rPr>
          <w:sz w:val="24"/>
        </w:rPr>
      </w:pPr>
      <w:r>
        <w:rPr>
          <w:sz w:val="24"/>
        </w:rPr>
        <w:t>5.</w:t>
      </w:r>
      <w:r>
        <w:rPr>
          <w:rFonts w:hint="eastAsia"/>
          <w:sz w:val="24"/>
        </w:rPr>
        <w:t>3</w:t>
      </w:r>
      <w:r>
        <w:rPr>
          <w:sz w:val="24"/>
        </w:rPr>
        <w:t>.</w:t>
      </w:r>
      <w:r>
        <w:rPr>
          <w:rFonts w:hint="eastAsia"/>
          <w:sz w:val="24"/>
        </w:rPr>
        <w:t>4信用评价分值异议的处理</w:t>
      </w:r>
    </w:p>
    <w:p>
      <w:pPr>
        <w:tabs>
          <w:tab w:val="left" w:pos="2456"/>
        </w:tabs>
        <w:snapToGrid w:val="0"/>
        <w:spacing w:after="84" w:afterLines="35" w:line="400" w:lineRule="exact"/>
        <w:ind w:left="-2" w:firstLine="484" w:firstLineChars="202"/>
        <w:rPr>
          <w:sz w:val="24"/>
        </w:rPr>
      </w:pPr>
      <w:r>
        <w:rPr>
          <w:rFonts w:hint="eastAsia"/>
          <w:sz w:val="24"/>
        </w:rPr>
        <w:t>投标人应当及时关注北京市园林绿化局官方网站公示的企业或拟派项目负责人信用评价分值和评价情况，对信用评价分值有异议的，应当及时向市园林绿化局面提出书面异议。</w:t>
      </w:r>
    </w:p>
    <w:p>
      <w:pPr>
        <w:tabs>
          <w:tab w:val="left" w:pos="2456"/>
        </w:tabs>
        <w:snapToGrid w:val="0"/>
        <w:spacing w:after="84" w:afterLines="35" w:line="400" w:lineRule="exact"/>
        <w:ind w:left="-2" w:firstLine="484" w:firstLineChars="202"/>
        <w:rPr>
          <w:sz w:val="24"/>
        </w:rPr>
      </w:pPr>
      <w:r>
        <w:rPr>
          <w:rFonts w:hint="eastAsia"/>
          <w:sz w:val="24"/>
        </w:rPr>
        <w:t>在开标会现场，招标投标行政监督部门不接受招标人、投标人等利害关系人对北京市园林绿化建设市场信用信息系统已经公布的企业、项目负责人信用评价分值的异议和投诉。</w:t>
      </w:r>
    </w:p>
    <w:p>
      <w:pPr>
        <w:pStyle w:val="6"/>
        <w:tabs>
          <w:tab w:val="left" w:pos="926"/>
        </w:tabs>
        <w:spacing w:before="156" w:beforeLines="65" w:after="84" w:afterLines="35" w:line="440" w:lineRule="exact"/>
        <w:ind w:left="-2" w:firstLine="486" w:firstLineChars="202"/>
        <w:jc w:val="both"/>
        <w:rPr>
          <w:sz w:val="24"/>
          <w:szCs w:val="24"/>
        </w:rPr>
      </w:pPr>
      <w:r>
        <w:rPr>
          <w:sz w:val="24"/>
          <w:szCs w:val="24"/>
        </w:rPr>
        <w:t xml:space="preserve">6. </w:t>
      </w:r>
      <w:r>
        <w:rPr>
          <w:rFonts w:hint="eastAsia"/>
          <w:sz w:val="24"/>
          <w:szCs w:val="24"/>
        </w:rPr>
        <w:t>评标</w:t>
      </w:r>
    </w:p>
    <w:p>
      <w:pPr>
        <w:pStyle w:val="6"/>
        <w:tabs>
          <w:tab w:val="left" w:pos="926"/>
        </w:tabs>
        <w:spacing w:before="156" w:beforeLines="65" w:after="84" w:afterLines="35" w:line="440" w:lineRule="exact"/>
        <w:ind w:left="-2" w:firstLine="486" w:firstLineChars="202"/>
        <w:jc w:val="both"/>
        <w:rPr>
          <w:sz w:val="24"/>
          <w:szCs w:val="24"/>
        </w:rPr>
      </w:pPr>
      <w:r>
        <w:rPr>
          <w:sz w:val="24"/>
          <w:szCs w:val="24"/>
        </w:rPr>
        <w:t xml:space="preserve">6.1 </w:t>
      </w:r>
      <w:r>
        <w:rPr>
          <w:rFonts w:hint="eastAsia"/>
          <w:sz w:val="24"/>
          <w:szCs w:val="24"/>
        </w:rPr>
        <w:t>评标委员会</w:t>
      </w:r>
    </w:p>
    <w:p>
      <w:pPr>
        <w:tabs>
          <w:tab w:val="left" w:pos="2456"/>
        </w:tabs>
        <w:snapToGrid w:val="0"/>
        <w:spacing w:after="84" w:afterLines="35" w:line="400" w:lineRule="exact"/>
        <w:ind w:left="-2" w:firstLine="484" w:firstLineChars="202"/>
        <w:rPr>
          <w:sz w:val="24"/>
        </w:rPr>
      </w:pPr>
      <w:r>
        <w:rPr>
          <w:sz w:val="24"/>
        </w:rPr>
        <w:t xml:space="preserve">6.1.1 </w:t>
      </w:r>
      <w:r>
        <w:rPr>
          <w:rFonts w:hint="eastAsia"/>
          <w:sz w:val="24"/>
        </w:rPr>
        <w:t>评标由招标人依法组建的评标委员会负责。评标委员会由招标人</w:t>
      </w:r>
      <w:r>
        <w:rPr>
          <w:rFonts w:hint="eastAsia"/>
          <w:strike/>
          <w:sz w:val="24"/>
        </w:rPr>
        <w:t>，</w:t>
      </w:r>
      <w:r>
        <w:rPr>
          <w:rFonts w:hint="eastAsia"/>
          <w:sz w:val="24"/>
        </w:rPr>
        <w:t>以及有关技术、经济等方面的专家组成。评标委员会成员人数以及技术、经济等方面专家的确定方式见投标人须知前附表。</w:t>
      </w:r>
    </w:p>
    <w:p>
      <w:pPr>
        <w:tabs>
          <w:tab w:val="left" w:pos="2456"/>
        </w:tabs>
        <w:snapToGrid w:val="0"/>
        <w:spacing w:after="84" w:afterLines="35" w:line="400" w:lineRule="exact"/>
        <w:ind w:left="-2" w:firstLine="484" w:firstLineChars="202"/>
        <w:rPr>
          <w:sz w:val="24"/>
        </w:rPr>
      </w:pPr>
      <w:r>
        <w:rPr>
          <w:sz w:val="24"/>
        </w:rPr>
        <w:t xml:space="preserve">6.1.2 </w:t>
      </w:r>
      <w:r>
        <w:rPr>
          <w:rFonts w:hint="eastAsia"/>
          <w:sz w:val="24"/>
        </w:rPr>
        <w:t>评标委员会成员有下列情形之一的，应当回避：</w:t>
      </w:r>
    </w:p>
    <w:p>
      <w:pPr>
        <w:tabs>
          <w:tab w:val="left" w:pos="2456"/>
        </w:tabs>
        <w:snapToGrid w:val="0"/>
        <w:spacing w:after="84" w:afterLines="35" w:line="400" w:lineRule="exact"/>
        <w:ind w:left="-2" w:firstLine="484" w:firstLineChars="202"/>
        <w:rPr>
          <w:sz w:val="24"/>
        </w:rPr>
      </w:pPr>
      <w:r>
        <w:rPr>
          <w:rFonts w:hint="eastAsia"/>
          <w:sz w:val="24"/>
        </w:rPr>
        <w:t>（</w:t>
      </w:r>
      <w:r>
        <w:rPr>
          <w:sz w:val="24"/>
        </w:rPr>
        <w:t>1</w:t>
      </w:r>
      <w:r>
        <w:rPr>
          <w:rFonts w:hint="eastAsia"/>
          <w:sz w:val="24"/>
        </w:rPr>
        <w:t>）招标人或投标人的主要负责人的近亲属；</w:t>
      </w:r>
    </w:p>
    <w:p>
      <w:pPr>
        <w:tabs>
          <w:tab w:val="left" w:pos="2456"/>
        </w:tabs>
        <w:snapToGrid w:val="0"/>
        <w:spacing w:after="84" w:afterLines="35" w:line="400" w:lineRule="exact"/>
        <w:ind w:left="-2" w:firstLine="484" w:firstLineChars="202"/>
        <w:rPr>
          <w:sz w:val="24"/>
        </w:rPr>
      </w:pPr>
      <w:r>
        <w:rPr>
          <w:rFonts w:hint="eastAsia"/>
          <w:sz w:val="24"/>
        </w:rPr>
        <w:t>（</w:t>
      </w:r>
      <w:r>
        <w:rPr>
          <w:sz w:val="24"/>
        </w:rPr>
        <w:t>2</w:t>
      </w:r>
      <w:r>
        <w:rPr>
          <w:rFonts w:hint="eastAsia"/>
          <w:sz w:val="24"/>
        </w:rPr>
        <w:t>）工程主管部门或者行政监督部门的人员；</w:t>
      </w:r>
    </w:p>
    <w:p>
      <w:pPr>
        <w:tabs>
          <w:tab w:val="left" w:pos="2456"/>
        </w:tabs>
        <w:snapToGrid w:val="0"/>
        <w:spacing w:after="84" w:afterLines="35" w:line="400" w:lineRule="exact"/>
        <w:ind w:left="-2" w:firstLine="484" w:firstLineChars="202"/>
        <w:rPr>
          <w:sz w:val="24"/>
        </w:rPr>
      </w:pPr>
      <w:r>
        <w:rPr>
          <w:rFonts w:hint="eastAsia"/>
          <w:sz w:val="24"/>
        </w:rPr>
        <w:t>（</w:t>
      </w:r>
      <w:r>
        <w:rPr>
          <w:sz w:val="24"/>
        </w:rPr>
        <w:t>3</w:t>
      </w:r>
      <w:r>
        <w:rPr>
          <w:rFonts w:hint="eastAsia"/>
          <w:sz w:val="24"/>
        </w:rPr>
        <w:t>）与投标人</w:t>
      </w:r>
      <w:r>
        <w:rPr>
          <w:sz w:val="24"/>
        </w:rPr>
        <w:t>有利害关系或者</w:t>
      </w:r>
      <w:r>
        <w:rPr>
          <w:rFonts w:hint="eastAsia"/>
          <w:sz w:val="24"/>
        </w:rPr>
        <w:t>有经济利益关系，可能影响对投标公正评审的；</w:t>
      </w:r>
    </w:p>
    <w:p>
      <w:pPr>
        <w:tabs>
          <w:tab w:val="left" w:pos="2456"/>
        </w:tabs>
        <w:snapToGrid w:val="0"/>
        <w:spacing w:after="84" w:afterLines="35" w:line="400" w:lineRule="exact"/>
        <w:ind w:left="-2" w:firstLine="484" w:firstLineChars="202"/>
        <w:rPr>
          <w:sz w:val="24"/>
        </w:rPr>
      </w:pPr>
      <w:r>
        <w:rPr>
          <w:rFonts w:hint="eastAsia"/>
          <w:sz w:val="24"/>
        </w:rPr>
        <w:t>（</w:t>
      </w:r>
      <w:r>
        <w:rPr>
          <w:sz w:val="24"/>
        </w:rPr>
        <w:t>4</w:t>
      </w:r>
      <w:r>
        <w:rPr>
          <w:rFonts w:hint="eastAsia"/>
          <w:sz w:val="24"/>
        </w:rPr>
        <w:t>）曾因在招标、评标以及其他与招标投标有关活动中从事违法行为而受过行政处罚或刑事处罚的。</w:t>
      </w:r>
    </w:p>
    <w:p>
      <w:pPr>
        <w:pStyle w:val="6"/>
        <w:tabs>
          <w:tab w:val="left" w:pos="926"/>
        </w:tabs>
        <w:spacing w:before="156" w:beforeLines="65" w:after="84" w:afterLines="35" w:line="440" w:lineRule="exact"/>
        <w:ind w:left="-2" w:firstLine="486" w:firstLineChars="202"/>
        <w:jc w:val="both"/>
        <w:rPr>
          <w:sz w:val="24"/>
          <w:szCs w:val="24"/>
        </w:rPr>
      </w:pPr>
      <w:r>
        <w:rPr>
          <w:sz w:val="24"/>
          <w:szCs w:val="24"/>
        </w:rPr>
        <w:t xml:space="preserve">6.2 </w:t>
      </w:r>
      <w:r>
        <w:rPr>
          <w:rFonts w:hint="eastAsia"/>
          <w:sz w:val="24"/>
          <w:szCs w:val="24"/>
        </w:rPr>
        <w:t>评标原则</w:t>
      </w:r>
    </w:p>
    <w:p>
      <w:pPr>
        <w:tabs>
          <w:tab w:val="left" w:pos="2456"/>
        </w:tabs>
        <w:snapToGrid w:val="0"/>
        <w:spacing w:after="84" w:afterLines="35" w:line="400" w:lineRule="exact"/>
        <w:ind w:left="-2" w:firstLine="484" w:firstLineChars="202"/>
        <w:rPr>
          <w:sz w:val="24"/>
        </w:rPr>
      </w:pPr>
      <w:r>
        <w:rPr>
          <w:rFonts w:hint="eastAsia"/>
          <w:sz w:val="24"/>
        </w:rPr>
        <w:t>评标活动遵循公平、公正、科学和择优的原则。</w:t>
      </w:r>
    </w:p>
    <w:p>
      <w:pPr>
        <w:pStyle w:val="6"/>
        <w:tabs>
          <w:tab w:val="left" w:pos="926"/>
        </w:tabs>
        <w:spacing w:before="156" w:beforeLines="65" w:after="84" w:afterLines="35" w:line="440" w:lineRule="exact"/>
        <w:ind w:left="-2" w:firstLine="486" w:firstLineChars="202"/>
        <w:jc w:val="both"/>
        <w:rPr>
          <w:sz w:val="24"/>
          <w:szCs w:val="24"/>
        </w:rPr>
      </w:pPr>
      <w:r>
        <w:rPr>
          <w:sz w:val="24"/>
          <w:szCs w:val="24"/>
        </w:rPr>
        <w:t xml:space="preserve">6.3 </w:t>
      </w:r>
      <w:r>
        <w:rPr>
          <w:rFonts w:hint="eastAsia"/>
          <w:sz w:val="24"/>
          <w:szCs w:val="24"/>
        </w:rPr>
        <w:t>评标</w:t>
      </w:r>
    </w:p>
    <w:p>
      <w:pPr>
        <w:tabs>
          <w:tab w:val="left" w:pos="2456"/>
        </w:tabs>
        <w:snapToGrid w:val="0"/>
        <w:spacing w:after="84" w:afterLines="35" w:line="400" w:lineRule="exact"/>
        <w:ind w:left="-2" w:firstLine="484" w:firstLineChars="202"/>
        <w:rPr>
          <w:sz w:val="24"/>
        </w:rPr>
      </w:pPr>
      <w:r>
        <w:rPr>
          <w:rFonts w:hint="eastAsia"/>
          <w:sz w:val="24"/>
        </w:rPr>
        <w:t>评标委员会按照第三章</w:t>
      </w:r>
      <w:r>
        <w:rPr>
          <w:sz w:val="24"/>
        </w:rPr>
        <w:t>“</w:t>
      </w:r>
      <w:r>
        <w:rPr>
          <w:rFonts w:hint="eastAsia"/>
          <w:sz w:val="24"/>
        </w:rPr>
        <w:t>评标办法</w:t>
      </w:r>
      <w:r>
        <w:rPr>
          <w:sz w:val="24"/>
        </w:rPr>
        <w:t>”</w:t>
      </w:r>
      <w:r>
        <w:rPr>
          <w:rFonts w:hint="eastAsia"/>
          <w:sz w:val="24"/>
        </w:rPr>
        <w:t>规定的方法、评审因素、标准和程序对投标文件进行评审。评标办法及分值构成见投标人须知前附表。第三章</w:t>
      </w:r>
      <w:r>
        <w:rPr>
          <w:strike/>
          <w:sz w:val="24"/>
        </w:rPr>
        <w:t>“</w:t>
      </w:r>
      <w:r>
        <w:rPr>
          <w:rFonts w:hint="eastAsia"/>
          <w:sz w:val="24"/>
        </w:rPr>
        <w:t>“评标办法”没有规定的方法、评审因素和标准，不作为评标依据。</w:t>
      </w:r>
    </w:p>
    <w:p>
      <w:pPr>
        <w:pStyle w:val="6"/>
        <w:tabs>
          <w:tab w:val="left" w:pos="926"/>
        </w:tabs>
        <w:spacing w:before="156" w:beforeLines="65" w:after="84" w:afterLines="35" w:line="440" w:lineRule="exact"/>
        <w:ind w:left="-2" w:firstLine="486" w:firstLineChars="202"/>
        <w:jc w:val="both"/>
        <w:rPr>
          <w:sz w:val="24"/>
          <w:szCs w:val="24"/>
        </w:rPr>
      </w:pPr>
      <w:r>
        <w:rPr>
          <w:sz w:val="24"/>
          <w:szCs w:val="24"/>
        </w:rPr>
        <w:t xml:space="preserve">7. </w:t>
      </w:r>
      <w:r>
        <w:rPr>
          <w:rFonts w:hint="eastAsia"/>
          <w:sz w:val="24"/>
          <w:szCs w:val="24"/>
        </w:rPr>
        <w:t>合同授予</w:t>
      </w:r>
    </w:p>
    <w:p>
      <w:pPr>
        <w:pStyle w:val="6"/>
        <w:tabs>
          <w:tab w:val="left" w:pos="926"/>
        </w:tabs>
        <w:spacing w:before="156" w:beforeLines="65" w:after="84" w:afterLines="35" w:line="440" w:lineRule="exact"/>
        <w:ind w:left="-2" w:firstLine="486" w:firstLineChars="202"/>
        <w:jc w:val="both"/>
        <w:rPr>
          <w:sz w:val="24"/>
          <w:szCs w:val="24"/>
        </w:rPr>
      </w:pPr>
      <w:r>
        <w:rPr>
          <w:sz w:val="24"/>
          <w:szCs w:val="24"/>
        </w:rPr>
        <w:t xml:space="preserve">7.1 </w:t>
      </w:r>
      <w:r>
        <w:rPr>
          <w:rFonts w:hint="eastAsia"/>
          <w:sz w:val="24"/>
          <w:szCs w:val="24"/>
        </w:rPr>
        <w:t>定标方式</w:t>
      </w:r>
    </w:p>
    <w:p>
      <w:pPr>
        <w:tabs>
          <w:tab w:val="left" w:pos="2456"/>
        </w:tabs>
        <w:snapToGrid w:val="0"/>
        <w:spacing w:after="84" w:afterLines="35" w:line="400" w:lineRule="exact"/>
        <w:ind w:left="-2" w:firstLine="484" w:firstLineChars="202"/>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pStyle w:val="6"/>
        <w:ind w:firstLine="472" w:firstLineChars="196"/>
        <w:jc w:val="left"/>
        <w:rPr>
          <w:rFonts w:ascii="宋体"/>
          <w:sz w:val="24"/>
          <w:szCs w:val="24"/>
        </w:rPr>
      </w:pPr>
      <w:r>
        <w:rPr>
          <w:sz w:val="24"/>
          <w:szCs w:val="24"/>
        </w:rPr>
        <w:t xml:space="preserve">7.2 </w:t>
      </w:r>
      <w:r>
        <w:rPr>
          <w:rFonts w:hint="eastAsia" w:ascii="宋体" w:hAnsi="宋体"/>
          <w:sz w:val="24"/>
          <w:szCs w:val="24"/>
        </w:rPr>
        <w:t>中标公示</w:t>
      </w:r>
    </w:p>
    <w:p>
      <w:pPr>
        <w:spacing w:line="400" w:lineRule="exact"/>
        <w:ind w:firstLine="480" w:firstLineChars="200"/>
      </w:pPr>
      <w:r>
        <w:rPr>
          <w:rFonts w:hint="eastAsia"/>
          <w:sz w:val="24"/>
        </w:rPr>
        <w:t>在中标通知书发出前，招标人将中标候选人的情况和中标结果在本招标工程招标公告发布的同一媒介予以公示，中标候选人公示期不少于</w:t>
      </w:r>
      <w:r>
        <w:rPr>
          <w:sz w:val="24"/>
        </w:rPr>
        <w:t>3</w:t>
      </w:r>
      <w:r>
        <w:rPr>
          <w:rFonts w:hint="eastAsia"/>
          <w:sz w:val="24"/>
        </w:rPr>
        <w:t>日。</w:t>
      </w:r>
    </w:p>
    <w:p>
      <w:pPr>
        <w:pStyle w:val="6"/>
        <w:tabs>
          <w:tab w:val="left" w:pos="926"/>
        </w:tabs>
        <w:spacing w:before="156" w:beforeLines="65" w:after="84" w:afterLines="35" w:line="440" w:lineRule="exact"/>
        <w:ind w:left="-2" w:firstLine="486" w:firstLineChars="202"/>
        <w:jc w:val="both"/>
        <w:rPr>
          <w:sz w:val="24"/>
          <w:szCs w:val="24"/>
        </w:rPr>
      </w:pPr>
      <w:r>
        <w:rPr>
          <w:sz w:val="24"/>
          <w:szCs w:val="24"/>
        </w:rPr>
        <w:t xml:space="preserve">7.3 </w:t>
      </w:r>
      <w:r>
        <w:rPr>
          <w:rFonts w:hint="eastAsia"/>
          <w:sz w:val="24"/>
          <w:szCs w:val="24"/>
        </w:rPr>
        <w:t>中标通知</w:t>
      </w:r>
    </w:p>
    <w:p>
      <w:pPr>
        <w:tabs>
          <w:tab w:val="left" w:pos="2456"/>
        </w:tabs>
        <w:snapToGrid w:val="0"/>
        <w:spacing w:after="84" w:afterLines="35" w:line="400" w:lineRule="exact"/>
        <w:ind w:left="-2" w:firstLine="484" w:firstLineChars="202"/>
        <w:rPr>
          <w:sz w:val="24"/>
        </w:rPr>
      </w:pPr>
      <w:r>
        <w:rPr>
          <w:sz w:val="24"/>
        </w:rPr>
        <w:t xml:space="preserve">7.3.1 </w:t>
      </w:r>
      <w:r>
        <w:rPr>
          <w:rFonts w:hint="eastAsia"/>
          <w:sz w:val="24"/>
        </w:rPr>
        <w:t>投标人或者其他利害关系人对依法必须进行招标的工程的评标结果有异议的，应当在中标候选人公示期间提出。</w:t>
      </w:r>
    </w:p>
    <w:p>
      <w:pPr>
        <w:tabs>
          <w:tab w:val="left" w:pos="2456"/>
        </w:tabs>
        <w:snapToGrid w:val="0"/>
        <w:spacing w:after="84" w:afterLines="35" w:line="400" w:lineRule="exact"/>
        <w:ind w:left="-2" w:firstLine="484" w:firstLineChars="202"/>
        <w:rPr>
          <w:sz w:val="24"/>
        </w:rPr>
      </w:pPr>
      <w:r>
        <w:rPr>
          <w:sz w:val="24"/>
        </w:rPr>
        <w:t>7.3.2</w:t>
      </w:r>
      <w:r>
        <w:rPr>
          <w:rFonts w:hint="eastAsia"/>
          <w:sz w:val="24"/>
        </w:rPr>
        <w:t>公示期满后，无投标人或其他利害关系人投诉，监管部门没有发现招投标活动中存在违法违规行为的，招标人在本章第</w:t>
      </w:r>
      <w:r>
        <w:rPr>
          <w:sz w:val="24"/>
        </w:rPr>
        <w:t xml:space="preserve"> 3.3 </w:t>
      </w:r>
      <w:r>
        <w:rPr>
          <w:rFonts w:hint="eastAsia"/>
          <w:sz w:val="24"/>
        </w:rPr>
        <w:t>款规定的投标有效期内，以书面形式向中标人发出中标通知书，同时将中标结果通知未中标的投标人。</w:t>
      </w:r>
    </w:p>
    <w:p>
      <w:pPr>
        <w:tabs>
          <w:tab w:val="left" w:pos="2456"/>
        </w:tabs>
        <w:snapToGrid w:val="0"/>
        <w:spacing w:after="84" w:afterLines="35" w:line="400" w:lineRule="exact"/>
        <w:ind w:left="-2" w:firstLine="484" w:firstLineChars="202"/>
        <w:rPr>
          <w:sz w:val="24"/>
        </w:rPr>
      </w:pPr>
      <w:r>
        <w:rPr>
          <w:sz w:val="24"/>
        </w:rPr>
        <w:t xml:space="preserve">7.3.3 </w:t>
      </w:r>
      <w:r>
        <w:rPr>
          <w:rFonts w:hint="eastAsia"/>
          <w:sz w:val="24"/>
        </w:rPr>
        <w:t>国有资金占控股或者主导地位的依法必须进行招标的工程，招标人应当确定排名第一的中标候选人为中标人。排名第一的中标候选人放弃中标、因不可抗力不能履行合同、不按照招标文件要求提交履约担保，或者被查实存在影响中标结果的违法行为等情形，不符合中标条件的，招标人可以按照评标委员会提出的中标候选人名单排序依次确定其他中标候选人为中标人，也可以重新招标。</w:t>
      </w:r>
    </w:p>
    <w:p>
      <w:pPr>
        <w:pStyle w:val="6"/>
        <w:tabs>
          <w:tab w:val="left" w:pos="926"/>
        </w:tabs>
        <w:spacing w:before="156" w:beforeLines="65" w:after="84" w:afterLines="35" w:line="440" w:lineRule="exact"/>
        <w:ind w:left="-2" w:firstLine="486" w:firstLineChars="202"/>
        <w:jc w:val="both"/>
        <w:rPr>
          <w:sz w:val="24"/>
          <w:szCs w:val="24"/>
        </w:rPr>
      </w:pPr>
      <w:r>
        <w:rPr>
          <w:sz w:val="24"/>
          <w:szCs w:val="24"/>
        </w:rPr>
        <w:t xml:space="preserve">7.4 </w:t>
      </w:r>
      <w:r>
        <w:rPr>
          <w:rFonts w:hint="eastAsia"/>
          <w:sz w:val="24"/>
          <w:szCs w:val="24"/>
        </w:rPr>
        <w:t>履约担保和支付担保</w:t>
      </w:r>
    </w:p>
    <w:p>
      <w:pPr>
        <w:tabs>
          <w:tab w:val="left" w:pos="2456"/>
        </w:tabs>
        <w:snapToGrid w:val="0"/>
        <w:spacing w:after="84" w:afterLines="35" w:line="400" w:lineRule="exact"/>
        <w:ind w:left="-2" w:firstLine="484" w:firstLineChars="202"/>
        <w:rPr>
          <w:sz w:val="24"/>
        </w:rPr>
      </w:pPr>
      <w:r>
        <w:rPr>
          <w:sz w:val="24"/>
        </w:rPr>
        <w:t xml:space="preserve">7.4.1 </w:t>
      </w:r>
      <w:r>
        <w:rPr>
          <w:rFonts w:hint="eastAsia"/>
          <w:sz w:val="24"/>
        </w:rPr>
        <w:t>在签订合同前，中标人应按投标人须知前附表规定的金额、担保形式和招标文件第四章“合同条款及格式”规定的履约担保招标人提交履约担保。联合体中标的，其履约担保由牵头人递交，并应符合投标人须知前附表规定的金额、担保形式和招标文件第四章</w:t>
      </w:r>
      <w:r>
        <w:rPr>
          <w:sz w:val="24"/>
        </w:rPr>
        <w:t>“</w:t>
      </w:r>
      <w:r>
        <w:rPr>
          <w:rFonts w:hint="eastAsia"/>
          <w:sz w:val="24"/>
        </w:rPr>
        <w:t>合同条款及格式</w:t>
      </w:r>
      <w:r>
        <w:rPr>
          <w:sz w:val="24"/>
        </w:rPr>
        <w:t>”</w:t>
      </w:r>
      <w:r>
        <w:rPr>
          <w:rFonts w:hint="eastAsia"/>
          <w:sz w:val="24"/>
        </w:rPr>
        <w:t>规定的履约担保要求。</w:t>
      </w:r>
    </w:p>
    <w:p>
      <w:pPr>
        <w:tabs>
          <w:tab w:val="left" w:pos="2456"/>
        </w:tabs>
        <w:snapToGrid w:val="0"/>
        <w:spacing w:after="84" w:afterLines="35" w:line="400" w:lineRule="exact"/>
        <w:ind w:left="-2" w:firstLine="484" w:firstLineChars="202"/>
        <w:rPr>
          <w:sz w:val="24"/>
        </w:rPr>
      </w:pPr>
      <w:r>
        <w:rPr>
          <w:sz w:val="24"/>
        </w:rPr>
        <w:t xml:space="preserve">7.4.2 </w:t>
      </w:r>
      <w:r>
        <w:rPr>
          <w:rFonts w:hint="eastAsia"/>
          <w:sz w:val="24"/>
        </w:rPr>
        <w:t>中标人不能按本章第</w:t>
      </w:r>
      <w:r>
        <w:rPr>
          <w:sz w:val="24"/>
        </w:rPr>
        <w:t xml:space="preserve"> 7.3.1 </w:t>
      </w:r>
      <w:r>
        <w:rPr>
          <w:rFonts w:hint="eastAsia"/>
          <w:sz w:val="24"/>
        </w:rPr>
        <w:t>项要求提交履约担保的，视为放弃中标，其投标担保不予退还，给招标人造成的损失超过投标担保数额的，中标人还应当对超过部分予以赔偿。</w:t>
      </w:r>
    </w:p>
    <w:p>
      <w:pPr>
        <w:tabs>
          <w:tab w:val="left" w:pos="2456"/>
        </w:tabs>
        <w:snapToGrid w:val="0"/>
        <w:spacing w:after="84" w:afterLines="35" w:line="400" w:lineRule="exact"/>
        <w:ind w:left="-2" w:firstLine="484" w:firstLineChars="202"/>
        <w:rPr>
          <w:sz w:val="24"/>
        </w:rPr>
      </w:pPr>
      <w:r>
        <w:rPr>
          <w:sz w:val="24"/>
        </w:rPr>
        <w:t>7.4.3</w:t>
      </w:r>
      <w:r>
        <w:rPr>
          <w:rFonts w:hint="eastAsia"/>
          <w:sz w:val="24"/>
        </w:rPr>
        <w:t>招标人在要求中标人提供履约担保的同时，招标人需提供等额的支付担保。</w:t>
      </w:r>
    </w:p>
    <w:p>
      <w:pPr>
        <w:pStyle w:val="6"/>
        <w:tabs>
          <w:tab w:val="left" w:pos="926"/>
        </w:tabs>
        <w:spacing w:before="156" w:beforeLines="65" w:after="84" w:afterLines="35" w:line="440" w:lineRule="exact"/>
        <w:ind w:left="-2" w:firstLine="486" w:firstLineChars="202"/>
        <w:jc w:val="both"/>
        <w:rPr>
          <w:sz w:val="24"/>
          <w:szCs w:val="24"/>
        </w:rPr>
      </w:pPr>
      <w:r>
        <w:rPr>
          <w:sz w:val="24"/>
          <w:szCs w:val="24"/>
        </w:rPr>
        <w:t xml:space="preserve">7.5 </w:t>
      </w:r>
      <w:r>
        <w:rPr>
          <w:rFonts w:hint="eastAsia"/>
          <w:sz w:val="24"/>
          <w:szCs w:val="24"/>
        </w:rPr>
        <w:t>签订合同</w:t>
      </w:r>
    </w:p>
    <w:p>
      <w:pPr>
        <w:tabs>
          <w:tab w:val="left" w:pos="2456"/>
        </w:tabs>
        <w:snapToGrid w:val="0"/>
        <w:spacing w:after="84" w:afterLines="35" w:line="400" w:lineRule="exact"/>
        <w:ind w:left="-2" w:firstLine="484" w:firstLineChars="202"/>
        <w:rPr>
          <w:sz w:val="24"/>
        </w:rPr>
      </w:pPr>
      <w:r>
        <w:rPr>
          <w:sz w:val="24"/>
        </w:rPr>
        <w:t xml:space="preserve">7.5.1 </w:t>
      </w:r>
      <w:r>
        <w:rPr>
          <w:rFonts w:hint="eastAsia"/>
          <w:sz w:val="24"/>
        </w:rPr>
        <w:t>招标人和中标人应当自中标通知书发出之日起</w:t>
      </w:r>
      <w:r>
        <w:rPr>
          <w:sz w:val="24"/>
        </w:rPr>
        <w:t xml:space="preserve"> 30 </w:t>
      </w:r>
      <w:r>
        <w:rPr>
          <w:rFonts w:hint="eastAsia"/>
          <w:sz w:val="24"/>
        </w:rPr>
        <w:t>天内，根据招标文件和中标人的投标文件订立书面合同。中标人无正当理由拒签合同的，招标人取消其中标资格，其投标担保不予退还；给招标人造成的损失超过投标担保数额的，中标人还应当对超过部分予以赔偿。</w:t>
      </w:r>
    </w:p>
    <w:p>
      <w:pPr>
        <w:tabs>
          <w:tab w:val="left" w:pos="2456"/>
        </w:tabs>
        <w:snapToGrid w:val="0"/>
        <w:spacing w:after="84" w:afterLines="35" w:line="400" w:lineRule="exact"/>
        <w:ind w:left="-2" w:firstLine="484" w:firstLineChars="202"/>
        <w:rPr>
          <w:sz w:val="24"/>
        </w:rPr>
      </w:pPr>
      <w:r>
        <w:rPr>
          <w:sz w:val="24"/>
        </w:rPr>
        <w:t xml:space="preserve">7.5.2 </w:t>
      </w:r>
      <w:r>
        <w:rPr>
          <w:rFonts w:hint="eastAsia"/>
          <w:sz w:val="24"/>
        </w:rPr>
        <w:t>发出中标通知书后，招标人无正当理由拒签合同的，招标人向中标人退还投标担保；给中标人造成损失的，还应当赔偿损失。</w:t>
      </w:r>
    </w:p>
    <w:bookmarkEnd w:id="80"/>
    <w:p>
      <w:pPr>
        <w:pStyle w:val="6"/>
        <w:tabs>
          <w:tab w:val="left" w:pos="926"/>
        </w:tabs>
        <w:spacing w:before="156" w:beforeLines="65" w:after="84" w:afterLines="35" w:line="440" w:lineRule="exact"/>
        <w:ind w:left="-2" w:firstLine="486" w:firstLineChars="202"/>
        <w:jc w:val="both"/>
        <w:rPr>
          <w:sz w:val="24"/>
          <w:szCs w:val="24"/>
        </w:rPr>
      </w:pPr>
      <w:r>
        <w:rPr>
          <w:sz w:val="24"/>
          <w:szCs w:val="24"/>
        </w:rPr>
        <w:t xml:space="preserve">8. </w:t>
      </w:r>
      <w:r>
        <w:rPr>
          <w:rFonts w:hint="eastAsia"/>
          <w:sz w:val="24"/>
          <w:szCs w:val="24"/>
        </w:rPr>
        <w:t>重新招标和不再招标</w:t>
      </w:r>
    </w:p>
    <w:p>
      <w:pPr>
        <w:pStyle w:val="6"/>
        <w:tabs>
          <w:tab w:val="left" w:pos="926"/>
        </w:tabs>
        <w:spacing w:before="156" w:beforeLines="65" w:after="84" w:afterLines="35" w:line="440" w:lineRule="exact"/>
        <w:ind w:left="-2" w:firstLine="486" w:firstLineChars="202"/>
        <w:jc w:val="both"/>
        <w:rPr>
          <w:sz w:val="24"/>
          <w:szCs w:val="24"/>
        </w:rPr>
      </w:pPr>
      <w:r>
        <w:rPr>
          <w:sz w:val="24"/>
          <w:szCs w:val="24"/>
        </w:rPr>
        <w:t xml:space="preserve">8.1 </w:t>
      </w:r>
      <w:r>
        <w:rPr>
          <w:rFonts w:hint="eastAsia"/>
          <w:sz w:val="24"/>
          <w:szCs w:val="24"/>
        </w:rPr>
        <w:t>重新招标</w:t>
      </w:r>
    </w:p>
    <w:p>
      <w:pPr>
        <w:tabs>
          <w:tab w:val="left" w:pos="2456"/>
        </w:tabs>
        <w:snapToGrid w:val="0"/>
        <w:spacing w:after="84" w:afterLines="35" w:line="400" w:lineRule="exact"/>
        <w:ind w:left="-2" w:firstLine="484" w:firstLineChars="202"/>
        <w:rPr>
          <w:sz w:val="24"/>
        </w:rPr>
      </w:pPr>
      <w:r>
        <w:rPr>
          <w:rFonts w:hint="eastAsia"/>
          <w:sz w:val="24"/>
        </w:rPr>
        <w:t>有下列情形之一的，招标人将重新招标：</w:t>
      </w:r>
    </w:p>
    <w:p>
      <w:pPr>
        <w:tabs>
          <w:tab w:val="left" w:pos="2456"/>
        </w:tabs>
        <w:snapToGrid w:val="0"/>
        <w:spacing w:after="84" w:afterLines="35" w:line="400" w:lineRule="exact"/>
        <w:ind w:left="-2" w:firstLine="484" w:firstLineChars="202"/>
        <w:rPr>
          <w:sz w:val="24"/>
        </w:rPr>
      </w:pPr>
      <w:r>
        <w:rPr>
          <w:rFonts w:hint="eastAsia"/>
          <w:sz w:val="24"/>
        </w:rPr>
        <w:t>（</w:t>
      </w:r>
      <w:r>
        <w:rPr>
          <w:sz w:val="24"/>
        </w:rPr>
        <w:t>1</w:t>
      </w:r>
      <w:r>
        <w:rPr>
          <w:rFonts w:hint="eastAsia"/>
          <w:sz w:val="24"/>
        </w:rPr>
        <w:t>）投标截止时间止，投标人少于</w:t>
      </w:r>
      <w:r>
        <w:rPr>
          <w:sz w:val="24"/>
        </w:rPr>
        <w:t xml:space="preserve"> 3 </w:t>
      </w:r>
      <w:r>
        <w:rPr>
          <w:rFonts w:hint="eastAsia"/>
          <w:sz w:val="24"/>
        </w:rPr>
        <w:t>个的；</w:t>
      </w:r>
    </w:p>
    <w:p>
      <w:pPr>
        <w:tabs>
          <w:tab w:val="left" w:pos="2456"/>
        </w:tabs>
        <w:snapToGrid w:val="0"/>
        <w:spacing w:after="84" w:afterLines="35" w:line="400" w:lineRule="exact"/>
        <w:ind w:left="-2" w:firstLine="484" w:firstLineChars="202"/>
        <w:rPr>
          <w:sz w:val="24"/>
        </w:rPr>
      </w:pPr>
      <w:r>
        <w:rPr>
          <w:rFonts w:hint="eastAsia"/>
          <w:sz w:val="24"/>
        </w:rPr>
        <w:t>（</w:t>
      </w:r>
      <w:r>
        <w:rPr>
          <w:sz w:val="24"/>
        </w:rPr>
        <w:t>2</w:t>
      </w:r>
      <w:r>
        <w:rPr>
          <w:rFonts w:hint="eastAsia"/>
          <w:sz w:val="24"/>
        </w:rPr>
        <w:t>）经评标委员会评审后否决所有投标的。</w:t>
      </w:r>
    </w:p>
    <w:p>
      <w:pPr>
        <w:tabs>
          <w:tab w:val="left" w:pos="912"/>
          <w:tab w:val="left" w:pos="2456"/>
        </w:tabs>
        <w:snapToGrid w:val="0"/>
        <w:spacing w:after="84" w:afterLines="35" w:line="400" w:lineRule="exact"/>
        <w:ind w:left="-2" w:firstLine="484" w:firstLineChars="202"/>
        <w:rPr>
          <w:sz w:val="24"/>
        </w:rPr>
      </w:pPr>
      <w:r>
        <w:rPr>
          <w:rFonts w:hint="eastAsia"/>
          <w:sz w:val="24"/>
        </w:rPr>
        <w:t>（</w:t>
      </w:r>
      <w:r>
        <w:rPr>
          <w:sz w:val="24"/>
        </w:rPr>
        <w:t>3</w:t>
      </w:r>
      <w:r>
        <w:rPr>
          <w:rFonts w:hint="eastAsia"/>
          <w:sz w:val="24"/>
        </w:rPr>
        <w:t>）排名第一的中标候选人放弃中标、因不可抗力提出不能履行合同、不按照招标文件的要求提交履约担保，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w:t>
      </w:r>
    </w:p>
    <w:p>
      <w:pPr>
        <w:tabs>
          <w:tab w:val="left" w:pos="912"/>
          <w:tab w:val="left" w:pos="2456"/>
        </w:tabs>
        <w:snapToGrid w:val="0"/>
        <w:spacing w:after="84" w:afterLines="35" w:line="400" w:lineRule="exact"/>
        <w:ind w:left="-2" w:firstLine="484" w:firstLineChars="202"/>
        <w:rPr>
          <w:sz w:val="24"/>
        </w:rPr>
      </w:pPr>
      <w:r>
        <w:rPr>
          <w:rFonts w:hint="eastAsia"/>
          <w:sz w:val="24"/>
        </w:rPr>
        <w:t>（</w:t>
      </w:r>
      <w:r>
        <w:rPr>
          <w:sz w:val="24"/>
        </w:rPr>
        <w:t>4</w:t>
      </w:r>
      <w:r>
        <w:rPr>
          <w:rFonts w:hint="eastAsia"/>
          <w:sz w:val="24"/>
        </w:rPr>
        <w:t>）所有中标候选人放弃中标、因不可抗力提出不能履行合同或者招标文件规定应当提交承包履约保证担保而在规定的期限内未能提交的。</w:t>
      </w:r>
    </w:p>
    <w:p>
      <w:pPr>
        <w:tabs>
          <w:tab w:val="left" w:pos="912"/>
          <w:tab w:val="left" w:pos="2456"/>
        </w:tabs>
        <w:snapToGrid w:val="0"/>
        <w:spacing w:after="84" w:afterLines="35" w:line="400" w:lineRule="exact"/>
        <w:ind w:left="-2" w:firstLine="484" w:firstLineChars="202"/>
        <w:rPr>
          <w:sz w:val="24"/>
        </w:rPr>
      </w:pPr>
      <w:r>
        <w:rPr>
          <w:rFonts w:hint="eastAsia"/>
          <w:sz w:val="24"/>
        </w:rPr>
        <w:t>（</w:t>
      </w:r>
      <w:r>
        <w:rPr>
          <w:sz w:val="24"/>
        </w:rPr>
        <w:t>5</w:t>
      </w:r>
      <w:r>
        <w:rPr>
          <w:rFonts w:hint="eastAsia"/>
          <w:sz w:val="24"/>
        </w:rPr>
        <w:t>）招标人在发出招标文件后，除有正当理由外，不得擅自终止招标。</w:t>
      </w:r>
    </w:p>
    <w:p>
      <w:pPr>
        <w:pStyle w:val="6"/>
        <w:tabs>
          <w:tab w:val="left" w:pos="926"/>
        </w:tabs>
        <w:spacing w:before="156" w:beforeLines="65" w:after="84" w:afterLines="35" w:line="440" w:lineRule="exact"/>
        <w:ind w:left="-2" w:firstLine="486" w:firstLineChars="202"/>
        <w:jc w:val="both"/>
        <w:rPr>
          <w:sz w:val="24"/>
          <w:szCs w:val="24"/>
        </w:rPr>
      </w:pPr>
      <w:r>
        <w:rPr>
          <w:sz w:val="24"/>
          <w:szCs w:val="24"/>
        </w:rPr>
        <w:t xml:space="preserve">8.2 </w:t>
      </w:r>
      <w:r>
        <w:rPr>
          <w:rFonts w:hint="eastAsia"/>
          <w:sz w:val="24"/>
          <w:szCs w:val="24"/>
        </w:rPr>
        <w:t>不再招标</w:t>
      </w:r>
    </w:p>
    <w:p>
      <w:pPr>
        <w:tabs>
          <w:tab w:val="left" w:pos="912"/>
          <w:tab w:val="left" w:pos="2456"/>
        </w:tabs>
        <w:snapToGrid w:val="0"/>
        <w:spacing w:after="84" w:afterLines="35" w:line="400" w:lineRule="exact"/>
        <w:ind w:left="-2" w:firstLine="484" w:firstLineChars="202"/>
        <w:rPr>
          <w:sz w:val="24"/>
        </w:rPr>
      </w:pPr>
      <w:r>
        <w:rPr>
          <w:rFonts w:hint="eastAsia"/>
          <w:sz w:val="24"/>
        </w:rPr>
        <w:t>重新招标后投标人仍少于三个的，属于必须审批的工程建设工程，报经原审批部门批准后可以不再进行招标；其他工程建设工程，招标人可自行决定不再招标。</w:t>
      </w:r>
    </w:p>
    <w:p>
      <w:pPr>
        <w:pStyle w:val="6"/>
        <w:tabs>
          <w:tab w:val="left" w:pos="926"/>
        </w:tabs>
        <w:spacing w:before="156" w:beforeLines="65" w:after="84" w:afterLines="35" w:line="440" w:lineRule="exact"/>
        <w:ind w:left="-2" w:firstLine="486" w:firstLineChars="202"/>
        <w:jc w:val="both"/>
        <w:rPr>
          <w:sz w:val="24"/>
          <w:szCs w:val="24"/>
        </w:rPr>
      </w:pPr>
      <w:r>
        <w:rPr>
          <w:sz w:val="24"/>
          <w:szCs w:val="24"/>
        </w:rPr>
        <w:t xml:space="preserve">9. </w:t>
      </w:r>
      <w:r>
        <w:rPr>
          <w:rFonts w:hint="eastAsia"/>
          <w:sz w:val="24"/>
          <w:szCs w:val="24"/>
        </w:rPr>
        <w:t>纪律和监督</w:t>
      </w:r>
    </w:p>
    <w:p>
      <w:pPr>
        <w:pStyle w:val="6"/>
        <w:tabs>
          <w:tab w:val="left" w:pos="926"/>
        </w:tabs>
        <w:spacing w:before="156" w:beforeLines="65" w:after="84" w:afterLines="35" w:line="440" w:lineRule="exact"/>
        <w:ind w:left="-2" w:firstLine="486" w:firstLineChars="202"/>
        <w:jc w:val="both"/>
        <w:rPr>
          <w:sz w:val="24"/>
          <w:szCs w:val="24"/>
        </w:rPr>
      </w:pPr>
      <w:r>
        <w:rPr>
          <w:sz w:val="24"/>
          <w:szCs w:val="24"/>
        </w:rPr>
        <w:t xml:space="preserve">9.1 </w:t>
      </w:r>
      <w:r>
        <w:rPr>
          <w:rFonts w:hint="eastAsia"/>
          <w:sz w:val="24"/>
          <w:szCs w:val="24"/>
        </w:rPr>
        <w:t>对招标人的纪律要求</w:t>
      </w:r>
    </w:p>
    <w:p>
      <w:pPr>
        <w:tabs>
          <w:tab w:val="left" w:pos="2456"/>
        </w:tabs>
        <w:snapToGrid w:val="0"/>
        <w:spacing w:after="84" w:afterLines="35" w:line="400" w:lineRule="exact"/>
        <w:ind w:left="-2" w:firstLine="484" w:firstLineChars="202"/>
        <w:rPr>
          <w:sz w:val="24"/>
        </w:rPr>
      </w:pPr>
      <w:r>
        <w:rPr>
          <w:rFonts w:hint="eastAsia"/>
          <w:sz w:val="24"/>
        </w:rPr>
        <w:t>招标人不得泄漏招标投标活动中应当保密的情况和资料，不得与投标人串通损害国家利益、社会公共利益或者他人合法权益。</w:t>
      </w:r>
    </w:p>
    <w:p>
      <w:pPr>
        <w:pStyle w:val="6"/>
        <w:tabs>
          <w:tab w:val="left" w:pos="926"/>
        </w:tabs>
        <w:spacing w:before="156" w:beforeLines="65" w:after="84" w:afterLines="35" w:line="440" w:lineRule="exact"/>
        <w:ind w:left="-2" w:firstLine="486" w:firstLineChars="202"/>
        <w:jc w:val="both"/>
        <w:rPr>
          <w:sz w:val="24"/>
          <w:szCs w:val="24"/>
        </w:rPr>
      </w:pPr>
      <w:r>
        <w:rPr>
          <w:sz w:val="24"/>
          <w:szCs w:val="24"/>
        </w:rPr>
        <w:t xml:space="preserve">9.2 </w:t>
      </w:r>
      <w:r>
        <w:rPr>
          <w:rFonts w:hint="eastAsia"/>
          <w:sz w:val="24"/>
          <w:szCs w:val="24"/>
        </w:rPr>
        <w:t>对投标人的纪律要求</w:t>
      </w:r>
    </w:p>
    <w:p>
      <w:pPr>
        <w:tabs>
          <w:tab w:val="left" w:pos="2456"/>
        </w:tabs>
        <w:snapToGrid w:val="0"/>
        <w:spacing w:after="84" w:afterLines="35" w:line="400" w:lineRule="exact"/>
        <w:ind w:left="-2" w:firstLine="484" w:firstLineChars="202"/>
        <w:rPr>
          <w:sz w:val="24"/>
        </w:rPr>
      </w:pPr>
      <w:r>
        <w:rPr>
          <w:rFonts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6"/>
        <w:tabs>
          <w:tab w:val="left" w:pos="926"/>
        </w:tabs>
        <w:spacing w:before="156" w:beforeLines="65" w:after="84" w:afterLines="35" w:line="440" w:lineRule="exact"/>
        <w:ind w:left="-2" w:firstLine="486" w:firstLineChars="202"/>
        <w:jc w:val="both"/>
        <w:rPr>
          <w:sz w:val="24"/>
          <w:szCs w:val="24"/>
        </w:rPr>
      </w:pPr>
      <w:r>
        <w:rPr>
          <w:sz w:val="24"/>
          <w:szCs w:val="24"/>
        </w:rPr>
        <w:t xml:space="preserve">9.3 </w:t>
      </w:r>
      <w:r>
        <w:rPr>
          <w:rFonts w:hint="eastAsia"/>
          <w:sz w:val="24"/>
          <w:szCs w:val="24"/>
        </w:rPr>
        <w:t>对评标委员会成员的纪律要求</w:t>
      </w:r>
    </w:p>
    <w:p>
      <w:pPr>
        <w:tabs>
          <w:tab w:val="left" w:pos="2456"/>
        </w:tabs>
        <w:snapToGrid w:val="0"/>
        <w:spacing w:after="84" w:afterLines="35" w:line="400" w:lineRule="exact"/>
        <w:ind w:left="-2" w:firstLine="484" w:firstLineChars="202"/>
        <w:rPr>
          <w:sz w:val="24"/>
        </w:rPr>
      </w:pPr>
      <w:r>
        <w:rPr>
          <w:rFonts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w:t>
      </w:r>
      <w:r>
        <w:rPr>
          <w:sz w:val="24"/>
        </w:rPr>
        <w:t>“</w:t>
      </w:r>
      <w:r>
        <w:rPr>
          <w:rFonts w:hint="eastAsia"/>
          <w:sz w:val="24"/>
        </w:rPr>
        <w:t>评标办法</w:t>
      </w:r>
      <w:r>
        <w:rPr>
          <w:sz w:val="24"/>
        </w:rPr>
        <w:t>”</w:t>
      </w:r>
      <w:r>
        <w:rPr>
          <w:rFonts w:hint="eastAsia"/>
          <w:sz w:val="24"/>
        </w:rPr>
        <w:t>没有规定的评审因素和标准进行评标。</w:t>
      </w:r>
    </w:p>
    <w:p>
      <w:pPr>
        <w:pStyle w:val="6"/>
        <w:tabs>
          <w:tab w:val="left" w:pos="926"/>
        </w:tabs>
        <w:spacing w:before="156" w:beforeLines="65" w:after="84" w:afterLines="35" w:line="440" w:lineRule="exact"/>
        <w:ind w:left="-2" w:firstLine="486" w:firstLineChars="202"/>
        <w:jc w:val="both"/>
        <w:rPr>
          <w:sz w:val="24"/>
          <w:szCs w:val="24"/>
        </w:rPr>
      </w:pPr>
      <w:r>
        <w:rPr>
          <w:sz w:val="24"/>
          <w:szCs w:val="24"/>
        </w:rPr>
        <w:t xml:space="preserve">9.4 </w:t>
      </w:r>
      <w:r>
        <w:rPr>
          <w:rFonts w:hint="eastAsia"/>
          <w:sz w:val="24"/>
          <w:szCs w:val="24"/>
        </w:rPr>
        <w:t>对与评标活动有关的工作人员的纪律要求</w:t>
      </w:r>
    </w:p>
    <w:p>
      <w:pPr>
        <w:tabs>
          <w:tab w:val="left" w:pos="2456"/>
        </w:tabs>
        <w:snapToGrid w:val="0"/>
        <w:spacing w:after="84" w:afterLines="35" w:line="400" w:lineRule="exact"/>
        <w:ind w:left="-2" w:firstLine="484" w:firstLineChars="202"/>
        <w:rPr>
          <w:sz w:val="24"/>
        </w:rPr>
      </w:pPr>
      <w:r>
        <w:rPr>
          <w:rFonts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6"/>
        <w:tabs>
          <w:tab w:val="left" w:pos="926"/>
        </w:tabs>
        <w:spacing w:before="156" w:beforeLines="65" w:after="84" w:afterLines="35" w:line="440" w:lineRule="exact"/>
        <w:ind w:firstLine="424" w:firstLineChars="176"/>
        <w:jc w:val="both"/>
        <w:rPr>
          <w:sz w:val="24"/>
          <w:szCs w:val="24"/>
        </w:rPr>
      </w:pPr>
      <w:r>
        <w:rPr>
          <w:kern w:val="2"/>
          <w:sz w:val="24"/>
        </w:rPr>
        <w:t xml:space="preserve">10 </w:t>
      </w:r>
      <w:r>
        <w:rPr>
          <w:rFonts w:hint="eastAsia"/>
          <w:sz w:val="24"/>
          <w:szCs w:val="24"/>
        </w:rPr>
        <w:t>异议与投诉</w:t>
      </w:r>
    </w:p>
    <w:p>
      <w:pPr>
        <w:pStyle w:val="19"/>
        <w:snapToGrid w:val="0"/>
        <w:spacing w:line="440" w:lineRule="exact"/>
        <w:ind w:firstLine="537" w:firstLineChars="224"/>
      </w:pPr>
      <w:r>
        <w:rPr>
          <w:rFonts w:hint="eastAsia"/>
        </w:rPr>
        <w:t>异议与投诉遵从《工程建设工程招标投标活动投诉处理办法》（国家发改委等七部委</w:t>
      </w:r>
      <w:r>
        <w:t>11</w:t>
      </w:r>
      <w:r>
        <w:rPr>
          <w:rFonts w:hint="eastAsia"/>
        </w:rPr>
        <w:t>号令）和《中华人民共和国招标投标法实施条例》（中华人民共和国国务院令第</w:t>
      </w:r>
      <w:r>
        <w:t>613</w:t>
      </w:r>
      <w:r>
        <w:rPr>
          <w:rFonts w:hint="eastAsia"/>
        </w:rPr>
        <w:t>号）的有关要求与规定。</w:t>
      </w:r>
    </w:p>
    <w:p>
      <w:pPr>
        <w:tabs>
          <w:tab w:val="left" w:pos="912"/>
          <w:tab w:val="left" w:pos="2456"/>
        </w:tabs>
        <w:snapToGrid w:val="0"/>
        <w:spacing w:after="84" w:afterLines="35" w:line="400" w:lineRule="exact"/>
        <w:ind w:left="-2" w:firstLine="484" w:firstLineChars="202"/>
        <w:rPr>
          <w:sz w:val="24"/>
        </w:rPr>
      </w:pPr>
      <w:r>
        <w:rPr>
          <w:sz w:val="24"/>
        </w:rPr>
        <w:t xml:space="preserve">10.1 </w:t>
      </w:r>
      <w:r>
        <w:rPr>
          <w:rFonts w:hint="eastAsia"/>
          <w:sz w:val="24"/>
        </w:rPr>
        <w:t>投标人或者其他利害关系人对招标文件有异议的，应当在投标截止时间</w:t>
      </w:r>
      <w:r>
        <w:rPr>
          <w:sz w:val="24"/>
        </w:rPr>
        <w:t>10</w:t>
      </w:r>
      <w:r>
        <w:rPr>
          <w:rFonts w:hint="eastAsia"/>
          <w:sz w:val="24"/>
        </w:rPr>
        <w:t>日前提出。招标人应当自收到异议之日起</w:t>
      </w:r>
      <w:r>
        <w:rPr>
          <w:sz w:val="24"/>
        </w:rPr>
        <w:t>3</w:t>
      </w:r>
      <w:r>
        <w:rPr>
          <w:rFonts w:hint="eastAsia"/>
          <w:sz w:val="24"/>
        </w:rPr>
        <w:t>日内作出答复；作出答复前，应当暂停招标投标活动。</w:t>
      </w:r>
    </w:p>
    <w:p>
      <w:pPr>
        <w:tabs>
          <w:tab w:val="left" w:pos="912"/>
          <w:tab w:val="left" w:pos="2456"/>
        </w:tabs>
        <w:snapToGrid w:val="0"/>
        <w:spacing w:after="84" w:afterLines="35" w:line="400" w:lineRule="exact"/>
        <w:ind w:left="-2" w:firstLine="484" w:firstLineChars="202"/>
        <w:rPr>
          <w:sz w:val="24"/>
        </w:rPr>
      </w:pPr>
      <w:r>
        <w:rPr>
          <w:rFonts w:hint="eastAsia"/>
          <w:sz w:val="24"/>
        </w:rPr>
        <w:t>10.2</w:t>
      </w:r>
      <w:r>
        <w:rPr>
          <w:sz w:val="24"/>
        </w:rPr>
        <w:t>投标人对开标有异议的，应当在开标当场提出，招标人应当当场作出答复，并制作记录。</w:t>
      </w:r>
    </w:p>
    <w:p>
      <w:pPr>
        <w:tabs>
          <w:tab w:val="left" w:pos="912"/>
          <w:tab w:val="left" w:pos="2456"/>
        </w:tabs>
        <w:snapToGrid w:val="0"/>
        <w:spacing w:after="84" w:afterLines="35" w:line="400" w:lineRule="exact"/>
        <w:ind w:left="-2" w:firstLine="484" w:firstLineChars="202"/>
        <w:rPr>
          <w:sz w:val="24"/>
        </w:rPr>
      </w:pPr>
      <w:r>
        <w:rPr>
          <w:sz w:val="24"/>
        </w:rPr>
        <w:t xml:space="preserve">10.3 </w:t>
      </w:r>
      <w:r>
        <w:rPr>
          <w:rFonts w:hint="eastAsia"/>
          <w:sz w:val="24"/>
        </w:rPr>
        <w:t>投标人或者其他利害关系人对依法必须进行招标的工程的评标结果有异议的，应当在中标候选人公示期间提出。招标人应当自收到异议之日起</w:t>
      </w:r>
      <w:r>
        <w:rPr>
          <w:sz w:val="24"/>
        </w:rPr>
        <w:t>3</w:t>
      </w:r>
      <w:r>
        <w:rPr>
          <w:rFonts w:hint="eastAsia"/>
          <w:sz w:val="24"/>
        </w:rPr>
        <w:t>日内作出答复；作出答复前，应当暂停招标投标活动。</w:t>
      </w:r>
    </w:p>
    <w:p>
      <w:pPr>
        <w:tabs>
          <w:tab w:val="left" w:pos="2456"/>
        </w:tabs>
        <w:snapToGrid w:val="0"/>
        <w:spacing w:after="84" w:afterLines="35" w:line="400" w:lineRule="exact"/>
        <w:ind w:left="-2" w:firstLine="484" w:firstLineChars="202"/>
        <w:rPr>
          <w:sz w:val="24"/>
        </w:rPr>
      </w:pPr>
      <w:r>
        <w:rPr>
          <w:sz w:val="24"/>
        </w:rPr>
        <w:t xml:space="preserve">10.4 </w:t>
      </w:r>
      <w:r>
        <w:rPr>
          <w:rFonts w:hint="eastAsia"/>
          <w:sz w:val="24"/>
        </w:rPr>
        <w:t>投标人和其他利害关系人认为本次招标活动违反法律、法规和规章规定的，有权向有关行政监督部门投诉。</w:t>
      </w:r>
    </w:p>
    <w:p>
      <w:pPr>
        <w:pStyle w:val="6"/>
        <w:tabs>
          <w:tab w:val="left" w:pos="926"/>
        </w:tabs>
        <w:spacing w:before="156" w:beforeLines="65" w:after="84" w:afterLines="35" w:line="440" w:lineRule="exact"/>
        <w:jc w:val="both"/>
        <w:rPr>
          <w:sz w:val="24"/>
          <w:szCs w:val="24"/>
        </w:rPr>
      </w:pPr>
      <w:r>
        <w:rPr>
          <w:sz w:val="24"/>
          <w:szCs w:val="24"/>
        </w:rPr>
        <w:t xml:space="preserve">11 </w:t>
      </w:r>
      <w:r>
        <w:rPr>
          <w:rFonts w:hint="eastAsia"/>
          <w:sz w:val="24"/>
          <w:szCs w:val="24"/>
        </w:rPr>
        <w:t>需要补充的其他内容</w:t>
      </w:r>
    </w:p>
    <w:p>
      <w:pPr>
        <w:tabs>
          <w:tab w:val="left" w:pos="2456"/>
        </w:tabs>
        <w:snapToGrid w:val="0"/>
        <w:spacing w:after="84" w:afterLines="35" w:line="400" w:lineRule="exact"/>
        <w:ind w:left="-2" w:firstLine="484" w:firstLineChars="202"/>
        <w:rPr>
          <w:sz w:val="24"/>
        </w:rPr>
      </w:pPr>
      <w:r>
        <w:rPr>
          <w:rFonts w:hint="eastAsia"/>
          <w:sz w:val="24"/>
        </w:rPr>
        <w:t>需要补充的其他内容：见投标人须知前附表。</w:t>
      </w:r>
    </w:p>
    <w:p>
      <w:pPr>
        <w:tabs>
          <w:tab w:val="left" w:pos="2456"/>
        </w:tabs>
        <w:snapToGrid w:val="0"/>
        <w:spacing w:after="84" w:afterLines="35" w:line="400" w:lineRule="exact"/>
        <w:ind w:left="-2" w:firstLine="484" w:firstLineChars="202"/>
        <w:rPr>
          <w:sz w:val="24"/>
        </w:rPr>
      </w:pPr>
    </w:p>
    <w:p>
      <w:pPr>
        <w:tabs>
          <w:tab w:val="left" w:pos="912"/>
          <w:tab w:val="left" w:pos="2456"/>
        </w:tabs>
        <w:snapToGrid w:val="0"/>
        <w:spacing w:after="84" w:afterLines="35" w:line="400" w:lineRule="exact"/>
        <w:ind w:left="-2" w:firstLine="484" w:firstLineChars="202"/>
        <w:rPr>
          <w:sz w:val="24"/>
        </w:rPr>
        <w:sectPr>
          <w:footerReference r:id="rId5" w:type="default"/>
          <w:pgSz w:w="11907" w:h="16840"/>
          <w:pgMar w:top="1418" w:right="1644" w:bottom="1361" w:left="1644" w:header="510" w:footer="794" w:gutter="0"/>
          <w:pgNumType w:start="1"/>
          <w:cols w:space="425" w:num="1"/>
          <w:docGrid w:linePitch="312" w:charSpace="0"/>
        </w:sectPr>
      </w:pPr>
    </w:p>
    <w:p>
      <w:pPr>
        <w:pStyle w:val="3"/>
        <w:widowControl w:val="0"/>
        <w:adjustRightInd/>
        <w:snapToGrid/>
        <w:spacing w:before="0" w:after="0" w:line="240" w:lineRule="auto"/>
        <w:jc w:val="both"/>
        <w:rPr>
          <w:rFonts w:ascii="宋体"/>
          <w:bCs/>
          <w:kern w:val="2"/>
          <w:sz w:val="28"/>
          <w:szCs w:val="28"/>
        </w:rPr>
      </w:pPr>
      <w:bookmarkStart w:id="81" w:name="_Toc455410258"/>
      <w:bookmarkStart w:id="82" w:name="_Toc455410421"/>
      <w:bookmarkStart w:id="83" w:name="_Toc362252699"/>
      <w:bookmarkStart w:id="84" w:name="_Toc470011310"/>
      <w:r>
        <w:rPr>
          <w:rFonts w:hint="eastAsia" w:ascii="宋体" w:hAnsi="宋体"/>
          <w:bCs/>
          <w:kern w:val="2"/>
          <w:sz w:val="28"/>
          <w:szCs w:val="28"/>
        </w:rPr>
        <w:t>附表一：开标记录表</w:t>
      </w:r>
      <w:bookmarkEnd w:id="81"/>
      <w:bookmarkEnd w:id="82"/>
      <w:bookmarkEnd w:id="83"/>
      <w:bookmarkEnd w:id="84"/>
    </w:p>
    <w:p>
      <w:pPr>
        <w:spacing w:line="400" w:lineRule="exact"/>
        <w:jc w:val="center"/>
        <w:rPr>
          <w:rFonts w:ascii="黑体" w:hAnsi="黑体" w:eastAsia="黑体"/>
          <w:sz w:val="28"/>
          <w:szCs w:val="28"/>
        </w:rPr>
      </w:pPr>
      <w:r>
        <w:rPr>
          <w:rFonts w:hint="eastAsia" w:ascii="黑体" w:hAnsi="黑体" w:eastAsia="黑体"/>
          <w:sz w:val="28"/>
          <w:szCs w:val="28"/>
        </w:rPr>
        <w:t>园林绿化工程施工开标记录表</w:t>
      </w:r>
    </w:p>
    <w:p>
      <w:pPr>
        <w:spacing w:line="400" w:lineRule="exact"/>
        <w:jc w:val="left"/>
        <w:rPr>
          <w:rFonts w:ascii="宋体" w:hAnsi="宋体"/>
          <w:szCs w:val="21"/>
        </w:rPr>
      </w:pPr>
      <w:r>
        <w:rPr>
          <w:rFonts w:ascii="宋体" w:hAnsi="宋体"/>
          <w:szCs w:val="21"/>
        </w:rPr>
        <w:t xml:space="preserve">                                           </w:t>
      </w:r>
    </w:p>
    <w:p>
      <w:pPr>
        <w:spacing w:line="400" w:lineRule="exact"/>
        <w:jc w:val="left"/>
        <w:rPr>
          <w:rFonts w:ascii="宋体"/>
          <w:szCs w:val="21"/>
        </w:rPr>
      </w:pPr>
      <w:r>
        <w:rPr>
          <w:rFonts w:hint="eastAsia" w:ascii="宋体" w:hAnsi="宋体"/>
          <w:szCs w:val="21"/>
        </w:rPr>
        <w:t>工程编号：</w:t>
      </w:r>
      <w:r>
        <w:rPr>
          <w:rFonts w:ascii="宋体" w:hAnsi="宋体"/>
          <w:szCs w:val="21"/>
          <w:u w:val="single"/>
        </w:rPr>
        <w:t xml:space="preserve">                                   </w:t>
      </w:r>
      <w:r>
        <w:rPr>
          <w:rFonts w:ascii="宋体" w:hAnsi="宋体"/>
          <w:szCs w:val="21"/>
        </w:rPr>
        <w:t xml:space="preserve">                                        </w:t>
      </w:r>
      <w:r>
        <w:rPr>
          <w:rFonts w:hint="eastAsia" w:ascii="宋体" w:hAnsi="宋体"/>
          <w:szCs w:val="21"/>
        </w:rPr>
        <w:t>开标时间：</w:t>
      </w:r>
      <w:r>
        <w:rPr>
          <w:rFonts w:ascii="宋体" w:hAnsi="宋体"/>
          <w:szCs w:val="21"/>
          <w:u w:val="single"/>
        </w:rPr>
        <w:t xml:space="preserve">      </w:t>
      </w:r>
      <w:r>
        <w:rPr>
          <w:rFonts w:hint="eastAsia" w:ascii="宋体" w:hAnsi="宋体"/>
          <w:szCs w:val="21"/>
        </w:rPr>
        <w:t>年</w:t>
      </w:r>
      <w:r>
        <w:rPr>
          <w:rFonts w:ascii="宋体" w:hAnsi="宋体"/>
          <w:szCs w:val="21"/>
        </w:rPr>
        <w:t xml:space="preserve"> </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u w:val="single"/>
        </w:rPr>
        <w:t xml:space="preserve">     </w:t>
      </w:r>
      <w:r>
        <w:rPr>
          <w:rFonts w:hint="eastAsia" w:ascii="宋体" w:hAnsi="宋体"/>
          <w:szCs w:val="21"/>
        </w:rPr>
        <w:t>时</w:t>
      </w:r>
      <w:r>
        <w:rPr>
          <w:rFonts w:ascii="宋体" w:hAnsi="宋体"/>
          <w:szCs w:val="21"/>
          <w:u w:val="single"/>
        </w:rPr>
        <w:t xml:space="preserve">      </w:t>
      </w:r>
      <w:r>
        <w:rPr>
          <w:rFonts w:hint="eastAsia" w:ascii="宋体" w:hAnsi="宋体"/>
          <w:szCs w:val="21"/>
        </w:rPr>
        <w:t>分</w:t>
      </w:r>
    </w:p>
    <w:p>
      <w:pPr>
        <w:spacing w:line="400" w:lineRule="exact"/>
        <w:jc w:val="left"/>
        <w:rPr>
          <w:rFonts w:ascii="宋体"/>
          <w:szCs w:val="21"/>
          <w:u w:val="single"/>
        </w:rPr>
      </w:pPr>
      <w:r>
        <w:rPr>
          <w:rFonts w:hint="eastAsia" w:ascii="宋体" w:hAnsi="宋体"/>
          <w:szCs w:val="21"/>
        </w:rPr>
        <w:t>工程名称：</w:t>
      </w:r>
      <w:r>
        <w:rPr>
          <w:rFonts w:ascii="宋体" w:hAnsi="宋体"/>
          <w:szCs w:val="21"/>
          <w:u w:val="single"/>
        </w:rPr>
        <w:t xml:space="preserve">                                   </w:t>
      </w:r>
      <w:r>
        <w:rPr>
          <w:rFonts w:ascii="宋体" w:hAnsi="宋体"/>
          <w:szCs w:val="21"/>
        </w:rPr>
        <w:t xml:space="preserve">                                        </w:t>
      </w:r>
      <w:r>
        <w:rPr>
          <w:rFonts w:hint="eastAsia" w:ascii="宋体" w:hAnsi="宋体"/>
          <w:szCs w:val="21"/>
        </w:rPr>
        <w:t>开标地点：</w:t>
      </w:r>
      <w:r>
        <w:rPr>
          <w:rFonts w:ascii="宋体" w:hAnsi="宋体"/>
          <w:szCs w:val="21"/>
          <w:u w:val="single"/>
        </w:rPr>
        <w:t xml:space="preserve">                                </w:t>
      </w:r>
    </w:p>
    <w:tbl>
      <w:tblPr>
        <w:tblStyle w:val="49"/>
        <w:tblW w:w="14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134"/>
        <w:gridCol w:w="1134"/>
        <w:gridCol w:w="1276"/>
        <w:gridCol w:w="973"/>
        <w:gridCol w:w="1153"/>
        <w:gridCol w:w="1100"/>
        <w:gridCol w:w="993"/>
        <w:gridCol w:w="984"/>
        <w:gridCol w:w="751"/>
        <w:gridCol w:w="1517"/>
        <w:gridCol w:w="1176"/>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893" w:type="dxa"/>
            <w:vAlign w:val="center"/>
          </w:tcPr>
          <w:p>
            <w:pPr>
              <w:snapToGrid w:val="0"/>
              <w:jc w:val="center"/>
              <w:rPr>
                <w:rFonts w:ascii="宋体" w:hAnsi="宋体"/>
                <w:szCs w:val="21"/>
              </w:rPr>
            </w:pPr>
            <w:r>
              <w:rPr>
                <w:rFonts w:hint="eastAsia" w:ascii="宋体" w:hAnsi="宋体"/>
                <w:szCs w:val="21"/>
              </w:rPr>
              <w:t>序号</w:t>
            </w:r>
          </w:p>
        </w:tc>
        <w:tc>
          <w:tcPr>
            <w:tcW w:w="1134" w:type="dxa"/>
            <w:vAlign w:val="center"/>
          </w:tcPr>
          <w:p>
            <w:pPr>
              <w:snapToGrid w:val="0"/>
              <w:jc w:val="center"/>
              <w:rPr>
                <w:rFonts w:ascii="宋体" w:hAnsi="宋体"/>
                <w:szCs w:val="21"/>
              </w:rPr>
            </w:pPr>
            <w:r>
              <w:rPr>
                <w:rFonts w:hint="eastAsia" w:ascii="宋体" w:hAnsi="宋体"/>
                <w:szCs w:val="21"/>
              </w:rPr>
              <w:t>投标人</w:t>
            </w:r>
          </w:p>
        </w:tc>
        <w:tc>
          <w:tcPr>
            <w:tcW w:w="1134" w:type="dxa"/>
            <w:vAlign w:val="center"/>
          </w:tcPr>
          <w:p>
            <w:pPr>
              <w:snapToGrid w:val="0"/>
              <w:jc w:val="center"/>
              <w:rPr>
                <w:rFonts w:ascii="宋体" w:hAnsi="宋体"/>
                <w:szCs w:val="21"/>
              </w:rPr>
            </w:pPr>
            <w:r>
              <w:rPr>
                <w:rFonts w:hint="eastAsia" w:ascii="宋体" w:hAnsi="宋体"/>
                <w:szCs w:val="21"/>
              </w:rPr>
              <w:t>投标总价（元）</w:t>
            </w:r>
          </w:p>
        </w:tc>
        <w:tc>
          <w:tcPr>
            <w:tcW w:w="1276" w:type="dxa"/>
            <w:vAlign w:val="center"/>
          </w:tcPr>
          <w:p>
            <w:pPr>
              <w:snapToGrid w:val="0"/>
              <w:jc w:val="center"/>
              <w:rPr>
                <w:rFonts w:ascii="宋体" w:hAnsi="宋体"/>
                <w:szCs w:val="21"/>
              </w:rPr>
            </w:pPr>
            <w:r>
              <w:rPr>
                <w:rFonts w:hint="eastAsia" w:ascii="宋体" w:hAnsi="宋体"/>
                <w:szCs w:val="21"/>
              </w:rPr>
              <w:t>投标工期（日历天）</w:t>
            </w:r>
          </w:p>
        </w:tc>
        <w:tc>
          <w:tcPr>
            <w:tcW w:w="973" w:type="dxa"/>
            <w:vAlign w:val="center"/>
          </w:tcPr>
          <w:p>
            <w:pPr>
              <w:snapToGrid w:val="0"/>
              <w:jc w:val="center"/>
              <w:rPr>
                <w:rFonts w:ascii="宋体" w:hAnsi="宋体"/>
                <w:szCs w:val="21"/>
              </w:rPr>
            </w:pPr>
            <w:r>
              <w:rPr>
                <w:rFonts w:hint="eastAsia" w:ascii="宋体" w:hAnsi="宋体"/>
                <w:szCs w:val="21"/>
              </w:rPr>
              <w:t>质量</w:t>
            </w:r>
          </w:p>
          <w:p>
            <w:pPr>
              <w:snapToGrid w:val="0"/>
              <w:jc w:val="center"/>
              <w:rPr>
                <w:rFonts w:ascii="宋体" w:hAnsi="宋体"/>
                <w:szCs w:val="21"/>
              </w:rPr>
            </w:pPr>
            <w:r>
              <w:rPr>
                <w:rFonts w:hint="eastAsia" w:ascii="宋体" w:hAnsi="宋体"/>
                <w:szCs w:val="21"/>
              </w:rPr>
              <w:t>标准</w:t>
            </w:r>
          </w:p>
        </w:tc>
        <w:tc>
          <w:tcPr>
            <w:tcW w:w="1153" w:type="dxa"/>
            <w:vAlign w:val="center"/>
          </w:tcPr>
          <w:p>
            <w:pPr>
              <w:snapToGrid w:val="0"/>
              <w:jc w:val="center"/>
              <w:rPr>
                <w:rFonts w:ascii="宋体" w:hAnsi="宋体"/>
                <w:szCs w:val="21"/>
              </w:rPr>
            </w:pPr>
            <w:r>
              <w:rPr>
                <w:rFonts w:hint="eastAsia" w:ascii="宋体" w:hAnsi="宋体"/>
                <w:szCs w:val="21"/>
              </w:rPr>
              <w:t>安全文明施工费（含税）（元）</w:t>
            </w:r>
          </w:p>
        </w:tc>
        <w:tc>
          <w:tcPr>
            <w:tcW w:w="1100" w:type="dxa"/>
            <w:vAlign w:val="center"/>
          </w:tcPr>
          <w:p>
            <w:pPr>
              <w:snapToGrid w:val="0"/>
              <w:jc w:val="center"/>
              <w:rPr>
                <w:rFonts w:ascii="宋体" w:hAnsi="宋体"/>
                <w:szCs w:val="21"/>
              </w:rPr>
            </w:pPr>
            <w:r>
              <w:rPr>
                <w:rFonts w:hint="eastAsia" w:ascii="宋体" w:hAnsi="宋体"/>
                <w:szCs w:val="21"/>
              </w:rPr>
              <w:t>暂列金额</w:t>
            </w:r>
          </w:p>
          <w:p>
            <w:pPr>
              <w:snapToGrid w:val="0"/>
              <w:jc w:val="center"/>
              <w:rPr>
                <w:rFonts w:ascii="宋体" w:hAnsi="宋体"/>
                <w:szCs w:val="21"/>
              </w:rPr>
            </w:pPr>
            <w:r>
              <w:rPr>
                <w:rFonts w:hint="eastAsia" w:ascii="宋体" w:hAnsi="宋体"/>
                <w:szCs w:val="21"/>
              </w:rPr>
              <w:t>（含税）（元）</w:t>
            </w:r>
          </w:p>
        </w:tc>
        <w:tc>
          <w:tcPr>
            <w:tcW w:w="993" w:type="dxa"/>
            <w:vAlign w:val="center"/>
          </w:tcPr>
          <w:p>
            <w:pPr>
              <w:snapToGrid w:val="0"/>
              <w:jc w:val="center"/>
              <w:rPr>
                <w:rFonts w:ascii="宋体" w:hAnsi="宋体"/>
                <w:szCs w:val="21"/>
              </w:rPr>
            </w:pPr>
            <w:r>
              <w:rPr>
                <w:rFonts w:hint="eastAsia" w:ascii="宋体" w:hAnsi="宋体"/>
                <w:szCs w:val="21"/>
              </w:rPr>
              <w:t>专业工程暂估价（含税）（元）</w:t>
            </w:r>
          </w:p>
        </w:tc>
        <w:tc>
          <w:tcPr>
            <w:tcW w:w="984" w:type="dxa"/>
            <w:vAlign w:val="center"/>
          </w:tcPr>
          <w:p>
            <w:pPr>
              <w:snapToGrid w:val="0"/>
              <w:jc w:val="center"/>
              <w:rPr>
                <w:rFonts w:ascii="宋体" w:hAnsi="宋体"/>
                <w:szCs w:val="21"/>
              </w:rPr>
            </w:pPr>
            <w:r>
              <w:rPr>
                <w:rFonts w:hint="eastAsia" w:ascii="宋体" w:hAnsi="宋体"/>
                <w:szCs w:val="21"/>
              </w:rPr>
              <w:t>企业信用评价分值</w:t>
            </w:r>
          </w:p>
        </w:tc>
        <w:tc>
          <w:tcPr>
            <w:tcW w:w="751" w:type="dxa"/>
            <w:vAlign w:val="center"/>
          </w:tcPr>
          <w:p>
            <w:pPr>
              <w:snapToGrid w:val="0"/>
              <w:jc w:val="center"/>
              <w:rPr>
                <w:rFonts w:ascii="宋体" w:hAnsi="宋体"/>
                <w:szCs w:val="21"/>
              </w:rPr>
            </w:pPr>
            <w:commentRangeStart w:id="2"/>
            <w:r>
              <w:rPr>
                <w:rFonts w:hint="eastAsia" w:ascii="宋体" w:hAnsi="宋体"/>
                <w:szCs w:val="21"/>
              </w:rPr>
              <w:t>投标担保</w:t>
            </w:r>
            <w:commentRangeEnd w:id="2"/>
            <w:r>
              <w:rPr>
                <w:rStyle w:val="57"/>
              </w:rPr>
              <w:commentReference w:id="2"/>
            </w:r>
          </w:p>
        </w:tc>
        <w:tc>
          <w:tcPr>
            <w:tcW w:w="1517" w:type="dxa"/>
            <w:vAlign w:val="center"/>
          </w:tcPr>
          <w:p>
            <w:pPr>
              <w:snapToGrid w:val="0"/>
              <w:jc w:val="center"/>
              <w:rPr>
                <w:rFonts w:ascii="宋体" w:hAnsi="宋体"/>
                <w:szCs w:val="21"/>
              </w:rPr>
            </w:pPr>
            <w:r>
              <w:rPr>
                <w:rFonts w:hint="eastAsia" w:ascii="宋体" w:hAnsi="宋体"/>
                <w:szCs w:val="21"/>
              </w:rPr>
              <w:t>项目负责人信用评价分值</w:t>
            </w:r>
          </w:p>
        </w:tc>
        <w:tc>
          <w:tcPr>
            <w:tcW w:w="1176" w:type="dxa"/>
            <w:vAlign w:val="center"/>
          </w:tcPr>
          <w:p>
            <w:pPr>
              <w:snapToGrid w:val="0"/>
              <w:jc w:val="center"/>
              <w:rPr>
                <w:rFonts w:ascii="宋体" w:hAnsi="宋体"/>
                <w:szCs w:val="21"/>
              </w:rPr>
            </w:pPr>
            <w:r>
              <w:rPr>
                <w:rFonts w:hint="eastAsia" w:ascii="宋体" w:hAnsi="宋体"/>
                <w:szCs w:val="21"/>
              </w:rPr>
              <w:t>项目</w:t>
            </w:r>
            <w:r>
              <w:rPr>
                <w:rFonts w:hint="eastAsia"/>
                <w:szCs w:val="21"/>
              </w:rPr>
              <w:t>负责人</w:t>
            </w:r>
            <w:r>
              <w:rPr>
                <w:rFonts w:hint="eastAsia" w:ascii="宋体" w:hAnsi="宋体"/>
                <w:szCs w:val="21"/>
              </w:rPr>
              <w:t>姓名</w:t>
            </w:r>
          </w:p>
        </w:tc>
        <w:tc>
          <w:tcPr>
            <w:tcW w:w="1525" w:type="dxa"/>
            <w:vAlign w:val="center"/>
          </w:tcPr>
          <w:p>
            <w:pPr>
              <w:snapToGrid w:val="0"/>
              <w:rPr>
                <w:rFonts w:ascii="宋体" w:hAnsi="宋体"/>
                <w:szCs w:val="21"/>
              </w:rPr>
            </w:pPr>
            <w:r>
              <w:rPr>
                <w:rFonts w:hint="eastAsia" w:ascii="宋体" w:hAnsi="宋体"/>
                <w:szCs w:val="21"/>
              </w:rPr>
              <w:t>法定代表人或法定代表人委托人手写签名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93" w:type="dxa"/>
          </w:tcPr>
          <w:p>
            <w:pPr>
              <w:spacing w:line="400" w:lineRule="exact"/>
              <w:jc w:val="center"/>
              <w:rPr>
                <w:rFonts w:ascii="宋体" w:hAnsi="宋体"/>
                <w:szCs w:val="21"/>
              </w:rPr>
            </w:pPr>
          </w:p>
        </w:tc>
        <w:tc>
          <w:tcPr>
            <w:tcW w:w="1134" w:type="dxa"/>
            <w:vAlign w:val="center"/>
          </w:tcPr>
          <w:p>
            <w:pPr>
              <w:spacing w:line="400" w:lineRule="exact"/>
              <w:jc w:val="center"/>
              <w:rPr>
                <w:rFonts w:ascii="宋体" w:hAnsi="宋体"/>
                <w:szCs w:val="21"/>
              </w:rPr>
            </w:pPr>
          </w:p>
        </w:tc>
        <w:tc>
          <w:tcPr>
            <w:tcW w:w="1134" w:type="dxa"/>
            <w:vAlign w:val="center"/>
          </w:tcPr>
          <w:p>
            <w:pPr>
              <w:spacing w:line="400" w:lineRule="exact"/>
              <w:jc w:val="center"/>
              <w:rPr>
                <w:rFonts w:ascii="宋体" w:hAnsi="宋体"/>
                <w:szCs w:val="21"/>
              </w:rPr>
            </w:pPr>
          </w:p>
        </w:tc>
        <w:tc>
          <w:tcPr>
            <w:tcW w:w="1276" w:type="dxa"/>
            <w:vAlign w:val="center"/>
          </w:tcPr>
          <w:p>
            <w:pPr>
              <w:spacing w:line="400" w:lineRule="exact"/>
              <w:jc w:val="center"/>
              <w:rPr>
                <w:rFonts w:ascii="宋体" w:hAnsi="宋体"/>
                <w:szCs w:val="21"/>
              </w:rPr>
            </w:pPr>
          </w:p>
        </w:tc>
        <w:tc>
          <w:tcPr>
            <w:tcW w:w="973" w:type="dxa"/>
            <w:vAlign w:val="center"/>
          </w:tcPr>
          <w:p>
            <w:pPr>
              <w:spacing w:line="400" w:lineRule="exact"/>
              <w:jc w:val="center"/>
              <w:rPr>
                <w:rFonts w:ascii="宋体" w:hAnsi="宋体"/>
                <w:szCs w:val="21"/>
              </w:rPr>
            </w:pPr>
          </w:p>
        </w:tc>
        <w:tc>
          <w:tcPr>
            <w:tcW w:w="1153" w:type="dxa"/>
            <w:vAlign w:val="center"/>
          </w:tcPr>
          <w:p>
            <w:pPr>
              <w:spacing w:line="400" w:lineRule="exact"/>
              <w:jc w:val="center"/>
              <w:rPr>
                <w:rFonts w:ascii="宋体" w:hAnsi="宋体"/>
                <w:szCs w:val="21"/>
              </w:rPr>
            </w:pPr>
          </w:p>
        </w:tc>
        <w:tc>
          <w:tcPr>
            <w:tcW w:w="1100" w:type="dxa"/>
            <w:vAlign w:val="center"/>
          </w:tcPr>
          <w:p>
            <w:pPr>
              <w:spacing w:line="400" w:lineRule="exact"/>
              <w:jc w:val="center"/>
              <w:rPr>
                <w:rFonts w:ascii="宋体" w:hAnsi="宋体"/>
                <w:szCs w:val="21"/>
              </w:rPr>
            </w:pPr>
          </w:p>
        </w:tc>
        <w:tc>
          <w:tcPr>
            <w:tcW w:w="993" w:type="dxa"/>
            <w:vAlign w:val="center"/>
          </w:tcPr>
          <w:p>
            <w:pPr>
              <w:spacing w:line="400" w:lineRule="exact"/>
              <w:jc w:val="center"/>
              <w:rPr>
                <w:rFonts w:ascii="宋体" w:hAnsi="宋体"/>
                <w:szCs w:val="21"/>
              </w:rPr>
            </w:pPr>
          </w:p>
        </w:tc>
        <w:tc>
          <w:tcPr>
            <w:tcW w:w="984" w:type="dxa"/>
          </w:tcPr>
          <w:p>
            <w:pPr>
              <w:spacing w:line="400" w:lineRule="exact"/>
              <w:jc w:val="center"/>
              <w:rPr>
                <w:rFonts w:ascii="宋体" w:hAnsi="宋体"/>
                <w:strike/>
                <w:szCs w:val="21"/>
              </w:rPr>
            </w:pPr>
          </w:p>
        </w:tc>
        <w:tc>
          <w:tcPr>
            <w:tcW w:w="751" w:type="dxa"/>
          </w:tcPr>
          <w:p>
            <w:pPr>
              <w:spacing w:line="400" w:lineRule="exact"/>
              <w:jc w:val="center"/>
              <w:rPr>
                <w:rFonts w:ascii="宋体" w:hAnsi="宋体"/>
                <w:szCs w:val="21"/>
              </w:rPr>
            </w:pPr>
          </w:p>
        </w:tc>
        <w:tc>
          <w:tcPr>
            <w:tcW w:w="1517" w:type="dxa"/>
          </w:tcPr>
          <w:p>
            <w:pPr>
              <w:spacing w:line="400" w:lineRule="exact"/>
              <w:jc w:val="center"/>
              <w:rPr>
                <w:rFonts w:ascii="宋体" w:hAnsi="宋体"/>
                <w:szCs w:val="21"/>
              </w:rPr>
            </w:pPr>
          </w:p>
        </w:tc>
        <w:tc>
          <w:tcPr>
            <w:tcW w:w="1176" w:type="dxa"/>
            <w:vAlign w:val="center"/>
          </w:tcPr>
          <w:p>
            <w:pPr>
              <w:spacing w:line="400" w:lineRule="exact"/>
              <w:jc w:val="center"/>
              <w:rPr>
                <w:rFonts w:ascii="宋体" w:hAnsi="宋体"/>
                <w:strike/>
                <w:szCs w:val="21"/>
              </w:rPr>
            </w:pPr>
          </w:p>
        </w:tc>
        <w:tc>
          <w:tcPr>
            <w:tcW w:w="1525" w:type="dxa"/>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93" w:type="dxa"/>
          </w:tcPr>
          <w:p>
            <w:pPr>
              <w:spacing w:line="400" w:lineRule="exact"/>
              <w:jc w:val="center"/>
              <w:rPr>
                <w:rFonts w:ascii="宋体" w:hAnsi="宋体"/>
                <w:szCs w:val="21"/>
              </w:rPr>
            </w:pPr>
          </w:p>
        </w:tc>
        <w:tc>
          <w:tcPr>
            <w:tcW w:w="1134" w:type="dxa"/>
            <w:vAlign w:val="center"/>
          </w:tcPr>
          <w:p>
            <w:pPr>
              <w:spacing w:line="400" w:lineRule="exact"/>
              <w:jc w:val="center"/>
              <w:rPr>
                <w:rFonts w:ascii="宋体" w:hAnsi="宋体"/>
                <w:szCs w:val="21"/>
              </w:rPr>
            </w:pPr>
          </w:p>
        </w:tc>
        <w:tc>
          <w:tcPr>
            <w:tcW w:w="1134" w:type="dxa"/>
            <w:vAlign w:val="center"/>
          </w:tcPr>
          <w:p>
            <w:pPr>
              <w:spacing w:line="400" w:lineRule="exact"/>
              <w:jc w:val="center"/>
              <w:rPr>
                <w:rFonts w:ascii="宋体" w:hAnsi="宋体"/>
                <w:szCs w:val="21"/>
              </w:rPr>
            </w:pPr>
          </w:p>
        </w:tc>
        <w:tc>
          <w:tcPr>
            <w:tcW w:w="1276" w:type="dxa"/>
            <w:vAlign w:val="center"/>
          </w:tcPr>
          <w:p>
            <w:pPr>
              <w:spacing w:line="400" w:lineRule="exact"/>
              <w:jc w:val="center"/>
              <w:rPr>
                <w:rFonts w:ascii="宋体" w:hAnsi="宋体"/>
                <w:szCs w:val="21"/>
              </w:rPr>
            </w:pPr>
          </w:p>
        </w:tc>
        <w:tc>
          <w:tcPr>
            <w:tcW w:w="973" w:type="dxa"/>
            <w:vAlign w:val="center"/>
          </w:tcPr>
          <w:p>
            <w:pPr>
              <w:spacing w:line="400" w:lineRule="exact"/>
              <w:jc w:val="center"/>
              <w:rPr>
                <w:rFonts w:ascii="宋体" w:hAnsi="宋体"/>
                <w:szCs w:val="21"/>
              </w:rPr>
            </w:pPr>
          </w:p>
        </w:tc>
        <w:tc>
          <w:tcPr>
            <w:tcW w:w="1153" w:type="dxa"/>
            <w:vAlign w:val="center"/>
          </w:tcPr>
          <w:p>
            <w:pPr>
              <w:spacing w:line="400" w:lineRule="exact"/>
              <w:jc w:val="center"/>
              <w:rPr>
                <w:rFonts w:ascii="宋体" w:hAnsi="宋体"/>
                <w:szCs w:val="21"/>
              </w:rPr>
            </w:pPr>
          </w:p>
        </w:tc>
        <w:tc>
          <w:tcPr>
            <w:tcW w:w="1100" w:type="dxa"/>
            <w:vAlign w:val="center"/>
          </w:tcPr>
          <w:p>
            <w:pPr>
              <w:spacing w:line="400" w:lineRule="exact"/>
              <w:jc w:val="center"/>
              <w:rPr>
                <w:rFonts w:ascii="宋体" w:hAnsi="宋体"/>
                <w:szCs w:val="21"/>
              </w:rPr>
            </w:pPr>
          </w:p>
        </w:tc>
        <w:tc>
          <w:tcPr>
            <w:tcW w:w="993" w:type="dxa"/>
            <w:vAlign w:val="center"/>
          </w:tcPr>
          <w:p>
            <w:pPr>
              <w:spacing w:line="400" w:lineRule="exact"/>
              <w:jc w:val="center"/>
              <w:rPr>
                <w:rFonts w:ascii="宋体" w:hAnsi="宋体"/>
                <w:szCs w:val="21"/>
              </w:rPr>
            </w:pPr>
          </w:p>
        </w:tc>
        <w:tc>
          <w:tcPr>
            <w:tcW w:w="984" w:type="dxa"/>
          </w:tcPr>
          <w:p>
            <w:pPr>
              <w:spacing w:line="400" w:lineRule="exact"/>
              <w:jc w:val="center"/>
              <w:rPr>
                <w:rFonts w:ascii="宋体" w:hAnsi="宋体"/>
                <w:szCs w:val="21"/>
              </w:rPr>
            </w:pPr>
          </w:p>
        </w:tc>
        <w:tc>
          <w:tcPr>
            <w:tcW w:w="751" w:type="dxa"/>
          </w:tcPr>
          <w:p>
            <w:pPr>
              <w:spacing w:line="400" w:lineRule="exact"/>
              <w:jc w:val="center"/>
              <w:rPr>
                <w:rFonts w:ascii="宋体" w:hAnsi="宋体"/>
                <w:szCs w:val="21"/>
              </w:rPr>
            </w:pPr>
          </w:p>
        </w:tc>
        <w:tc>
          <w:tcPr>
            <w:tcW w:w="1517" w:type="dxa"/>
          </w:tcPr>
          <w:p>
            <w:pPr>
              <w:spacing w:line="400" w:lineRule="exact"/>
              <w:jc w:val="center"/>
              <w:rPr>
                <w:rFonts w:ascii="宋体" w:hAnsi="宋体"/>
                <w:szCs w:val="21"/>
              </w:rPr>
            </w:pPr>
          </w:p>
        </w:tc>
        <w:tc>
          <w:tcPr>
            <w:tcW w:w="1176" w:type="dxa"/>
          </w:tcPr>
          <w:p>
            <w:pPr>
              <w:spacing w:line="400" w:lineRule="exact"/>
              <w:jc w:val="center"/>
              <w:rPr>
                <w:rFonts w:ascii="宋体" w:hAnsi="宋体"/>
                <w:szCs w:val="21"/>
              </w:rPr>
            </w:pPr>
          </w:p>
        </w:tc>
        <w:tc>
          <w:tcPr>
            <w:tcW w:w="1525" w:type="dxa"/>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93" w:type="dxa"/>
          </w:tcPr>
          <w:p>
            <w:pPr>
              <w:spacing w:line="400" w:lineRule="exact"/>
              <w:jc w:val="center"/>
              <w:rPr>
                <w:rFonts w:ascii="宋体" w:hAnsi="宋体"/>
                <w:szCs w:val="21"/>
              </w:rPr>
            </w:pPr>
          </w:p>
        </w:tc>
        <w:tc>
          <w:tcPr>
            <w:tcW w:w="1134" w:type="dxa"/>
            <w:vAlign w:val="center"/>
          </w:tcPr>
          <w:p>
            <w:pPr>
              <w:spacing w:line="400" w:lineRule="exact"/>
              <w:jc w:val="center"/>
              <w:rPr>
                <w:rFonts w:ascii="宋体" w:hAnsi="宋体"/>
                <w:szCs w:val="21"/>
              </w:rPr>
            </w:pPr>
          </w:p>
        </w:tc>
        <w:tc>
          <w:tcPr>
            <w:tcW w:w="1134" w:type="dxa"/>
            <w:vAlign w:val="center"/>
          </w:tcPr>
          <w:p>
            <w:pPr>
              <w:spacing w:line="400" w:lineRule="exact"/>
              <w:jc w:val="center"/>
              <w:rPr>
                <w:rFonts w:ascii="宋体" w:hAnsi="宋体"/>
                <w:szCs w:val="21"/>
              </w:rPr>
            </w:pPr>
          </w:p>
        </w:tc>
        <w:tc>
          <w:tcPr>
            <w:tcW w:w="1276" w:type="dxa"/>
            <w:vAlign w:val="center"/>
          </w:tcPr>
          <w:p>
            <w:pPr>
              <w:spacing w:line="400" w:lineRule="exact"/>
              <w:jc w:val="center"/>
              <w:rPr>
                <w:rFonts w:ascii="宋体" w:hAnsi="宋体"/>
                <w:szCs w:val="21"/>
              </w:rPr>
            </w:pPr>
          </w:p>
        </w:tc>
        <w:tc>
          <w:tcPr>
            <w:tcW w:w="973" w:type="dxa"/>
            <w:vAlign w:val="center"/>
          </w:tcPr>
          <w:p>
            <w:pPr>
              <w:spacing w:line="400" w:lineRule="exact"/>
              <w:jc w:val="center"/>
              <w:rPr>
                <w:rFonts w:ascii="宋体" w:hAnsi="宋体"/>
                <w:szCs w:val="21"/>
              </w:rPr>
            </w:pPr>
          </w:p>
        </w:tc>
        <w:tc>
          <w:tcPr>
            <w:tcW w:w="1153" w:type="dxa"/>
            <w:vAlign w:val="center"/>
          </w:tcPr>
          <w:p>
            <w:pPr>
              <w:spacing w:line="400" w:lineRule="exact"/>
              <w:jc w:val="center"/>
              <w:rPr>
                <w:rFonts w:ascii="宋体" w:hAnsi="宋体"/>
                <w:szCs w:val="21"/>
              </w:rPr>
            </w:pPr>
          </w:p>
        </w:tc>
        <w:tc>
          <w:tcPr>
            <w:tcW w:w="1100" w:type="dxa"/>
            <w:vAlign w:val="center"/>
          </w:tcPr>
          <w:p>
            <w:pPr>
              <w:spacing w:line="400" w:lineRule="exact"/>
              <w:jc w:val="center"/>
              <w:rPr>
                <w:rFonts w:ascii="宋体" w:hAnsi="宋体"/>
                <w:szCs w:val="21"/>
              </w:rPr>
            </w:pPr>
          </w:p>
        </w:tc>
        <w:tc>
          <w:tcPr>
            <w:tcW w:w="993" w:type="dxa"/>
            <w:vAlign w:val="center"/>
          </w:tcPr>
          <w:p>
            <w:pPr>
              <w:spacing w:line="400" w:lineRule="exact"/>
              <w:jc w:val="center"/>
              <w:rPr>
                <w:rFonts w:ascii="宋体" w:hAnsi="宋体"/>
                <w:szCs w:val="21"/>
              </w:rPr>
            </w:pPr>
          </w:p>
        </w:tc>
        <w:tc>
          <w:tcPr>
            <w:tcW w:w="984" w:type="dxa"/>
          </w:tcPr>
          <w:p>
            <w:pPr>
              <w:spacing w:line="400" w:lineRule="exact"/>
              <w:jc w:val="center"/>
              <w:rPr>
                <w:rFonts w:ascii="宋体" w:hAnsi="宋体"/>
                <w:szCs w:val="21"/>
              </w:rPr>
            </w:pPr>
          </w:p>
        </w:tc>
        <w:tc>
          <w:tcPr>
            <w:tcW w:w="751" w:type="dxa"/>
          </w:tcPr>
          <w:p>
            <w:pPr>
              <w:spacing w:line="400" w:lineRule="exact"/>
              <w:jc w:val="center"/>
              <w:rPr>
                <w:rFonts w:ascii="宋体" w:hAnsi="宋体"/>
                <w:szCs w:val="21"/>
              </w:rPr>
            </w:pPr>
          </w:p>
        </w:tc>
        <w:tc>
          <w:tcPr>
            <w:tcW w:w="1517" w:type="dxa"/>
          </w:tcPr>
          <w:p>
            <w:pPr>
              <w:spacing w:line="400" w:lineRule="exact"/>
              <w:jc w:val="center"/>
              <w:rPr>
                <w:rFonts w:ascii="宋体" w:hAnsi="宋体"/>
                <w:szCs w:val="21"/>
              </w:rPr>
            </w:pPr>
          </w:p>
        </w:tc>
        <w:tc>
          <w:tcPr>
            <w:tcW w:w="1176" w:type="dxa"/>
          </w:tcPr>
          <w:p>
            <w:pPr>
              <w:spacing w:line="400" w:lineRule="exact"/>
              <w:jc w:val="center"/>
              <w:rPr>
                <w:rFonts w:ascii="宋体" w:hAnsi="宋体"/>
                <w:szCs w:val="21"/>
              </w:rPr>
            </w:pPr>
          </w:p>
        </w:tc>
        <w:tc>
          <w:tcPr>
            <w:tcW w:w="1525" w:type="dxa"/>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93" w:type="dxa"/>
          </w:tcPr>
          <w:p>
            <w:pPr>
              <w:spacing w:line="400" w:lineRule="exact"/>
              <w:jc w:val="center"/>
              <w:rPr>
                <w:rFonts w:ascii="宋体" w:hAnsi="宋体"/>
                <w:szCs w:val="21"/>
              </w:rPr>
            </w:pPr>
          </w:p>
        </w:tc>
        <w:tc>
          <w:tcPr>
            <w:tcW w:w="1134" w:type="dxa"/>
            <w:vAlign w:val="center"/>
          </w:tcPr>
          <w:p>
            <w:pPr>
              <w:spacing w:line="400" w:lineRule="exact"/>
              <w:jc w:val="center"/>
              <w:rPr>
                <w:rFonts w:ascii="宋体" w:hAnsi="宋体"/>
                <w:szCs w:val="21"/>
              </w:rPr>
            </w:pPr>
          </w:p>
        </w:tc>
        <w:tc>
          <w:tcPr>
            <w:tcW w:w="1134" w:type="dxa"/>
            <w:vAlign w:val="center"/>
          </w:tcPr>
          <w:p>
            <w:pPr>
              <w:spacing w:line="400" w:lineRule="exact"/>
              <w:jc w:val="center"/>
              <w:rPr>
                <w:rFonts w:ascii="宋体" w:hAnsi="宋体"/>
                <w:szCs w:val="21"/>
              </w:rPr>
            </w:pPr>
          </w:p>
        </w:tc>
        <w:tc>
          <w:tcPr>
            <w:tcW w:w="1276" w:type="dxa"/>
            <w:vAlign w:val="center"/>
          </w:tcPr>
          <w:p>
            <w:pPr>
              <w:spacing w:line="400" w:lineRule="exact"/>
              <w:jc w:val="center"/>
              <w:rPr>
                <w:rFonts w:ascii="宋体" w:hAnsi="宋体"/>
                <w:szCs w:val="21"/>
              </w:rPr>
            </w:pPr>
          </w:p>
        </w:tc>
        <w:tc>
          <w:tcPr>
            <w:tcW w:w="973" w:type="dxa"/>
            <w:vAlign w:val="center"/>
          </w:tcPr>
          <w:p>
            <w:pPr>
              <w:spacing w:line="400" w:lineRule="exact"/>
              <w:jc w:val="center"/>
              <w:rPr>
                <w:rFonts w:ascii="宋体" w:hAnsi="宋体"/>
                <w:szCs w:val="21"/>
              </w:rPr>
            </w:pPr>
          </w:p>
        </w:tc>
        <w:tc>
          <w:tcPr>
            <w:tcW w:w="1153" w:type="dxa"/>
            <w:vAlign w:val="center"/>
          </w:tcPr>
          <w:p>
            <w:pPr>
              <w:spacing w:line="400" w:lineRule="exact"/>
              <w:jc w:val="center"/>
              <w:rPr>
                <w:rFonts w:ascii="宋体" w:hAnsi="宋体"/>
                <w:szCs w:val="21"/>
              </w:rPr>
            </w:pPr>
          </w:p>
        </w:tc>
        <w:tc>
          <w:tcPr>
            <w:tcW w:w="1100" w:type="dxa"/>
            <w:vAlign w:val="center"/>
          </w:tcPr>
          <w:p>
            <w:pPr>
              <w:spacing w:line="400" w:lineRule="exact"/>
              <w:jc w:val="center"/>
              <w:rPr>
                <w:rFonts w:ascii="宋体" w:hAnsi="宋体"/>
                <w:szCs w:val="21"/>
              </w:rPr>
            </w:pPr>
          </w:p>
        </w:tc>
        <w:tc>
          <w:tcPr>
            <w:tcW w:w="993" w:type="dxa"/>
            <w:vAlign w:val="center"/>
          </w:tcPr>
          <w:p>
            <w:pPr>
              <w:spacing w:line="400" w:lineRule="exact"/>
              <w:jc w:val="center"/>
              <w:rPr>
                <w:rFonts w:ascii="宋体" w:hAnsi="宋体"/>
                <w:szCs w:val="21"/>
              </w:rPr>
            </w:pPr>
          </w:p>
        </w:tc>
        <w:tc>
          <w:tcPr>
            <w:tcW w:w="984" w:type="dxa"/>
          </w:tcPr>
          <w:p>
            <w:pPr>
              <w:spacing w:line="400" w:lineRule="exact"/>
              <w:jc w:val="center"/>
              <w:rPr>
                <w:rFonts w:ascii="宋体" w:hAnsi="宋体"/>
                <w:szCs w:val="21"/>
              </w:rPr>
            </w:pPr>
          </w:p>
        </w:tc>
        <w:tc>
          <w:tcPr>
            <w:tcW w:w="751" w:type="dxa"/>
          </w:tcPr>
          <w:p>
            <w:pPr>
              <w:spacing w:line="400" w:lineRule="exact"/>
              <w:jc w:val="center"/>
              <w:rPr>
                <w:rFonts w:ascii="宋体" w:hAnsi="宋体"/>
                <w:szCs w:val="21"/>
              </w:rPr>
            </w:pPr>
          </w:p>
        </w:tc>
        <w:tc>
          <w:tcPr>
            <w:tcW w:w="1517" w:type="dxa"/>
          </w:tcPr>
          <w:p>
            <w:pPr>
              <w:spacing w:line="400" w:lineRule="exact"/>
              <w:jc w:val="center"/>
              <w:rPr>
                <w:rFonts w:ascii="宋体" w:hAnsi="宋体"/>
                <w:szCs w:val="21"/>
              </w:rPr>
            </w:pPr>
          </w:p>
        </w:tc>
        <w:tc>
          <w:tcPr>
            <w:tcW w:w="1176" w:type="dxa"/>
          </w:tcPr>
          <w:p>
            <w:pPr>
              <w:spacing w:line="400" w:lineRule="exact"/>
              <w:jc w:val="center"/>
              <w:rPr>
                <w:rFonts w:ascii="宋体" w:hAnsi="宋体"/>
                <w:szCs w:val="21"/>
              </w:rPr>
            </w:pPr>
          </w:p>
        </w:tc>
        <w:tc>
          <w:tcPr>
            <w:tcW w:w="1525" w:type="dxa"/>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93" w:type="dxa"/>
          </w:tcPr>
          <w:p>
            <w:pPr>
              <w:spacing w:line="400" w:lineRule="exact"/>
              <w:jc w:val="center"/>
              <w:rPr>
                <w:rFonts w:ascii="宋体" w:hAnsi="宋体"/>
                <w:szCs w:val="21"/>
              </w:rPr>
            </w:pPr>
          </w:p>
        </w:tc>
        <w:tc>
          <w:tcPr>
            <w:tcW w:w="1134" w:type="dxa"/>
            <w:vAlign w:val="center"/>
          </w:tcPr>
          <w:p>
            <w:pPr>
              <w:spacing w:line="400" w:lineRule="exact"/>
              <w:jc w:val="center"/>
              <w:rPr>
                <w:rFonts w:ascii="宋体" w:hAnsi="宋体"/>
                <w:szCs w:val="21"/>
              </w:rPr>
            </w:pPr>
          </w:p>
        </w:tc>
        <w:tc>
          <w:tcPr>
            <w:tcW w:w="1134" w:type="dxa"/>
            <w:vAlign w:val="center"/>
          </w:tcPr>
          <w:p>
            <w:pPr>
              <w:spacing w:line="400" w:lineRule="exact"/>
              <w:jc w:val="center"/>
              <w:rPr>
                <w:rFonts w:ascii="宋体" w:hAnsi="宋体"/>
                <w:szCs w:val="21"/>
              </w:rPr>
            </w:pPr>
          </w:p>
        </w:tc>
        <w:tc>
          <w:tcPr>
            <w:tcW w:w="1276" w:type="dxa"/>
            <w:vAlign w:val="center"/>
          </w:tcPr>
          <w:p>
            <w:pPr>
              <w:spacing w:line="400" w:lineRule="exact"/>
              <w:jc w:val="center"/>
              <w:rPr>
                <w:rFonts w:ascii="宋体" w:hAnsi="宋体"/>
                <w:szCs w:val="21"/>
              </w:rPr>
            </w:pPr>
          </w:p>
        </w:tc>
        <w:tc>
          <w:tcPr>
            <w:tcW w:w="973" w:type="dxa"/>
            <w:vAlign w:val="center"/>
          </w:tcPr>
          <w:p>
            <w:pPr>
              <w:spacing w:line="400" w:lineRule="exact"/>
              <w:jc w:val="center"/>
              <w:rPr>
                <w:rFonts w:ascii="宋体" w:hAnsi="宋体"/>
                <w:szCs w:val="21"/>
              </w:rPr>
            </w:pPr>
          </w:p>
        </w:tc>
        <w:tc>
          <w:tcPr>
            <w:tcW w:w="1153" w:type="dxa"/>
            <w:vAlign w:val="center"/>
          </w:tcPr>
          <w:p>
            <w:pPr>
              <w:spacing w:line="400" w:lineRule="exact"/>
              <w:jc w:val="center"/>
              <w:rPr>
                <w:rFonts w:ascii="宋体" w:hAnsi="宋体"/>
                <w:szCs w:val="21"/>
              </w:rPr>
            </w:pPr>
          </w:p>
        </w:tc>
        <w:tc>
          <w:tcPr>
            <w:tcW w:w="1100" w:type="dxa"/>
            <w:vAlign w:val="center"/>
          </w:tcPr>
          <w:p>
            <w:pPr>
              <w:spacing w:line="400" w:lineRule="exact"/>
              <w:jc w:val="center"/>
              <w:rPr>
                <w:rFonts w:ascii="宋体" w:hAnsi="宋体"/>
                <w:szCs w:val="21"/>
              </w:rPr>
            </w:pPr>
          </w:p>
        </w:tc>
        <w:tc>
          <w:tcPr>
            <w:tcW w:w="993" w:type="dxa"/>
            <w:vAlign w:val="center"/>
          </w:tcPr>
          <w:p>
            <w:pPr>
              <w:spacing w:line="400" w:lineRule="exact"/>
              <w:jc w:val="center"/>
              <w:rPr>
                <w:rFonts w:ascii="宋体" w:hAnsi="宋体"/>
                <w:szCs w:val="21"/>
              </w:rPr>
            </w:pPr>
          </w:p>
        </w:tc>
        <w:tc>
          <w:tcPr>
            <w:tcW w:w="984" w:type="dxa"/>
          </w:tcPr>
          <w:p>
            <w:pPr>
              <w:spacing w:line="400" w:lineRule="exact"/>
              <w:jc w:val="center"/>
              <w:rPr>
                <w:rFonts w:ascii="宋体" w:hAnsi="宋体"/>
                <w:szCs w:val="21"/>
              </w:rPr>
            </w:pPr>
          </w:p>
        </w:tc>
        <w:tc>
          <w:tcPr>
            <w:tcW w:w="751" w:type="dxa"/>
          </w:tcPr>
          <w:p>
            <w:pPr>
              <w:spacing w:line="400" w:lineRule="exact"/>
              <w:jc w:val="center"/>
              <w:rPr>
                <w:rFonts w:ascii="宋体" w:hAnsi="宋体"/>
                <w:szCs w:val="21"/>
              </w:rPr>
            </w:pPr>
          </w:p>
        </w:tc>
        <w:tc>
          <w:tcPr>
            <w:tcW w:w="1517" w:type="dxa"/>
          </w:tcPr>
          <w:p>
            <w:pPr>
              <w:spacing w:line="400" w:lineRule="exact"/>
              <w:jc w:val="center"/>
              <w:rPr>
                <w:rFonts w:ascii="宋体" w:hAnsi="宋体"/>
                <w:szCs w:val="21"/>
              </w:rPr>
            </w:pPr>
          </w:p>
        </w:tc>
        <w:tc>
          <w:tcPr>
            <w:tcW w:w="1176" w:type="dxa"/>
          </w:tcPr>
          <w:p>
            <w:pPr>
              <w:spacing w:line="400" w:lineRule="exact"/>
              <w:jc w:val="center"/>
              <w:rPr>
                <w:rFonts w:ascii="宋体" w:hAnsi="宋体"/>
                <w:szCs w:val="21"/>
              </w:rPr>
            </w:pPr>
          </w:p>
        </w:tc>
        <w:tc>
          <w:tcPr>
            <w:tcW w:w="1525" w:type="dxa"/>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93" w:type="dxa"/>
          </w:tcPr>
          <w:p>
            <w:pPr>
              <w:spacing w:line="400" w:lineRule="exact"/>
              <w:jc w:val="center"/>
              <w:rPr>
                <w:rFonts w:ascii="宋体" w:hAnsi="宋体"/>
                <w:szCs w:val="21"/>
              </w:rPr>
            </w:pPr>
          </w:p>
        </w:tc>
        <w:tc>
          <w:tcPr>
            <w:tcW w:w="1134" w:type="dxa"/>
            <w:vAlign w:val="center"/>
          </w:tcPr>
          <w:p>
            <w:pPr>
              <w:spacing w:line="400" w:lineRule="exact"/>
              <w:jc w:val="center"/>
              <w:rPr>
                <w:rFonts w:ascii="宋体" w:hAnsi="宋体"/>
                <w:szCs w:val="21"/>
              </w:rPr>
            </w:pPr>
          </w:p>
        </w:tc>
        <w:tc>
          <w:tcPr>
            <w:tcW w:w="1134" w:type="dxa"/>
            <w:vAlign w:val="center"/>
          </w:tcPr>
          <w:p>
            <w:pPr>
              <w:spacing w:line="400" w:lineRule="exact"/>
              <w:jc w:val="center"/>
              <w:rPr>
                <w:rFonts w:ascii="宋体" w:hAnsi="宋体"/>
                <w:szCs w:val="21"/>
              </w:rPr>
            </w:pPr>
          </w:p>
        </w:tc>
        <w:tc>
          <w:tcPr>
            <w:tcW w:w="1276" w:type="dxa"/>
            <w:vAlign w:val="center"/>
          </w:tcPr>
          <w:p>
            <w:pPr>
              <w:spacing w:line="400" w:lineRule="exact"/>
              <w:jc w:val="center"/>
              <w:rPr>
                <w:rFonts w:ascii="宋体" w:hAnsi="宋体"/>
                <w:szCs w:val="21"/>
              </w:rPr>
            </w:pPr>
          </w:p>
        </w:tc>
        <w:tc>
          <w:tcPr>
            <w:tcW w:w="973" w:type="dxa"/>
            <w:vAlign w:val="center"/>
          </w:tcPr>
          <w:p>
            <w:pPr>
              <w:spacing w:line="400" w:lineRule="exact"/>
              <w:jc w:val="center"/>
              <w:rPr>
                <w:rFonts w:ascii="宋体" w:hAnsi="宋体"/>
                <w:szCs w:val="21"/>
              </w:rPr>
            </w:pPr>
          </w:p>
        </w:tc>
        <w:tc>
          <w:tcPr>
            <w:tcW w:w="1153" w:type="dxa"/>
            <w:vAlign w:val="center"/>
          </w:tcPr>
          <w:p>
            <w:pPr>
              <w:spacing w:line="400" w:lineRule="exact"/>
              <w:jc w:val="center"/>
              <w:rPr>
                <w:rFonts w:ascii="宋体" w:hAnsi="宋体"/>
                <w:szCs w:val="21"/>
              </w:rPr>
            </w:pPr>
          </w:p>
        </w:tc>
        <w:tc>
          <w:tcPr>
            <w:tcW w:w="1100" w:type="dxa"/>
            <w:vAlign w:val="center"/>
          </w:tcPr>
          <w:p>
            <w:pPr>
              <w:spacing w:line="400" w:lineRule="exact"/>
              <w:jc w:val="center"/>
              <w:rPr>
                <w:rFonts w:ascii="宋体" w:hAnsi="宋体"/>
                <w:szCs w:val="21"/>
              </w:rPr>
            </w:pPr>
          </w:p>
        </w:tc>
        <w:tc>
          <w:tcPr>
            <w:tcW w:w="993" w:type="dxa"/>
            <w:vAlign w:val="center"/>
          </w:tcPr>
          <w:p>
            <w:pPr>
              <w:spacing w:line="400" w:lineRule="exact"/>
              <w:jc w:val="center"/>
              <w:rPr>
                <w:rFonts w:ascii="宋体" w:hAnsi="宋体"/>
                <w:szCs w:val="21"/>
              </w:rPr>
            </w:pPr>
          </w:p>
        </w:tc>
        <w:tc>
          <w:tcPr>
            <w:tcW w:w="984" w:type="dxa"/>
          </w:tcPr>
          <w:p>
            <w:pPr>
              <w:spacing w:line="400" w:lineRule="exact"/>
              <w:jc w:val="center"/>
              <w:rPr>
                <w:rFonts w:ascii="宋体" w:hAnsi="宋体"/>
                <w:szCs w:val="21"/>
              </w:rPr>
            </w:pPr>
          </w:p>
        </w:tc>
        <w:tc>
          <w:tcPr>
            <w:tcW w:w="751" w:type="dxa"/>
          </w:tcPr>
          <w:p>
            <w:pPr>
              <w:spacing w:line="400" w:lineRule="exact"/>
              <w:jc w:val="center"/>
              <w:rPr>
                <w:rFonts w:ascii="宋体" w:hAnsi="宋体"/>
                <w:szCs w:val="21"/>
              </w:rPr>
            </w:pPr>
          </w:p>
        </w:tc>
        <w:tc>
          <w:tcPr>
            <w:tcW w:w="1517" w:type="dxa"/>
          </w:tcPr>
          <w:p>
            <w:pPr>
              <w:spacing w:line="400" w:lineRule="exact"/>
              <w:jc w:val="center"/>
              <w:rPr>
                <w:rFonts w:ascii="宋体" w:hAnsi="宋体"/>
                <w:szCs w:val="21"/>
              </w:rPr>
            </w:pPr>
          </w:p>
        </w:tc>
        <w:tc>
          <w:tcPr>
            <w:tcW w:w="1176" w:type="dxa"/>
          </w:tcPr>
          <w:p>
            <w:pPr>
              <w:spacing w:line="400" w:lineRule="exact"/>
              <w:jc w:val="center"/>
              <w:rPr>
                <w:rFonts w:ascii="宋体" w:hAnsi="宋体"/>
                <w:szCs w:val="21"/>
              </w:rPr>
            </w:pPr>
          </w:p>
        </w:tc>
        <w:tc>
          <w:tcPr>
            <w:tcW w:w="1525" w:type="dxa"/>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93" w:type="dxa"/>
          </w:tcPr>
          <w:p>
            <w:pPr>
              <w:spacing w:line="400" w:lineRule="exact"/>
              <w:jc w:val="center"/>
              <w:rPr>
                <w:rFonts w:ascii="宋体" w:hAnsi="宋体"/>
                <w:szCs w:val="21"/>
              </w:rPr>
            </w:pPr>
          </w:p>
        </w:tc>
        <w:tc>
          <w:tcPr>
            <w:tcW w:w="1134" w:type="dxa"/>
            <w:vAlign w:val="center"/>
          </w:tcPr>
          <w:p>
            <w:pPr>
              <w:spacing w:line="400" w:lineRule="exact"/>
              <w:jc w:val="center"/>
              <w:rPr>
                <w:rFonts w:ascii="宋体" w:hAnsi="宋体"/>
                <w:szCs w:val="21"/>
              </w:rPr>
            </w:pPr>
          </w:p>
        </w:tc>
        <w:tc>
          <w:tcPr>
            <w:tcW w:w="1134" w:type="dxa"/>
            <w:vAlign w:val="center"/>
          </w:tcPr>
          <w:p>
            <w:pPr>
              <w:spacing w:line="400" w:lineRule="exact"/>
              <w:jc w:val="center"/>
              <w:rPr>
                <w:rFonts w:ascii="宋体" w:hAnsi="宋体"/>
                <w:szCs w:val="21"/>
              </w:rPr>
            </w:pPr>
          </w:p>
        </w:tc>
        <w:tc>
          <w:tcPr>
            <w:tcW w:w="1276" w:type="dxa"/>
            <w:vAlign w:val="center"/>
          </w:tcPr>
          <w:p>
            <w:pPr>
              <w:spacing w:line="400" w:lineRule="exact"/>
              <w:jc w:val="center"/>
              <w:rPr>
                <w:rFonts w:ascii="宋体" w:hAnsi="宋体"/>
                <w:szCs w:val="21"/>
              </w:rPr>
            </w:pPr>
          </w:p>
        </w:tc>
        <w:tc>
          <w:tcPr>
            <w:tcW w:w="973" w:type="dxa"/>
            <w:vAlign w:val="center"/>
          </w:tcPr>
          <w:p>
            <w:pPr>
              <w:spacing w:line="400" w:lineRule="exact"/>
              <w:jc w:val="center"/>
              <w:rPr>
                <w:rFonts w:ascii="宋体" w:hAnsi="宋体"/>
                <w:szCs w:val="21"/>
              </w:rPr>
            </w:pPr>
          </w:p>
        </w:tc>
        <w:tc>
          <w:tcPr>
            <w:tcW w:w="1153" w:type="dxa"/>
            <w:vAlign w:val="center"/>
          </w:tcPr>
          <w:p>
            <w:pPr>
              <w:spacing w:line="400" w:lineRule="exact"/>
              <w:jc w:val="center"/>
              <w:rPr>
                <w:rFonts w:ascii="宋体" w:hAnsi="宋体"/>
                <w:szCs w:val="21"/>
              </w:rPr>
            </w:pPr>
          </w:p>
        </w:tc>
        <w:tc>
          <w:tcPr>
            <w:tcW w:w="1100" w:type="dxa"/>
            <w:vAlign w:val="center"/>
          </w:tcPr>
          <w:p>
            <w:pPr>
              <w:spacing w:line="400" w:lineRule="exact"/>
              <w:jc w:val="center"/>
              <w:rPr>
                <w:rFonts w:ascii="宋体" w:hAnsi="宋体"/>
                <w:szCs w:val="21"/>
              </w:rPr>
            </w:pPr>
          </w:p>
        </w:tc>
        <w:tc>
          <w:tcPr>
            <w:tcW w:w="993" w:type="dxa"/>
            <w:vAlign w:val="center"/>
          </w:tcPr>
          <w:p>
            <w:pPr>
              <w:spacing w:line="400" w:lineRule="exact"/>
              <w:jc w:val="center"/>
              <w:rPr>
                <w:rFonts w:ascii="宋体" w:hAnsi="宋体"/>
                <w:szCs w:val="21"/>
              </w:rPr>
            </w:pPr>
          </w:p>
        </w:tc>
        <w:tc>
          <w:tcPr>
            <w:tcW w:w="984" w:type="dxa"/>
          </w:tcPr>
          <w:p>
            <w:pPr>
              <w:spacing w:line="400" w:lineRule="exact"/>
              <w:jc w:val="center"/>
              <w:rPr>
                <w:rFonts w:ascii="宋体" w:hAnsi="宋体"/>
                <w:szCs w:val="21"/>
              </w:rPr>
            </w:pPr>
          </w:p>
        </w:tc>
        <w:tc>
          <w:tcPr>
            <w:tcW w:w="751" w:type="dxa"/>
          </w:tcPr>
          <w:p>
            <w:pPr>
              <w:spacing w:line="400" w:lineRule="exact"/>
              <w:jc w:val="center"/>
              <w:rPr>
                <w:rFonts w:ascii="宋体" w:hAnsi="宋体"/>
                <w:szCs w:val="21"/>
              </w:rPr>
            </w:pPr>
          </w:p>
        </w:tc>
        <w:tc>
          <w:tcPr>
            <w:tcW w:w="1517" w:type="dxa"/>
          </w:tcPr>
          <w:p>
            <w:pPr>
              <w:spacing w:line="400" w:lineRule="exact"/>
              <w:jc w:val="center"/>
              <w:rPr>
                <w:rFonts w:ascii="宋体" w:hAnsi="宋体"/>
                <w:szCs w:val="21"/>
              </w:rPr>
            </w:pPr>
          </w:p>
        </w:tc>
        <w:tc>
          <w:tcPr>
            <w:tcW w:w="1176" w:type="dxa"/>
          </w:tcPr>
          <w:p>
            <w:pPr>
              <w:spacing w:line="400" w:lineRule="exact"/>
              <w:jc w:val="center"/>
              <w:rPr>
                <w:rFonts w:ascii="宋体" w:hAnsi="宋体"/>
                <w:szCs w:val="21"/>
              </w:rPr>
            </w:pPr>
          </w:p>
        </w:tc>
        <w:tc>
          <w:tcPr>
            <w:tcW w:w="1525" w:type="dxa"/>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93" w:type="dxa"/>
          </w:tcPr>
          <w:p>
            <w:pPr>
              <w:spacing w:line="400" w:lineRule="exact"/>
              <w:jc w:val="center"/>
              <w:rPr>
                <w:rFonts w:ascii="宋体" w:hAnsi="宋体"/>
                <w:szCs w:val="21"/>
              </w:rPr>
            </w:pPr>
            <w:r>
              <w:rPr>
                <w:rFonts w:ascii="宋体" w:hAnsi="宋体"/>
                <w:szCs w:val="21"/>
              </w:rPr>
              <w:t>……</w:t>
            </w:r>
          </w:p>
        </w:tc>
        <w:tc>
          <w:tcPr>
            <w:tcW w:w="1134" w:type="dxa"/>
            <w:vAlign w:val="center"/>
          </w:tcPr>
          <w:p>
            <w:pPr>
              <w:spacing w:line="400" w:lineRule="exact"/>
              <w:jc w:val="center"/>
              <w:rPr>
                <w:rFonts w:ascii="宋体" w:hAnsi="宋体"/>
                <w:szCs w:val="21"/>
              </w:rPr>
            </w:pPr>
          </w:p>
        </w:tc>
        <w:tc>
          <w:tcPr>
            <w:tcW w:w="1134" w:type="dxa"/>
            <w:vAlign w:val="center"/>
          </w:tcPr>
          <w:p>
            <w:pPr>
              <w:spacing w:line="400" w:lineRule="exact"/>
              <w:jc w:val="center"/>
              <w:rPr>
                <w:rFonts w:ascii="宋体" w:hAnsi="宋体"/>
                <w:szCs w:val="21"/>
              </w:rPr>
            </w:pPr>
          </w:p>
        </w:tc>
        <w:tc>
          <w:tcPr>
            <w:tcW w:w="1276" w:type="dxa"/>
            <w:vAlign w:val="center"/>
          </w:tcPr>
          <w:p>
            <w:pPr>
              <w:spacing w:line="400" w:lineRule="exact"/>
              <w:jc w:val="center"/>
              <w:rPr>
                <w:rFonts w:ascii="宋体" w:hAnsi="宋体"/>
                <w:szCs w:val="21"/>
              </w:rPr>
            </w:pPr>
          </w:p>
        </w:tc>
        <w:tc>
          <w:tcPr>
            <w:tcW w:w="973" w:type="dxa"/>
            <w:vAlign w:val="center"/>
          </w:tcPr>
          <w:p>
            <w:pPr>
              <w:spacing w:line="400" w:lineRule="exact"/>
              <w:jc w:val="center"/>
              <w:rPr>
                <w:rFonts w:ascii="宋体" w:hAnsi="宋体"/>
                <w:szCs w:val="21"/>
              </w:rPr>
            </w:pPr>
          </w:p>
        </w:tc>
        <w:tc>
          <w:tcPr>
            <w:tcW w:w="1153" w:type="dxa"/>
            <w:vAlign w:val="center"/>
          </w:tcPr>
          <w:p>
            <w:pPr>
              <w:spacing w:line="400" w:lineRule="exact"/>
              <w:jc w:val="center"/>
              <w:rPr>
                <w:rFonts w:ascii="宋体" w:hAnsi="宋体"/>
                <w:szCs w:val="21"/>
              </w:rPr>
            </w:pPr>
          </w:p>
        </w:tc>
        <w:tc>
          <w:tcPr>
            <w:tcW w:w="1100" w:type="dxa"/>
            <w:vAlign w:val="center"/>
          </w:tcPr>
          <w:p>
            <w:pPr>
              <w:spacing w:line="400" w:lineRule="exact"/>
              <w:jc w:val="center"/>
              <w:rPr>
                <w:rFonts w:ascii="宋体" w:hAnsi="宋体"/>
                <w:szCs w:val="21"/>
              </w:rPr>
            </w:pPr>
          </w:p>
        </w:tc>
        <w:tc>
          <w:tcPr>
            <w:tcW w:w="993" w:type="dxa"/>
            <w:vAlign w:val="center"/>
          </w:tcPr>
          <w:p>
            <w:pPr>
              <w:spacing w:line="400" w:lineRule="exact"/>
              <w:jc w:val="center"/>
              <w:rPr>
                <w:rFonts w:ascii="宋体" w:hAnsi="宋体"/>
                <w:szCs w:val="21"/>
              </w:rPr>
            </w:pPr>
          </w:p>
        </w:tc>
        <w:tc>
          <w:tcPr>
            <w:tcW w:w="984" w:type="dxa"/>
          </w:tcPr>
          <w:p>
            <w:pPr>
              <w:spacing w:line="400" w:lineRule="exact"/>
              <w:jc w:val="center"/>
              <w:rPr>
                <w:rFonts w:ascii="宋体" w:hAnsi="宋体"/>
                <w:szCs w:val="21"/>
              </w:rPr>
            </w:pPr>
          </w:p>
        </w:tc>
        <w:tc>
          <w:tcPr>
            <w:tcW w:w="751" w:type="dxa"/>
          </w:tcPr>
          <w:p>
            <w:pPr>
              <w:spacing w:line="400" w:lineRule="exact"/>
              <w:jc w:val="center"/>
              <w:rPr>
                <w:rFonts w:ascii="宋体" w:hAnsi="宋体"/>
                <w:szCs w:val="21"/>
              </w:rPr>
            </w:pPr>
          </w:p>
        </w:tc>
        <w:tc>
          <w:tcPr>
            <w:tcW w:w="1517" w:type="dxa"/>
          </w:tcPr>
          <w:p>
            <w:pPr>
              <w:spacing w:line="400" w:lineRule="exact"/>
              <w:jc w:val="center"/>
              <w:rPr>
                <w:rFonts w:ascii="宋体" w:hAnsi="宋体"/>
                <w:szCs w:val="21"/>
              </w:rPr>
            </w:pPr>
          </w:p>
        </w:tc>
        <w:tc>
          <w:tcPr>
            <w:tcW w:w="1176" w:type="dxa"/>
          </w:tcPr>
          <w:p>
            <w:pPr>
              <w:spacing w:line="400" w:lineRule="exact"/>
              <w:jc w:val="center"/>
              <w:rPr>
                <w:rFonts w:ascii="宋体" w:hAnsi="宋体"/>
                <w:szCs w:val="21"/>
              </w:rPr>
            </w:pPr>
          </w:p>
        </w:tc>
        <w:tc>
          <w:tcPr>
            <w:tcW w:w="1525" w:type="dxa"/>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27" w:type="dxa"/>
            <w:gridSpan w:val="2"/>
          </w:tcPr>
          <w:p>
            <w:pPr>
              <w:spacing w:line="400" w:lineRule="exact"/>
              <w:jc w:val="center"/>
              <w:rPr>
                <w:rFonts w:ascii="宋体" w:hAnsi="宋体"/>
                <w:szCs w:val="21"/>
              </w:rPr>
            </w:pPr>
          </w:p>
        </w:tc>
        <w:tc>
          <w:tcPr>
            <w:tcW w:w="2410" w:type="dxa"/>
            <w:gridSpan w:val="2"/>
            <w:vAlign w:val="center"/>
          </w:tcPr>
          <w:p>
            <w:pPr>
              <w:jc w:val="center"/>
              <w:rPr>
                <w:rFonts w:ascii="宋体" w:hAnsi="宋体"/>
                <w:szCs w:val="21"/>
              </w:rPr>
            </w:pPr>
            <w:r>
              <w:rPr>
                <w:rFonts w:hint="eastAsia" w:ascii="宋体" w:hAnsi="宋体"/>
                <w:szCs w:val="21"/>
              </w:rPr>
              <w:t>总价（元）</w:t>
            </w:r>
          </w:p>
        </w:tc>
        <w:tc>
          <w:tcPr>
            <w:tcW w:w="2126" w:type="dxa"/>
            <w:gridSpan w:val="2"/>
            <w:vAlign w:val="center"/>
          </w:tcPr>
          <w:p>
            <w:pPr>
              <w:jc w:val="center"/>
              <w:rPr>
                <w:rFonts w:ascii="宋体" w:hAnsi="宋体"/>
                <w:szCs w:val="21"/>
              </w:rPr>
            </w:pPr>
            <w:r>
              <w:rPr>
                <w:rFonts w:hint="eastAsia" w:ascii="宋体" w:hAnsi="宋体"/>
                <w:szCs w:val="21"/>
              </w:rPr>
              <w:t>要求工期（日历天）</w:t>
            </w:r>
          </w:p>
        </w:tc>
        <w:tc>
          <w:tcPr>
            <w:tcW w:w="1100" w:type="dxa"/>
            <w:vAlign w:val="center"/>
          </w:tcPr>
          <w:p>
            <w:pPr>
              <w:snapToGrid w:val="0"/>
              <w:jc w:val="center"/>
              <w:rPr>
                <w:rFonts w:ascii="宋体" w:hAnsi="宋体"/>
                <w:szCs w:val="21"/>
              </w:rPr>
            </w:pPr>
            <w:r>
              <w:rPr>
                <w:rFonts w:hint="eastAsia" w:ascii="宋体" w:hAnsi="宋体"/>
                <w:szCs w:val="21"/>
              </w:rPr>
              <w:t>质量</w:t>
            </w:r>
          </w:p>
          <w:p>
            <w:pPr>
              <w:snapToGrid w:val="0"/>
              <w:jc w:val="center"/>
              <w:rPr>
                <w:rFonts w:ascii="宋体" w:hAnsi="宋体"/>
                <w:szCs w:val="21"/>
              </w:rPr>
            </w:pPr>
            <w:r>
              <w:rPr>
                <w:rFonts w:hint="eastAsia" w:ascii="宋体" w:hAnsi="宋体"/>
                <w:szCs w:val="21"/>
              </w:rPr>
              <w:t>标准</w:t>
            </w:r>
          </w:p>
        </w:tc>
        <w:tc>
          <w:tcPr>
            <w:tcW w:w="2728" w:type="dxa"/>
            <w:gridSpan w:val="3"/>
            <w:vAlign w:val="center"/>
          </w:tcPr>
          <w:p>
            <w:pPr>
              <w:jc w:val="center"/>
              <w:rPr>
                <w:rFonts w:ascii="宋体" w:hAnsi="宋体"/>
                <w:szCs w:val="21"/>
              </w:rPr>
            </w:pPr>
            <w:r>
              <w:rPr>
                <w:rFonts w:hint="eastAsia" w:ascii="宋体" w:hAnsi="宋体"/>
                <w:szCs w:val="21"/>
              </w:rPr>
              <w:t>安全文明施工费（元）</w:t>
            </w:r>
          </w:p>
        </w:tc>
        <w:tc>
          <w:tcPr>
            <w:tcW w:w="2693" w:type="dxa"/>
            <w:gridSpan w:val="2"/>
            <w:vAlign w:val="center"/>
          </w:tcPr>
          <w:p>
            <w:pPr>
              <w:jc w:val="center"/>
              <w:rPr>
                <w:rFonts w:ascii="宋体" w:hAnsi="宋体"/>
                <w:szCs w:val="21"/>
              </w:rPr>
            </w:pPr>
            <w:r>
              <w:rPr>
                <w:rFonts w:hint="eastAsia" w:ascii="宋体" w:hAnsi="宋体"/>
                <w:szCs w:val="21"/>
              </w:rPr>
              <w:t>暂列金额（含税）（元）</w:t>
            </w:r>
          </w:p>
        </w:tc>
        <w:tc>
          <w:tcPr>
            <w:tcW w:w="1525" w:type="dxa"/>
          </w:tcPr>
          <w:p>
            <w:pPr>
              <w:jc w:val="center"/>
              <w:rPr>
                <w:rFonts w:ascii="宋体" w:hAnsi="宋体"/>
                <w:szCs w:val="21"/>
              </w:rPr>
            </w:pPr>
            <w:r>
              <w:rPr>
                <w:rFonts w:hint="eastAsia" w:ascii="宋体" w:hAnsi="宋体"/>
                <w:szCs w:val="21"/>
              </w:rPr>
              <w:t>专业工程暂估价（含税）（元）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027" w:type="dxa"/>
            <w:gridSpan w:val="2"/>
          </w:tcPr>
          <w:p>
            <w:pPr>
              <w:spacing w:line="400" w:lineRule="exact"/>
              <w:jc w:val="left"/>
              <w:rPr>
                <w:rFonts w:ascii="宋体" w:hAnsi="宋体"/>
                <w:szCs w:val="21"/>
              </w:rPr>
            </w:pPr>
            <w:r>
              <w:rPr>
                <w:rFonts w:hint="eastAsia" w:ascii="宋体" w:hAnsi="宋体"/>
                <w:szCs w:val="21"/>
              </w:rPr>
              <w:t>□招标控制价</w:t>
            </w:r>
          </w:p>
          <w:p>
            <w:pPr>
              <w:spacing w:line="400" w:lineRule="exact"/>
              <w:jc w:val="left"/>
              <w:rPr>
                <w:rFonts w:ascii="宋体" w:hAnsi="宋体"/>
                <w:szCs w:val="21"/>
              </w:rPr>
            </w:pPr>
            <w:r>
              <w:rPr>
                <w:rFonts w:hint="eastAsia" w:ascii="宋体" w:hAnsi="宋体"/>
                <w:szCs w:val="21"/>
              </w:rPr>
              <w:t>□标底    □无</w:t>
            </w:r>
          </w:p>
        </w:tc>
        <w:tc>
          <w:tcPr>
            <w:tcW w:w="2410" w:type="dxa"/>
            <w:gridSpan w:val="2"/>
            <w:vAlign w:val="center"/>
          </w:tcPr>
          <w:p>
            <w:pPr>
              <w:spacing w:line="400" w:lineRule="exact"/>
              <w:jc w:val="center"/>
              <w:rPr>
                <w:rFonts w:ascii="宋体" w:hAnsi="宋体"/>
                <w:szCs w:val="21"/>
              </w:rPr>
            </w:pPr>
          </w:p>
        </w:tc>
        <w:tc>
          <w:tcPr>
            <w:tcW w:w="2126" w:type="dxa"/>
            <w:gridSpan w:val="2"/>
            <w:vAlign w:val="center"/>
          </w:tcPr>
          <w:p>
            <w:pPr>
              <w:spacing w:line="400" w:lineRule="exact"/>
              <w:jc w:val="center"/>
              <w:rPr>
                <w:rFonts w:ascii="宋体" w:hAnsi="宋体"/>
                <w:szCs w:val="21"/>
              </w:rPr>
            </w:pPr>
          </w:p>
        </w:tc>
        <w:tc>
          <w:tcPr>
            <w:tcW w:w="1100" w:type="dxa"/>
            <w:vAlign w:val="center"/>
          </w:tcPr>
          <w:p>
            <w:pPr>
              <w:spacing w:line="400" w:lineRule="exact"/>
              <w:jc w:val="center"/>
              <w:rPr>
                <w:rFonts w:ascii="宋体" w:hAnsi="宋体"/>
                <w:szCs w:val="21"/>
              </w:rPr>
            </w:pPr>
          </w:p>
        </w:tc>
        <w:tc>
          <w:tcPr>
            <w:tcW w:w="2728" w:type="dxa"/>
            <w:gridSpan w:val="3"/>
            <w:vAlign w:val="center"/>
          </w:tcPr>
          <w:p>
            <w:pPr>
              <w:spacing w:line="400" w:lineRule="exact"/>
              <w:jc w:val="center"/>
              <w:rPr>
                <w:rFonts w:ascii="宋体" w:hAnsi="宋体"/>
                <w:szCs w:val="21"/>
              </w:rPr>
            </w:pPr>
          </w:p>
        </w:tc>
        <w:tc>
          <w:tcPr>
            <w:tcW w:w="2693" w:type="dxa"/>
            <w:gridSpan w:val="2"/>
          </w:tcPr>
          <w:p>
            <w:pPr>
              <w:spacing w:line="400" w:lineRule="exact"/>
              <w:jc w:val="center"/>
              <w:rPr>
                <w:rFonts w:ascii="宋体" w:hAnsi="宋体"/>
                <w:szCs w:val="21"/>
              </w:rPr>
            </w:pPr>
          </w:p>
        </w:tc>
        <w:tc>
          <w:tcPr>
            <w:tcW w:w="1525" w:type="dxa"/>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027" w:type="dxa"/>
            <w:gridSpan w:val="2"/>
            <w:vAlign w:val="center"/>
          </w:tcPr>
          <w:p>
            <w:pPr>
              <w:spacing w:line="400" w:lineRule="exact"/>
              <w:jc w:val="center"/>
              <w:rPr>
                <w:rFonts w:ascii="宋体" w:hAnsi="宋体"/>
                <w:szCs w:val="21"/>
              </w:rPr>
            </w:pPr>
            <w:r>
              <w:rPr>
                <w:rFonts w:hint="eastAsia" w:ascii="宋体" w:hAnsi="宋体"/>
                <w:szCs w:val="21"/>
              </w:rPr>
              <w:t>其他情况记录</w:t>
            </w:r>
          </w:p>
        </w:tc>
        <w:tc>
          <w:tcPr>
            <w:tcW w:w="12582" w:type="dxa"/>
            <w:gridSpan w:val="11"/>
          </w:tcPr>
          <w:p>
            <w:pPr>
              <w:spacing w:line="400" w:lineRule="exact"/>
              <w:jc w:val="center"/>
              <w:rPr>
                <w:rFonts w:ascii="宋体" w:hAnsi="宋体"/>
                <w:szCs w:val="21"/>
              </w:rPr>
            </w:pPr>
          </w:p>
        </w:tc>
      </w:tr>
    </w:tbl>
    <w:p>
      <w:pPr>
        <w:spacing w:line="620" w:lineRule="exact"/>
        <w:rPr>
          <w:rFonts w:ascii="宋体"/>
          <w:szCs w:val="21"/>
        </w:rPr>
        <w:sectPr>
          <w:pgSz w:w="16838" w:h="11906" w:orient="landscape"/>
          <w:pgMar w:top="1800" w:right="1440" w:bottom="1800" w:left="1440" w:header="851" w:footer="992" w:gutter="0"/>
          <w:cols w:space="425" w:num="1"/>
          <w:docGrid w:type="lines" w:linePitch="312" w:charSpace="0"/>
        </w:sectPr>
      </w:pPr>
      <w:r>
        <w:rPr>
          <w:rFonts w:hint="eastAsia" w:ascii="宋体"/>
          <w:szCs w:val="21"/>
        </w:rPr>
        <w:t>招标人代表手写签名：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szCs w:val="21"/>
        </w:rPr>
        <w:t xml:space="preserve">                                  记录人手写签名：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szCs w:val="21"/>
        </w:rPr>
        <w:t xml:space="preserve">                        </w:t>
      </w:r>
    </w:p>
    <w:p>
      <w:pPr>
        <w:spacing w:line="440" w:lineRule="exact"/>
        <w:jc w:val="right"/>
        <w:rPr>
          <w:rFonts w:ascii="宋体"/>
          <w:strike/>
          <w:sz w:val="24"/>
        </w:rPr>
      </w:pPr>
    </w:p>
    <w:p>
      <w:pPr>
        <w:pStyle w:val="3"/>
        <w:widowControl w:val="0"/>
        <w:adjustRightInd/>
        <w:snapToGrid/>
        <w:spacing w:before="0" w:after="0" w:line="240" w:lineRule="auto"/>
        <w:jc w:val="both"/>
        <w:rPr>
          <w:rFonts w:ascii="宋体"/>
          <w:bCs/>
          <w:kern w:val="2"/>
          <w:sz w:val="24"/>
        </w:rPr>
      </w:pPr>
      <w:bookmarkStart w:id="85" w:name="_Toc333600739"/>
      <w:bookmarkStart w:id="86" w:name="_Toc342296217"/>
      <w:bookmarkStart w:id="87" w:name="_Toc263259624"/>
      <w:bookmarkStart w:id="88" w:name="_Toc470011313"/>
      <w:bookmarkStart w:id="89" w:name="_Toc362252702"/>
      <w:bookmarkStart w:id="90" w:name="_Toc263259172"/>
      <w:bookmarkStart w:id="91" w:name="_Toc179632602"/>
      <w:bookmarkStart w:id="92" w:name="_Toc241459634"/>
      <w:bookmarkStart w:id="93" w:name="_Toc342296218"/>
      <w:bookmarkStart w:id="94" w:name="_Toc152045584"/>
      <w:bookmarkStart w:id="95" w:name="_Toc152042361"/>
      <w:bookmarkStart w:id="96" w:name="_Toc144974551"/>
      <w:bookmarkStart w:id="97" w:name="_Toc455409835"/>
      <w:r>
        <w:rPr>
          <w:rFonts w:hint="eastAsia" w:ascii="宋体" w:hAnsi="宋体"/>
          <w:bCs/>
          <w:kern w:val="2"/>
          <w:sz w:val="28"/>
        </w:rPr>
        <w:t>附表二：中标通知书</w:t>
      </w:r>
      <w:bookmarkEnd w:id="85"/>
      <w:bookmarkEnd w:id="86"/>
      <w:bookmarkEnd w:id="87"/>
      <w:bookmarkEnd w:id="88"/>
      <w:bookmarkEnd w:id="89"/>
      <w:bookmarkEnd w:id="90"/>
      <w:bookmarkEnd w:id="91"/>
      <w:bookmarkEnd w:id="92"/>
      <w:bookmarkEnd w:id="93"/>
      <w:bookmarkEnd w:id="94"/>
      <w:bookmarkEnd w:id="95"/>
      <w:bookmarkEnd w:id="96"/>
      <w:bookmarkEnd w:id="97"/>
    </w:p>
    <w:p>
      <w:pPr>
        <w:spacing w:line="400" w:lineRule="exact"/>
        <w:jc w:val="center"/>
        <w:rPr>
          <w:rFonts w:ascii="黑体" w:eastAsia="黑体"/>
          <w:sz w:val="28"/>
          <w:szCs w:val="28"/>
        </w:rPr>
      </w:pPr>
      <w:r>
        <w:rPr>
          <w:rFonts w:hint="eastAsia" w:ascii="黑体" w:eastAsia="黑体"/>
          <w:sz w:val="28"/>
          <w:szCs w:val="28"/>
        </w:rPr>
        <w:t>中标通知书（施工）</w:t>
      </w:r>
    </w:p>
    <w:p>
      <w:pPr>
        <w:jc w:val="center"/>
        <w:rPr>
          <w:rFonts w:ascii="黑体" w:eastAsia="黑体"/>
          <w:b/>
          <w:sz w:val="10"/>
          <w:szCs w:val="10"/>
        </w:rPr>
      </w:pPr>
    </w:p>
    <w:p>
      <w:pPr>
        <w:spacing w:line="360" w:lineRule="auto"/>
        <w:ind w:right="-315" w:rightChars="-150"/>
        <w:rPr>
          <w:rFonts w:ascii="黑体" w:eastAsia="黑体"/>
          <w:b/>
          <w:szCs w:val="21"/>
        </w:rPr>
      </w:pPr>
      <w:r>
        <w:rPr>
          <w:szCs w:val="21"/>
          <w:u w:val="single"/>
        </w:rPr>
        <w:t xml:space="preserve">                           </w:t>
      </w:r>
      <w:r>
        <w:rPr>
          <w:rFonts w:hint="eastAsia"/>
          <w:szCs w:val="21"/>
        </w:rPr>
        <w:t>（中标人名称）：</w:t>
      </w:r>
    </w:p>
    <w:p>
      <w:pPr>
        <w:spacing w:line="360" w:lineRule="auto"/>
        <w:ind w:left="105" w:leftChars="50" w:firstLine="315" w:firstLineChars="150"/>
        <w:rPr>
          <w:rFonts w:ascii="宋体"/>
          <w:szCs w:val="21"/>
        </w:rPr>
      </w:pPr>
      <w:r>
        <w:rPr>
          <w:rFonts w:hint="eastAsia"/>
          <w:szCs w:val="21"/>
        </w:rPr>
        <w:t>根据</w:t>
      </w:r>
      <w:r>
        <w:rPr>
          <w:szCs w:val="21"/>
          <w:u w:val="single"/>
        </w:rPr>
        <w:t xml:space="preserve">                           </w:t>
      </w:r>
      <w:r>
        <w:rPr>
          <w:rFonts w:hint="eastAsia"/>
          <w:szCs w:val="21"/>
        </w:rPr>
        <w:t>工程</w:t>
      </w:r>
      <w:r>
        <w:rPr>
          <w:rFonts w:hint="eastAsia"/>
          <w:szCs w:val="21"/>
          <w:u w:val="single"/>
        </w:rPr>
        <w:t>施工</w:t>
      </w:r>
      <w:r>
        <w:rPr>
          <w:rFonts w:hint="eastAsia"/>
          <w:szCs w:val="21"/>
        </w:rPr>
        <w:t>招标文件和你单位于</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日提交的投标文件，经评标委员会评审，现确定你单位为上述工程的中标人，主要中标条件如下：</w:t>
      </w:r>
      <w:r>
        <w:rPr>
          <w:rFonts w:ascii="宋体"/>
          <w:szCs w:val="21"/>
        </w:rPr>
        <w:t xml:space="preserve">              </w:t>
      </w:r>
    </w:p>
    <w:tbl>
      <w:tblPr>
        <w:tblStyle w:val="49"/>
        <w:tblW w:w="850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8"/>
        <w:gridCol w:w="1642"/>
        <w:gridCol w:w="1476"/>
        <w:gridCol w:w="1224"/>
        <w:gridCol w:w="99"/>
        <w:gridCol w:w="1161"/>
        <w:gridCol w:w="162"/>
        <w:gridCol w:w="13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418" w:type="dxa"/>
            <w:tcBorders>
              <w:top w:val="single" w:color="auto" w:sz="12" w:space="0"/>
              <w:left w:val="single" w:color="auto" w:sz="12" w:space="0"/>
              <w:bottom w:val="single" w:color="auto" w:sz="4" w:space="0"/>
              <w:right w:val="single" w:color="auto" w:sz="4" w:space="0"/>
            </w:tcBorders>
            <w:vAlign w:val="center"/>
          </w:tcPr>
          <w:p>
            <w:pPr>
              <w:spacing w:line="360" w:lineRule="auto"/>
              <w:jc w:val="center"/>
              <w:rPr>
                <w:rFonts w:ascii="宋体"/>
                <w:szCs w:val="21"/>
              </w:rPr>
            </w:pPr>
            <w:r>
              <w:rPr>
                <w:rFonts w:hint="eastAsia" w:ascii="宋体"/>
                <w:szCs w:val="21"/>
              </w:rPr>
              <w:t>工程名称</w:t>
            </w:r>
          </w:p>
        </w:tc>
        <w:tc>
          <w:tcPr>
            <w:tcW w:w="7087" w:type="dxa"/>
            <w:gridSpan w:val="7"/>
            <w:tcBorders>
              <w:top w:val="single" w:color="auto" w:sz="12" w:space="0"/>
              <w:left w:val="single" w:color="auto" w:sz="4" w:space="0"/>
              <w:bottom w:val="single" w:color="auto" w:sz="4" w:space="0"/>
              <w:right w:val="single" w:color="auto" w:sz="12" w:space="0"/>
            </w:tcBorders>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418" w:type="dxa"/>
            <w:tcBorders>
              <w:top w:val="single" w:color="auto" w:sz="12" w:space="0"/>
              <w:left w:val="single" w:color="auto" w:sz="12" w:space="0"/>
              <w:bottom w:val="single" w:color="auto" w:sz="4" w:space="0"/>
              <w:right w:val="single" w:color="auto" w:sz="4" w:space="0"/>
            </w:tcBorders>
            <w:vAlign w:val="center"/>
          </w:tcPr>
          <w:p>
            <w:pPr>
              <w:spacing w:line="360" w:lineRule="auto"/>
              <w:jc w:val="center"/>
              <w:rPr>
                <w:rFonts w:ascii="宋体"/>
                <w:szCs w:val="21"/>
              </w:rPr>
            </w:pPr>
            <w:r>
              <w:rPr>
                <w:rFonts w:hint="eastAsia" w:ascii="宋体"/>
                <w:szCs w:val="21"/>
              </w:rPr>
              <w:t>建设地址</w:t>
            </w:r>
          </w:p>
        </w:tc>
        <w:tc>
          <w:tcPr>
            <w:tcW w:w="4342" w:type="dxa"/>
            <w:gridSpan w:val="3"/>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宋体"/>
                <w:szCs w:val="21"/>
              </w:rPr>
            </w:pPr>
          </w:p>
        </w:tc>
        <w:tc>
          <w:tcPr>
            <w:tcW w:w="1260" w:type="dxa"/>
            <w:gridSpan w:val="2"/>
            <w:tcBorders>
              <w:top w:val="single" w:color="auto" w:sz="12" w:space="0"/>
              <w:left w:val="single" w:color="auto" w:sz="4" w:space="0"/>
              <w:bottom w:val="single" w:color="auto" w:sz="4" w:space="0"/>
              <w:right w:val="single" w:color="auto" w:sz="4" w:space="0"/>
            </w:tcBorders>
            <w:vAlign w:val="center"/>
          </w:tcPr>
          <w:p>
            <w:pPr>
              <w:spacing w:line="360" w:lineRule="auto"/>
              <w:rPr>
                <w:rFonts w:ascii="宋体"/>
                <w:szCs w:val="21"/>
              </w:rPr>
            </w:pPr>
            <w:r>
              <w:rPr>
                <w:rFonts w:hint="eastAsia" w:ascii="宋体"/>
                <w:szCs w:val="21"/>
              </w:rPr>
              <w:t>建设面积</w:t>
            </w:r>
          </w:p>
        </w:tc>
        <w:tc>
          <w:tcPr>
            <w:tcW w:w="1485" w:type="dxa"/>
            <w:gridSpan w:val="2"/>
            <w:tcBorders>
              <w:top w:val="single" w:color="auto" w:sz="12" w:space="0"/>
              <w:left w:val="single" w:color="auto" w:sz="4" w:space="0"/>
              <w:bottom w:val="single" w:color="auto" w:sz="4" w:space="0"/>
              <w:right w:val="single" w:color="auto" w:sz="12" w:space="0"/>
            </w:tcBorders>
            <w:vAlign w:val="center"/>
          </w:tcPr>
          <w:p>
            <w:pPr>
              <w:spacing w:line="360" w:lineRule="auto"/>
              <w:jc w:val="center"/>
              <w:rPr>
                <w:rFonts w:ascii="宋体"/>
                <w:szCs w:val="21"/>
              </w:rPr>
            </w:pPr>
            <w:r>
              <w:rPr>
                <w:rFonts w:ascii="宋体"/>
                <w:szCs w:val="21"/>
              </w:rPr>
              <w:t>M</w:t>
            </w:r>
            <w:r>
              <w:t xml:space="preserve"> </w:t>
            </w:r>
            <w:r>
              <w:rPr>
                <w:rFonts w:ascii="宋体"/>
                <w:szCs w:val="21"/>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exact"/>
        </w:trPr>
        <w:tc>
          <w:tcPr>
            <w:tcW w:w="1418" w:type="dxa"/>
            <w:tcBorders>
              <w:top w:val="single" w:color="auto" w:sz="4" w:space="0"/>
              <w:left w:val="single" w:color="auto" w:sz="12" w:space="0"/>
              <w:bottom w:val="single" w:color="auto" w:sz="4" w:space="0"/>
              <w:right w:val="single" w:color="auto" w:sz="4" w:space="0"/>
            </w:tcBorders>
            <w:vAlign w:val="bottom"/>
          </w:tcPr>
          <w:p>
            <w:pPr>
              <w:spacing w:line="360" w:lineRule="auto"/>
              <w:jc w:val="center"/>
              <w:rPr>
                <w:rFonts w:ascii="宋体"/>
                <w:szCs w:val="21"/>
              </w:rPr>
            </w:pPr>
            <w:r>
              <w:rPr>
                <w:rFonts w:hint="eastAsia" w:ascii="宋体"/>
                <w:szCs w:val="21"/>
              </w:rPr>
              <w:t>中标价格</w:t>
            </w:r>
          </w:p>
        </w:tc>
        <w:tc>
          <w:tcPr>
            <w:tcW w:w="7087" w:type="dxa"/>
            <w:gridSpan w:val="7"/>
            <w:tcBorders>
              <w:top w:val="single" w:color="auto" w:sz="4" w:space="0"/>
              <w:left w:val="single" w:color="auto" w:sz="4" w:space="0"/>
              <w:bottom w:val="single" w:color="auto" w:sz="4" w:space="0"/>
              <w:right w:val="single" w:color="auto" w:sz="12" w:space="0"/>
            </w:tcBorders>
            <w:vAlign w:val="center"/>
          </w:tcPr>
          <w:p>
            <w:pPr>
              <w:ind w:firstLine="105" w:firstLineChars="50"/>
              <w:rPr>
                <w:szCs w:val="21"/>
              </w:rPr>
            </w:pPr>
            <w:r>
              <w:rPr>
                <w:rFonts w:hint="eastAsia"/>
                <w:szCs w:val="21"/>
              </w:rPr>
              <w:t>小写：</w:t>
            </w:r>
            <w:r>
              <w:rPr>
                <w:szCs w:val="21"/>
                <w:u w:val="single"/>
              </w:rPr>
              <w:t xml:space="preserve">                 </w:t>
            </w:r>
            <w:r>
              <w:rPr>
                <w:rFonts w:hint="eastAsia"/>
                <w:szCs w:val="21"/>
              </w:rPr>
              <w:t>元</w:t>
            </w:r>
            <w:r>
              <w:rPr>
                <w:szCs w:val="21"/>
              </w:rPr>
              <w:t xml:space="preserve">    </w:t>
            </w:r>
            <w:r>
              <w:rPr>
                <w:rFonts w:hint="eastAsia"/>
                <w:szCs w:val="21"/>
              </w:rPr>
              <w:t>大写：</w:t>
            </w:r>
            <w:r>
              <w:rPr>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94" w:hRule="exact"/>
        </w:trPr>
        <w:tc>
          <w:tcPr>
            <w:tcW w:w="1418"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宋体"/>
                <w:szCs w:val="21"/>
              </w:rPr>
            </w:pPr>
            <w:r>
              <w:rPr>
                <w:rFonts w:hint="eastAsia" w:ascii="宋体"/>
                <w:szCs w:val="21"/>
              </w:rPr>
              <w:t>中标工程</w:t>
            </w:r>
          </w:p>
          <w:p>
            <w:pPr>
              <w:spacing w:line="360" w:lineRule="auto"/>
              <w:jc w:val="center"/>
              <w:rPr>
                <w:rFonts w:ascii="宋体"/>
                <w:szCs w:val="21"/>
              </w:rPr>
            </w:pPr>
            <w:r>
              <w:rPr>
                <w:rFonts w:hint="eastAsia" w:ascii="宋体"/>
                <w:szCs w:val="21"/>
              </w:rPr>
              <w:t>范</w:t>
            </w:r>
            <w:r>
              <w:rPr>
                <w:rFonts w:ascii="宋体"/>
                <w:szCs w:val="21"/>
              </w:rPr>
              <w:t xml:space="preserve">  </w:t>
            </w:r>
            <w:r>
              <w:rPr>
                <w:rFonts w:hint="eastAsia" w:ascii="宋体"/>
                <w:szCs w:val="21"/>
              </w:rPr>
              <w:t>围</w:t>
            </w:r>
          </w:p>
        </w:tc>
        <w:tc>
          <w:tcPr>
            <w:tcW w:w="7087" w:type="dxa"/>
            <w:gridSpan w:val="7"/>
            <w:tcBorders>
              <w:top w:val="single" w:color="auto" w:sz="4" w:space="0"/>
              <w:left w:val="single" w:color="auto" w:sz="4" w:space="0"/>
              <w:bottom w:val="single" w:color="auto" w:sz="4" w:space="0"/>
              <w:right w:val="single" w:color="auto" w:sz="12" w:space="0"/>
            </w:tcBorders>
            <w:vAlign w:val="center"/>
          </w:tcPr>
          <w:p>
            <w:pPr>
              <w:ind w:firstLine="105" w:firstLineChars="50"/>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9" w:hRule="atLeast"/>
        </w:trPr>
        <w:tc>
          <w:tcPr>
            <w:tcW w:w="1418" w:type="dxa"/>
            <w:tcBorders>
              <w:top w:val="single" w:color="auto" w:sz="4" w:space="0"/>
              <w:left w:val="single" w:color="auto" w:sz="12" w:space="0"/>
              <w:right w:val="single" w:color="auto" w:sz="4" w:space="0"/>
            </w:tcBorders>
            <w:vAlign w:val="center"/>
          </w:tcPr>
          <w:p>
            <w:pPr>
              <w:spacing w:line="360" w:lineRule="auto"/>
              <w:jc w:val="center"/>
              <w:rPr>
                <w:rFonts w:ascii="宋体"/>
                <w:szCs w:val="21"/>
              </w:rPr>
            </w:pPr>
            <w:r>
              <w:rPr>
                <w:rFonts w:hint="eastAsia" w:ascii="宋体"/>
                <w:szCs w:val="21"/>
              </w:rPr>
              <w:t>项目负责人</w:t>
            </w:r>
          </w:p>
        </w:tc>
        <w:tc>
          <w:tcPr>
            <w:tcW w:w="7087" w:type="dxa"/>
            <w:gridSpan w:val="7"/>
            <w:tcBorders>
              <w:top w:val="single" w:color="auto" w:sz="4" w:space="0"/>
              <w:left w:val="single" w:color="auto" w:sz="4" w:space="0"/>
              <w:right w:val="single" w:color="auto" w:sz="12" w:space="0"/>
            </w:tcBorders>
            <w:vAlign w:val="center"/>
          </w:tcPr>
          <w:p>
            <w:pPr>
              <w:spacing w:line="360" w:lineRule="auto"/>
              <w:ind w:firstLine="33" w:firstLineChars="16"/>
              <w:jc w:val="left"/>
              <w:rPr>
                <w:rFonts w:ascii="宋体"/>
                <w:szCs w:val="21"/>
              </w:rPr>
            </w:pPr>
            <w:r>
              <w:rPr>
                <w:rFonts w:hint="eastAsia" w:ascii="宋体"/>
                <w:szCs w:val="21"/>
              </w:rPr>
              <w:t>姓名</w:t>
            </w:r>
            <w:r>
              <w:rPr>
                <w:rFonts w:ascii="宋体"/>
                <w:szCs w:val="21"/>
              </w:rPr>
              <w:t xml:space="preserve">:                  </w:t>
            </w:r>
            <w:commentRangeStart w:id="3"/>
            <w:r>
              <w:rPr>
                <w:rFonts w:hint="eastAsia" w:ascii="宋体"/>
                <w:szCs w:val="21"/>
              </w:rPr>
              <w:t>身份证号</w:t>
            </w:r>
            <w:commentRangeEnd w:id="3"/>
            <w:r>
              <w:rPr>
                <w:rStyle w:val="57"/>
                <w:kern w:val="0"/>
                <w:szCs w:val="20"/>
              </w:rPr>
              <w:commentReference w:id="3"/>
            </w:r>
            <w:r>
              <w:rPr>
                <w:rFonts w:asci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0" w:hRule="atLeast"/>
        </w:trPr>
        <w:tc>
          <w:tcPr>
            <w:tcW w:w="1418" w:type="dxa"/>
            <w:vMerge w:val="restart"/>
            <w:tcBorders>
              <w:top w:val="single" w:color="auto" w:sz="4" w:space="0"/>
              <w:left w:val="single" w:color="auto" w:sz="12" w:space="0"/>
              <w:right w:val="single" w:color="auto" w:sz="4" w:space="0"/>
            </w:tcBorders>
            <w:vAlign w:val="center"/>
          </w:tcPr>
          <w:p>
            <w:pPr>
              <w:spacing w:line="360" w:lineRule="auto"/>
              <w:jc w:val="center"/>
              <w:rPr>
                <w:rFonts w:ascii="宋体"/>
                <w:szCs w:val="21"/>
              </w:rPr>
            </w:pPr>
            <w:r>
              <w:rPr>
                <w:rFonts w:hint="eastAsia" w:ascii="宋体"/>
                <w:szCs w:val="21"/>
              </w:rPr>
              <w:t>中标工期</w:t>
            </w:r>
          </w:p>
          <w:p>
            <w:pPr>
              <w:jc w:val="center"/>
              <w:rPr>
                <w:rFonts w:ascii="宋体"/>
                <w:szCs w:val="21"/>
              </w:rPr>
            </w:pPr>
          </w:p>
        </w:tc>
        <w:tc>
          <w:tcPr>
            <w:tcW w:w="1642" w:type="dxa"/>
            <w:vMerge w:val="restart"/>
            <w:tcBorders>
              <w:top w:val="single" w:color="auto" w:sz="4" w:space="0"/>
              <w:left w:val="single" w:color="auto" w:sz="4" w:space="0"/>
              <w:right w:val="single" w:color="auto" w:sz="4" w:space="0"/>
            </w:tcBorders>
            <w:vAlign w:val="center"/>
          </w:tcPr>
          <w:p>
            <w:pPr>
              <w:spacing w:line="360" w:lineRule="auto"/>
              <w:jc w:val="right"/>
              <w:rPr>
                <w:rFonts w:ascii="宋体"/>
                <w:szCs w:val="21"/>
              </w:rPr>
            </w:pPr>
            <w:r>
              <w:rPr>
                <w:rFonts w:ascii="宋体"/>
                <w:szCs w:val="21"/>
              </w:rPr>
              <w:t xml:space="preserve"> </w:t>
            </w:r>
            <w:r>
              <w:rPr>
                <w:rFonts w:hint="eastAsia" w:ascii="宋体"/>
                <w:szCs w:val="21"/>
              </w:rPr>
              <w:t>日历天</w:t>
            </w: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Cs w:val="21"/>
              </w:rPr>
            </w:pPr>
            <w:r>
              <w:rPr>
                <w:rFonts w:hint="eastAsia" w:ascii="宋体"/>
                <w:szCs w:val="21"/>
              </w:rPr>
              <w:t>计划开工日期</w:t>
            </w:r>
          </w:p>
        </w:tc>
        <w:tc>
          <w:tcPr>
            <w:tcW w:w="3969" w:type="dxa"/>
            <w:gridSpan w:val="5"/>
            <w:tcBorders>
              <w:top w:val="single" w:color="auto" w:sz="4" w:space="0"/>
              <w:left w:val="single" w:color="auto" w:sz="4" w:space="0"/>
              <w:bottom w:val="single" w:color="auto" w:sz="4" w:space="0"/>
              <w:right w:val="single" w:color="auto" w:sz="12" w:space="0"/>
            </w:tcBorders>
            <w:vAlign w:val="center"/>
          </w:tcPr>
          <w:p>
            <w:pPr>
              <w:spacing w:line="360" w:lineRule="auto"/>
              <w:ind w:firstLine="840" w:firstLineChars="400"/>
              <w:jc w:val="center"/>
              <w:rPr>
                <w:rFonts w:ascii="宋体"/>
                <w:szCs w:val="21"/>
              </w:rPr>
            </w:pPr>
            <w:r>
              <w:rPr>
                <w:rFonts w:hint="eastAsia" w:ascii="宋体"/>
                <w:szCs w:val="21"/>
              </w:rPr>
              <w:t>年</w:t>
            </w:r>
            <w:r>
              <w:rPr>
                <w:rFonts w:ascii="宋体"/>
                <w:szCs w:val="21"/>
              </w:rPr>
              <w:t xml:space="preserve">    </w:t>
            </w:r>
            <w:r>
              <w:rPr>
                <w:rFonts w:hint="eastAsia" w:ascii="宋体"/>
                <w:szCs w:val="21"/>
              </w:rPr>
              <w:t>月</w:t>
            </w:r>
            <w:r>
              <w:rPr>
                <w:rFonts w:ascii="宋体"/>
                <w:szCs w:val="21"/>
              </w:rPr>
              <w:t xml:space="preserve">    </w:t>
            </w:r>
            <w:r>
              <w:rPr>
                <w:rFonts w:hint="eastAsia" w:ascii="宋体"/>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0" w:hRule="atLeast"/>
        </w:trPr>
        <w:tc>
          <w:tcPr>
            <w:tcW w:w="1418" w:type="dxa"/>
            <w:vMerge w:val="continue"/>
            <w:tcBorders>
              <w:left w:val="single" w:color="auto" w:sz="12" w:space="0"/>
              <w:bottom w:val="single" w:color="auto" w:sz="4" w:space="0"/>
              <w:right w:val="single" w:color="auto" w:sz="4" w:space="0"/>
            </w:tcBorders>
            <w:vAlign w:val="center"/>
          </w:tcPr>
          <w:p>
            <w:pPr>
              <w:widowControl/>
              <w:jc w:val="center"/>
              <w:rPr>
                <w:rFonts w:ascii="宋体"/>
                <w:szCs w:val="21"/>
              </w:rPr>
            </w:pPr>
          </w:p>
        </w:tc>
        <w:tc>
          <w:tcPr>
            <w:tcW w:w="1642" w:type="dxa"/>
            <w:vMerge w:val="continue"/>
            <w:tcBorders>
              <w:left w:val="single" w:color="auto" w:sz="4" w:space="0"/>
              <w:bottom w:val="single" w:color="auto" w:sz="4" w:space="0"/>
              <w:right w:val="single" w:color="auto" w:sz="4" w:space="0"/>
            </w:tcBorders>
            <w:vAlign w:val="center"/>
          </w:tcPr>
          <w:p>
            <w:pPr>
              <w:widowControl/>
              <w:jc w:val="left"/>
              <w:rPr>
                <w:rFonts w:ascii="宋体"/>
                <w:szCs w:val="21"/>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Cs w:val="21"/>
              </w:rPr>
            </w:pPr>
            <w:r>
              <w:rPr>
                <w:rFonts w:hint="eastAsia" w:ascii="宋体"/>
                <w:szCs w:val="21"/>
              </w:rPr>
              <w:t>计划竣工日期</w:t>
            </w:r>
          </w:p>
        </w:tc>
        <w:tc>
          <w:tcPr>
            <w:tcW w:w="3969" w:type="dxa"/>
            <w:gridSpan w:val="5"/>
            <w:tcBorders>
              <w:top w:val="single" w:color="auto" w:sz="4" w:space="0"/>
              <w:left w:val="single" w:color="auto" w:sz="4" w:space="0"/>
              <w:bottom w:val="single" w:color="auto" w:sz="4" w:space="0"/>
              <w:right w:val="single" w:color="auto" w:sz="12" w:space="0"/>
            </w:tcBorders>
            <w:vAlign w:val="center"/>
          </w:tcPr>
          <w:p>
            <w:pPr>
              <w:spacing w:line="360" w:lineRule="auto"/>
              <w:ind w:firstLine="840" w:firstLineChars="400"/>
              <w:jc w:val="center"/>
              <w:rPr>
                <w:rFonts w:ascii="宋体"/>
                <w:szCs w:val="21"/>
              </w:rPr>
            </w:pPr>
            <w:r>
              <w:rPr>
                <w:rFonts w:hint="eastAsia" w:ascii="宋体"/>
                <w:szCs w:val="21"/>
              </w:rPr>
              <w:t>年</w:t>
            </w:r>
            <w:r>
              <w:rPr>
                <w:rFonts w:ascii="宋体"/>
                <w:szCs w:val="21"/>
              </w:rPr>
              <w:t xml:space="preserve">    </w:t>
            </w:r>
            <w:r>
              <w:rPr>
                <w:rFonts w:hint="eastAsia" w:ascii="宋体"/>
                <w:szCs w:val="21"/>
              </w:rPr>
              <w:t>月</w:t>
            </w:r>
            <w:r>
              <w:rPr>
                <w:rFonts w:ascii="宋体"/>
                <w:szCs w:val="21"/>
              </w:rPr>
              <w:t xml:space="preserve">    </w:t>
            </w:r>
            <w:r>
              <w:rPr>
                <w:rFonts w:hint="eastAsia" w:ascii="宋体"/>
                <w:szCs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宋体"/>
                <w:szCs w:val="21"/>
              </w:rPr>
            </w:pPr>
            <w:r>
              <w:rPr>
                <w:rFonts w:hint="eastAsia" w:ascii="宋体"/>
                <w:szCs w:val="21"/>
              </w:rPr>
              <w:t>质量标准</w:t>
            </w:r>
          </w:p>
        </w:tc>
        <w:tc>
          <w:tcPr>
            <w:tcW w:w="16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Cs w:val="21"/>
              </w:rPr>
            </w:pPr>
          </w:p>
        </w:tc>
        <w:tc>
          <w:tcPr>
            <w:tcW w:w="14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Cs w:val="21"/>
              </w:rPr>
            </w:pPr>
            <w:r>
              <w:rPr>
                <w:rFonts w:hint="eastAsia" w:ascii="宋体"/>
                <w:szCs w:val="21"/>
              </w:rPr>
              <w:t>养护期</w:t>
            </w:r>
          </w:p>
        </w:tc>
        <w:tc>
          <w:tcPr>
            <w:tcW w:w="1323" w:type="dxa"/>
            <w:gridSpan w:val="2"/>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宋体"/>
                <w:szCs w:val="21"/>
              </w:rPr>
            </w:pPr>
          </w:p>
        </w:tc>
        <w:tc>
          <w:tcPr>
            <w:tcW w:w="1323" w:type="dxa"/>
            <w:gridSpan w:val="2"/>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宋体"/>
                <w:szCs w:val="21"/>
              </w:rPr>
            </w:pPr>
            <w:r>
              <w:rPr>
                <w:rFonts w:hint="eastAsia" w:ascii="宋体"/>
                <w:szCs w:val="21"/>
              </w:rPr>
              <w:t>养护等级</w:t>
            </w:r>
          </w:p>
        </w:tc>
        <w:tc>
          <w:tcPr>
            <w:tcW w:w="1323"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1418" w:type="dxa"/>
            <w:tcBorders>
              <w:top w:val="single" w:color="auto" w:sz="4" w:space="0"/>
              <w:left w:val="single" w:color="auto" w:sz="12" w:space="0"/>
              <w:bottom w:val="single" w:color="auto" w:sz="12" w:space="0"/>
              <w:right w:val="single" w:color="auto" w:sz="4" w:space="0"/>
            </w:tcBorders>
            <w:vAlign w:val="center"/>
          </w:tcPr>
          <w:p>
            <w:pPr>
              <w:spacing w:line="360" w:lineRule="auto"/>
              <w:jc w:val="center"/>
              <w:rPr>
                <w:rFonts w:ascii="宋体"/>
                <w:szCs w:val="21"/>
              </w:rPr>
            </w:pPr>
            <w:r>
              <w:rPr>
                <w:rFonts w:hint="eastAsia" w:ascii="宋体"/>
                <w:szCs w:val="21"/>
              </w:rPr>
              <w:t>备</w:t>
            </w:r>
            <w:r>
              <w:rPr>
                <w:rFonts w:ascii="宋体"/>
                <w:szCs w:val="21"/>
              </w:rPr>
              <w:t xml:space="preserve">  </w:t>
            </w:r>
            <w:r>
              <w:rPr>
                <w:rFonts w:hint="eastAsia" w:ascii="宋体"/>
                <w:szCs w:val="21"/>
              </w:rPr>
              <w:t>注</w:t>
            </w:r>
          </w:p>
        </w:tc>
        <w:tc>
          <w:tcPr>
            <w:tcW w:w="7087" w:type="dxa"/>
            <w:gridSpan w:val="7"/>
            <w:tcBorders>
              <w:top w:val="single" w:color="auto" w:sz="4" w:space="0"/>
              <w:left w:val="single" w:color="auto" w:sz="4" w:space="0"/>
              <w:bottom w:val="single" w:color="auto" w:sz="12" w:space="0"/>
              <w:right w:val="single" w:color="auto" w:sz="12" w:space="0"/>
            </w:tcBorders>
            <w:vAlign w:val="center"/>
          </w:tcPr>
          <w:p>
            <w:pPr>
              <w:ind w:firstLine="420" w:firstLineChars="200"/>
              <w:rPr>
                <w:rFonts w:ascii="宋体"/>
                <w:strike/>
                <w:szCs w:val="21"/>
              </w:rPr>
            </w:pPr>
          </w:p>
        </w:tc>
      </w:tr>
    </w:tbl>
    <w:p>
      <w:pPr>
        <w:spacing w:line="540" w:lineRule="exact"/>
        <w:ind w:firstLine="105" w:firstLineChars="50"/>
        <w:rPr>
          <w:rFonts w:eastAsia="黑体"/>
          <w:strike/>
          <w:szCs w:val="21"/>
        </w:rPr>
      </w:pPr>
    </w:p>
    <w:p>
      <w:pPr>
        <w:spacing w:line="540" w:lineRule="exact"/>
        <w:ind w:firstLine="105" w:firstLineChars="50"/>
        <w:rPr>
          <w:rFonts w:eastAsia="黑体"/>
          <w:szCs w:val="21"/>
        </w:rPr>
      </w:pPr>
    </w:p>
    <w:p>
      <w:pPr>
        <w:spacing w:line="540" w:lineRule="exact"/>
        <w:ind w:firstLine="105" w:firstLineChars="50"/>
        <w:rPr>
          <w:rFonts w:ascii="宋体"/>
          <w:szCs w:val="21"/>
        </w:rPr>
      </w:pPr>
      <w:r>
        <w:rPr>
          <w:rFonts w:hint="eastAsia" w:ascii="宋体" w:hAnsi="宋体"/>
          <w:szCs w:val="21"/>
        </w:rPr>
        <w:t>招标人：</w:t>
      </w:r>
      <w:r>
        <w:rPr>
          <w:rFonts w:ascii="宋体" w:hAnsi="宋体"/>
          <w:szCs w:val="21"/>
          <w:u w:val="single"/>
        </w:rPr>
        <w:t xml:space="preserve">            </w:t>
      </w:r>
      <w:r>
        <w:rPr>
          <w:rFonts w:hint="eastAsia" w:ascii="宋体" w:hAnsi="宋体"/>
          <w:szCs w:val="21"/>
          <w:u w:val="single"/>
        </w:rPr>
        <w:t>（盖企业</w:t>
      </w:r>
      <w:r>
        <w:rPr>
          <w:rFonts w:ascii="宋体" w:hAnsi="宋体"/>
          <w:szCs w:val="21"/>
          <w:u w:val="single"/>
        </w:rPr>
        <w:t>CA</w:t>
      </w:r>
      <w:r>
        <w:rPr>
          <w:rFonts w:hint="eastAsia" w:ascii="宋体" w:hAnsi="宋体"/>
          <w:szCs w:val="21"/>
          <w:u w:val="single"/>
        </w:rPr>
        <w:t>电子印章）</w:t>
      </w:r>
      <w:r>
        <w:rPr>
          <w:rFonts w:ascii="宋体" w:hAnsi="宋体"/>
          <w:szCs w:val="21"/>
        </w:rPr>
        <w:t xml:space="preserve">     </w:t>
      </w:r>
      <w:r>
        <w:rPr>
          <w:rFonts w:hint="eastAsia" w:ascii="宋体" w:hAnsi="宋体"/>
          <w:szCs w:val="21"/>
        </w:rPr>
        <w:t>法定代表人：</w:t>
      </w:r>
      <w:r>
        <w:rPr>
          <w:rFonts w:ascii="宋体" w:hAnsi="宋体"/>
          <w:szCs w:val="21"/>
          <w:u w:val="single"/>
        </w:rPr>
        <w:t xml:space="preserve">     </w:t>
      </w:r>
      <w:r>
        <w:rPr>
          <w:rFonts w:hint="eastAsia" w:ascii="宋体" w:hAnsi="宋体"/>
          <w:szCs w:val="21"/>
          <w:u w:val="single"/>
        </w:rPr>
        <w:t>（盖个人</w:t>
      </w:r>
      <w:r>
        <w:rPr>
          <w:rFonts w:ascii="宋体" w:hAnsi="宋体"/>
          <w:szCs w:val="21"/>
          <w:u w:val="single"/>
        </w:rPr>
        <w:t>CA</w:t>
      </w:r>
      <w:r>
        <w:rPr>
          <w:rFonts w:hint="eastAsia" w:ascii="宋体" w:hAnsi="宋体"/>
          <w:szCs w:val="21"/>
          <w:u w:val="single"/>
        </w:rPr>
        <w:t>电子印章）</w:t>
      </w:r>
    </w:p>
    <w:p>
      <w:pPr>
        <w:spacing w:line="540" w:lineRule="exact"/>
        <w:ind w:firstLine="4389" w:firstLineChars="2090"/>
        <w:rPr>
          <w:szCs w:val="21"/>
        </w:rPr>
      </w:pPr>
      <w:r>
        <w:rPr>
          <w:szCs w:val="21"/>
        </w:rPr>
        <w:t xml:space="preserve">        </w:t>
      </w:r>
    </w:p>
    <w:p>
      <w:pPr>
        <w:spacing w:line="540" w:lineRule="exact"/>
      </w:pPr>
    </w:p>
    <w:p>
      <w:pPr>
        <w:spacing w:line="540" w:lineRule="exact"/>
      </w:pPr>
    </w:p>
    <w:p>
      <w:pPr>
        <w:spacing w:line="540" w:lineRule="exact"/>
        <w:rPr>
          <w:szCs w:val="21"/>
        </w:rPr>
      </w:pPr>
      <w:r>
        <w:rPr>
          <w:szCs w:val="21"/>
        </w:rPr>
        <w:br w:type="page"/>
      </w:r>
    </w:p>
    <w:p>
      <w:pPr>
        <w:pStyle w:val="3"/>
        <w:jc w:val="left"/>
        <w:rPr>
          <w:sz w:val="28"/>
          <w:szCs w:val="28"/>
        </w:rPr>
      </w:pPr>
      <w:bookmarkStart w:id="98" w:name="_Toc455409836"/>
      <w:bookmarkStart w:id="99" w:name="_Toc342296220"/>
      <w:bookmarkStart w:id="100" w:name="_Toc470011314"/>
      <w:bookmarkStart w:id="101" w:name="_Toc152045586"/>
      <w:bookmarkStart w:id="102" w:name="_Toc152042363"/>
      <w:bookmarkStart w:id="103" w:name="_Toc362252704"/>
      <w:bookmarkStart w:id="104" w:name="_Toc179632604"/>
      <w:bookmarkStart w:id="105" w:name="_Toc144974553"/>
      <w:bookmarkStart w:id="106" w:name="_Toc241459636"/>
      <w:r>
        <w:rPr>
          <w:rFonts w:hint="eastAsia"/>
          <w:sz w:val="28"/>
          <w:szCs w:val="28"/>
        </w:rPr>
        <w:t>附表三：中标结果通知书</w:t>
      </w:r>
    </w:p>
    <w:p>
      <w:pPr>
        <w:spacing w:line="400" w:lineRule="exact"/>
      </w:pPr>
    </w:p>
    <w:p>
      <w:pPr>
        <w:spacing w:line="400" w:lineRule="exact"/>
        <w:jc w:val="center"/>
        <w:rPr>
          <w:rFonts w:ascii="黑体" w:eastAsia="黑体"/>
          <w:sz w:val="28"/>
          <w:szCs w:val="28"/>
        </w:rPr>
      </w:pPr>
      <w:r>
        <w:rPr>
          <w:rFonts w:hint="eastAsia" w:ascii="黑体" w:eastAsia="黑体"/>
          <w:sz w:val="28"/>
          <w:szCs w:val="28"/>
        </w:rPr>
        <w:t>中标结果通知书</w:t>
      </w:r>
    </w:p>
    <w:p>
      <w:pPr>
        <w:spacing w:line="400" w:lineRule="exact"/>
      </w:pPr>
    </w:p>
    <w:p>
      <w:pPr>
        <w:spacing w:line="440" w:lineRule="exact"/>
        <w:rPr>
          <w:rFonts w:ascii="宋体" w:hAnsi="宋体"/>
          <w:sz w:val="24"/>
          <w:u w:val="single"/>
        </w:rPr>
      </w:pPr>
      <w:r>
        <w:rPr>
          <w:rFonts w:ascii="宋体" w:hAnsi="宋体"/>
          <w:sz w:val="24"/>
        </w:rPr>
        <w:t>　　</w:t>
      </w:r>
      <w:r>
        <w:rPr>
          <w:rFonts w:hint="eastAsia" w:ascii="宋体" w:hAnsi="宋体"/>
          <w:sz w:val="24"/>
        </w:rPr>
        <w:t>我方已接受</w:t>
      </w:r>
      <w:r>
        <w:rPr>
          <w:rFonts w:hint="eastAsia" w:ascii="宋体" w:hAnsi="宋体"/>
          <w:sz w:val="24"/>
          <w:u w:val="single"/>
        </w:rPr>
        <w:t xml:space="preserve">            </w:t>
      </w:r>
      <w:r>
        <w:rPr>
          <w:rFonts w:hint="eastAsia" w:ascii="宋体" w:hAnsi="宋体"/>
          <w:sz w:val="24"/>
        </w:rPr>
        <w:t>（中标单位名称）所递交的</w:t>
      </w:r>
      <w:r>
        <w:rPr>
          <w:rFonts w:hint="eastAsia" w:ascii="宋体" w:hAnsi="宋体"/>
          <w:sz w:val="24"/>
          <w:u w:val="single"/>
        </w:rPr>
        <w:t xml:space="preserve">            </w:t>
      </w:r>
      <w:r>
        <w:rPr>
          <w:rFonts w:hint="eastAsia" w:ascii="宋体" w:hAnsi="宋体"/>
          <w:sz w:val="24"/>
        </w:rPr>
        <w:t>（工程名称）施工招标的投标文件 ，确定</w:t>
      </w:r>
      <w:r>
        <w:rPr>
          <w:rFonts w:hint="eastAsia" w:ascii="宋体" w:hAnsi="宋体"/>
          <w:sz w:val="24"/>
          <w:u w:val="single"/>
        </w:rPr>
        <w:t xml:space="preserve">               </w:t>
      </w:r>
      <w:r>
        <w:rPr>
          <w:rFonts w:hint="eastAsia" w:ascii="宋体" w:hAnsi="宋体"/>
          <w:sz w:val="24"/>
        </w:rPr>
        <w:t>（中标单位名称）为中标人。</w:t>
      </w:r>
      <w:r>
        <w:rPr>
          <w:rFonts w:ascii="宋体" w:hAnsi="宋体"/>
          <w:sz w:val="24"/>
        </w:rPr>
        <w:t>　</w:t>
      </w:r>
    </w:p>
    <w:p>
      <w:pPr>
        <w:spacing w:line="440" w:lineRule="exact"/>
        <w:rPr>
          <w:rFonts w:ascii="宋体" w:hAnsi="宋体"/>
          <w:sz w:val="24"/>
        </w:rPr>
      </w:pPr>
      <w:r>
        <w:rPr>
          <w:rFonts w:ascii="宋体" w:hAnsi="宋体"/>
          <w:sz w:val="24"/>
        </w:rPr>
        <w:t>　　感谢你单位对我</w:t>
      </w:r>
      <w:r>
        <w:rPr>
          <w:rFonts w:hint="eastAsia" w:ascii="宋体" w:hAnsi="宋体"/>
          <w:sz w:val="24"/>
        </w:rPr>
        <w:t>方</w:t>
      </w:r>
      <w:r>
        <w:rPr>
          <w:rFonts w:ascii="宋体" w:hAnsi="宋体"/>
          <w:sz w:val="24"/>
        </w:rPr>
        <w:t>工作的大力支持！</w:t>
      </w: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r>
        <w:rPr>
          <w:rFonts w:ascii="宋体" w:hAnsi="宋体"/>
          <w:sz w:val="24"/>
        </w:rPr>
        <w:t xml:space="preserve">                                  招标人：</w:t>
      </w:r>
      <w:r>
        <w:rPr>
          <w:rFonts w:ascii="宋体" w:hAnsi="宋体"/>
          <w:sz w:val="24"/>
          <w:u w:val="single"/>
        </w:rPr>
        <w:t xml:space="preserve">           （</w:t>
      </w:r>
      <w:r>
        <w:rPr>
          <w:rFonts w:hint="eastAsia" w:ascii="宋体" w:hAnsi="宋体"/>
          <w:sz w:val="24"/>
          <w:u w:val="single"/>
        </w:rPr>
        <w:t>盖企业CA电子印章</w:t>
      </w:r>
      <w:r>
        <w:rPr>
          <w:rFonts w:ascii="宋体" w:hAnsi="宋体"/>
          <w:sz w:val="24"/>
          <w:u w:val="single"/>
        </w:rPr>
        <w:t>）</w:t>
      </w:r>
    </w:p>
    <w:p>
      <w:pPr>
        <w:spacing w:line="440" w:lineRule="exact"/>
        <w:rPr>
          <w:rFonts w:ascii="宋体" w:hAnsi="宋体"/>
          <w:sz w:val="24"/>
        </w:rPr>
      </w:pPr>
    </w:p>
    <w:p>
      <w:pPr>
        <w:spacing w:line="400" w:lineRule="exact"/>
        <w:rPr>
          <w:rFonts w:ascii="宋体"/>
          <w:sz w:val="24"/>
        </w:rPr>
      </w:pPr>
      <w:r>
        <w:rPr>
          <w:rFonts w:ascii="宋体" w:hAnsi="宋体"/>
          <w:sz w:val="24"/>
        </w:rPr>
        <w:t xml:space="preserve">                                    </w:t>
      </w:r>
      <w:r>
        <w:rPr>
          <w:rFonts w:hint="eastAsia" w:ascii="宋体" w:hAnsi="宋体"/>
          <w:sz w:val="24"/>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pStyle w:val="4"/>
      </w:pPr>
    </w:p>
    <w:p>
      <w:pPr>
        <w:pStyle w:val="4"/>
      </w:pPr>
    </w:p>
    <w:p>
      <w:pPr>
        <w:pStyle w:val="4"/>
      </w:pPr>
    </w:p>
    <w:p>
      <w:pPr>
        <w:pStyle w:val="4"/>
      </w:pPr>
    </w:p>
    <w:p>
      <w:pPr>
        <w:pStyle w:val="4"/>
      </w:pPr>
    </w:p>
    <w:p>
      <w:pPr>
        <w:pStyle w:val="4"/>
      </w:pPr>
    </w:p>
    <w:p>
      <w:pPr>
        <w:pStyle w:val="4"/>
      </w:pPr>
    </w:p>
    <w:p>
      <w:pPr>
        <w:pStyle w:val="4"/>
      </w:pPr>
    </w:p>
    <w:p>
      <w:pPr>
        <w:pStyle w:val="3"/>
        <w:widowControl w:val="0"/>
        <w:adjustRightInd/>
        <w:snapToGrid/>
        <w:spacing w:before="0" w:after="0" w:line="240" w:lineRule="auto"/>
        <w:jc w:val="both"/>
        <w:rPr>
          <w:rFonts w:ascii="宋体"/>
          <w:bCs/>
          <w:kern w:val="2"/>
          <w:sz w:val="28"/>
          <w:szCs w:val="28"/>
        </w:rPr>
      </w:pPr>
      <w:r>
        <w:rPr>
          <w:rFonts w:hint="eastAsia" w:ascii="宋体" w:hAnsi="宋体"/>
          <w:bCs/>
          <w:kern w:val="2"/>
          <w:sz w:val="28"/>
          <w:szCs w:val="28"/>
        </w:rPr>
        <w:t>附表四：确认通知</w:t>
      </w:r>
      <w:bookmarkEnd w:id="98"/>
      <w:bookmarkEnd w:id="99"/>
      <w:bookmarkEnd w:id="100"/>
      <w:bookmarkEnd w:id="101"/>
      <w:bookmarkEnd w:id="102"/>
      <w:bookmarkEnd w:id="103"/>
      <w:bookmarkEnd w:id="104"/>
      <w:bookmarkEnd w:id="105"/>
      <w:bookmarkEnd w:id="106"/>
    </w:p>
    <w:p>
      <w:pPr>
        <w:spacing w:line="400" w:lineRule="exact"/>
      </w:pPr>
    </w:p>
    <w:p>
      <w:pPr>
        <w:spacing w:line="400" w:lineRule="exact"/>
        <w:jc w:val="center"/>
        <w:rPr>
          <w:rFonts w:ascii="黑体" w:eastAsia="黑体"/>
          <w:sz w:val="28"/>
          <w:szCs w:val="28"/>
        </w:rPr>
      </w:pPr>
      <w:r>
        <w:rPr>
          <w:rFonts w:hint="eastAsia" w:ascii="黑体" w:eastAsia="黑体"/>
          <w:sz w:val="28"/>
          <w:szCs w:val="28"/>
        </w:rPr>
        <w:t>确认通知</w:t>
      </w:r>
    </w:p>
    <w:p>
      <w:pPr>
        <w:spacing w:line="400" w:lineRule="exact"/>
      </w:pPr>
    </w:p>
    <w:p>
      <w:pPr>
        <w:spacing w:line="440" w:lineRule="exact"/>
        <w:rPr>
          <w:rFonts w:ascii="宋体"/>
          <w:sz w:val="24"/>
        </w:rPr>
      </w:pPr>
      <w:r>
        <w:rPr>
          <w:rFonts w:ascii="宋体" w:hAnsi="宋体"/>
          <w:sz w:val="24"/>
          <w:u w:val="single"/>
        </w:rPr>
        <w:t xml:space="preserve">            </w:t>
      </w:r>
      <w:r>
        <w:rPr>
          <w:rFonts w:hint="eastAsia" w:ascii="宋体" w:hAnsi="宋体"/>
          <w:sz w:val="24"/>
        </w:rPr>
        <w:t>（招标人名称）：</w:t>
      </w:r>
    </w:p>
    <w:p>
      <w:pPr>
        <w:spacing w:line="440" w:lineRule="exact"/>
        <w:rPr>
          <w:rFonts w:ascii="宋体"/>
          <w:sz w:val="24"/>
        </w:rPr>
      </w:pPr>
      <w:r>
        <w:rPr>
          <w:rFonts w:hint="eastAsia" w:ascii="宋体" w:hAnsi="宋体"/>
          <w:sz w:val="24"/>
        </w:rPr>
        <w:t>　　</w:t>
      </w:r>
    </w:p>
    <w:p>
      <w:pPr>
        <w:spacing w:line="440" w:lineRule="exact"/>
        <w:ind w:firstLine="420"/>
        <w:rPr>
          <w:rFonts w:ascii="宋体"/>
          <w:sz w:val="24"/>
        </w:rPr>
      </w:pPr>
      <w:r>
        <w:rPr>
          <w:rFonts w:hint="eastAsia" w:ascii="宋体" w:hAnsi="宋体"/>
          <w:sz w:val="24"/>
        </w:rPr>
        <w:t>你方</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日发出的</w:t>
      </w:r>
      <w:r>
        <w:rPr>
          <w:rFonts w:ascii="宋体" w:hAnsi="宋体"/>
          <w:sz w:val="24"/>
          <w:u w:val="single"/>
        </w:rPr>
        <w:t xml:space="preserve">        </w:t>
      </w:r>
      <w:r>
        <w:rPr>
          <w:rFonts w:hint="eastAsia" w:ascii="宋体" w:hAnsi="宋体"/>
          <w:sz w:val="24"/>
        </w:rPr>
        <w:t>（工程名称）</w:t>
      </w:r>
      <w:r>
        <w:rPr>
          <w:rFonts w:ascii="宋体" w:hAnsi="宋体"/>
          <w:sz w:val="24"/>
          <w:u w:val="single"/>
        </w:rPr>
        <w:t xml:space="preserve">    </w:t>
      </w:r>
      <w:r>
        <w:rPr>
          <w:rFonts w:hint="eastAsia" w:ascii="宋体" w:hAnsi="宋体"/>
          <w:sz w:val="24"/>
        </w:rPr>
        <w:t>标段施工招标关于</w:t>
      </w:r>
      <w:r>
        <w:rPr>
          <w:rFonts w:ascii="宋体" w:hAnsi="宋体"/>
          <w:sz w:val="24"/>
          <w:u w:val="single"/>
        </w:rPr>
        <w:t xml:space="preserve">                      </w:t>
      </w:r>
      <w:r>
        <w:rPr>
          <w:rFonts w:hint="eastAsia" w:ascii="宋体" w:hAnsi="宋体"/>
          <w:sz w:val="24"/>
        </w:rPr>
        <w:t>的通知，我方已于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日收到。</w:t>
      </w:r>
    </w:p>
    <w:p>
      <w:pPr>
        <w:spacing w:line="440" w:lineRule="exact"/>
        <w:rPr>
          <w:rFonts w:ascii="宋体"/>
          <w:sz w:val="24"/>
        </w:rPr>
      </w:pPr>
      <w:r>
        <w:rPr>
          <w:rFonts w:ascii="宋体" w:hAnsi="宋体"/>
          <w:sz w:val="24"/>
        </w:rPr>
        <w:t xml:space="preserve">   </w:t>
      </w:r>
      <w:r>
        <w:rPr>
          <w:rFonts w:hint="eastAsia" w:ascii="宋体" w:hAnsi="宋体"/>
          <w:sz w:val="24"/>
        </w:rPr>
        <w:t xml:space="preserve"> 特此确认。</w:t>
      </w: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ind w:firstLine="960" w:firstLineChars="400"/>
        <w:rPr>
          <w:rFonts w:ascii="宋体"/>
          <w:sz w:val="24"/>
        </w:rPr>
      </w:pPr>
      <w:r>
        <w:rPr>
          <w:rFonts w:ascii="宋体" w:hAnsi="宋体"/>
          <w:sz w:val="24"/>
        </w:rPr>
        <w:t xml:space="preserve">                                </w:t>
      </w:r>
      <w:r>
        <w:rPr>
          <w:rFonts w:hint="eastAsia" w:ascii="宋体" w:hAnsi="宋体"/>
          <w:sz w:val="24"/>
        </w:rPr>
        <w:t>投标人：</w:t>
      </w:r>
      <w:r>
        <w:rPr>
          <w:rFonts w:ascii="宋体" w:hAnsi="宋体"/>
          <w:sz w:val="24"/>
          <w:u w:val="single"/>
        </w:rPr>
        <w:t xml:space="preserve">     </w:t>
      </w:r>
      <w:r>
        <w:rPr>
          <w:rFonts w:hint="eastAsia" w:ascii="宋体" w:hAnsi="宋体"/>
          <w:sz w:val="24"/>
          <w:u w:val="single"/>
        </w:rPr>
        <w:t>（盖企业</w:t>
      </w:r>
      <w:r>
        <w:rPr>
          <w:rFonts w:ascii="宋体" w:hAnsi="宋体"/>
          <w:sz w:val="24"/>
          <w:u w:val="single"/>
        </w:rPr>
        <w:t>CA</w:t>
      </w:r>
      <w:r>
        <w:rPr>
          <w:rFonts w:hint="eastAsia" w:ascii="宋体" w:hAnsi="宋体"/>
          <w:sz w:val="24"/>
          <w:u w:val="single"/>
        </w:rPr>
        <w:t>电子印章）</w:t>
      </w:r>
    </w:p>
    <w:p>
      <w:pPr>
        <w:ind w:firstLine="960" w:firstLineChars="400"/>
        <w:rPr>
          <w:rFonts w:ascii="宋体"/>
          <w:sz w:val="24"/>
        </w:rPr>
      </w:pPr>
    </w:p>
    <w:p>
      <w:pPr>
        <w:rPr>
          <w:rFonts w:ascii="宋体"/>
          <w:sz w:val="24"/>
        </w:rPr>
      </w:pPr>
      <w:r>
        <w:rPr>
          <w:rFonts w:ascii="宋体" w:hAnsi="宋体"/>
          <w:sz w:val="24"/>
        </w:rPr>
        <w:t xml:space="preserve">                            </w:t>
      </w:r>
    </w:p>
    <w:p>
      <w:pPr>
        <w:ind w:firstLine="5280" w:firstLineChars="2200"/>
        <w:rPr>
          <w:rFonts w:ascii="宋体"/>
          <w:sz w:val="24"/>
        </w:rPr>
      </w:pP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ind w:firstLine="5280" w:firstLineChars="2200"/>
        <w:rPr>
          <w:rFonts w:ascii="宋体"/>
          <w:sz w:val="24"/>
        </w:rPr>
      </w:pPr>
    </w:p>
    <w:p>
      <w:pPr>
        <w:ind w:firstLine="4620" w:firstLineChars="2200"/>
        <w:rPr>
          <w:szCs w:val="21"/>
        </w:rPr>
      </w:pPr>
    </w:p>
    <w:p>
      <w:pPr>
        <w:pStyle w:val="83"/>
        <w:ind w:right="46" w:rightChars="22"/>
        <w:rPr>
          <w:rFonts w:ascii="Times New Roman" w:hAnsi="Times New Roman"/>
          <w:kern w:val="2"/>
          <w:szCs w:val="24"/>
        </w:rPr>
      </w:pPr>
      <w:r>
        <w:rPr>
          <w:rFonts w:ascii="Times New Roman" w:hAnsi="Times New Roman"/>
          <w:kern w:val="2"/>
          <w:szCs w:val="24"/>
        </w:rPr>
        <w:t xml:space="preserve"> </w:t>
      </w:r>
    </w:p>
    <w:p>
      <w:pPr>
        <w:pStyle w:val="83"/>
        <w:ind w:right="46" w:rightChars="22"/>
        <w:rPr>
          <w:rFonts w:ascii="Times New Roman" w:hAnsi="Times New Roman"/>
          <w:kern w:val="2"/>
          <w:szCs w:val="24"/>
        </w:rPr>
      </w:pPr>
    </w:p>
    <w:p>
      <w:pPr>
        <w:pStyle w:val="83"/>
        <w:ind w:right="46" w:rightChars="22"/>
        <w:rPr>
          <w:rFonts w:ascii="Times New Roman" w:hAnsi="Times New Roman"/>
          <w:kern w:val="2"/>
          <w:szCs w:val="24"/>
        </w:rPr>
      </w:pPr>
    </w:p>
    <w:p>
      <w:pPr>
        <w:pStyle w:val="83"/>
        <w:ind w:right="46" w:rightChars="22"/>
        <w:rPr>
          <w:rFonts w:ascii="Times New Roman" w:hAnsi="Times New Roman"/>
          <w:kern w:val="2"/>
          <w:szCs w:val="24"/>
        </w:rPr>
      </w:pPr>
    </w:p>
    <w:p>
      <w:pPr>
        <w:pStyle w:val="83"/>
        <w:ind w:right="46" w:rightChars="22"/>
        <w:rPr>
          <w:rFonts w:ascii="Times New Roman" w:hAnsi="Times New Roman"/>
          <w:kern w:val="2"/>
          <w:szCs w:val="24"/>
        </w:rPr>
      </w:pPr>
    </w:p>
    <w:p>
      <w:pPr>
        <w:pStyle w:val="83"/>
        <w:ind w:right="46" w:rightChars="22"/>
        <w:rPr>
          <w:rFonts w:ascii="Times New Roman" w:hAnsi="Times New Roman"/>
          <w:kern w:val="2"/>
          <w:szCs w:val="24"/>
        </w:rPr>
      </w:pPr>
    </w:p>
    <w:p>
      <w:pPr>
        <w:pStyle w:val="83"/>
        <w:ind w:right="46" w:rightChars="22"/>
        <w:rPr>
          <w:rFonts w:ascii="Times New Roman" w:hAnsi="Times New Roman"/>
          <w:kern w:val="2"/>
          <w:szCs w:val="24"/>
        </w:rPr>
      </w:pPr>
    </w:p>
    <w:p>
      <w:pPr>
        <w:pStyle w:val="83"/>
        <w:ind w:right="46" w:rightChars="22"/>
        <w:rPr>
          <w:rFonts w:ascii="Times New Roman" w:hAnsi="Times New Roman"/>
          <w:kern w:val="2"/>
          <w:szCs w:val="24"/>
        </w:rPr>
      </w:pPr>
    </w:p>
    <w:p>
      <w:pPr>
        <w:pStyle w:val="83"/>
        <w:ind w:right="46" w:rightChars="22"/>
        <w:rPr>
          <w:rFonts w:ascii="Times New Roman" w:hAnsi="Times New Roman"/>
          <w:kern w:val="2"/>
          <w:szCs w:val="24"/>
        </w:rPr>
      </w:pPr>
    </w:p>
    <w:p>
      <w:pPr>
        <w:pStyle w:val="83"/>
        <w:ind w:right="46" w:rightChars="22"/>
        <w:rPr>
          <w:rFonts w:ascii="Times New Roman" w:hAnsi="Times New Roman"/>
          <w:kern w:val="2"/>
          <w:szCs w:val="24"/>
        </w:rPr>
      </w:pPr>
    </w:p>
    <w:p>
      <w:pPr>
        <w:pStyle w:val="2"/>
        <w:spacing w:before="120" w:after="120" w:line="360" w:lineRule="auto"/>
        <w:ind w:left="431" w:hanging="431"/>
        <w:rPr>
          <w:rFonts w:ascii="Times New Roman" w:eastAsia="宋体"/>
          <w:b/>
          <w:sz w:val="48"/>
          <w:szCs w:val="48"/>
        </w:rPr>
      </w:pPr>
      <w:bookmarkStart w:id="107" w:name="_Toc470011315"/>
      <w:r>
        <w:rPr>
          <w:rFonts w:hint="eastAsia" w:ascii="Times New Roman" w:eastAsia="宋体"/>
          <w:b/>
          <w:sz w:val="48"/>
          <w:szCs w:val="48"/>
        </w:rPr>
        <w:t>第三章</w:t>
      </w:r>
      <w:r>
        <w:rPr>
          <w:rFonts w:ascii="Times New Roman" w:eastAsia="宋体"/>
          <w:b/>
          <w:sz w:val="48"/>
          <w:szCs w:val="48"/>
        </w:rPr>
        <w:tab/>
      </w:r>
      <w:r>
        <w:rPr>
          <w:rFonts w:hint="eastAsia" w:ascii="Times New Roman" w:eastAsia="宋体"/>
          <w:b/>
          <w:sz w:val="48"/>
          <w:szCs w:val="48"/>
        </w:rPr>
        <w:t>评标办法</w:t>
      </w:r>
      <w:bookmarkEnd w:id="107"/>
    </w:p>
    <w:p>
      <w:pPr>
        <w:jc w:val="center"/>
        <w:rPr>
          <w:sz w:val="24"/>
        </w:rPr>
      </w:pPr>
    </w:p>
    <w:p>
      <w:pPr>
        <w:jc w:val="center"/>
        <w:rPr>
          <w:sz w:val="24"/>
        </w:rPr>
      </w:pPr>
    </w:p>
    <w:p>
      <w:pPr>
        <w:tabs>
          <w:tab w:val="left" w:pos="912"/>
          <w:tab w:val="left" w:pos="2456"/>
        </w:tabs>
        <w:snapToGrid w:val="0"/>
        <w:spacing w:after="84" w:afterLines="35" w:line="400" w:lineRule="exact"/>
        <w:ind w:left="924" w:hanging="924" w:hangingChars="385"/>
        <w:rPr>
          <w:sz w:val="24"/>
        </w:rPr>
        <w:sectPr>
          <w:pgSz w:w="11907" w:h="16840"/>
          <w:pgMar w:top="1418" w:right="1644" w:bottom="1361" w:left="1644" w:header="510" w:footer="794" w:gutter="0"/>
          <w:cols w:space="425" w:num="1"/>
          <w:docGrid w:linePitch="312" w:charSpace="0"/>
        </w:sectPr>
      </w:pPr>
    </w:p>
    <w:p>
      <w:pPr>
        <w:tabs>
          <w:tab w:val="left" w:pos="912"/>
          <w:tab w:val="left" w:pos="2456"/>
        </w:tabs>
        <w:snapToGrid w:val="0"/>
        <w:spacing w:after="84" w:afterLines="35" w:line="400" w:lineRule="exact"/>
        <w:ind w:left="-2" w:firstLine="548" w:firstLineChars="182"/>
        <w:jc w:val="center"/>
        <w:rPr>
          <w:b/>
          <w:sz w:val="30"/>
          <w:szCs w:val="30"/>
        </w:rPr>
      </w:pPr>
      <w:bookmarkStart w:id="108" w:name="_Toc247566582"/>
      <w:bookmarkStart w:id="109" w:name="_Toc419547360"/>
      <w:bookmarkStart w:id="110" w:name="_Toc258414726"/>
      <w:bookmarkStart w:id="111" w:name="_Toc247388124"/>
      <w:r>
        <w:rPr>
          <w:rFonts w:hint="eastAsia"/>
          <w:b/>
          <w:sz w:val="30"/>
          <w:szCs w:val="30"/>
        </w:rPr>
        <w:t>第三章</w:t>
      </w:r>
      <w:r>
        <w:rPr>
          <w:b/>
          <w:sz w:val="30"/>
          <w:szCs w:val="30"/>
        </w:rPr>
        <w:t xml:space="preserve"> </w:t>
      </w:r>
      <w:r>
        <w:rPr>
          <w:rFonts w:hint="eastAsia"/>
          <w:b/>
          <w:sz w:val="30"/>
          <w:szCs w:val="30"/>
        </w:rPr>
        <w:t>评标办法</w:t>
      </w:r>
      <w:bookmarkEnd w:id="108"/>
      <w:bookmarkEnd w:id="109"/>
      <w:bookmarkEnd w:id="110"/>
    </w:p>
    <w:p>
      <w:pPr>
        <w:pStyle w:val="6"/>
        <w:tabs>
          <w:tab w:val="left" w:pos="690"/>
        </w:tabs>
        <w:spacing w:before="0" w:line="460" w:lineRule="atLeast"/>
        <w:ind w:firstLine="566" w:firstLineChars="235"/>
        <w:jc w:val="both"/>
        <w:rPr>
          <w:sz w:val="24"/>
          <w:szCs w:val="24"/>
        </w:rPr>
      </w:pPr>
      <w:bookmarkStart w:id="112" w:name="_Toc152042377"/>
      <w:bookmarkStart w:id="113" w:name="_Toc362252713"/>
      <w:bookmarkStart w:id="114" w:name="_Toc349730908"/>
      <w:bookmarkStart w:id="115" w:name="_Toc342296245"/>
      <w:bookmarkStart w:id="116" w:name="_Toc338944688"/>
      <w:bookmarkStart w:id="117" w:name="_Toc333600757"/>
      <w:bookmarkStart w:id="118" w:name="_Toc144974567"/>
      <w:bookmarkStart w:id="119" w:name="_Toc333599733"/>
      <w:bookmarkStart w:id="120" w:name="_Toc342294797"/>
      <w:bookmarkStart w:id="121" w:name="_Toc152045600"/>
      <w:bookmarkStart w:id="122" w:name="_Toc179632618"/>
      <w:r>
        <w:rPr>
          <w:sz w:val="24"/>
          <w:szCs w:val="24"/>
        </w:rPr>
        <w:t xml:space="preserve">1. </w:t>
      </w:r>
      <w:r>
        <w:rPr>
          <w:rFonts w:hint="eastAsia"/>
          <w:sz w:val="24"/>
          <w:szCs w:val="24"/>
        </w:rPr>
        <w:t>评标方法</w:t>
      </w:r>
      <w:bookmarkEnd w:id="112"/>
      <w:bookmarkEnd w:id="113"/>
      <w:bookmarkEnd w:id="114"/>
      <w:bookmarkEnd w:id="115"/>
      <w:bookmarkEnd w:id="116"/>
      <w:bookmarkEnd w:id="117"/>
      <w:bookmarkEnd w:id="118"/>
      <w:bookmarkEnd w:id="119"/>
      <w:bookmarkEnd w:id="120"/>
      <w:bookmarkEnd w:id="121"/>
      <w:bookmarkEnd w:id="122"/>
    </w:p>
    <w:p>
      <w:pPr>
        <w:tabs>
          <w:tab w:val="left" w:pos="912"/>
          <w:tab w:val="left" w:pos="2456"/>
        </w:tabs>
        <w:snapToGrid w:val="0"/>
        <w:spacing w:line="460" w:lineRule="atLeast"/>
        <w:ind w:firstLine="564" w:firstLineChars="235"/>
        <w:jc w:val="left"/>
        <w:rPr>
          <w:sz w:val="24"/>
        </w:rPr>
      </w:pPr>
      <w:r>
        <w:rPr>
          <w:rFonts w:hint="eastAsia"/>
          <w:sz w:val="24"/>
        </w:rPr>
        <w:t>本次评标采用综合评估法。评标委员会对满足招标文件实质性要求的投标文件，按照本章规定的评标办法进行评审和打分，并按得分由高到低顺序推荐中标候选人，或根据招标人授权直接确定中标人。综合评分相等时，以投标报价低的优先；投标报价也相等的，采取</w:t>
      </w:r>
      <w:r>
        <w:rPr>
          <w:sz w:val="24"/>
          <w:u w:val="single"/>
        </w:rPr>
        <w:t xml:space="preserve">                          </w:t>
      </w:r>
      <w:r>
        <w:rPr>
          <w:rFonts w:hint="eastAsia"/>
          <w:sz w:val="24"/>
        </w:rPr>
        <w:t>标准确定先后顺序。</w:t>
      </w:r>
    </w:p>
    <w:p>
      <w:pPr>
        <w:pStyle w:val="6"/>
        <w:tabs>
          <w:tab w:val="left" w:pos="690"/>
        </w:tabs>
        <w:spacing w:before="0" w:line="460" w:lineRule="atLeast"/>
        <w:ind w:firstLine="566" w:firstLineChars="235"/>
        <w:jc w:val="both"/>
        <w:rPr>
          <w:sz w:val="24"/>
          <w:szCs w:val="24"/>
        </w:rPr>
      </w:pPr>
      <w:r>
        <w:rPr>
          <w:sz w:val="24"/>
          <w:szCs w:val="24"/>
        </w:rPr>
        <w:t xml:space="preserve">2. </w:t>
      </w:r>
      <w:r>
        <w:rPr>
          <w:rFonts w:hint="eastAsia"/>
          <w:sz w:val="24"/>
          <w:szCs w:val="24"/>
        </w:rPr>
        <w:t>评审标准</w:t>
      </w:r>
    </w:p>
    <w:p>
      <w:pPr>
        <w:pStyle w:val="6"/>
        <w:tabs>
          <w:tab w:val="left" w:pos="690"/>
        </w:tabs>
        <w:spacing w:before="0" w:line="460" w:lineRule="atLeast"/>
        <w:ind w:firstLine="566" w:firstLineChars="235"/>
        <w:jc w:val="both"/>
        <w:rPr>
          <w:sz w:val="24"/>
          <w:szCs w:val="24"/>
        </w:rPr>
      </w:pPr>
      <w:bookmarkStart w:id="123" w:name="_Toc144974569"/>
      <w:bookmarkStart w:id="124" w:name="_Toc338944690"/>
      <w:bookmarkStart w:id="125" w:name="_Toc152045602"/>
      <w:bookmarkStart w:id="126" w:name="_Toc179632620"/>
      <w:bookmarkStart w:id="127" w:name="_Toc349730910"/>
      <w:bookmarkStart w:id="128" w:name="_Toc342296247"/>
      <w:bookmarkStart w:id="129" w:name="_Toc362252715"/>
      <w:bookmarkStart w:id="130" w:name="_Toc333600759"/>
      <w:bookmarkStart w:id="131" w:name="_Toc152042379"/>
      <w:bookmarkStart w:id="132" w:name="_Toc333599735"/>
      <w:bookmarkStart w:id="133" w:name="_Toc342294799"/>
      <w:r>
        <w:rPr>
          <w:sz w:val="24"/>
          <w:szCs w:val="24"/>
        </w:rPr>
        <w:t xml:space="preserve">2.1 </w:t>
      </w:r>
      <w:r>
        <w:rPr>
          <w:rFonts w:hint="eastAsia"/>
          <w:sz w:val="24"/>
          <w:szCs w:val="24"/>
        </w:rPr>
        <w:t>初步评审标准</w:t>
      </w:r>
      <w:bookmarkEnd w:id="123"/>
      <w:bookmarkEnd w:id="124"/>
      <w:bookmarkEnd w:id="125"/>
      <w:bookmarkEnd w:id="126"/>
      <w:bookmarkEnd w:id="127"/>
      <w:bookmarkEnd w:id="128"/>
      <w:bookmarkEnd w:id="129"/>
      <w:bookmarkEnd w:id="130"/>
      <w:bookmarkEnd w:id="131"/>
      <w:bookmarkEnd w:id="132"/>
      <w:bookmarkEnd w:id="133"/>
    </w:p>
    <w:p>
      <w:pPr>
        <w:tabs>
          <w:tab w:val="left" w:pos="912"/>
          <w:tab w:val="left" w:pos="2456"/>
        </w:tabs>
        <w:snapToGrid w:val="0"/>
        <w:spacing w:line="460" w:lineRule="atLeast"/>
        <w:ind w:firstLine="564" w:firstLineChars="235"/>
        <w:rPr>
          <w:sz w:val="24"/>
        </w:rPr>
      </w:pPr>
      <w:r>
        <w:rPr>
          <w:sz w:val="24"/>
        </w:rPr>
        <w:t xml:space="preserve">2.1.1 </w:t>
      </w:r>
      <w:r>
        <w:rPr>
          <w:rFonts w:hint="eastAsia"/>
          <w:sz w:val="24"/>
        </w:rPr>
        <w:t>形式评审标准：见评标办法附表</w:t>
      </w:r>
      <w:r>
        <w:rPr>
          <w:sz w:val="24"/>
        </w:rPr>
        <w:t>3</w:t>
      </w:r>
      <w:r>
        <w:rPr>
          <w:rFonts w:hint="eastAsia"/>
          <w:sz w:val="24"/>
        </w:rPr>
        <w:t>；</w:t>
      </w:r>
    </w:p>
    <w:p>
      <w:pPr>
        <w:tabs>
          <w:tab w:val="left" w:pos="912"/>
          <w:tab w:val="left" w:pos="2456"/>
        </w:tabs>
        <w:snapToGrid w:val="0"/>
        <w:spacing w:line="460" w:lineRule="atLeast"/>
        <w:ind w:firstLine="564" w:firstLineChars="235"/>
        <w:rPr>
          <w:sz w:val="24"/>
        </w:rPr>
      </w:pPr>
      <w:r>
        <w:rPr>
          <w:sz w:val="24"/>
        </w:rPr>
        <w:t xml:space="preserve">2.1.2 </w:t>
      </w:r>
      <w:r>
        <w:rPr>
          <w:rFonts w:hint="eastAsia"/>
          <w:sz w:val="24"/>
        </w:rPr>
        <w:t>资格审查标准；见评标办法附表</w:t>
      </w:r>
      <w:r>
        <w:rPr>
          <w:sz w:val="24"/>
        </w:rPr>
        <w:t>4</w:t>
      </w:r>
      <w:r>
        <w:rPr>
          <w:rFonts w:hint="eastAsia"/>
          <w:sz w:val="24"/>
        </w:rPr>
        <w:t>；</w:t>
      </w:r>
    </w:p>
    <w:p>
      <w:pPr>
        <w:tabs>
          <w:tab w:val="left" w:pos="912"/>
          <w:tab w:val="left" w:pos="2456"/>
        </w:tabs>
        <w:snapToGrid w:val="0"/>
        <w:spacing w:line="460" w:lineRule="atLeast"/>
        <w:ind w:firstLine="564" w:firstLineChars="235"/>
        <w:rPr>
          <w:sz w:val="24"/>
        </w:rPr>
      </w:pPr>
      <w:r>
        <w:rPr>
          <w:sz w:val="24"/>
        </w:rPr>
        <w:t xml:space="preserve">2.1.3 </w:t>
      </w:r>
      <w:r>
        <w:rPr>
          <w:rFonts w:hint="eastAsia"/>
          <w:sz w:val="24"/>
        </w:rPr>
        <w:t>响应性评审标准：见评标办法附表</w:t>
      </w:r>
      <w:r>
        <w:rPr>
          <w:sz w:val="24"/>
        </w:rPr>
        <w:t>5</w:t>
      </w:r>
      <w:r>
        <w:rPr>
          <w:rFonts w:hint="eastAsia"/>
          <w:sz w:val="24"/>
        </w:rPr>
        <w:t>；</w:t>
      </w:r>
    </w:p>
    <w:p>
      <w:pPr>
        <w:pStyle w:val="6"/>
        <w:tabs>
          <w:tab w:val="left" w:pos="690"/>
        </w:tabs>
        <w:spacing w:before="0" w:line="460" w:lineRule="atLeast"/>
        <w:ind w:firstLine="566" w:firstLineChars="235"/>
        <w:jc w:val="both"/>
        <w:rPr>
          <w:sz w:val="24"/>
          <w:szCs w:val="24"/>
        </w:rPr>
      </w:pPr>
      <w:bookmarkStart w:id="134" w:name="_Toc342294800"/>
      <w:bookmarkStart w:id="135" w:name="_Toc349730911"/>
      <w:bookmarkStart w:id="136" w:name="_Toc333599736"/>
      <w:bookmarkStart w:id="137" w:name="_Toc152042380"/>
      <w:bookmarkStart w:id="138" w:name="_Toc362252716"/>
      <w:bookmarkStart w:id="139" w:name="_Toc338944691"/>
      <w:bookmarkStart w:id="140" w:name="_Toc342296248"/>
      <w:bookmarkStart w:id="141" w:name="_Toc333600760"/>
      <w:bookmarkStart w:id="142" w:name="_Toc152045603"/>
      <w:bookmarkStart w:id="143" w:name="_Toc144974570"/>
      <w:bookmarkStart w:id="144" w:name="_Toc179632621"/>
      <w:r>
        <w:rPr>
          <w:sz w:val="24"/>
          <w:szCs w:val="24"/>
        </w:rPr>
        <w:t xml:space="preserve">2.2 </w:t>
      </w:r>
      <w:r>
        <w:rPr>
          <w:rFonts w:hint="eastAsia"/>
          <w:sz w:val="24"/>
          <w:szCs w:val="24"/>
        </w:rPr>
        <w:t>详细评审的分值构成与评分标准</w:t>
      </w:r>
      <w:bookmarkEnd w:id="134"/>
      <w:bookmarkEnd w:id="135"/>
      <w:bookmarkEnd w:id="136"/>
      <w:bookmarkEnd w:id="137"/>
      <w:bookmarkEnd w:id="138"/>
      <w:bookmarkEnd w:id="139"/>
      <w:bookmarkEnd w:id="140"/>
      <w:bookmarkEnd w:id="141"/>
      <w:bookmarkEnd w:id="142"/>
      <w:bookmarkEnd w:id="143"/>
      <w:bookmarkEnd w:id="144"/>
    </w:p>
    <w:p>
      <w:pPr>
        <w:tabs>
          <w:tab w:val="left" w:pos="912"/>
          <w:tab w:val="left" w:pos="2456"/>
        </w:tabs>
        <w:snapToGrid w:val="0"/>
        <w:spacing w:line="460" w:lineRule="atLeast"/>
        <w:ind w:firstLine="564" w:firstLineChars="235"/>
        <w:rPr>
          <w:sz w:val="24"/>
        </w:rPr>
      </w:pPr>
      <w:r>
        <w:rPr>
          <w:sz w:val="24"/>
        </w:rPr>
        <w:t xml:space="preserve">2.2.1 </w:t>
      </w:r>
      <w:r>
        <w:rPr>
          <w:rFonts w:hint="eastAsia"/>
          <w:sz w:val="24"/>
        </w:rPr>
        <w:t>分值构成</w:t>
      </w:r>
    </w:p>
    <w:p>
      <w:pPr>
        <w:tabs>
          <w:tab w:val="left" w:pos="912"/>
          <w:tab w:val="left" w:pos="2456"/>
        </w:tabs>
        <w:snapToGrid w:val="0"/>
        <w:spacing w:line="460" w:lineRule="atLeast"/>
        <w:ind w:firstLine="564" w:firstLineChars="235"/>
        <w:rPr>
          <w:sz w:val="24"/>
        </w:rPr>
      </w:pPr>
      <w:r>
        <w:rPr>
          <w:rFonts w:hint="eastAsia"/>
          <w:sz w:val="24"/>
        </w:rPr>
        <w:t>（</w:t>
      </w:r>
      <w:r>
        <w:rPr>
          <w:sz w:val="24"/>
        </w:rPr>
        <w:t>1</w:t>
      </w:r>
      <w:r>
        <w:rPr>
          <w:rFonts w:hint="eastAsia"/>
          <w:sz w:val="24"/>
        </w:rPr>
        <w:t>）施工组织设计评分：见投标人须知前附表；</w:t>
      </w:r>
    </w:p>
    <w:p>
      <w:pPr>
        <w:tabs>
          <w:tab w:val="left" w:pos="912"/>
          <w:tab w:val="left" w:pos="2456"/>
        </w:tabs>
        <w:snapToGrid w:val="0"/>
        <w:spacing w:line="460" w:lineRule="atLeast"/>
        <w:ind w:firstLine="564" w:firstLineChars="235"/>
        <w:rPr>
          <w:sz w:val="24"/>
        </w:rPr>
      </w:pPr>
      <w:r>
        <w:rPr>
          <w:rFonts w:hint="eastAsia"/>
          <w:sz w:val="24"/>
        </w:rPr>
        <w:t>（</w:t>
      </w:r>
      <w:r>
        <w:rPr>
          <w:sz w:val="24"/>
        </w:rPr>
        <w:t>2</w:t>
      </w:r>
      <w:r>
        <w:rPr>
          <w:rFonts w:hint="eastAsia"/>
          <w:sz w:val="24"/>
        </w:rPr>
        <w:t>）企业实力和管理机构评审评分：见投标人须知前附表；</w:t>
      </w:r>
    </w:p>
    <w:p>
      <w:pPr>
        <w:tabs>
          <w:tab w:val="left" w:pos="912"/>
          <w:tab w:val="left" w:pos="2456"/>
        </w:tabs>
        <w:snapToGrid w:val="0"/>
        <w:spacing w:line="460" w:lineRule="atLeast"/>
        <w:ind w:firstLine="564" w:firstLineChars="235"/>
        <w:rPr>
          <w:sz w:val="24"/>
        </w:rPr>
      </w:pPr>
      <w:r>
        <w:rPr>
          <w:rFonts w:hint="eastAsia"/>
          <w:sz w:val="24"/>
        </w:rPr>
        <w:t>（</w:t>
      </w:r>
      <w:r>
        <w:rPr>
          <w:sz w:val="24"/>
        </w:rPr>
        <w:t>3</w:t>
      </w:r>
      <w:r>
        <w:rPr>
          <w:rFonts w:hint="eastAsia"/>
          <w:sz w:val="24"/>
        </w:rPr>
        <w:t>）信誉评分：见投标人须知前附表；</w:t>
      </w:r>
    </w:p>
    <w:p>
      <w:pPr>
        <w:tabs>
          <w:tab w:val="left" w:pos="912"/>
          <w:tab w:val="left" w:pos="2456"/>
        </w:tabs>
        <w:snapToGrid w:val="0"/>
        <w:spacing w:line="460" w:lineRule="atLeast"/>
        <w:ind w:firstLine="564" w:firstLineChars="235"/>
        <w:rPr>
          <w:sz w:val="24"/>
        </w:rPr>
      </w:pPr>
      <w:r>
        <w:rPr>
          <w:rFonts w:hint="eastAsia"/>
          <w:sz w:val="24"/>
        </w:rPr>
        <w:t>（</w:t>
      </w:r>
      <w:r>
        <w:rPr>
          <w:sz w:val="24"/>
        </w:rPr>
        <w:t>4</w:t>
      </w:r>
      <w:r>
        <w:rPr>
          <w:rFonts w:hint="eastAsia"/>
          <w:sz w:val="24"/>
        </w:rPr>
        <w:t>）其他评分因素评分：见投标人须知前附表；</w:t>
      </w:r>
    </w:p>
    <w:p>
      <w:pPr>
        <w:tabs>
          <w:tab w:val="left" w:pos="912"/>
          <w:tab w:val="left" w:pos="2456"/>
        </w:tabs>
        <w:snapToGrid w:val="0"/>
        <w:spacing w:line="460" w:lineRule="atLeast"/>
        <w:ind w:firstLine="564" w:firstLineChars="235"/>
        <w:rPr>
          <w:sz w:val="24"/>
        </w:rPr>
      </w:pPr>
      <w:r>
        <w:rPr>
          <w:rFonts w:hint="eastAsia"/>
          <w:sz w:val="24"/>
        </w:rPr>
        <w:t>（</w:t>
      </w:r>
      <w:r>
        <w:rPr>
          <w:sz w:val="24"/>
        </w:rPr>
        <w:t>5</w:t>
      </w:r>
      <w:r>
        <w:rPr>
          <w:rFonts w:hint="eastAsia"/>
          <w:sz w:val="24"/>
        </w:rPr>
        <w:t>）投标报价评分：见投标人须知前附表；</w:t>
      </w:r>
    </w:p>
    <w:p>
      <w:pPr>
        <w:tabs>
          <w:tab w:val="left" w:pos="912"/>
          <w:tab w:val="left" w:pos="2456"/>
        </w:tabs>
        <w:snapToGrid w:val="0"/>
        <w:spacing w:line="460" w:lineRule="atLeast"/>
        <w:ind w:firstLine="564" w:firstLineChars="235"/>
        <w:rPr>
          <w:sz w:val="24"/>
        </w:rPr>
      </w:pPr>
      <w:r>
        <w:rPr>
          <w:sz w:val="24"/>
        </w:rPr>
        <w:t xml:space="preserve">2.2.2 </w:t>
      </w:r>
      <w:r>
        <w:rPr>
          <w:rFonts w:hint="eastAsia"/>
          <w:sz w:val="24"/>
        </w:rPr>
        <w:t>评分标准</w:t>
      </w:r>
    </w:p>
    <w:p>
      <w:pPr>
        <w:tabs>
          <w:tab w:val="left" w:pos="912"/>
          <w:tab w:val="left" w:pos="2456"/>
        </w:tabs>
        <w:snapToGrid w:val="0"/>
        <w:spacing w:line="460" w:lineRule="atLeast"/>
        <w:ind w:firstLine="564" w:firstLineChars="235"/>
        <w:rPr>
          <w:sz w:val="24"/>
        </w:rPr>
      </w:pPr>
      <w:r>
        <w:rPr>
          <w:rFonts w:hint="eastAsia"/>
          <w:sz w:val="24"/>
        </w:rPr>
        <w:t>（</w:t>
      </w:r>
      <w:r>
        <w:rPr>
          <w:sz w:val="24"/>
        </w:rPr>
        <w:t>1</w:t>
      </w:r>
      <w:r>
        <w:rPr>
          <w:rFonts w:hint="eastAsia"/>
          <w:sz w:val="24"/>
        </w:rPr>
        <w:t>）施工组织设计评分标准：见评标办法附表</w:t>
      </w:r>
      <w:r>
        <w:rPr>
          <w:sz w:val="24"/>
        </w:rPr>
        <w:t>7</w:t>
      </w:r>
      <w:r>
        <w:rPr>
          <w:rFonts w:hint="eastAsia"/>
          <w:sz w:val="24"/>
        </w:rPr>
        <w:t>；</w:t>
      </w:r>
    </w:p>
    <w:p>
      <w:pPr>
        <w:tabs>
          <w:tab w:val="left" w:pos="912"/>
          <w:tab w:val="left" w:pos="2456"/>
        </w:tabs>
        <w:snapToGrid w:val="0"/>
        <w:spacing w:line="460" w:lineRule="atLeast"/>
        <w:ind w:firstLine="564" w:firstLineChars="235"/>
        <w:rPr>
          <w:sz w:val="24"/>
        </w:rPr>
      </w:pPr>
      <w:r>
        <w:rPr>
          <w:rFonts w:hint="eastAsia"/>
          <w:sz w:val="24"/>
        </w:rPr>
        <w:t>（</w:t>
      </w:r>
      <w:r>
        <w:rPr>
          <w:sz w:val="24"/>
        </w:rPr>
        <w:t>2</w:t>
      </w:r>
      <w:r>
        <w:rPr>
          <w:rFonts w:hint="eastAsia"/>
          <w:sz w:val="24"/>
        </w:rPr>
        <w:t>）企业实力和管理机构评分标准：见评标办法附表</w:t>
      </w:r>
      <w:r>
        <w:rPr>
          <w:sz w:val="24"/>
        </w:rPr>
        <w:t>10</w:t>
      </w:r>
      <w:r>
        <w:rPr>
          <w:rFonts w:hint="eastAsia"/>
          <w:sz w:val="24"/>
        </w:rPr>
        <w:t>；</w:t>
      </w:r>
    </w:p>
    <w:p>
      <w:pPr>
        <w:tabs>
          <w:tab w:val="left" w:pos="912"/>
          <w:tab w:val="left" w:pos="2456"/>
        </w:tabs>
        <w:snapToGrid w:val="0"/>
        <w:spacing w:line="460" w:lineRule="atLeast"/>
        <w:ind w:firstLine="564" w:firstLineChars="235"/>
        <w:rPr>
          <w:sz w:val="24"/>
        </w:rPr>
      </w:pPr>
      <w:r>
        <w:rPr>
          <w:rFonts w:hint="eastAsia"/>
          <w:sz w:val="24"/>
        </w:rPr>
        <w:t>（</w:t>
      </w:r>
      <w:r>
        <w:rPr>
          <w:sz w:val="24"/>
        </w:rPr>
        <w:t>3</w:t>
      </w:r>
      <w:r>
        <w:rPr>
          <w:rFonts w:hint="eastAsia"/>
          <w:sz w:val="24"/>
        </w:rPr>
        <w:t>）信誉评分标准：见评标办法附表</w:t>
      </w:r>
      <w:r>
        <w:rPr>
          <w:sz w:val="24"/>
        </w:rPr>
        <w:t xml:space="preserve"> 1</w:t>
      </w:r>
      <w:r>
        <w:rPr>
          <w:rFonts w:hint="eastAsia"/>
          <w:sz w:val="24"/>
        </w:rPr>
        <w:t>1；</w:t>
      </w:r>
    </w:p>
    <w:p>
      <w:pPr>
        <w:tabs>
          <w:tab w:val="left" w:pos="912"/>
          <w:tab w:val="left" w:pos="2456"/>
        </w:tabs>
        <w:snapToGrid w:val="0"/>
        <w:spacing w:line="460" w:lineRule="atLeast"/>
        <w:ind w:firstLine="564" w:firstLineChars="235"/>
        <w:rPr>
          <w:sz w:val="24"/>
        </w:rPr>
      </w:pPr>
      <w:r>
        <w:rPr>
          <w:rFonts w:hint="eastAsia"/>
          <w:sz w:val="24"/>
        </w:rPr>
        <w:t>（</w:t>
      </w:r>
      <w:r>
        <w:rPr>
          <w:sz w:val="24"/>
        </w:rPr>
        <w:t>4</w:t>
      </w:r>
      <w:r>
        <w:rPr>
          <w:rFonts w:hint="eastAsia"/>
          <w:sz w:val="24"/>
        </w:rPr>
        <w:t>）其他评分因素评分标准：见评标办法附表</w:t>
      </w:r>
      <w:r>
        <w:rPr>
          <w:sz w:val="24"/>
        </w:rPr>
        <w:t xml:space="preserve"> 1</w:t>
      </w:r>
      <w:r>
        <w:rPr>
          <w:rFonts w:hint="eastAsia"/>
          <w:sz w:val="24"/>
        </w:rPr>
        <w:t>2；</w:t>
      </w:r>
    </w:p>
    <w:p>
      <w:pPr>
        <w:tabs>
          <w:tab w:val="left" w:pos="912"/>
          <w:tab w:val="left" w:pos="2456"/>
        </w:tabs>
        <w:snapToGrid w:val="0"/>
        <w:spacing w:line="460" w:lineRule="atLeast"/>
        <w:ind w:firstLine="564" w:firstLineChars="235"/>
        <w:rPr>
          <w:sz w:val="24"/>
        </w:rPr>
      </w:pPr>
      <w:r>
        <w:rPr>
          <w:rFonts w:hint="eastAsia"/>
          <w:sz w:val="24"/>
        </w:rPr>
        <w:t>（</w:t>
      </w:r>
      <w:r>
        <w:rPr>
          <w:sz w:val="24"/>
        </w:rPr>
        <w:t>5</w:t>
      </w:r>
      <w:r>
        <w:rPr>
          <w:rFonts w:hint="eastAsia"/>
          <w:sz w:val="24"/>
        </w:rPr>
        <w:t>）投标报价评分标准：见评标办法附表</w:t>
      </w:r>
      <w:r>
        <w:rPr>
          <w:sz w:val="24"/>
        </w:rPr>
        <w:t>1</w:t>
      </w:r>
      <w:r>
        <w:rPr>
          <w:rFonts w:hint="eastAsia"/>
          <w:sz w:val="24"/>
        </w:rPr>
        <w:t>3</w:t>
      </w:r>
      <w:r>
        <w:rPr>
          <w:sz w:val="24"/>
        </w:rPr>
        <w:t>-1</w:t>
      </w:r>
      <w:r>
        <w:rPr>
          <w:rFonts w:hint="eastAsia"/>
          <w:sz w:val="24"/>
        </w:rPr>
        <w:t>、</w:t>
      </w:r>
      <w:r>
        <w:rPr>
          <w:sz w:val="24"/>
        </w:rPr>
        <w:t>1</w:t>
      </w:r>
      <w:r>
        <w:rPr>
          <w:rFonts w:hint="eastAsia"/>
          <w:sz w:val="24"/>
        </w:rPr>
        <w:t>3</w:t>
      </w:r>
      <w:r>
        <w:rPr>
          <w:sz w:val="24"/>
        </w:rPr>
        <w:t>-2</w:t>
      </w:r>
      <w:r>
        <w:rPr>
          <w:rFonts w:hint="eastAsia"/>
          <w:sz w:val="24"/>
        </w:rPr>
        <w:t>；</w:t>
      </w:r>
    </w:p>
    <w:p>
      <w:pPr>
        <w:pStyle w:val="6"/>
        <w:spacing w:before="0" w:line="460" w:lineRule="atLeast"/>
        <w:ind w:firstLine="566" w:firstLineChars="235"/>
        <w:jc w:val="both"/>
        <w:rPr>
          <w:sz w:val="24"/>
          <w:szCs w:val="24"/>
        </w:rPr>
      </w:pPr>
      <w:bookmarkStart w:id="145" w:name="_Toc144974571"/>
      <w:bookmarkStart w:id="146" w:name="_Toc349730912"/>
      <w:bookmarkStart w:id="147" w:name="_Toc333600761"/>
      <w:bookmarkStart w:id="148" w:name="_Toc342294801"/>
      <w:bookmarkStart w:id="149" w:name="_Toc152045604"/>
      <w:bookmarkStart w:id="150" w:name="_Toc362252717"/>
      <w:bookmarkStart w:id="151" w:name="_Toc338944692"/>
      <w:bookmarkStart w:id="152" w:name="_Toc179632622"/>
      <w:bookmarkStart w:id="153" w:name="_Toc333599737"/>
      <w:bookmarkStart w:id="154" w:name="_Toc152042381"/>
      <w:bookmarkStart w:id="155" w:name="_Toc342296249"/>
      <w:r>
        <w:rPr>
          <w:sz w:val="24"/>
          <w:szCs w:val="24"/>
        </w:rPr>
        <w:t xml:space="preserve">3. </w:t>
      </w:r>
      <w:r>
        <w:rPr>
          <w:rFonts w:hint="eastAsia"/>
          <w:sz w:val="24"/>
          <w:szCs w:val="24"/>
        </w:rPr>
        <w:t>评标程序</w:t>
      </w:r>
    </w:p>
    <w:p>
      <w:pPr>
        <w:tabs>
          <w:tab w:val="left" w:pos="2456"/>
        </w:tabs>
        <w:snapToGrid w:val="0"/>
        <w:spacing w:line="460" w:lineRule="atLeast"/>
        <w:ind w:firstLine="564" w:firstLineChars="235"/>
        <w:rPr>
          <w:sz w:val="24"/>
        </w:rPr>
      </w:pPr>
      <w:r>
        <w:rPr>
          <w:rFonts w:hint="eastAsia"/>
          <w:sz w:val="24"/>
        </w:rPr>
        <w:t>评标委员会按照以下程序进行评标：</w:t>
      </w:r>
    </w:p>
    <w:p>
      <w:pPr>
        <w:tabs>
          <w:tab w:val="left" w:pos="912"/>
          <w:tab w:val="left" w:pos="2456"/>
        </w:tabs>
        <w:snapToGrid w:val="0"/>
        <w:spacing w:line="460" w:lineRule="atLeast"/>
        <w:ind w:firstLine="564" w:firstLineChars="235"/>
        <w:rPr>
          <w:sz w:val="24"/>
        </w:rPr>
      </w:pPr>
      <w:r>
        <w:rPr>
          <w:rFonts w:hint="eastAsia"/>
          <w:sz w:val="24"/>
        </w:rPr>
        <w:t>（</w:t>
      </w:r>
      <w:r>
        <w:rPr>
          <w:sz w:val="24"/>
        </w:rPr>
        <w:t>1</w:t>
      </w:r>
      <w:r>
        <w:rPr>
          <w:rFonts w:hint="eastAsia"/>
          <w:sz w:val="24"/>
        </w:rPr>
        <w:t>）评标准备；</w:t>
      </w:r>
    </w:p>
    <w:p>
      <w:pPr>
        <w:tabs>
          <w:tab w:val="left" w:pos="912"/>
          <w:tab w:val="left" w:pos="2456"/>
        </w:tabs>
        <w:snapToGrid w:val="0"/>
        <w:spacing w:line="460" w:lineRule="atLeast"/>
        <w:ind w:firstLine="564" w:firstLineChars="235"/>
        <w:rPr>
          <w:sz w:val="24"/>
        </w:rPr>
      </w:pPr>
      <w:r>
        <w:rPr>
          <w:rFonts w:hint="eastAsia"/>
          <w:sz w:val="24"/>
        </w:rPr>
        <w:t>（</w:t>
      </w:r>
      <w:r>
        <w:rPr>
          <w:sz w:val="24"/>
        </w:rPr>
        <w:t>2</w:t>
      </w:r>
      <w:r>
        <w:rPr>
          <w:rFonts w:hint="eastAsia"/>
          <w:sz w:val="24"/>
        </w:rPr>
        <w:t>）施工组织设计（暗标）评审和评分；</w:t>
      </w:r>
    </w:p>
    <w:p>
      <w:pPr>
        <w:tabs>
          <w:tab w:val="left" w:pos="912"/>
          <w:tab w:val="left" w:pos="2456"/>
        </w:tabs>
        <w:snapToGrid w:val="0"/>
        <w:spacing w:line="460" w:lineRule="atLeast"/>
        <w:ind w:firstLine="564" w:firstLineChars="235"/>
        <w:rPr>
          <w:sz w:val="24"/>
        </w:rPr>
      </w:pPr>
      <w:r>
        <w:rPr>
          <w:rFonts w:hint="eastAsia"/>
          <w:sz w:val="24"/>
        </w:rPr>
        <w:t>（</w:t>
      </w:r>
      <w:r>
        <w:rPr>
          <w:sz w:val="24"/>
        </w:rPr>
        <w:t>3</w:t>
      </w:r>
      <w:r>
        <w:rPr>
          <w:rFonts w:hint="eastAsia"/>
          <w:sz w:val="24"/>
        </w:rPr>
        <w:t>）形式评审；</w:t>
      </w:r>
    </w:p>
    <w:p>
      <w:pPr>
        <w:tabs>
          <w:tab w:val="left" w:pos="912"/>
          <w:tab w:val="left" w:pos="2456"/>
        </w:tabs>
        <w:snapToGrid w:val="0"/>
        <w:spacing w:line="460" w:lineRule="atLeast"/>
        <w:ind w:firstLine="564" w:firstLineChars="235"/>
        <w:rPr>
          <w:sz w:val="24"/>
        </w:rPr>
      </w:pPr>
      <w:r>
        <w:rPr>
          <w:rFonts w:hint="eastAsia"/>
          <w:sz w:val="24"/>
        </w:rPr>
        <w:t>（</w:t>
      </w:r>
      <w:r>
        <w:rPr>
          <w:sz w:val="24"/>
        </w:rPr>
        <w:t>4</w:t>
      </w:r>
      <w:r>
        <w:rPr>
          <w:rFonts w:hint="eastAsia"/>
          <w:sz w:val="24"/>
        </w:rPr>
        <w:t>）资格审查；</w:t>
      </w:r>
    </w:p>
    <w:p>
      <w:pPr>
        <w:tabs>
          <w:tab w:val="left" w:pos="912"/>
          <w:tab w:val="left" w:pos="2456"/>
        </w:tabs>
        <w:snapToGrid w:val="0"/>
        <w:spacing w:line="460" w:lineRule="atLeast"/>
        <w:ind w:firstLine="564" w:firstLineChars="235"/>
        <w:rPr>
          <w:sz w:val="24"/>
        </w:rPr>
      </w:pPr>
      <w:r>
        <w:rPr>
          <w:rFonts w:hint="eastAsia"/>
          <w:sz w:val="24"/>
        </w:rPr>
        <w:t>（</w:t>
      </w:r>
      <w:r>
        <w:rPr>
          <w:sz w:val="24"/>
        </w:rPr>
        <w:t>5</w:t>
      </w:r>
      <w:r>
        <w:rPr>
          <w:rFonts w:hint="eastAsia"/>
          <w:sz w:val="24"/>
        </w:rPr>
        <w:t>）响应性评审；</w:t>
      </w:r>
    </w:p>
    <w:p>
      <w:pPr>
        <w:tabs>
          <w:tab w:val="left" w:pos="912"/>
          <w:tab w:val="left" w:pos="2456"/>
        </w:tabs>
        <w:snapToGrid w:val="0"/>
        <w:spacing w:line="460" w:lineRule="atLeast"/>
        <w:ind w:firstLine="564" w:firstLineChars="235"/>
        <w:rPr>
          <w:sz w:val="24"/>
        </w:rPr>
      </w:pPr>
      <w:r>
        <w:rPr>
          <w:rFonts w:hint="eastAsia"/>
          <w:sz w:val="24"/>
        </w:rPr>
        <w:t>（</w:t>
      </w:r>
      <w:r>
        <w:rPr>
          <w:sz w:val="24"/>
        </w:rPr>
        <w:t>6</w:t>
      </w:r>
      <w:r>
        <w:rPr>
          <w:rFonts w:hint="eastAsia"/>
          <w:sz w:val="24"/>
        </w:rPr>
        <w:t>）企业实力和管理机构评审和评分；</w:t>
      </w:r>
    </w:p>
    <w:p>
      <w:pPr>
        <w:tabs>
          <w:tab w:val="left" w:pos="912"/>
          <w:tab w:val="left" w:pos="2456"/>
        </w:tabs>
        <w:snapToGrid w:val="0"/>
        <w:spacing w:line="460" w:lineRule="atLeast"/>
        <w:ind w:firstLine="564" w:firstLineChars="235"/>
        <w:rPr>
          <w:sz w:val="24"/>
        </w:rPr>
      </w:pPr>
      <w:r>
        <w:rPr>
          <w:rFonts w:hint="eastAsia"/>
          <w:sz w:val="24"/>
        </w:rPr>
        <w:t>（</w:t>
      </w:r>
      <w:r>
        <w:rPr>
          <w:sz w:val="24"/>
        </w:rPr>
        <w:t>7</w:t>
      </w:r>
      <w:r>
        <w:rPr>
          <w:rFonts w:hint="eastAsia"/>
          <w:sz w:val="24"/>
        </w:rPr>
        <w:t>）信誉评审；</w:t>
      </w:r>
    </w:p>
    <w:p>
      <w:pPr>
        <w:tabs>
          <w:tab w:val="left" w:pos="912"/>
          <w:tab w:val="left" w:pos="2456"/>
        </w:tabs>
        <w:snapToGrid w:val="0"/>
        <w:spacing w:line="460" w:lineRule="atLeast"/>
        <w:ind w:firstLine="564" w:firstLineChars="235"/>
        <w:rPr>
          <w:sz w:val="24"/>
        </w:rPr>
      </w:pPr>
      <w:r>
        <w:rPr>
          <w:rFonts w:hint="eastAsia"/>
          <w:sz w:val="24"/>
        </w:rPr>
        <w:t>（</w:t>
      </w:r>
      <w:r>
        <w:rPr>
          <w:sz w:val="24"/>
        </w:rPr>
        <w:t>8</w:t>
      </w:r>
      <w:r>
        <w:rPr>
          <w:rFonts w:hint="eastAsia"/>
          <w:sz w:val="24"/>
        </w:rPr>
        <w:t>）其他因素评审；</w:t>
      </w:r>
    </w:p>
    <w:p>
      <w:pPr>
        <w:tabs>
          <w:tab w:val="left" w:pos="912"/>
          <w:tab w:val="left" w:pos="2456"/>
        </w:tabs>
        <w:snapToGrid w:val="0"/>
        <w:spacing w:line="460" w:lineRule="atLeast"/>
        <w:ind w:firstLine="564" w:firstLineChars="235"/>
        <w:rPr>
          <w:sz w:val="24"/>
        </w:rPr>
      </w:pPr>
      <w:r>
        <w:rPr>
          <w:rFonts w:hint="eastAsia"/>
          <w:sz w:val="24"/>
        </w:rPr>
        <w:t>（</w:t>
      </w:r>
      <w:r>
        <w:rPr>
          <w:sz w:val="24"/>
        </w:rPr>
        <w:t>9</w:t>
      </w:r>
      <w:r>
        <w:rPr>
          <w:rFonts w:hint="eastAsia"/>
          <w:sz w:val="24"/>
        </w:rPr>
        <w:t>）投标报价评审和评分；</w:t>
      </w:r>
    </w:p>
    <w:p>
      <w:pPr>
        <w:tabs>
          <w:tab w:val="left" w:pos="912"/>
          <w:tab w:val="left" w:pos="2456"/>
        </w:tabs>
        <w:snapToGrid w:val="0"/>
        <w:spacing w:line="460" w:lineRule="atLeast"/>
        <w:ind w:firstLine="564" w:firstLineChars="235"/>
        <w:rPr>
          <w:sz w:val="24"/>
        </w:rPr>
      </w:pPr>
      <w:r>
        <w:rPr>
          <w:rFonts w:hint="eastAsia"/>
          <w:sz w:val="24"/>
        </w:rPr>
        <w:t>（</w:t>
      </w:r>
      <w:r>
        <w:rPr>
          <w:sz w:val="24"/>
        </w:rPr>
        <w:t>10</w:t>
      </w:r>
      <w:r>
        <w:rPr>
          <w:rFonts w:hint="eastAsia"/>
          <w:sz w:val="24"/>
        </w:rPr>
        <w:t>）汇总评审结果；</w:t>
      </w:r>
    </w:p>
    <w:p>
      <w:pPr>
        <w:tabs>
          <w:tab w:val="left" w:pos="912"/>
          <w:tab w:val="left" w:pos="2456"/>
        </w:tabs>
        <w:snapToGrid w:val="0"/>
        <w:spacing w:line="460" w:lineRule="atLeast"/>
        <w:ind w:firstLine="564" w:firstLineChars="235"/>
        <w:rPr>
          <w:sz w:val="24"/>
        </w:rPr>
      </w:pPr>
      <w:r>
        <w:rPr>
          <w:rFonts w:hint="eastAsia"/>
          <w:sz w:val="24"/>
        </w:rPr>
        <w:t>（</w:t>
      </w:r>
      <w:r>
        <w:rPr>
          <w:sz w:val="24"/>
        </w:rPr>
        <w:t>11</w:t>
      </w:r>
      <w:r>
        <w:rPr>
          <w:rFonts w:hint="eastAsia"/>
          <w:sz w:val="24"/>
        </w:rPr>
        <w:t>）推荐中标候选人；</w:t>
      </w:r>
    </w:p>
    <w:p>
      <w:pPr>
        <w:tabs>
          <w:tab w:val="left" w:pos="912"/>
          <w:tab w:val="left" w:pos="2456"/>
        </w:tabs>
        <w:snapToGrid w:val="0"/>
        <w:spacing w:line="460" w:lineRule="atLeast"/>
        <w:ind w:firstLine="564" w:firstLineChars="235"/>
        <w:rPr>
          <w:sz w:val="24"/>
        </w:rPr>
      </w:pPr>
      <w:r>
        <w:rPr>
          <w:rFonts w:hint="eastAsia"/>
          <w:sz w:val="24"/>
        </w:rPr>
        <w:t>（</w:t>
      </w:r>
      <w:r>
        <w:rPr>
          <w:sz w:val="24"/>
        </w:rPr>
        <w:t>12</w:t>
      </w:r>
      <w:r>
        <w:rPr>
          <w:rFonts w:hint="eastAsia"/>
          <w:sz w:val="24"/>
        </w:rPr>
        <w:t>）编写评标报告。</w:t>
      </w:r>
    </w:p>
    <w:bookmarkEnd w:id="145"/>
    <w:bookmarkEnd w:id="146"/>
    <w:bookmarkEnd w:id="147"/>
    <w:bookmarkEnd w:id="148"/>
    <w:bookmarkEnd w:id="149"/>
    <w:bookmarkEnd w:id="150"/>
    <w:bookmarkEnd w:id="151"/>
    <w:bookmarkEnd w:id="152"/>
    <w:bookmarkEnd w:id="153"/>
    <w:bookmarkEnd w:id="154"/>
    <w:bookmarkEnd w:id="155"/>
    <w:p>
      <w:pPr>
        <w:pStyle w:val="6"/>
        <w:spacing w:before="0" w:line="460" w:lineRule="atLeast"/>
        <w:ind w:firstLine="566" w:firstLineChars="235"/>
        <w:jc w:val="both"/>
        <w:rPr>
          <w:sz w:val="24"/>
          <w:szCs w:val="24"/>
        </w:rPr>
      </w:pPr>
      <w:r>
        <w:rPr>
          <w:sz w:val="24"/>
          <w:szCs w:val="24"/>
        </w:rPr>
        <w:t xml:space="preserve">3.1 </w:t>
      </w:r>
      <w:r>
        <w:rPr>
          <w:rFonts w:hint="eastAsia"/>
          <w:sz w:val="24"/>
          <w:szCs w:val="24"/>
        </w:rPr>
        <w:t>评标准备</w:t>
      </w:r>
    </w:p>
    <w:p>
      <w:pPr>
        <w:tabs>
          <w:tab w:val="left" w:pos="795"/>
          <w:tab w:val="left" w:pos="2456"/>
        </w:tabs>
        <w:snapToGrid w:val="0"/>
        <w:spacing w:line="460" w:lineRule="atLeast"/>
        <w:ind w:firstLine="564" w:firstLineChars="235"/>
        <w:rPr>
          <w:sz w:val="24"/>
        </w:rPr>
      </w:pPr>
      <w:r>
        <w:rPr>
          <w:sz w:val="24"/>
        </w:rPr>
        <w:t>3.1.1</w:t>
      </w:r>
      <w:r>
        <w:rPr>
          <w:rFonts w:hint="eastAsia"/>
          <w:sz w:val="24"/>
        </w:rPr>
        <w:t>评标委员会签到及签署评标专家声明书</w:t>
      </w:r>
    </w:p>
    <w:p>
      <w:pPr>
        <w:tabs>
          <w:tab w:val="left" w:pos="912"/>
          <w:tab w:val="left" w:pos="2456"/>
        </w:tabs>
        <w:snapToGrid w:val="0"/>
        <w:spacing w:line="460" w:lineRule="atLeast"/>
        <w:ind w:firstLine="564" w:firstLineChars="235"/>
        <w:rPr>
          <w:sz w:val="24"/>
        </w:rPr>
      </w:pPr>
      <w:r>
        <w:rPr>
          <w:sz w:val="24"/>
        </w:rPr>
        <w:t>3.1.1.1</w:t>
      </w:r>
      <w:r>
        <w:rPr>
          <w:rFonts w:hint="eastAsia"/>
          <w:sz w:val="24"/>
        </w:rPr>
        <w:t>评标委员会成员到达评标现场时应在签到表上签到以证明其出席。</w:t>
      </w:r>
    </w:p>
    <w:p>
      <w:pPr>
        <w:tabs>
          <w:tab w:val="left" w:pos="912"/>
          <w:tab w:val="left" w:pos="2456"/>
        </w:tabs>
        <w:snapToGrid w:val="0"/>
        <w:spacing w:line="460" w:lineRule="atLeast"/>
        <w:ind w:firstLine="564" w:firstLineChars="235"/>
        <w:rPr>
          <w:sz w:val="24"/>
        </w:rPr>
      </w:pPr>
      <w:r>
        <w:rPr>
          <w:sz w:val="24"/>
        </w:rPr>
        <w:t xml:space="preserve">3.1.1.2 </w:t>
      </w:r>
      <w:r>
        <w:rPr>
          <w:rFonts w:hint="eastAsia"/>
          <w:sz w:val="24"/>
        </w:rPr>
        <w:t>评标委员会成员在评标前，应当签署评标专家声明书。声明本人不符合下项规定的应当回避的情形，保证遵守有关评标管理规定以及评标纪律，客观、公正地进行评标，并接受招投标监管部门的监督。</w:t>
      </w:r>
    </w:p>
    <w:p>
      <w:pPr>
        <w:tabs>
          <w:tab w:val="left" w:pos="912"/>
          <w:tab w:val="left" w:pos="2456"/>
        </w:tabs>
        <w:snapToGrid w:val="0"/>
        <w:spacing w:line="460" w:lineRule="atLeast"/>
        <w:ind w:firstLine="564" w:firstLineChars="235"/>
        <w:rPr>
          <w:sz w:val="24"/>
        </w:rPr>
      </w:pPr>
      <w:r>
        <w:rPr>
          <w:sz w:val="24"/>
        </w:rPr>
        <w:t xml:space="preserve">3.1.1.3 </w:t>
      </w:r>
      <w:r>
        <w:rPr>
          <w:rFonts w:hint="eastAsia"/>
          <w:sz w:val="24"/>
        </w:rPr>
        <w:t>评标委员会成员（包括招标人代表）具有下列情形之一的，应当主动提出回避。</w:t>
      </w:r>
    </w:p>
    <w:p>
      <w:pPr>
        <w:numPr>
          <w:ilvl w:val="0"/>
          <w:numId w:val="6"/>
        </w:numPr>
        <w:tabs>
          <w:tab w:val="left" w:pos="912"/>
          <w:tab w:val="left" w:pos="2456"/>
        </w:tabs>
        <w:snapToGrid w:val="0"/>
        <w:spacing w:line="460" w:lineRule="atLeast"/>
        <w:ind w:left="709" w:hanging="145"/>
        <w:rPr>
          <w:sz w:val="24"/>
        </w:rPr>
      </w:pPr>
      <w:r>
        <w:rPr>
          <w:sz w:val="24"/>
        </w:rPr>
        <w:t xml:space="preserve"> </w:t>
      </w:r>
      <w:r>
        <w:rPr>
          <w:rFonts w:hint="eastAsia"/>
          <w:sz w:val="24"/>
        </w:rPr>
        <w:t>投标人或者投标人主要负责人的近亲属；</w:t>
      </w:r>
    </w:p>
    <w:p>
      <w:pPr>
        <w:numPr>
          <w:ilvl w:val="0"/>
          <w:numId w:val="6"/>
        </w:numPr>
        <w:tabs>
          <w:tab w:val="left" w:pos="912"/>
          <w:tab w:val="left" w:pos="2456"/>
        </w:tabs>
        <w:snapToGrid w:val="0"/>
        <w:spacing w:line="460" w:lineRule="atLeast"/>
        <w:rPr>
          <w:sz w:val="24"/>
        </w:rPr>
      </w:pPr>
      <w:r>
        <w:rPr>
          <w:sz w:val="24"/>
        </w:rPr>
        <w:t xml:space="preserve"> </w:t>
      </w:r>
      <w:r>
        <w:rPr>
          <w:rFonts w:hint="eastAsia"/>
          <w:sz w:val="24"/>
        </w:rPr>
        <w:t>与投标人有利害关系或者经济利益关系的，包括本人所在单位与投标人有隶属关系；投标人单位的股东等；</w:t>
      </w:r>
    </w:p>
    <w:p>
      <w:pPr>
        <w:numPr>
          <w:ilvl w:val="0"/>
          <w:numId w:val="6"/>
        </w:numPr>
        <w:tabs>
          <w:tab w:val="left" w:pos="912"/>
          <w:tab w:val="left" w:pos="2456"/>
        </w:tabs>
        <w:snapToGrid w:val="0"/>
        <w:spacing w:line="460" w:lineRule="atLeast"/>
        <w:rPr>
          <w:sz w:val="24"/>
        </w:rPr>
      </w:pPr>
      <w:r>
        <w:rPr>
          <w:sz w:val="24"/>
        </w:rPr>
        <w:t xml:space="preserve"> </w:t>
      </w:r>
      <w:r>
        <w:rPr>
          <w:rFonts w:hint="eastAsia"/>
          <w:sz w:val="24"/>
        </w:rPr>
        <w:t>曾因在招标、评标以及其他与招标投标有关活动中从事违法行为而受过行政处罚或刑事处罚的。</w:t>
      </w:r>
    </w:p>
    <w:p>
      <w:pPr>
        <w:tabs>
          <w:tab w:val="left" w:pos="912"/>
          <w:tab w:val="left" w:pos="2456"/>
        </w:tabs>
        <w:snapToGrid w:val="0"/>
        <w:spacing w:line="460" w:lineRule="atLeast"/>
        <w:ind w:firstLine="564" w:firstLineChars="235"/>
        <w:rPr>
          <w:sz w:val="24"/>
        </w:rPr>
      </w:pPr>
      <w:r>
        <w:rPr>
          <w:sz w:val="24"/>
        </w:rPr>
        <w:t xml:space="preserve">3.1.1.4 </w:t>
      </w:r>
      <w:r>
        <w:rPr>
          <w:rFonts w:hint="eastAsia"/>
          <w:sz w:val="24"/>
        </w:rPr>
        <w:t>如发现评标委员会成员有上述规定情形之一的，应当予以更换。</w:t>
      </w:r>
    </w:p>
    <w:p>
      <w:pPr>
        <w:tabs>
          <w:tab w:val="left" w:pos="912"/>
          <w:tab w:val="left" w:pos="2456"/>
        </w:tabs>
        <w:snapToGrid w:val="0"/>
        <w:spacing w:line="460" w:lineRule="atLeast"/>
        <w:ind w:firstLine="564" w:firstLineChars="235"/>
        <w:rPr>
          <w:sz w:val="24"/>
        </w:rPr>
      </w:pPr>
      <w:r>
        <w:rPr>
          <w:sz w:val="24"/>
        </w:rPr>
        <w:t xml:space="preserve">3.1.2 </w:t>
      </w:r>
      <w:r>
        <w:rPr>
          <w:rFonts w:hint="eastAsia"/>
          <w:sz w:val="24"/>
        </w:rPr>
        <w:t>推荐评标委员会负责人</w:t>
      </w:r>
    </w:p>
    <w:p>
      <w:pPr>
        <w:tabs>
          <w:tab w:val="left" w:pos="912"/>
          <w:tab w:val="left" w:pos="2456"/>
        </w:tabs>
        <w:snapToGrid w:val="0"/>
        <w:spacing w:line="460" w:lineRule="atLeast"/>
        <w:ind w:firstLine="564" w:firstLineChars="235"/>
        <w:rPr>
          <w:sz w:val="24"/>
        </w:rPr>
      </w:pPr>
      <w:r>
        <w:rPr>
          <w:sz w:val="24"/>
        </w:rPr>
        <w:t xml:space="preserve">3.1.2.1 </w:t>
      </w:r>
      <w:r>
        <w:rPr>
          <w:rFonts w:hint="eastAsia"/>
          <w:sz w:val="24"/>
        </w:rPr>
        <w:t>评标委员会负责人由评标委员会成员推荐产生或者由招标人确定。评标委员会负责人与评标委员会其他成员具有同等的评标权力。</w:t>
      </w:r>
    </w:p>
    <w:p>
      <w:pPr>
        <w:tabs>
          <w:tab w:val="left" w:pos="912"/>
          <w:tab w:val="left" w:pos="2456"/>
        </w:tabs>
        <w:snapToGrid w:val="0"/>
        <w:spacing w:line="460" w:lineRule="atLeast"/>
        <w:ind w:firstLine="564" w:firstLineChars="235"/>
        <w:rPr>
          <w:sz w:val="24"/>
        </w:rPr>
      </w:pPr>
      <w:r>
        <w:rPr>
          <w:sz w:val="24"/>
        </w:rPr>
        <w:t xml:space="preserve">3.1.2.2 </w:t>
      </w:r>
      <w:r>
        <w:rPr>
          <w:rFonts w:hint="eastAsia"/>
          <w:sz w:val="24"/>
        </w:rPr>
        <w:t>评标委员会负责人除履行自己作为评标委员会成员独立评标的职责外，主要负责以下工作：</w:t>
      </w:r>
      <w:r>
        <w:rPr>
          <w:sz w:val="24"/>
        </w:rPr>
        <w:t xml:space="preserve"> </w:t>
      </w:r>
    </w:p>
    <w:p>
      <w:pPr>
        <w:tabs>
          <w:tab w:val="left" w:pos="912"/>
          <w:tab w:val="left" w:pos="2456"/>
        </w:tabs>
        <w:snapToGrid w:val="0"/>
        <w:spacing w:line="460" w:lineRule="atLeast"/>
        <w:ind w:firstLine="564" w:firstLineChars="235"/>
        <w:rPr>
          <w:sz w:val="24"/>
        </w:rPr>
      </w:pPr>
      <w:r>
        <w:rPr>
          <w:rFonts w:hint="eastAsia"/>
          <w:sz w:val="24"/>
        </w:rPr>
        <w:t>（</w:t>
      </w:r>
      <w:r>
        <w:rPr>
          <w:sz w:val="24"/>
        </w:rPr>
        <w:t>1</w:t>
      </w:r>
      <w:r>
        <w:rPr>
          <w:rFonts w:hint="eastAsia"/>
          <w:sz w:val="24"/>
        </w:rPr>
        <w:t>）组织评标委员会成员阅读和研究招标文件；</w:t>
      </w:r>
    </w:p>
    <w:p>
      <w:pPr>
        <w:tabs>
          <w:tab w:val="left" w:pos="912"/>
          <w:tab w:val="left" w:pos="2456"/>
        </w:tabs>
        <w:snapToGrid w:val="0"/>
        <w:spacing w:line="460" w:lineRule="atLeast"/>
        <w:ind w:firstLine="564" w:firstLineChars="235"/>
        <w:rPr>
          <w:sz w:val="24"/>
        </w:rPr>
      </w:pPr>
      <w:r>
        <w:rPr>
          <w:rFonts w:hint="eastAsia"/>
          <w:sz w:val="24"/>
        </w:rPr>
        <w:t>（</w:t>
      </w:r>
      <w:r>
        <w:rPr>
          <w:sz w:val="24"/>
        </w:rPr>
        <w:t>2</w:t>
      </w:r>
      <w:r>
        <w:rPr>
          <w:rFonts w:hint="eastAsia"/>
          <w:sz w:val="24"/>
        </w:rPr>
        <w:t>）提醒招标人做好评标准备工作，包括提供所需的评标基础资料；</w:t>
      </w:r>
    </w:p>
    <w:p>
      <w:pPr>
        <w:tabs>
          <w:tab w:val="left" w:pos="912"/>
          <w:tab w:val="left" w:pos="2456"/>
        </w:tabs>
        <w:snapToGrid w:val="0"/>
        <w:spacing w:line="460" w:lineRule="atLeast"/>
        <w:ind w:firstLine="564" w:firstLineChars="235"/>
        <w:rPr>
          <w:sz w:val="24"/>
        </w:rPr>
      </w:pPr>
      <w:r>
        <w:rPr>
          <w:rFonts w:hint="eastAsia"/>
          <w:sz w:val="24"/>
        </w:rPr>
        <w:t>（3）汇总各评标委员会成员认为需要投标人澄清、说明或者补正的问题；</w:t>
      </w:r>
    </w:p>
    <w:p>
      <w:pPr>
        <w:tabs>
          <w:tab w:val="left" w:pos="912"/>
          <w:tab w:val="left" w:pos="2456"/>
        </w:tabs>
        <w:snapToGrid w:val="0"/>
        <w:spacing w:line="460" w:lineRule="atLeast"/>
        <w:ind w:firstLine="564" w:firstLineChars="235"/>
        <w:rPr>
          <w:sz w:val="24"/>
        </w:rPr>
      </w:pPr>
      <w:r>
        <w:rPr>
          <w:rFonts w:hint="eastAsia"/>
          <w:sz w:val="24"/>
        </w:rPr>
        <w:t>（4）组织评标委员会对投标人进行质询并对投标人的答复或澄清进行评审；</w:t>
      </w:r>
    </w:p>
    <w:p>
      <w:pPr>
        <w:tabs>
          <w:tab w:val="left" w:pos="912"/>
          <w:tab w:val="left" w:pos="2456"/>
        </w:tabs>
        <w:snapToGrid w:val="0"/>
        <w:spacing w:line="460" w:lineRule="atLeast"/>
        <w:ind w:firstLine="564" w:firstLineChars="235"/>
        <w:rPr>
          <w:sz w:val="24"/>
        </w:rPr>
      </w:pPr>
      <w:r>
        <w:rPr>
          <w:rFonts w:hint="eastAsia"/>
          <w:sz w:val="24"/>
        </w:rPr>
        <w:t>（5）对出现较大争议的事项进行书面记录；</w:t>
      </w:r>
    </w:p>
    <w:p>
      <w:pPr>
        <w:tabs>
          <w:tab w:val="left" w:pos="912"/>
          <w:tab w:val="left" w:pos="2456"/>
        </w:tabs>
        <w:snapToGrid w:val="0"/>
        <w:spacing w:line="460" w:lineRule="atLeast"/>
        <w:ind w:firstLine="564" w:firstLineChars="235"/>
        <w:rPr>
          <w:sz w:val="24"/>
        </w:rPr>
      </w:pPr>
      <w:r>
        <w:rPr>
          <w:rFonts w:hint="eastAsia"/>
          <w:sz w:val="24"/>
        </w:rPr>
        <w:t>（6）</w:t>
      </w:r>
      <w:r>
        <w:rPr>
          <w:sz w:val="24"/>
        </w:rPr>
        <w:t xml:space="preserve"> </w:t>
      </w:r>
      <w:r>
        <w:rPr>
          <w:rFonts w:hint="eastAsia"/>
          <w:sz w:val="24"/>
        </w:rPr>
        <w:t>收回评标过程中使用的文件、表格和评审记录以及其他资料，并查验评审记录的完整性及有效性；</w:t>
      </w:r>
    </w:p>
    <w:p>
      <w:pPr>
        <w:tabs>
          <w:tab w:val="left" w:pos="912"/>
          <w:tab w:val="left" w:pos="2456"/>
        </w:tabs>
        <w:snapToGrid w:val="0"/>
        <w:spacing w:line="460" w:lineRule="atLeast"/>
        <w:ind w:firstLine="564" w:firstLineChars="235"/>
        <w:rPr>
          <w:sz w:val="24"/>
        </w:rPr>
      </w:pPr>
      <w:r>
        <w:rPr>
          <w:rFonts w:hint="eastAsia"/>
          <w:sz w:val="24"/>
        </w:rPr>
        <w:t>（7）组织编写评标报告。</w:t>
      </w:r>
    </w:p>
    <w:p>
      <w:pPr>
        <w:tabs>
          <w:tab w:val="left" w:pos="912"/>
          <w:tab w:val="left" w:pos="2456"/>
        </w:tabs>
        <w:snapToGrid w:val="0"/>
        <w:spacing w:line="460" w:lineRule="atLeast"/>
        <w:ind w:left="-2" w:leftChars="-1" w:firstLine="564" w:firstLineChars="235"/>
        <w:rPr>
          <w:sz w:val="24"/>
        </w:rPr>
      </w:pPr>
      <w:r>
        <w:rPr>
          <w:sz w:val="24"/>
        </w:rPr>
        <w:t>3.1.2.3</w:t>
      </w:r>
      <w:r>
        <w:rPr>
          <w:rFonts w:hint="eastAsia"/>
          <w:sz w:val="24"/>
        </w:rPr>
        <w:t>招标人或招标代理机构应当向评标委员会提供评标所需的信息和数据，包括：</w:t>
      </w:r>
    </w:p>
    <w:p>
      <w:pPr>
        <w:tabs>
          <w:tab w:val="left" w:pos="912"/>
          <w:tab w:val="left" w:pos="2456"/>
        </w:tabs>
        <w:snapToGrid w:val="0"/>
        <w:spacing w:line="460" w:lineRule="atLeast"/>
        <w:ind w:firstLine="564" w:firstLineChars="235"/>
        <w:rPr>
          <w:sz w:val="24"/>
        </w:rPr>
      </w:pPr>
      <w:r>
        <w:rPr>
          <w:rFonts w:hint="eastAsia"/>
          <w:sz w:val="24"/>
        </w:rPr>
        <w:t>其他信息和数据：</w:t>
      </w:r>
      <w:r>
        <w:rPr>
          <w:rFonts w:ascii="宋体" w:hAnsi="宋体"/>
          <w:u w:val="single"/>
        </w:rPr>
        <w:t xml:space="preserve">                                                     </w:t>
      </w:r>
      <w:r>
        <w:rPr>
          <w:sz w:val="24"/>
        </w:rPr>
        <w:t xml:space="preserve"> </w:t>
      </w:r>
    </w:p>
    <w:p>
      <w:pPr>
        <w:pStyle w:val="6"/>
        <w:spacing w:before="0" w:line="460" w:lineRule="atLeast"/>
        <w:ind w:firstLine="566" w:firstLineChars="235"/>
        <w:jc w:val="both"/>
        <w:rPr>
          <w:sz w:val="24"/>
          <w:szCs w:val="24"/>
        </w:rPr>
      </w:pPr>
      <w:r>
        <w:rPr>
          <w:sz w:val="24"/>
          <w:szCs w:val="24"/>
        </w:rPr>
        <w:t xml:space="preserve">3.2 </w:t>
      </w:r>
      <w:r>
        <w:rPr>
          <w:rFonts w:hint="eastAsia"/>
          <w:sz w:val="24"/>
          <w:szCs w:val="24"/>
        </w:rPr>
        <w:t>熟悉招标文件和相关资料</w:t>
      </w:r>
    </w:p>
    <w:p>
      <w:pPr>
        <w:tabs>
          <w:tab w:val="left" w:pos="912"/>
          <w:tab w:val="left" w:pos="2456"/>
        </w:tabs>
        <w:snapToGrid w:val="0"/>
        <w:spacing w:line="460" w:lineRule="atLeast"/>
        <w:ind w:firstLine="564" w:firstLineChars="235"/>
        <w:rPr>
          <w:sz w:val="24"/>
        </w:rPr>
      </w:pPr>
      <w:r>
        <w:rPr>
          <w:sz w:val="24"/>
        </w:rPr>
        <w:t xml:space="preserve">3.2.1 </w:t>
      </w:r>
      <w:r>
        <w:rPr>
          <w:rFonts w:hint="eastAsia"/>
          <w:sz w:val="24"/>
        </w:rPr>
        <w:t>招标人或其委托的招标代理机构应向评标委员会提供评标所需的有关资料。资料包括下列内容：</w:t>
      </w:r>
    </w:p>
    <w:p>
      <w:pPr>
        <w:tabs>
          <w:tab w:val="left" w:pos="912"/>
          <w:tab w:val="left" w:pos="2456"/>
        </w:tabs>
        <w:snapToGrid w:val="0"/>
        <w:spacing w:line="460" w:lineRule="atLeast"/>
        <w:ind w:firstLine="564" w:firstLineChars="235"/>
        <w:rPr>
          <w:sz w:val="24"/>
        </w:rPr>
      </w:pPr>
      <w:r>
        <w:rPr>
          <w:rFonts w:hint="eastAsia"/>
          <w:sz w:val="24"/>
        </w:rPr>
        <w:t>（</w:t>
      </w:r>
      <w:r>
        <w:rPr>
          <w:sz w:val="24"/>
        </w:rPr>
        <w:t>1</w:t>
      </w:r>
      <w:r>
        <w:rPr>
          <w:rFonts w:hint="eastAsia"/>
          <w:sz w:val="24"/>
        </w:rPr>
        <w:t>）招标文件及其澄清、修改或补充文件；</w:t>
      </w:r>
    </w:p>
    <w:p>
      <w:pPr>
        <w:tabs>
          <w:tab w:val="left" w:pos="912"/>
          <w:tab w:val="left" w:pos="2456"/>
        </w:tabs>
        <w:snapToGrid w:val="0"/>
        <w:spacing w:line="460" w:lineRule="atLeast"/>
        <w:ind w:firstLine="564" w:firstLineChars="235"/>
        <w:rPr>
          <w:sz w:val="24"/>
        </w:rPr>
      </w:pPr>
      <w:r>
        <w:rPr>
          <w:rFonts w:hint="eastAsia"/>
          <w:sz w:val="24"/>
        </w:rPr>
        <w:t>（</w:t>
      </w:r>
      <w:r>
        <w:rPr>
          <w:sz w:val="24"/>
        </w:rPr>
        <w:t>2</w:t>
      </w:r>
      <w:r>
        <w:rPr>
          <w:rFonts w:hint="eastAsia"/>
          <w:sz w:val="24"/>
        </w:rPr>
        <w:t>）未在开标会上当场拒绝的各投标文件；</w:t>
      </w:r>
    </w:p>
    <w:p>
      <w:pPr>
        <w:tabs>
          <w:tab w:val="left" w:pos="912"/>
          <w:tab w:val="left" w:pos="2456"/>
        </w:tabs>
        <w:snapToGrid w:val="0"/>
        <w:spacing w:line="460" w:lineRule="atLeast"/>
        <w:ind w:firstLine="564" w:firstLineChars="235"/>
        <w:rPr>
          <w:sz w:val="24"/>
        </w:rPr>
      </w:pPr>
      <w:r>
        <w:rPr>
          <w:rFonts w:hint="eastAsia"/>
          <w:sz w:val="24"/>
        </w:rPr>
        <w:t>（</w:t>
      </w:r>
      <w:r>
        <w:rPr>
          <w:sz w:val="24"/>
        </w:rPr>
        <w:t>3</w:t>
      </w:r>
      <w:r>
        <w:rPr>
          <w:rFonts w:hint="eastAsia"/>
          <w:sz w:val="24"/>
        </w:rPr>
        <w:t>）开标会记录；</w:t>
      </w:r>
    </w:p>
    <w:p>
      <w:pPr>
        <w:tabs>
          <w:tab w:val="left" w:pos="912"/>
          <w:tab w:val="left" w:pos="2456"/>
        </w:tabs>
        <w:snapToGrid w:val="0"/>
        <w:spacing w:line="460" w:lineRule="atLeast"/>
        <w:ind w:firstLine="564" w:firstLineChars="235"/>
        <w:rPr>
          <w:sz w:val="24"/>
        </w:rPr>
      </w:pPr>
      <w:r>
        <w:rPr>
          <w:rFonts w:hint="eastAsia"/>
          <w:sz w:val="24"/>
        </w:rPr>
        <w:t>（</w:t>
      </w:r>
      <w:r>
        <w:rPr>
          <w:sz w:val="24"/>
        </w:rPr>
        <w:t>4</w:t>
      </w:r>
      <w:r>
        <w:rPr>
          <w:rFonts w:hint="eastAsia"/>
          <w:sz w:val="24"/>
        </w:rPr>
        <w:t>）招标控制价或标底；</w:t>
      </w:r>
    </w:p>
    <w:p>
      <w:pPr>
        <w:tabs>
          <w:tab w:val="left" w:pos="912"/>
          <w:tab w:val="left" w:pos="2456"/>
        </w:tabs>
        <w:snapToGrid w:val="0"/>
        <w:spacing w:line="460" w:lineRule="atLeast"/>
        <w:ind w:firstLine="564" w:firstLineChars="235"/>
        <w:rPr>
          <w:sz w:val="24"/>
        </w:rPr>
      </w:pPr>
      <w:r>
        <w:rPr>
          <w:rFonts w:hint="eastAsia"/>
          <w:sz w:val="24"/>
        </w:rPr>
        <w:t>（</w:t>
      </w:r>
      <w:r>
        <w:rPr>
          <w:sz w:val="24"/>
        </w:rPr>
        <w:t>6</w:t>
      </w:r>
      <w:r>
        <w:rPr>
          <w:rFonts w:hint="eastAsia"/>
          <w:sz w:val="24"/>
        </w:rPr>
        <w:t>）投标阶段的过程记录资料，如：招标文件等、递交记录等。</w:t>
      </w:r>
    </w:p>
    <w:p>
      <w:pPr>
        <w:tabs>
          <w:tab w:val="left" w:pos="912"/>
          <w:tab w:val="left" w:pos="2456"/>
        </w:tabs>
        <w:snapToGrid w:val="0"/>
        <w:spacing w:line="460" w:lineRule="atLeast"/>
        <w:ind w:firstLine="564" w:firstLineChars="235"/>
        <w:rPr>
          <w:sz w:val="24"/>
        </w:rPr>
      </w:pPr>
      <w:r>
        <w:rPr>
          <w:rFonts w:hint="eastAsia"/>
          <w:sz w:val="24"/>
        </w:rPr>
        <w:t>（</w:t>
      </w:r>
      <w:r>
        <w:rPr>
          <w:sz w:val="24"/>
        </w:rPr>
        <w:t>7</w:t>
      </w:r>
      <w:r>
        <w:rPr>
          <w:rFonts w:hint="eastAsia"/>
          <w:sz w:val="24"/>
        </w:rPr>
        <w:t>）招标人或评标委员会认为必要的其他资料。</w:t>
      </w:r>
    </w:p>
    <w:p>
      <w:pPr>
        <w:tabs>
          <w:tab w:val="left" w:pos="912"/>
          <w:tab w:val="left" w:pos="2456"/>
        </w:tabs>
        <w:snapToGrid w:val="0"/>
        <w:spacing w:line="460" w:lineRule="atLeast"/>
        <w:ind w:firstLine="564" w:firstLineChars="235"/>
        <w:rPr>
          <w:sz w:val="24"/>
        </w:rPr>
      </w:pPr>
      <w:r>
        <w:rPr>
          <w:sz w:val="24"/>
        </w:rPr>
        <w:t xml:space="preserve">3.2.2 </w:t>
      </w:r>
      <w:r>
        <w:rPr>
          <w:rFonts w:hint="eastAsia"/>
          <w:sz w:val="24"/>
        </w:rPr>
        <w:t>评标委员会负责人应组织评标委员会成员认真研究招标文件，了解和熟悉本工程的招标目的、投标人资格条件、</w:t>
      </w:r>
      <w:bookmarkStart w:id="156" w:name="OLE_LINK24"/>
      <w:bookmarkStart w:id="157" w:name="OLE_LINK23"/>
      <w:r>
        <w:rPr>
          <w:rFonts w:hint="eastAsia"/>
          <w:sz w:val="24"/>
        </w:rPr>
        <w:t>技术标</w:t>
      </w:r>
      <w:bookmarkEnd w:id="156"/>
      <w:bookmarkEnd w:id="157"/>
      <w:r>
        <w:rPr>
          <w:rFonts w:hint="eastAsia"/>
          <w:sz w:val="24"/>
        </w:rPr>
        <w:t>准和要求、主要合同条件，掌握评标标准和方法，熟悉本办法中包括的评标表格的使用。</w:t>
      </w:r>
      <w:r>
        <w:rPr>
          <w:sz w:val="24"/>
        </w:rPr>
        <w:t xml:space="preserve">                                                        </w:t>
      </w:r>
    </w:p>
    <w:p>
      <w:pPr>
        <w:pStyle w:val="6"/>
        <w:spacing w:before="0" w:line="460" w:lineRule="atLeast"/>
        <w:ind w:firstLine="566" w:firstLineChars="235"/>
        <w:jc w:val="both"/>
        <w:rPr>
          <w:sz w:val="24"/>
          <w:szCs w:val="24"/>
        </w:rPr>
      </w:pPr>
      <w:r>
        <w:rPr>
          <w:sz w:val="24"/>
          <w:szCs w:val="24"/>
        </w:rPr>
        <w:t xml:space="preserve">3.3 </w:t>
      </w:r>
      <w:r>
        <w:rPr>
          <w:rFonts w:hint="eastAsia"/>
          <w:sz w:val="24"/>
          <w:szCs w:val="24"/>
        </w:rPr>
        <w:t>暗标编号</w:t>
      </w:r>
    </w:p>
    <w:p>
      <w:pPr>
        <w:spacing w:line="400" w:lineRule="exact"/>
        <w:ind w:firstLine="480" w:firstLineChars="200"/>
        <w:rPr>
          <w:rFonts w:ascii="宋体" w:cs="Arial"/>
          <w:iCs/>
          <w:szCs w:val="28"/>
        </w:rPr>
      </w:pPr>
      <w:r>
        <w:rPr>
          <w:rFonts w:hint="eastAsia"/>
          <w:sz w:val="24"/>
        </w:rPr>
        <w:t>招标人或其委托的招标代理机构应在评标开始前</w:t>
      </w:r>
      <w:r>
        <w:rPr>
          <w:rFonts w:hint="eastAsia" w:ascii="宋体" w:hAnsi="宋体" w:cs="Arial"/>
          <w:iCs/>
          <w:sz w:val="24"/>
          <w:szCs w:val="28"/>
        </w:rPr>
        <w:t>使用加密时的企业</w:t>
      </w:r>
      <w:r>
        <w:rPr>
          <w:rFonts w:ascii="宋体" w:hAnsi="宋体" w:cs="Arial"/>
          <w:iCs/>
          <w:sz w:val="24"/>
          <w:szCs w:val="28"/>
        </w:rPr>
        <w:t>CA</w:t>
      </w:r>
      <w:r>
        <w:rPr>
          <w:rFonts w:hint="eastAsia" w:ascii="宋体" w:hAnsi="宋体" w:cs="Arial"/>
          <w:iCs/>
          <w:sz w:val="24"/>
          <w:szCs w:val="28"/>
        </w:rPr>
        <w:t>电子印章对电子化平台中的电子标书进行解密，并自动生成施工组织设计各模块的暗标编号。</w:t>
      </w:r>
    </w:p>
    <w:p>
      <w:pPr>
        <w:tabs>
          <w:tab w:val="left" w:pos="912"/>
          <w:tab w:val="left" w:pos="2456"/>
        </w:tabs>
        <w:snapToGrid w:val="0"/>
        <w:spacing w:line="460" w:lineRule="atLeast"/>
        <w:ind w:firstLine="480" w:firstLineChars="200"/>
        <w:rPr>
          <w:rFonts w:ascii="宋体" w:hAnsi="宋体" w:cs="Arial"/>
          <w:iCs/>
          <w:sz w:val="24"/>
          <w:szCs w:val="28"/>
        </w:rPr>
      </w:pPr>
      <w:r>
        <w:rPr>
          <w:rFonts w:hint="eastAsia" w:ascii="宋体" w:hAnsi="宋体" w:cs="Arial"/>
          <w:iCs/>
          <w:sz w:val="24"/>
          <w:szCs w:val="28"/>
        </w:rPr>
        <w:t>在评标委员会全体成员均完成全部评审并将评审记录保存后，由评标委员会通过系统的编码记录确定投标人与暗标编号的对应关系，系统自动生成</w:t>
      </w:r>
      <w:r>
        <w:rPr>
          <w:rFonts w:hint="eastAsia"/>
          <w:sz w:val="24"/>
        </w:rPr>
        <w:t>技术暗标编号确认表。</w:t>
      </w:r>
      <w:r>
        <w:rPr>
          <w:rFonts w:hint="eastAsia" w:ascii="宋体" w:hAnsi="宋体" w:cs="Arial"/>
          <w:iCs/>
          <w:sz w:val="24"/>
          <w:szCs w:val="28"/>
        </w:rPr>
        <w:t>投标文件未按照招标文件规定的模块编写的内容不予评审，该模块按“零”分处理。</w:t>
      </w:r>
      <w:r>
        <w:rPr>
          <w:rFonts w:hint="eastAsia"/>
          <w:sz w:val="24"/>
        </w:rPr>
        <w:t>技术暗标编号确认表</w:t>
      </w:r>
      <w:r>
        <w:rPr>
          <w:rFonts w:hint="eastAsia" w:ascii="宋体" w:hAnsi="宋体" w:cs="Arial"/>
          <w:iCs/>
          <w:sz w:val="24"/>
          <w:szCs w:val="28"/>
        </w:rPr>
        <w:t>格式见评标办法附表10。</w:t>
      </w:r>
    </w:p>
    <w:p>
      <w:pPr>
        <w:tabs>
          <w:tab w:val="left" w:pos="912"/>
          <w:tab w:val="left" w:pos="2456"/>
        </w:tabs>
        <w:snapToGrid w:val="0"/>
        <w:spacing w:line="460" w:lineRule="atLeast"/>
        <w:ind w:firstLine="564" w:firstLineChars="235"/>
        <w:rPr>
          <w:sz w:val="24"/>
        </w:rPr>
      </w:pPr>
    </w:p>
    <w:p>
      <w:pPr>
        <w:pStyle w:val="6"/>
        <w:spacing w:before="0" w:line="460" w:lineRule="atLeast"/>
        <w:ind w:firstLine="566" w:firstLineChars="235"/>
        <w:jc w:val="both"/>
        <w:rPr>
          <w:sz w:val="24"/>
          <w:szCs w:val="24"/>
        </w:rPr>
      </w:pPr>
      <w:r>
        <w:rPr>
          <w:sz w:val="24"/>
          <w:szCs w:val="24"/>
        </w:rPr>
        <w:t xml:space="preserve">3.4 </w:t>
      </w:r>
      <w:r>
        <w:rPr>
          <w:rFonts w:hint="eastAsia"/>
          <w:sz w:val="24"/>
          <w:szCs w:val="24"/>
        </w:rPr>
        <w:t>施工组织设计（暗标）评审</w:t>
      </w:r>
    </w:p>
    <w:p>
      <w:pPr>
        <w:tabs>
          <w:tab w:val="left" w:pos="912"/>
          <w:tab w:val="left" w:pos="2456"/>
        </w:tabs>
        <w:snapToGrid w:val="0"/>
        <w:spacing w:line="460" w:lineRule="atLeast"/>
        <w:ind w:firstLine="564" w:firstLineChars="235"/>
        <w:rPr>
          <w:sz w:val="24"/>
        </w:rPr>
      </w:pPr>
      <w:r>
        <w:rPr>
          <w:sz w:val="24"/>
        </w:rPr>
        <w:t xml:space="preserve">3.4.1 </w:t>
      </w:r>
      <w:r>
        <w:rPr>
          <w:rFonts w:hint="eastAsia"/>
          <w:sz w:val="24"/>
        </w:rPr>
        <w:t>评标委员会根据评标办法中规定的评审内容及评分标准对施工组织设计（暗标）进行评审，并将评审分值记录在施工组织设计（暗标）评审记录表中，具体评审要素和评分标准详见评标办法附表</w:t>
      </w:r>
      <w:r>
        <w:rPr>
          <w:sz w:val="24"/>
        </w:rPr>
        <w:t>7</w:t>
      </w:r>
      <w:r>
        <w:rPr>
          <w:rFonts w:hint="eastAsia"/>
          <w:sz w:val="24"/>
        </w:rPr>
        <w:t>。</w:t>
      </w:r>
      <w:r>
        <w:rPr>
          <w:sz w:val="24"/>
        </w:rPr>
        <w:t xml:space="preserve"> </w:t>
      </w:r>
    </w:p>
    <w:p>
      <w:pPr>
        <w:tabs>
          <w:tab w:val="left" w:pos="912"/>
          <w:tab w:val="left" w:pos="2456"/>
        </w:tabs>
        <w:snapToGrid w:val="0"/>
        <w:spacing w:line="460" w:lineRule="atLeast"/>
        <w:ind w:firstLine="564" w:firstLineChars="235"/>
        <w:rPr>
          <w:strike/>
          <w:sz w:val="24"/>
        </w:rPr>
      </w:pPr>
      <w:r>
        <w:rPr>
          <w:sz w:val="24"/>
        </w:rPr>
        <w:t xml:space="preserve">3.4.2 </w:t>
      </w:r>
      <w:r>
        <w:rPr>
          <w:rFonts w:hint="eastAsia"/>
          <w:sz w:val="24"/>
        </w:rPr>
        <w:t>在施工组织设计（暗标）评审过程中，评标委员会个别成员的评分工程单项评分与其他评标委员会成员的单项评分平均值差异在</w:t>
      </w:r>
      <w:r>
        <w:rPr>
          <w:sz w:val="24"/>
        </w:rPr>
        <w:t>20%</w:t>
      </w:r>
      <w:r>
        <w:rPr>
          <w:rFonts w:hint="eastAsia"/>
          <w:sz w:val="24"/>
        </w:rPr>
        <w:t>以上或者有重大意见分歧时，评标委员会负责人应当提醒其进行复核，经复核后该评标委员会成员仍坚持其独立意见的，应当做出书面说明。但是该成员所评出的总分趋势与其他成员相对一致、不影响中标结果的，应当视为合理。</w:t>
      </w:r>
      <w:r>
        <w:rPr>
          <w:strike/>
          <w:sz w:val="24"/>
        </w:rPr>
        <w:t xml:space="preserve"> </w:t>
      </w:r>
    </w:p>
    <w:p>
      <w:pPr>
        <w:tabs>
          <w:tab w:val="left" w:pos="912"/>
          <w:tab w:val="left" w:pos="2456"/>
        </w:tabs>
        <w:snapToGrid w:val="0"/>
        <w:spacing w:line="460" w:lineRule="atLeast"/>
        <w:ind w:firstLine="564" w:firstLineChars="235"/>
        <w:rPr>
          <w:sz w:val="24"/>
        </w:rPr>
      </w:pPr>
      <w:r>
        <w:rPr>
          <w:sz w:val="24"/>
        </w:rPr>
        <w:t>3.4.</w:t>
      </w:r>
      <w:r>
        <w:rPr>
          <w:rFonts w:hint="eastAsia"/>
          <w:sz w:val="24"/>
        </w:rPr>
        <w:t>3评标委员会如发现施工组织设计（暗标）存在本办法否决投标的情形，则经全体评标委员会成员确认后，按无效投标处理，将否决其投标，并记录在案，该投标文件不再进入后续评审。</w:t>
      </w:r>
    </w:p>
    <w:p>
      <w:pPr>
        <w:pStyle w:val="6"/>
        <w:spacing w:before="0" w:line="460" w:lineRule="atLeast"/>
        <w:ind w:firstLine="566" w:firstLineChars="235"/>
        <w:jc w:val="both"/>
        <w:rPr>
          <w:sz w:val="24"/>
          <w:szCs w:val="24"/>
        </w:rPr>
      </w:pPr>
      <w:r>
        <w:rPr>
          <w:sz w:val="24"/>
          <w:szCs w:val="24"/>
        </w:rPr>
        <w:t xml:space="preserve">3.5 </w:t>
      </w:r>
      <w:r>
        <w:rPr>
          <w:rFonts w:hint="eastAsia"/>
          <w:sz w:val="24"/>
          <w:szCs w:val="24"/>
        </w:rPr>
        <w:t>初步评审</w:t>
      </w:r>
    </w:p>
    <w:p>
      <w:pPr>
        <w:tabs>
          <w:tab w:val="left" w:pos="912"/>
          <w:tab w:val="left" w:pos="2456"/>
        </w:tabs>
        <w:snapToGrid w:val="0"/>
        <w:spacing w:line="460" w:lineRule="atLeast"/>
        <w:ind w:firstLine="564" w:firstLineChars="235"/>
        <w:rPr>
          <w:sz w:val="24"/>
        </w:rPr>
      </w:pPr>
      <w:r>
        <w:rPr>
          <w:sz w:val="24"/>
        </w:rPr>
        <w:t xml:space="preserve">3.5.1 </w:t>
      </w:r>
      <w:r>
        <w:rPr>
          <w:rFonts w:hint="eastAsia"/>
          <w:sz w:val="24"/>
        </w:rPr>
        <w:t>形式评审</w:t>
      </w:r>
    </w:p>
    <w:p>
      <w:pPr>
        <w:tabs>
          <w:tab w:val="left" w:pos="912"/>
          <w:tab w:val="left" w:pos="2456"/>
        </w:tabs>
        <w:snapToGrid w:val="0"/>
        <w:spacing w:line="460" w:lineRule="atLeast"/>
        <w:ind w:firstLine="564" w:firstLineChars="235"/>
        <w:rPr>
          <w:sz w:val="24"/>
        </w:rPr>
      </w:pPr>
      <w:r>
        <w:rPr>
          <w:rFonts w:hint="eastAsia"/>
          <w:sz w:val="24"/>
        </w:rPr>
        <w:t>评标委员会根据评标办法附表</w:t>
      </w:r>
      <w:r>
        <w:rPr>
          <w:sz w:val="24"/>
        </w:rPr>
        <w:t>3</w:t>
      </w:r>
      <w:r>
        <w:rPr>
          <w:rFonts w:hint="eastAsia"/>
          <w:sz w:val="24"/>
        </w:rPr>
        <w:t>中规定的评审因素和评审标准，对投标人的投标文件进行形式评审，并记录在评审记录表中。</w:t>
      </w:r>
    </w:p>
    <w:p>
      <w:pPr>
        <w:tabs>
          <w:tab w:val="left" w:pos="912"/>
          <w:tab w:val="left" w:pos="2456"/>
        </w:tabs>
        <w:snapToGrid w:val="0"/>
        <w:spacing w:line="460" w:lineRule="atLeast"/>
        <w:ind w:firstLine="564" w:firstLineChars="235"/>
        <w:rPr>
          <w:sz w:val="24"/>
        </w:rPr>
      </w:pPr>
      <w:r>
        <w:rPr>
          <w:sz w:val="24"/>
        </w:rPr>
        <w:t xml:space="preserve">3.5.2 </w:t>
      </w:r>
      <w:r>
        <w:rPr>
          <w:rFonts w:hint="eastAsia"/>
          <w:sz w:val="24"/>
        </w:rPr>
        <w:t>响应性评审</w:t>
      </w:r>
    </w:p>
    <w:p>
      <w:pPr>
        <w:tabs>
          <w:tab w:val="left" w:pos="912"/>
          <w:tab w:val="left" w:pos="2456"/>
        </w:tabs>
        <w:snapToGrid w:val="0"/>
        <w:spacing w:line="460" w:lineRule="atLeast"/>
        <w:ind w:firstLine="564" w:firstLineChars="235"/>
        <w:rPr>
          <w:sz w:val="24"/>
        </w:rPr>
      </w:pPr>
      <w:r>
        <w:rPr>
          <w:rFonts w:hint="eastAsia"/>
          <w:sz w:val="24"/>
        </w:rPr>
        <w:t>（</w:t>
      </w:r>
      <w:r>
        <w:rPr>
          <w:sz w:val="24"/>
        </w:rPr>
        <w:t>1</w:t>
      </w:r>
      <w:r>
        <w:rPr>
          <w:rFonts w:hint="eastAsia"/>
          <w:sz w:val="24"/>
        </w:rPr>
        <w:t>）评标委员会根据评标办法附表</w:t>
      </w:r>
      <w:r>
        <w:rPr>
          <w:sz w:val="24"/>
        </w:rPr>
        <w:t>5</w:t>
      </w:r>
      <w:r>
        <w:rPr>
          <w:rFonts w:hint="eastAsia"/>
          <w:sz w:val="24"/>
        </w:rPr>
        <w:t>中规定的评审因素和评审标准，对投标人的投标文件进行评审，并记录评审记录表中。</w:t>
      </w:r>
    </w:p>
    <w:p>
      <w:pPr>
        <w:tabs>
          <w:tab w:val="left" w:pos="912"/>
          <w:tab w:val="left" w:pos="2456"/>
        </w:tabs>
        <w:snapToGrid w:val="0"/>
        <w:spacing w:line="460" w:lineRule="atLeast"/>
        <w:ind w:firstLine="564" w:firstLineChars="235"/>
        <w:rPr>
          <w:rFonts w:ascii="宋体" w:cs="Arial"/>
          <w:b/>
          <w:sz w:val="24"/>
        </w:rPr>
      </w:pPr>
      <w:r>
        <w:rPr>
          <w:rFonts w:hint="eastAsia"/>
          <w:sz w:val="24"/>
        </w:rPr>
        <w:t>（</w:t>
      </w:r>
      <w:r>
        <w:rPr>
          <w:sz w:val="24"/>
        </w:rPr>
        <w:t>2</w:t>
      </w:r>
      <w:r>
        <w:rPr>
          <w:rFonts w:hint="eastAsia"/>
          <w:sz w:val="24"/>
        </w:rPr>
        <w:t>）</w:t>
      </w:r>
      <w:r>
        <w:rPr>
          <w:rFonts w:hint="eastAsia" w:ascii="宋体" w:hAnsi="宋体" w:cs="Arial"/>
          <w:sz w:val="24"/>
        </w:rPr>
        <w:t>投标偏差分析</w:t>
      </w:r>
    </w:p>
    <w:p>
      <w:pPr>
        <w:spacing w:line="460" w:lineRule="exact"/>
        <w:ind w:firstLine="564" w:firstLineChars="235"/>
        <w:rPr>
          <w:rFonts w:ascii="宋体" w:cs="Arial"/>
          <w:sz w:val="24"/>
        </w:rPr>
      </w:pPr>
      <w:r>
        <w:rPr>
          <w:rFonts w:hint="eastAsia" w:ascii="Arial" w:hAnsi="Arial" w:cs="Arial"/>
          <w:sz w:val="24"/>
        </w:rPr>
        <w:t>评标委员会依据招标文件，对所有投标文件进行审查并逐项列出每一份投标文件的全部投标偏差，并记录在评标办法附表</w:t>
      </w:r>
      <w:r>
        <w:rPr>
          <w:rFonts w:ascii="Arial" w:hAnsi="Arial" w:cs="Arial"/>
          <w:sz w:val="24"/>
        </w:rPr>
        <w:t>6</w:t>
      </w:r>
      <w:r>
        <w:rPr>
          <w:rFonts w:hint="eastAsia" w:ascii="Arial" w:hAnsi="Arial" w:cs="Arial"/>
          <w:sz w:val="24"/>
        </w:rPr>
        <w:t>偏差分析记录表中。</w:t>
      </w:r>
      <w:r>
        <w:rPr>
          <w:rFonts w:hint="eastAsia" w:ascii="宋体" w:hAnsi="宋体" w:cs="Arial"/>
          <w:sz w:val="24"/>
        </w:rPr>
        <w:t>判断投标文件是否存在重大偏差，重大偏差是指对本招标工程的承包范围、工期、质量及实施产生了重大影响，或者对招标文件中规定的招标人权利及投标人义务等造成重大削弱或限制的偏差，而且纠正此类偏差将会对响应本次招标的其他投标人的竞争地位产生不公正的影响。存在重大偏差的投标文件应予以否决。细微偏差是指</w:t>
      </w:r>
      <w:r>
        <w:rPr>
          <w:rFonts w:hint="eastAsia" w:ascii="Arial" w:hAnsi="Arial" w:cs="Arial"/>
          <w:bCs/>
          <w:sz w:val="24"/>
        </w:rPr>
        <w:t>投标文件在实质上响应招标文件的要求，但在个别地方存在漏项或者提供的技术信息和数据不完整等情况，而补正这些遗漏和不完整不会对其他投标人造成不公平的结果。细微偏差不影响投标文件的有效性。</w:t>
      </w:r>
      <w:r>
        <w:rPr>
          <w:rFonts w:hint="eastAsia" w:ascii="Arial" w:hAnsi="Arial"/>
          <w:bCs/>
          <w:sz w:val="24"/>
        </w:rPr>
        <w:t>评标委员会应当书面要求存在细微偏差的投标人在评标结束前予以补正。</w:t>
      </w:r>
    </w:p>
    <w:p>
      <w:pPr>
        <w:spacing w:line="460" w:lineRule="exact"/>
        <w:ind w:firstLine="564" w:firstLineChars="235"/>
        <w:rPr>
          <w:rFonts w:ascii="宋体" w:cs="Arial"/>
          <w:sz w:val="24"/>
        </w:rPr>
      </w:pPr>
      <w:r>
        <w:rPr>
          <w:rFonts w:hint="eastAsia" w:ascii="Arial" w:hAnsi="Arial" w:cs="Arial"/>
          <w:sz w:val="24"/>
        </w:rPr>
        <w:t>（</w:t>
      </w:r>
      <w:r>
        <w:rPr>
          <w:rFonts w:ascii="Arial" w:hAnsi="Arial" w:cs="Arial"/>
          <w:sz w:val="24"/>
        </w:rPr>
        <w:t>3</w:t>
      </w:r>
      <w:r>
        <w:rPr>
          <w:rFonts w:hint="eastAsia" w:ascii="Arial" w:hAnsi="Arial" w:cs="Arial"/>
          <w:sz w:val="24"/>
        </w:rPr>
        <w:t>）判断投标文件是否存在</w:t>
      </w:r>
      <w:r>
        <w:rPr>
          <w:rFonts w:hint="eastAsia" w:ascii="宋体" w:hAnsi="宋体" w:cs="Arial"/>
          <w:sz w:val="24"/>
        </w:rPr>
        <w:t>本章</w:t>
      </w:r>
      <w:r>
        <w:rPr>
          <w:rFonts w:hint="eastAsia" w:ascii="Arial" w:hAnsi="Arial" w:cs="Arial"/>
          <w:sz w:val="24"/>
        </w:rPr>
        <w:t>第</w:t>
      </w:r>
      <w:r>
        <w:rPr>
          <w:rFonts w:ascii="Arial" w:hAnsi="Arial" w:cs="Arial"/>
          <w:sz w:val="24"/>
        </w:rPr>
        <w:t>4</w:t>
      </w:r>
      <w:r>
        <w:rPr>
          <w:rFonts w:hint="eastAsia" w:ascii="Arial" w:hAnsi="Arial" w:cs="Arial"/>
          <w:sz w:val="24"/>
        </w:rPr>
        <w:t>条</w:t>
      </w:r>
      <w:r>
        <w:rPr>
          <w:rFonts w:hint="eastAsia" w:ascii="宋体" w:hAnsi="宋体" w:cs="Arial"/>
          <w:sz w:val="24"/>
        </w:rPr>
        <w:t>中的规定否决投标的情形。</w:t>
      </w:r>
    </w:p>
    <w:p>
      <w:pPr>
        <w:spacing w:line="460" w:lineRule="exact"/>
        <w:ind w:firstLine="564" w:firstLineChars="235"/>
        <w:rPr>
          <w:rFonts w:ascii="宋体" w:cs="Arial"/>
          <w:sz w:val="24"/>
        </w:rPr>
      </w:pPr>
      <w:r>
        <w:rPr>
          <w:rFonts w:ascii="宋体" w:hAnsi="宋体" w:cs="Arial"/>
          <w:sz w:val="24"/>
        </w:rPr>
        <w:t>3.5.3</w:t>
      </w:r>
      <w:r>
        <w:rPr>
          <w:rFonts w:hint="eastAsia" w:ascii="宋体" w:hAnsi="宋体" w:cs="Arial"/>
          <w:sz w:val="24"/>
        </w:rPr>
        <w:t>投标人资格审查</w:t>
      </w:r>
    </w:p>
    <w:p>
      <w:pPr>
        <w:tabs>
          <w:tab w:val="left" w:pos="912"/>
          <w:tab w:val="left" w:pos="2456"/>
        </w:tabs>
        <w:snapToGrid w:val="0"/>
        <w:spacing w:line="460" w:lineRule="atLeast"/>
        <w:ind w:firstLine="564" w:firstLineChars="235"/>
        <w:rPr>
          <w:sz w:val="24"/>
        </w:rPr>
      </w:pPr>
      <w:r>
        <w:rPr>
          <w:rFonts w:hint="eastAsia"/>
          <w:sz w:val="24"/>
        </w:rPr>
        <w:t>评标委员会根据评标办法附表</w:t>
      </w:r>
      <w:r>
        <w:rPr>
          <w:sz w:val="24"/>
        </w:rPr>
        <w:t>4</w:t>
      </w:r>
      <w:r>
        <w:rPr>
          <w:rFonts w:hint="eastAsia"/>
          <w:sz w:val="24"/>
        </w:rPr>
        <w:t>中规定的评审因素和评审标准，对投标人的投标文件进行资格评审，并记录在投标人资格审查表中。</w:t>
      </w:r>
    </w:p>
    <w:p>
      <w:pPr>
        <w:pStyle w:val="6"/>
        <w:spacing w:before="0" w:line="460" w:lineRule="atLeast"/>
        <w:ind w:firstLine="566" w:firstLineChars="235"/>
        <w:jc w:val="both"/>
        <w:rPr>
          <w:sz w:val="24"/>
          <w:szCs w:val="24"/>
        </w:rPr>
      </w:pPr>
      <w:r>
        <w:rPr>
          <w:sz w:val="24"/>
          <w:szCs w:val="24"/>
        </w:rPr>
        <w:t xml:space="preserve">3.6 </w:t>
      </w:r>
      <w:r>
        <w:rPr>
          <w:rFonts w:hint="eastAsia"/>
          <w:sz w:val="24"/>
          <w:szCs w:val="24"/>
        </w:rPr>
        <w:t>对投标文件进行基础性数据分析和整理工作</w:t>
      </w:r>
      <w:r>
        <w:rPr>
          <w:rFonts w:hint="eastAsia"/>
          <w:sz w:val="24"/>
        </w:rPr>
        <w:t>（清单比对）</w:t>
      </w:r>
    </w:p>
    <w:p>
      <w:pPr>
        <w:autoSpaceDE w:val="0"/>
        <w:autoSpaceDN w:val="0"/>
        <w:adjustRightInd w:val="0"/>
        <w:spacing w:line="460" w:lineRule="atLeast"/>
        <w:ind w:left="198" w:firstLine="360" w:firstLineChars="150"/>
        <w:jc w:val="left"/>
        <w:rPr>
          <w:rFonts w:ascii="宋体" w:cs="Arial"/>
          <w:bCs/>
          <w:sz w:val="24"/>
        </w:rPr>
      </w:pPr>
      <w:r>
        <w:rPr>
          <w:sz w:val="24"/>
        </w:rPr>
        <w:t xml:space="preserve">3.6.1 </w:t>
      </w:r>
      <w:r>
        <w:rPr>
          <w:rFonts w:hint="eastAsia" w:ascii="宋体" w:hAnsi="宋体" w:cs="Arial"/>
          <w:bCs/>
          <w:sz w:val="24"/>
        </w:rPr>
        <w:t>在不改变投标人投标文件实质性内容的前提下，评标委员会应当对投标文件进行基础性数据分析和整理（本章中简称为“清单比对”），从而发现并提取其中可能存在的对招标范围理解的偏差、投标报价的算术性错误、错漏项、投标报价构成不合理、不平衡报价等存在明显异常的问题，并就这些问题整理形成清标成果。评标委员会对清标成果审议后，决定需要投标人进行书面澄清、说明或补正的问题，形成质疑问卷，向投标人发出问题澄清通知（包括质疑问卷）。质疑函不得向投标人提出带有暗示性或诱导性问题，或向其明确投标文件中的遗漏和错误。</w:t>
      </w:r>
    </w:p>
    <w:p>
      <w:pPr>
        <w:autoSpaceDE w:val="0"/>
        <w:autoSpaceDN w:val="0"/>
        <w:adjustRightInd w:val="0"/>
        <w:spacing w:line="460" w:lineRule="atLeast"/>
        <w:ind w:left="198" w:firstLine="360" w:firstLineChars="150"/>
        <w:jc w:val="left"/>
        <w:rPr>
          <w:rFonts w:ascii="宋体" w:cs="Arial"/>
          <w:bCs/>
          <w:sz w:val="24"/>
        </w:rPr>
      </w:pPr>
      <w:r>
        <w:rPr>
          <w:sz w:val="24"/>
        </w:rPr>
        <w:t xml:space="preserve">3.6.2 </w:t>
      </w:r>
      <w:r>
        <w:rPr>
          <w:rFonts w:hint="eastAsia" w:ascii="宋体" w:hAnsi="宋体" w:cs="Arial"/>
          <w:bCs/>
          <w:sz w:val="24"/>
        </w:rPr>
        <w:t>投标人接到评标委员会发出的问题澄清通知后，</w:t>
      </w:r>
      <w:r>
        <w:rPr>
          <w:rFonts w:hint="eastAsia" w:ascii="Arial" w:hAnsi="Arial" w:cs="Arial"/>
          <w:sz w:val="24"/>
          <w:szCs w:val="21"/>
        </w:rPr>
        <w:t>应按评标委员会的要求在规定的时间通过电子化平台上传澄清资料。</w:t>
      </w:r>
    </w:p>
    <w:p>
      <w:pPr>
        <w:pStyle w:val="6"/>
        <w:spacing w:before="0" w:line="460" w:lineRule="atLeast"/>
        <w:ind w:firstLine="566" w:firstLineChars="235"/>
        <w:jc w:val="both"/>
        <w:rPr>
          <w:sz w:val="24"/>
          <w:szCs w:val="24"/>
        </w:rPr>
      </w:pPr>
      <w:r>
        <w:rPr>
          <w:sz w:val="24"/>
          <w:szCs w:val="24"/>
        </w:rPr>
        <w:t xml:space="preserve">3.7 </w:t>
      </w:r>
      <w:r>
        <w:rPr>
          <w:rFonts w:hint="eastAsia"/>
          <w:sz w:val="24"/>
          <w:szCs w:val="24"/>
        </w:rPr>
        <w:t>企业实力和管理机构评审</w:t>
      </w:r>
    </w:p>
    <w:p>
      <w:pPr>
        <w:tabs>
          <w:tab w:val="left" w:pos="912"/>
          <w:tab w:val="left" w:pos="2456"/>
        </w:tabs>
        <w:snapToGrid w:val="0"/>
        <w:spacing w:line="460" w:lineRule="atLeast"/>
        <w:ind w:firstLine="564" w:firstLineChars="235"/>
        <w:rPr>
          <w:sz w:val="24"/>
        </w:rPr>
      </w:pPr>
      <w:r>
        <w:rPr>
          <w:rFonts w:hint="eastAsia"/>
          <w:sz w:val="24"/>
        </w:rPr>
        <w:t>评标委员会根据评标办法中规定的评审内容及评分标准对</w:t>
      </w:r>
      <w:r>
        <w:rPr>
          <w:rFonts w:hint="eastAsia" w:ascii="Arial" w:hAnsi="Arial" w:cs="Arial"/>
          <w:sz w:val="24"/>
        </w:rPr>
        <w:t>企业实力和管理机构</w:t>
      </w:r>
      <w:r>
        <w:rPr>
          <w:rFonts w:hint="eastAsia"/>
          <w:sz w:val="24"/>
        </w:rPr>
        <w:t>进行评审，并将评审分值记录在</w:t>
      </w:r>
      <w:r>
        <w:rPr>
          <w:rFonts w:hint="eastAsia" w:ascii="Arial" w:hAnsi="Arial" w:cs="Arial"/>
          <w:sz w:val="24"/>
        </w:rPr>
        <w:t>企业实力和管理机构</w:t>
      </w:r>
      <w:r>
        <w:rPr>
          <w:rFonts w:hint="eastAsia"/>
          <w:sz w:val="24"/>
        </w:rPr>
        <w:t>评审记录表中，具体评审要素和评分标准详见评标办法附表9。</w:t>
      </w:r>
      <w:r>
        <w:rPr>
          <w:sz w:val="24"/>
        </w:rPr>
        <w:t xml:space="preserve"> </w:t>
      </w:r>
    </w:p>
    <w:p>
      <w:pPr>
        <w:pStyle w:val="6"/>
        <w:ind w:firstLine="566" w:firstLineChars="235"/>
        <w:jc w:val="left"/>
        <w:rPr>
          <w:sz w:val="24"/>
          <w:szCs w:val="24"/>
        </w:rPr>
      </w:pPr>
      <w:r>
        <w:rPr>
          <w:sz w:val="24"/>
          <w:szCs w:val="24"/>
        </w:rPr>
        <w:t xml:space="preserve">3.8  </w:t>
      </w:r>
      <w:r>
        <w:rPr>
          <w:rFonts w:hint="eastAsia"/>
          <w:sz w:val="24"/>
          <w:szCs w:val="24"/>
        </w:rPr>
        <w:t>信誉评审和评分</w:t>
      </w:r>
    </w:p>
    <w:p>
      <w:pPr>
        <w:spacing w:line="360" w:lineRule="auto"/>
        <w:ind w:firstLine="480" w:firstLineChars="200"/>
        <w:rPr>
          <w:rFonts w:ascii="宋体"/>
          <w:sz w:val="24"/>
        </w:rPr>
      </w:pPr>
      <w:r>
        <w:rPr>
          <w:rFonts w:hint="eastAsia" w:ascii="宋体" w:hAnsi="宋体"/>
          <w:sz w:val="24"/>
        </w:rPr>
        <w:t>按照信誉评审记录表中规定的分值设定、各项评分因素、评分标准，对信誉进行评审和评分，并使用信誉评审记录表对信誉的评分结果。信誉评审记录表格式见评标办法附表11。</w:t>
      </w:r>
    </w:p>
    <w:p>
      <w:pPr>
        <w:pStyle w:val="6"/>
        <w:ind w:firstLine="562" w:firstLineChars="200"/>
        <w:jc w:val="left"/>
        <w:rPr>
          <w:rFonts w:ascii="宋体"/>
          <w:sz w:val="24"/>
          <w:szCs w:val="24"/>
        </w:rPr>
      </w:pPr>
      <w:r>
        <w:t xml:space="preserve">3.9 </w:t>
      </w:r>
      <w:r>
        <w:rPr>
          <w:rFonts w:hint="eastAsia" w:ascii="宋体" w:hAnsi="宋体"/>
          <w:sz w:val="24"/>
          <w:szCs w:val="24"/>
        </w:rPr>
        <w:t>其他因素的评审和评分</w:t>
      </w:r>
    </w:p>
    <w:p>
      <w:pPr>
        <w:pStyle w:val="149"/>
        <w:autoSpaceDE w:val="0"/>
        <w:autoSpaceDN w:val="0"/>
        <w:adjustRightInd w:val="0"/>
        <w:spacing w:line="360" w:lineRule="auto"/>
        <w:ind w:left="0" w:firstLine="480" w:firstLineChars="200"/>
        <w:rPr>
          <w:rFonts w:ascii="宋体" w:cs="Arial"/>
          <w:sz w:val="24"/>
          <w:szCs w:val="24"/>
        </w:rPr>
      </w:pPr>
      <w:r>
        <w:rPr>
          <w:rFonts w:hint="eastAsia" w:ascii="宋体" w:hAnsi="宋体"/>
          <w:sz w:val="24"/>
          <w:szCs w:val="24"/>
        </w:rPr>
        <w:t>根据其他因素评审记录表中规定各项评分因素、评分标准和相应的分值设定，对其他因素（如有）进行评审和评分，并使用其他因素评审记录表记录其评分结果，其他因素评审记录表格式见评标办法附表</w:t>
      </w:r>
      <w:r>
        <w:rPr>
          <w:rFonts w:ascii="宋体" w:hAnsi="宋体"/>
          <w:sz w:val="24"/>
          <w:szCs w:val="24"/>
        </w:rPr>
        <w:t>1</w:t>
      </w:r>
      <w:r>
        <w:rPr>
          <w:rFonts w:hint="eastAsia" w:ascii="宋体" w:hAnsi="宋体"/>
          <w:sz w:val="24"/>
          <w:szCs w:val="24"/>
        </w:rPr>
        <w:t>2。</w:t>
      </w:r>
    </w:p>
    <w:p>
      <w:pPr>
        <w:pStyle w:val="6"/>
        <w:spacing w:before="0" w:line="460" w:lineRule="atLeast"/>
        <w:ind w:firstLine="566" w:firstLineChars="235"/>
        <w:jc w:val="both"/>
        <w:rPr>
          <w:sz w:val="24"/>
          <w:szCs w:val="24"/>
        </w:rPr>
      </w:pPr>
      <w:r>
        <w:rPr>
          <w:sz w:val="24"/>
          <w:szCs w:val="24"/>
        </w:rPr>
        <w:t xml:space="preserve">3.10 </w:t>
      </w:r>
      <w:r>
        <w:rPr>
          <w:rFonts w:hint="eastAsia"/>
          <w:sz w:val="24"/>
          <w:szCs w:val="24"/>
        </w:rPr>
        <w:t>投标报价评审</w:t>
      </w:r>
    </w:p>
    <w:p>
      <w:pPr>
        <w:tabs>
          <w:tab w:val="left" w:pos="912"/>
          <w:tab w:val="left" w:pos="2456"/>
        </w:tabs>
        <w:snapToGrid w:val="0"/>
        <w:spacing w:line="460" w:lineRule="atLeast"/>
        <w:ind w:firstLine="564" w:firstLineChars="235"/>
        <w:rPr>
          <w:sz w:val="24"/>
        </w:rPr>
      </w:pPr>
      <w:r>
        <w:rPr>
          <w:sz w:val="24"/>
        </w:rPr>
        <w:t>3.10.1</w:t>
      </w:r>
      <w:r>
        <w:rPr>
          <w:rFonts w:hint="eastAsia"/>
          <w:sz w:val="24"/>
        </w:rPr>
        <w:t>评标委员会根据评标办法中规定的评审内容及评分标准对</w:t>
      </w:r>
      <w:r>
        <w:rPr>
          <w:rFonts w:hint="eastAsia" w:ascii="Arial" w:hAnsi="Arial" w:cs="Arial"/>
          <w:sz w:val="24"/>
        </w:rPr>
        <w:t>投标报价</w:t>
      </w:r>
      <w:r>
        <w:rPr>
          <w:rFonts w:hint="eastAsia"/>
          <w:sz w:val="24"/>
        </w:rPr>
        <w:t>进行评审，并将评审分值记录在</w:t>
      </w:r>
      <w:r>
        <w:rPr>
          <w:rFonts w:hint="eastAsia" w:ascii="Arial" w:hAnsi="Arial" w:cs="Arial"/>
          <w:sz w:val="24"/>
        </w:rPr>
        <w:t>投标报价</w:t>
      </w:r>
      <w:r>
        <w:rPr>
          <w:rFonts w:hint="eastAsia"/>
          <w:sz w:val="24"/>
        </w:rPr>
        <w:t>评审记录表中，具体评审要素和评分标准详见评标办法附表</w:t>
      </w:r>
      <w:r>
        <w:rPr>
          <w:sz w:val="24"/>
        </w:rPr>
        <w:t>1</w:t>
      </w:r>
      <w:r>
        <w:rPr>
          <w:rFonts w:hint="eastAsia"/>
          <w:sz w:val="24"/>
        </w:rPr>
        <w:t>3</w:t>
      </w:r>
      <w:r>
        <w:rPr>
          <w:sz w:val="24"/>
        </w:rPr>
        <w:t>-1</w:t>
      </w:r>
      <w:r>
        <w:rPr>
          <w:rFonts w:hint="eastAsia"/>
          <w:sz w:val="24"/>
        </w:rPr>
        <w:t>、</w:t>
      </w:r>
      <w:r>
        <w:rPr>
          <w:sz w:val="24"/>
        </w:rPr>
        <w:t>1</w:t>
      </w:r>
      <w:r>
        <w:rPr>
          <w:rFonts w:hint="eastAsia"/>
          <w:sz w:val="24"/>
        </w:rPr>
        <w:t>3</w:t>
      </w:r>
      <w:r>
        <w:rPr>
          <w:sz w:val="24"/>
        </w:rPr>
        <w:t>-2</w:t>
      </w:r>
      <w:r>
        <w:rPr>
          <w:rFonts w:hint="eastAsia"/>
          <w:sz w:val="24"/>
        </w:rPr>
        <w:t>，本工程适用</w:t>
      </w:r>
      <w:r>
        <w:rPr>
          <w:sz w:val="24"/>
          <w:u w:val="single"/>
        </w:rPr>
        <w:t xml:space="preserve">      </w:t>
      </w:r>
      <w:r>
        <w:rPr>
          <w:rFonts w:hint="eastAsia"/>
          <w:sz w:val="24"/>
        </w:rPr>
        <w:t>。</w:t>
      </w:r>
      <w:r>
        <w:rPr>
          <w:sz w:val="24"/>
        </w:rPr>
        <w:t xml:space="preserve">        </w:t>
      </w:r>
    </w:p>
    <w:p>
      <w:pPr>
        <w:tabs>
          <w:tab w:val="left" w:pos="912"/>
          <w:tab w:val="left" w:pos="2456"/>
        </w:tabs>
        <w:snapToGrid w:val="0"/>
        <w:spacing w:line="460" w:lineRule="atLeast"/>
        <w:ind w:firstLine="564" w:firstLineChars="235"/>
        <w:rPr>
          <w:sz w:val="24"/>
        </w:rPr>
      </w:pPr>
      <w:r>
        <w:rPr>
          <w:sz w:val="24"/>
        </w:rPr>
        <w:t>3.10.2</w:t>
      </w:r>
      <w:r>
        <w:rPr>
          <w:rFonts w:hint="eastAsia"/>
          <w:sz w:val="24"/>
        </w:rPr>
        <w:t>在对投标报价评审时应按如下程序进行：</w:t>
      </w:r>
    </w:p>
    <w:p>
      <w:pPr>
        <w:tabs>
          <w:tab w:val="left" w:pos="912"/>
          <w:tab w:val="left" w:pos="2456"/>
        </w:tabs>
        <w:snapToGrid w:val="0"/>
        <w:spacing w:line="460" w:lineRule="atLeast"/>
        <w:ind w:firstLine="564" w:firstLineChars="235"/>
        <w:rPr>
          <w:sz w:val="24"/>
        </w:rPr>
      </w:pPr>
      <w:r>
        <w:rPr>
          <w:rFonts w:hint="eastAsia"/>
          <w:sz w:val="24"/>
        </w:rPr>
        <w:t>（</w:t>
      </w:r>
      <w:r>
        <w:rPr>
          <w:sz w:val="24"/>
        </w:rPr>
        <w:t>1</w:t>
      </w:r>
      <w:r>
        <w:rPr>
          <w:rFonts w:hint="eastAsia"/>
          <w:sz w:val="24"/>
        </w:rPr>
        <w:t>）进行算术性错误分析和修正。算术性错误分析和修正的原则如下：</w:t>
      </w:r>
    </w:p>
    <w:p>
      <w:pPr>
        <w:tabs>
          <w:tab w:val="left" w:pos="912"/>
          <w:tab w:val="left" w:pos="2456"/>
        </w:tabs>
        <w:snapToGrid w:val="0"/>
        <w:spacing w:line="460" w:lineRule="atLeast"/>
        <w:ind w:firstLine="564" w:firstLineChars="235"/>
        <w:rPr>
          <w:sz w:val="24"/>
        </w:rPr>
      </w:pPr>
      <w:r>
        <w:rPr>
          <w:rFonts w:hint="eastAsia"/>
          <w:sz w:val="24"/>
        </w:rPr>
        <w:t>①</w:t>
      </w:r>
      <w:r>
        <w:rPr>
          <w:sz w:val="24"/>
        </w:rPr>
        <w:t xml:space="preserve"> </w:t>
      </w:r>
      <w:r>
        <w:rPr>
          <w:rFonts w:hint="eastAsia"/>
          <w:sz w:val="24"/>
        </w:rPr>
        <w:t>用数字表示的数额与用文字表示的数额不一致时，以文字数额为准；</w:t>
      </w:r>
    </w:p>
    <w:p>
      <w:pPr>
        <w:tabs>
          <w:tab w:val="left" w:pos="912"/>
          <w:tab w:val="left" w:pos="2456"/>
        </w:tabs>
        <w:snapToGrid w:val="0"/>
        <w:spacing w:line="460" w:lineRule="atLeast"/>
        <w:ind w:firstLine="564" w:firstLineChars="235"/>
        <w:rPr>
          <w:sz w:val="24"/>
        </w:rPr>
      </w:pPr>
      <w:r>
        <w:rPr>
          <w:rFonts w:hint="eastAsia"/>
          <w:sz w:val="24"/>
        </w:rPr>
        <w:t>②</w:t>
      </w:r>
      <w:r>
        <w:rPr>
          <w:sz w:val="24"/>
        </w:rPr>
        <w:t xml:space="preserve"> </w:t>
      </w:r>
      <w:r>
        <w:rPr>
          <w:rFonts w:hint="eastAsia"/>
          <w:sz w:val="24"/>
        </w:rPr>
        <w:t>单价与工程量的乘积与总价之间不一致时，以单价为准。若单价有明显的小数点错位，应以总价为准，并修改单价；</w:t>
      </w:r>
    </w:p>
    <w:p>
      <w:pPr>
        <w:tabs>
          <w:tab w:val="left" w:pos="912"/>
          <w:tab w:val="left" w:pos="2456"/>
        </w:tabs>
        <w:snapToGrid w:val="0"/>
        <w:spacing w:line="460" w:lineRule="atLeast"/>
        <w:ind w:firstLine="564" w:firstLineChars="235"/>
        <w:rPr>
          <w:sz w:val="24"/>
        </w:rPr>
      </w:pPr>
      <w:r>
        <w:rPr>
          <w:rFonts w:hint="eastAsia"/>
          <w:sz w:val="24"/>
        </w:rPr>
        <w:t>③</w:t>
      </w:r>
      <w:r>
        <w:rPr>
          <w:sz w:val="24"/>
        </w:rPr>
        <w:t xml:space="preserve"> </w:t>
      </w:r>
      <w:r>
        <w:rPr>
          <w:rFonts w:hint="eastAsia"/>
          <w:sz w:val="24"/>
        </w:rPr>
        <w:t>当标出的分项乘积累计得出的合价与标出的合价不一致时，以标出的分项乘积合价为准，并修改标出的合价。</w:t>
      </w:r>
    </w:p>
    <w:p>
      <w:pPr>
        <w:tabs>
          <w:tab w:val="left" w:pos="912"/>
          <w:tab w:val="left" w:pos="2456"/>
        </w:tabs>
        <w:snapToGrid w:val="0"/>
        <w:spacing w:line="460" w:lineRule="atLeast"/>
        <w:ind w:firstLine="564" w:firstLineChars="235"/>
        <w:rPr>
          <w:sz w:val="24"/>
        </w:rPr>
      </w:pPr>
      <w:r>
        <w:rPr>
          <w:rFonts w:hint="eastAsia"/>
          <w:sz w:val="24"/>
        </w:rPr>
        <w:t>④</w:t>
      </w:r>
      <w:r>
        <w:rPr>
          <w:sz w:val="24"/>
        </w:rPr>
        <w:t xml:space="preserve"> </w:t>
      </w:r>
      <w:r>
        <w:rPr>
          <w:rFonts w:hint="eastAsia"/>
          <w:sz w:val="24"/>
        </w:rPr>
        <w:t>投标函上的投标报价与已标价的工程量清单中的投标总价不一致时，以投标函中的报价为准。</w:t>
      </w:r>
    </w:p>
    <w:p>
      <w:pPr>
        <w:tabs>
          <w:tab w:val="left" w:pos="912"/>
          <w:tab w:val="left" w:pos="2456"/>
        </w:tabs>
        <w:snapToGrid w:val="0"/>
        <w:spacing w:line="460" w:lineRule="atLeast"/>
        <w:ind w:firstLine="566" w:firstLineChars="235"/>
        <w:rPr>
          <w:sz w:val="24"/>
        </w:rPr>
      </w:pPr>
      <w:r>
        <w:rPr>
          <w:rFonts w:hint="eastAsia"/>
          <w:b/>
          <w:sz w:val="24"/>
          <w:u w:val="single"/>
        </w:rPr>
        <w:t>特别提醒</w:t>
      </w:r>
      <w:r>
        <w:rPr>
          <w:rFonts w:hint="eastAsia"/>
          <w:sz w:val="24"/>
        </w:rPr>
        <w:t>：任何情况下，不得对投标总价作出任何形式的修改。</w:t>
      </w:r>
    </w:p>
    <w:p>
      <w:pPr>
        <w:tabs>
          <w:tab w:val="left" w:pos="912"/>
          <w:tab w:val="left" w:pos="2456"/>
        </w:tabs>
        <w:snapToGrid w:val="0"/>
        <w:spacing w:line="460" w:lineRule="atLeast"/>
        <w:ind w:firstLine="564" w:firstLineChars="235"/>
        <w:rPr>
          <w:sz w:val="24"/>
        </w:rPr>
      </w:pPr>
      <w:r>
        <w:rPr>
          <w:rFonts w:hint="eastAsia"/>
          <w:sz w:val="24"/>
        </w:rPr>
        <w:t>（</w:t>
      </w:r>
      <w:r>
        <w:rPr>
          <w:sz w:val="24"/>
        </w:rPr>
        <w:t>1</w:t>
      </w:r>
      <w:r>
        <w:rPr>
          <w:rFonts w:hint="eastAsia"/>
          <w:sz w:val="24"/>
        </w:rPr>
        <w:t>）评标委员会按照上述修正错误的原则和方法，调整或修正投标报价中标明的单价或费率。评标委员会的调整或修正经投标人确认和补正后，对投标人起约束作用。</w:t>
      </w:r>
    </w:p>
    <w:p>
      <w:pPr>
        <w:tabs>
          <w:tab w:val="left" w:pos="912"/>
          <w:tab w:val="left" w:pos="2456"/>
        </w:tabs>
        <w:snapToGrid w:val="0"/>
        <w:spacing w:line="460" w:lineRule="atLeast"/>
        <w:ind w:firstLine="564" w:firstLineChars="235"/>
        <w:rPr>
          <w:sz w:val="24"/>
        </w:rPr>
      </w:pPr>
      <w:r>
        <w:rPr>
          <w:rFonts w:hint="eastAsia"/>
          <w:sz w:val="24"/>
        </w:rPr>
        <w:t>（</w:t>
      </w:r>
      <w:r>
        <w:rPr>
          <w:sz w:val="24"/>
        </w:rPr>
        <w:t>2</w:t>
      </w:r>
      <w:r>
        <w:rPr>
          <w:rFonts w:hint="eastAsia"/>
          <w:sz w:val="24"/>
        </w:rPr>
        <w:t>）判断投标报价是否合理，投标报价是否低于成本（指投标人的个别成本，下同）；</w:t>
      </w:r>
    </w:p>
    <w:p>
      <w:pPr>
        <w:tabs>
          <w:tab w:val="left" w:pos="912"/>
          <w:tab w:val="left" w:pos="2456"/>
        </w:tabs>
        <w:snapToGrid w:val="0"/>
        <w:spacing w:line="460" w:lineRule="atLeast"/>
        <w:ind w:firstLine="564" w:firstLineChars="235"/>
        <w:rPr>
          <w:sz w:val="24"/>
        </w:rPr>
      </w:pPr>
      <w:r>
        <w:rPr>
          <w:rFonts w:hint="eastAsia"/>
          <w:sz w:val="24"/>
        </w:rPr>
        <w:t>（</w:t>
      </w:r>
      <w:r>
        <w:rPr>
          <w:sz w:val="24"/>
        </w:rPr>
        <w:t>3</w:t>
      </w:r>
      <w:r>
        <w:rPr>
          <w:rFonts w:hint="eastAsia"/>
          <w:sz w:val="24"/>
        </w:rPr>
        <w:t>）计算各有效投标的评标价格以及评标基准价。</w:t>
      </w:r>
    </w:p>
    <w:p>
      <w:pPr>
        <w:tabs>
          <w:tab w:val="left" w:pos="912"/>
          <w:tab w:val="left" w:pos="2456"/>
        </w:tabs>
        <w:snapToGrid w:val="0"/>
        <w:spacing w:line="460" w:lineRule="atLeast"/>
        <w:ind w:firstLine="564" w:firstLineChars="235"/>
        <w:rPr>
          <w:sz w:val="24"/>
        </w:rPr>
      </w:pPr>
      <w:r>
        <w:rPr>
          <w:rFonts w:hint="eastAsia"/>
          <w:sz w:val="24"/>
        </w:rPr>
        <w:t>评标价格</w:t>
      </w:r>
      <w:r>
        <w:rPr>
          <w:sz w:val="24"/>
        </w:rPr>
        <w:t>=</w:t>
      </w:r>
      <w:r>
        <w:rPr>
          <w:rFonts w:hint="eastAsia"/>
          <w:sz w:val="24"/>
        </w:rPr>
        <w:t>各有效投标的投标总报价</w:t>
      </w:r>
      <w:r>
        <w:rPr>
          <w:sz w:val="24"/>
        </w:rPr>
        <w:t>-</w:t>
      </w:r>
      <w:r>
        <w:rPr>
          <w:rFonts w:hint="eastAsia"/>
          <w:sz w:val="24"/>
        </w:rPr>
        <w:t>招标文件给定的暂列金额（含税）合计金额</w:t>
      </w:r>
      <w:r>
        <w:rPr>
          <w:sz w:val="24"/>
        </w:rPr>
        <w:t>-</w:t>
      </w:r>
      <w:r>
        <w:rPr>
          <w:rFonts w:hint="eastAsia"/>
          <w:sz w:val="24"/>
        </w:rPr>
        <w:t>招标文件给定的专业分包工程暂估价（含税）合计金额。</w:t>
      </w:r>
    </w:p>
    <w:p>
      <w:pPr>
        <w:tabs>
          <w:tab w:val="left" w:pos="912"/>
          <w:tab w:val="left" w:pos="2456"/>
        </w:tabs>
        <w:snapToGrid w:val="0"/>
        <w:spacing w:line="460" w:lineRule="atLeast"/>
        <w:ind w:firstLine="564" w:firstLineChars="235"/>
        <w:rPr>
          <w:sz w:val="24"/>
        </w:rPr>
      </w:pPr>
      <w:r>
        <w:rPr>
          <w:rFonts w:hint="eastAsia"/>
          <w:sz w:val="24"/>
        </w:rPr>
        <w:t>评标基准价</w:t>
      </w:r>
      <w:r>
        <w:rPr>
          <w:sz w:val="24"/>
        </w:rPr>
        <w:t>=</w:t>
      </w:r>
      <w:r>
        <w:rPr>
          <w:rFonts w:hint="eastAsia"/>
          <w:sz w:val="24"/>
        </w:rPr>
        <w:t>各有效投标去掉最高和最低各</w:t>
      </w:r>
      <w:r>
        <w:rPr>
          <w:sz w:val="24"/>
        </w:rPr>
        <w:t>N</w:t>
      </w:r>
      <w:r>
        <w:rPr>
          <w:rFonts w:hint="eastAsia"/>
          <w:sz w:val="24"/>
        </w:rPr>
        <w:t>家后的评标价格的算术平均值。</w:t>
      </w:r>
    </w:p>
    <w:p>
      <w:pPr>
        <w:tabs>
          <w:tab w:val="left" w:pos="912"/>
          <w:tab w:val="left" w:pos="2456"/>
        </w:tabs>
        <w:snapToGrid w:val="0"/>
        <w:spacing w:line="460" w:lineRule="atLeast"/>
        <w:ind w:firstLine="564" w:firstLineChars="235"/>
        <w:rPr>
          <w:sz w:val="24"/>
        </w:rPr>
      </w:pPr>
      <w:r>
        <w:rPr>
          <w:rFonts w:hint="eastAsia"/>
          <w:sz w:val="24"/>
        </w:rPr>
        <w:t>注：当有效投标家数</w:t>
      </w:r>
      <w:r>
        <w:rPr>
          <w:sz w:val="24"/>
        </w:rPr>
        <w:t>X</w:t>
      </w:r>
      <w:r>
        <w:rPr>
          <w:rFonts w:hint="eastAsia" w:ascii="宋体" w:hAnsi="宋体" w:cs="宋体"/>
          <w:sz w:val="24"/>
        </w:rPr>
        <w:t>≧</w:t>
      </w:r>
      <w:r>
        <w:rPr>
          <w:rFonts w:ascii="宋体" w:hAnsi="宋体" w:cs="宋体"/>
          <w:sz w:val="24"/>
          <w:u w:val="single"/>
        </w:rPr>
        <w:t xml:space="preserve">  </w:t>
      </w:r>
      <w:r>
        <w:rPr>
          <w:rFonts w:hint="eastAsia"/>
          <w:sz w:val="24"/>
        </w:rPr>
        <w:t>时，</w:t>
      </w:r>
      <w:r>
        <w:rPr>
          <w:sz w:val="24"/>
        </w:rPr>
        <w:t>N=</w:t>
      </w:r>
      <w:r>
        <w:rPr>
          <w:sz w:val="24"/>
          <w:u w:val="single"/>
        </w:rPr>
        <w:t xml:space="preserve">  </w:t>
      </w:r>
      <w:r>
        <w:rPr>
          <w:rFonts w:hint="eastAsia"/>
          <w:sz w:val="24"/>
        </w:rPr>
        <w:t>；</w:t>
      </w:r>
    </w:p>
    <w:p>
      <w:pPr>
        <w:tabs>
          <w:tab w:val="left" w:pos="912"/>
          <w:tab w:val="left" w:pos="2456"/>
        </w:tabs>
        <w:snapToGrid w:val="0"/>
        <w:spacing w:line="460" w:lineRule="atLeast"/>
        <w:ind w:firstLine="564" w:firstLineChars="235"/>
        <w:rPr>
          <w:sz w:val="24"/>
        </w:rPr>
      </w:pPr>
      <w:r>
        <w:rPr>
          <w:rFonts w:hint="eastAsia"/>
          <w:sz w:val="24"/>
        </w:rPr>
        <w:t>当有效投标家数</w:t>
      </w:r>
      <w:r>
        <w:rPr>
          <w:sz w:val="24"/>
        </w:rPr>
        <w:t>X</w:t>
      </w:r>
      <w:r>
        <w:rPr>
          <w:rFonts w:hint="eastAsia"/>
          <w:sz w:val="24"/>
        </w:rPr>
        <w:t>﹤</w:t>
      </w:r>
      <w:r>
        <w:rPr>
          <w:sz w:val="24"/>
          <w:u w:val="single"/>
        </w:rPr>
        <w:t xml:space="preserve">  </w:t>
      </w:r>
      <w:r>
        <w:rPr>
          <w:rFonts w:hint="eastAsia"/>
          <w:sz w:val="24"/>
        </w:rPr>
        <w:t>时，</w:t>
      </w:r>
      <w:r>
        <w:rPr>
          <w:sz w:val="24"/>
        </w:rPr>
        <w:t>N=</w:t>
      </w:r>
      <w:r>
        <w:rPr>
          <w:sz w:val="24"/>
          <w:u w:val="single"/>
        </w:rPr>
        <w:t xml:space="preserve">  </w:t>
      </w:r>
      <w:r>
        <w:rPr>
          <w:rFonts w:hint="eastAsia"/>
          <w:sz w:val="24"/>
        </w:rPr>
        <w:t>。</w:t>
      </w:r>
    </w:p>
    <w:p>
      <w:pPr>
        <w:tabs>
          <w:tab w:val="left" w:pos="912"/>
          <w:tab w:val="left" w:pos="2456"/>
        </w:tabs>
        <w:snapToGrid w:val="0"/>
        <w:spacing w:line="460" w:lineRule="atLeast"/>
        <w:ind w:firstLine="564" w:firstLineChars="235"/>
        <w:rPr>
          <w:sz w:val="24"/>
        </w:rPr>
      </w:pPr>
      <w:r>
        <w:rPr>
          <w:rFonts w:hint="eastAsia"/>
          <w:sz w:val="24"/>
        </w:rPr>
        <w:t>（</w:t>
      </w:r>
      <w:r>
        <w:rPr>
          <w:sz w:val="24"/>
        </w:rPr>
        <w:t>4</w:t>
      </w:r>
      <w:r>
        <w:rPr>
          <w:rFonts w:hint="eastAsia"/>
          <w:sz w:val="24"/>
        </w:rPr>
        <w:t>）计算有效投标报价的评标价与基准价的偏差率β。</w:t>
      </w:r>
    </w:p>
    <w:p>
      <w:pPr>
        <w:tabs>
          <w:tab w:val="left" w:pos="912"/>
          <w:tab w:val="left" w:pos="2456"/>
        </w:tabs>
        <w:snapToGrid w:val="0"/>
        <w:spacing w:line="460" w:lineRule="atLeast"/>
        <w:ind w:firstLine="564" w:firstLineChars="235"/>
        <w:rPr>
          <w:sz w:val="24"/>
        </w:rPr>
      </w:pPr>
      <w:r>
        <w:rPr>
          <w:rFonts w:hint="eastAsia"/>
          <w:sz w:val="24"/>
        </w:rPr>
        <w:t>β</w:t>
      </w:r>
      <w:r>
        <w:rPr>
          <w:sz w:val="24"/>
        </w:rPr>
        <w:t>=</w:t>
      </w:r>
      <w:r>
        <w:rPr>
          <w:rFonts w:hint="eastAsia"/>
          <w:sz w:val="24"/>
        </w:rPr>
        <w:t>（评标价格</w:t>
      </w:r>
      <w:r>
        <w:rPr>
          <w:sz w:val="24"/>
        </w:rPr>
        <w:t>-</w:t>
      </w:r>
      <w:r>
        <w:rPr>
          <w:rFonts w:hint="eastAsia"/>
          <w:sz w:val="24"/>
        </w:rPr>
        <w:t>基准价）</w:t>
      </w:r>
      <w:r>
        <w:rPr>
          <w:sz w:val="24"/>
        </w:rPr>
        <w:t>/</w:t>
      </w:r>
      <w:r>
        <w:rPr>
          <w:rFonts w:hint="eastAsia"/>
          <w:sz w:val="24"/>
        </w:rPr>
        <w:t>基准价</w:t>
      </w:r>
      <w:r>
        <w:rPr>
          <w:sz w:val="24"/>
        </w:rPr>
        <w:t>*100%</w:t>
      </w:r>
    </w:p>
    <w:p>
      <w:pPr>
        <w:tabs>
          <w:tab w:val="left" w:pos="912"/>
          <w:tab w:val="left" w:pos="2456"/>
        </w:tabs>
        <w:snapToGrid w:val="0"/>
        <w:spacing w:line="460" w:lineRule="atLeast"/>
        <w:ind w:firstLine="564" w:firstLineChars="235"/>
        <w:rPr>
          <w:sz w:val="24"/>
        </w:rPr>
      </w:pPr>
      <w:bookmarkStart w:id="158" w:name="_Toc144974575"/>
      <w:bookmarkStart w:id="159" w:name="_Toc152042385"/>
      <w:bookmarkStart w:id="160" w:name="_Toc338944695"/>
      <w:bookmarkStart w:id="161" w:name="_Toc342294804"/>
      <w:bookmarkStart w:id="162" w:name="_Toc179632625"/>
      <w:bookmarkStart w:id="163" w:name="_Toc333599740"/>
      <w:bookmarkStart w:id="164" w:name="_Toc349730915"/>
      <w:bookmarkStart w:id="165" w:name="_Toc362252720"/>
      <w:bookmarkStart w:id="166" w:name="_Toc333600764"/>
      <w:bookmarkStart w:id="167" w:name="_Toc152045607"/>
      <w:bookmarkStart w:id="168" w:name="_Toc342296252"/>
      <w:r>
        <w:rPr>
          <w:rFonts w:hint="eastAsia"/>
          <w:sz w:val="24"/>
        </w:rPr>
        <w:t>（</w:t>
      </w:r>
      <w:r>
        <w:rPr>
          <w:sz w:val="24"/>
        </w:rPr>
        <w:t>5</w:t>
      </w:r>
      <w:r>
        <w:rPr>
          <w:rFonts w:hint="eastAsia"/>
          <w:sz w:val="24"/>
        </w:rPr>
        <w:t>）根据有效投标报价的评标价与基准价的偏差率β所在范围及规定的分值确定投标人的投标报价得分，详见评标办法附表</w:t>
      </w:r>
      <w:r>
        <w:rPr>
          <w:sz w:val="24"/>
        </w:rPr>
        <w:t>1</w:t>
      </w:r>
      <w:r>
        <w:rPr>
          <w:rFonts w:hint="eastAsia"/>
          <w:sz w:val="24"/>
        </w:rPr>
        <w:t>3</w:t>
      </w:r>
      <w:r>
        <w:rPr>
          <w:sz w:val="24"/>
        </w:rPr>
        <w:t>-1</w:t>
      </w:r>
      <w:r>
        <w:rPr>
          <w:rFonts w:hint="eastAsia"/>
          <w:sz w:val="24"/>
        </w:rPr>
        <w:t>、</w:t>
      </w:r>
      <w:r>
        <w:rPr>
          <w:sz w:val="24"/>
        </w:rPr>
        <w:t>1</w:t>
      </w:r>
      <w:r>
        <w:rPr>
          <w:rFonts w:hint="eastAsia"/>
          <w:sz w:val="24"/>
        </w:rPr>
        <w:t>3</w:t>
      </w:r>
      <w:r>
        <w:rPr>
          <w:sz w:val="24"/>
        </w:rPr>
        <w:t>-2</w:t>
      </w:r>
      <w:r>
        <w:rPr>
          <w:rFonts w:hint="eastAsia"/>
          <w:sz w:val="24"/>
        </w:rPr>
        <w:t>，本工程适用</w:t>
      </w:r>
      <w:r>
        <w:rPr>
          <w:sz w:val="24"/>
          <w:u w:val="single"/>
        </w:rPr>
        <w:t xml:space="preserve">      </w:t>
      </w:r>
      <w:r>
        <w:rPr>
          <w:rFonts w:hint="eastAsia"/>
          <w:sz w:val="24"/>
        </w:rPr>
        <w:t>。</w:t>
      </w:r>
    </w:p>
    <w:p>
      <w:pPr>
        <w:tabs>
          <w:tab w:val="left" w:pos="912"/>
          <w:tab w:val="left" w:pos="2456"/>
        </w:tabs>
        <w:snapToGrid w:val="0"/>
        <w:spacing w:line="460" w:lineRule="atLeast"/>
        <w:ind w:firstLine="564" w:firstLineChars="235"/>
        <w:rPr>
          <w:sz w:val="24"/>
        </w:rPr>
      </w:pPr>
      <w:r>
        <w:rPr>
          <w:sz w:val="24"/>
        </w:rPr>
        <w:t>3.10.</w:t>
      </w:r>
      <w:r>
        <w:rPr>
          <w:rFonts w:hint="eastAsia"/>
          <w:sz w:val="24"/>
        </w:rPr>
        <w:t>3对政府采购工程小微企业投标增加其价格得分的的优惠：见投标人须知前附表。</w:t>
      </w:r>
    </w:p>
    <w:p>
      <w:pPr>
        <w:pStyle w:val="6"/>
        <w:tabs>
          <w:tab w:val="left" w:pos="690"/>
        </w:tabs>
        <w:spacing w:before="0" w:line="460" w:lineRule="atLeast"/>
        <w:ind w:firstLine="566" w:firstLineChars="235"/>
        <w:jc w:val="both"/>
        <w:rPr>
          <w:sz w:val="24"/>
          <w:szCs w:val="24"/>
        </w:rPr>
      </w:pPr>
      <w:r>
        <w:rPr>
          <w:sz w:val="24"/>
          <w:szCs w:val="24"/>
        </w:rPr>
        <w:t xml:space="preserve">3.11 </w:t>
      </w:r>
      <w:r>
        <w:rPr>
          <w:rFonts w:hint="eastAsia"/>
          <w:sz w:val="24"/>
          <w:szCs w:val="24"/>
        </w:rPr>
        <w:t>投标文件的澄清</w:t>
      </w:r>
      <w:bookmarkEnd w:id="158"/>
      <w:r>
        <w:rPr>
          <w:rFonts w:hint="eastAsia"/>
          <w:sz w:val="24"/>
          <w:szCs w:val="24"/>
        </w:rPr>
        <w:t>、说明和补正</w:t>
      </w:r>
      <w:bookmarkEnd w:id="159"/>
      <w:bookmarkEnd w:id="160"/>
      <w:bookmarkEnd w:id="161"/>
      <w:bookmarkEnd w:id="162"/>
      <w:bookmarkEnd w:id="163"/>
      <w:bookmarkEnd w:id="164"/>
      <w:bookmarkEnd w:id="165"/>
      <w:bookmarkEnd w:id="166"/>
      <w:bookmarkEnd w:id="167"/>
      <w:bookmarkEnd w:id="168"/>
    </w:p>
    <w:p>
      <w:pPr>
        <w:tabs>
          <w:tab w:val="left" w:pos="912"/>
          <w:tab w:val="left" w:pos="2456"/>
        </w:tabs>
        <w:snapToGrid w:val="0"/>
        <w:spacing w:line="460" w:lineRule="atLeast"/>
        <w:ind w:firstLine="564" w:firstLineChars="235"/>
        <w:rPr>
          <w:sz w:val="24"/>
        </w:rPr>
      </w:pPr>
      <w:r>
        <w:rPr>
          <w:sz w:val="24"/>
        </w:rPr>
        <w:t>3.11.1</w:t>
      </w:r>
      <w:r>
        <w:rPr>
          <w:rFonts w:hint="eastAsia"/>
          <w:sz w:val="24"/>
        </w:rPr>
        <w:t>在评标过程中，评标委员会可</w:t>
      </w:r>
      <w:r>
        <w:rPr>
          <w:rFonts w:hint="eastAsia" w:ascii="宋体" w:hAnsi="宋体" w:cs="Arial"/>
          <w:iCs/>
          <w:sz w:val="24"/>
          <w:szCs w:val="28"/>
        </w:rPr>
        <w:t>通过电子化平台</w:t>
      </w:r>
      <w:r>
        <w:rPr>
          <w:rFonts w:hint="eastAsia"/>
          <w:sz w:val="24"/>
        </w:rPr>
        <w:t>要求投标人对所提交投标文件中不明确的内容进行书面澄清或说明，或者对细微偏差进行补正。评标委员会不接受投标人主动提出的澄清、说明或补正。</w:t>
      </w:r>
    </w:p>
    <w:p>
      <w:pPr>
        <w:tabs>
          <w:tab w:val="left" w:pos="912"/>
          <w:tab w:val="left" w:pos="2456"/>
        </w:tabs>
        <w:snapToGrid w:val="0"/>
        <w:spacing w:line="460" w:lineRule="atLeast"/>
        <w:ind w:firstLine="564" w:firstLineChars="235"/>
        <w:rPr>
          <w:sz w:val="24"/>
        </w:rPr>
      </w:pPr>
      <w:r>
        <w:rPr>
          <w:sz w:val="24"/>
        </w:rPr>
        <w:t xml:space="preserve">3.11.2 </w:t>
      </w:r>
      <w:r>
        <w:rPr>
          <w:rFonts w:hint="eastAsia"/>
          <w:sz w:val="24"/>
        </w:rPr>
        <w:t>澄清、说明和补正不得改变投标文件的实质性内容（算术性错误修正的除外）。</w:t>
      </w:r>
      <w:r>
        <w:rPr>
          <w:rFonts w:hint="eastAsia" w:ascii="宋体" w:hAnsi="宋体" w:cs="Arial"/>
          <w:iCs/>
          <w:sz w:val="24"/>
          <w:szCs w:val="28"/>
        </w:rPr>
        <w:t>投标人通过电子化平台对评标委员会提出的质疑进行澄清、说明或补正属于投标文件的组成部分。联合体投标的，应当由联合体共同投标协议书约定的牵头人以联合体的名义，进行澄清、说明或补正，并按照投标文件投标函的盖章方式，由联合体牵头人或联合体所有成员加盖企业</w:t>
      </w:r>
      <w:r>
        <w:rPr>
          <w:rFonts w:ascii="宋体" w:hAnsi="宋体" w:cs="Arial"/>
          <w:iCs/>
          <w:sz w:val="24"/>
          <w:szCs w:val="28"/>
        </w:rPr>
        <w:t>CA</w:t>
      </w:r>
      <w:r>
        <w:rPr>
          <w:rFonts w:hint="eastAsia" w:ascii="宋体" w:hAnsi="宋体" w:cs="Arial"/>
          <w:iCs/>
          <w:sz w:val="24"/>
          <w:szCs w:val="28"/>
        </w:rPr>
        <w:t>电子印章后，通过电子化平台进行澄清、说明或补正。</w:t>
      </w:r>
    </w:p>
    <w:p>
      <w:pPr>
        <w:tabs>
          <w:tab w:val="left" w:pos="912"/>
          <w:tab w:val="left" w:pos="2456"/>
        </w:tabs>
        <w:snapToGrid w:val="0"/>
        <w:spacing w:line="460" w:lineRule="atLeast"/>
        <w:ind w:firstLine="564" w:firstLineChars="235"/>
        <w:rPr>
          <w:sz w:val="24"/>
        </w:rPr>
      </w:pPr>
      <w:r>
        <w:rPr>
          <w:sz w:val="24"/>
        </w:rPr>
        <w:t xml:space="preserve">3.11.3 </w:t>
      </w:r>
      <w:r>
        <w:rPr>
          <w:rFonts w:hint="eastAsia"/>
          <w:sz w:val="24"/>
        </w:rPr>
        <w:t>评标委员会对投标人提交的澄清、说明或补正有疑问的，可以要求投标人进一步澄清、说明或补正，直至满足评标委员会的要求。</w:t>
      </w:r>
    </w:p>
    <w:p>
      <w:pPr>
        <w:tabs>
          <w:tab w:val="left" w:pos="912"/>
          <w:tab w:val="left" w:pos="2456"/>
        </w:tabs>
        <w:snapToGrid w:val="0"/>
        <w:spacing w:line="460" w:lineRule="atLeast"/>
        <w:ind w:firstLine="564" w:firstLineChars="235"/>
        <w:rPr>
          <w:sz w:val="24"/>
        </w:rPr>
      </w:pPr>
      <w:r>
        <w:rPr>
          <w:rFonts w:hint="eastAsia"/>
          <w:sz w:val="24"/>
        </w:rPr>
        <w:t>3.11.4 问题澄清通知格式见评标办法专用部分附表17 。</w:t>
      </w:r>
    </w:p>
    <w:p>
      <w:pPr>
        <w:tabs>
          <w:tab w:val="left" w:pos="912"/>
          <w:tab w:val="left" w:pos="2456"/>
        </w:tabs>
        <w:snapToGrid w:val="0"/>
        <w:spacing w:line="460" w:lineRule="atLeast"/>
        <w:ind w:firstLine="564" w:firstLineChars="235"/>
        <w:rPr>
          <w:sz w:val="24"/>
        </w:rPr>
      </w:pPr>
      <w:r>
        <w:rPr>
          <w:rFonts w:hint="eastAsia"/>
          <w:sz w:val="24"/>
        </w:rPr>
        <w:t xml:space="preserve">3.11.5 </w:t>
      </w:r>
      <w:r>
        <w:rPr>
          <w:rFonts w:ascii="宋体" w:hAnsi="宋体"/>
          <w:sz w:val="24"/>
        </w:rPr>
        <w:t>问题的澄清、说明或补正见评标办法专用部分附表1</w:t>
      </w:r>
      <w:r>
        <w:rPr>
          <w:rFonts w:hint="eastAsia" w:ascii="宋体" w:hAnsi="宋体"/>
          <w:sz w:val="24"/>
        </w:rPr>
        <w:t>8。</w:t>
      </w:r>
    </w:p>
    <w:p>
      <w:pPr>
        <w:pStyle w:val="6"/>
        <w:spacing w:line="460" w:lineRule="atLeast"/>
        <w:ind w:firstLine="558" w:firstLineChars="232"/>
        <w:jc w:val="both"/>
        <w:rPr>
          <w:sz w:val="24"/>
          <w:szCs w:val="24"/>
        </w:rPr>
      </w:pPr>
      <w:r>
        <w:rPr>
          <w:sz w:val="24"/>
          <w:szCs w:val="24"/>
        </w:rPr>
        <w:t>3.12</w:t>
      </w:r>
      <w:r>
        <w:rPr>
          <w:rFonts w:hint="eastAsia"/>
          <w:sz w:val="24"/>
          <w:szCs w:val="24"/>
        </w:rPr>
        <w:t>汇总评审结果</w:t>
      </w:r>
    </w:p>
    <w:p>
      <w:pPr>
        <w:tabs>
          <w:tab w:val="left" w:pos="912"/>
          <w:tab w:val="left" w:pos="2456"/>
        </w:tabs>
        <w:snapToGrid w:val="0"/>
        <w:spacing w:line="460" w:lineRule="atLeast"/>
        <w:ind w:firstLine="564" w:firstLineChars="235"/>
        <w:rPr>
          <w:sz w:val="24"/>
        </w:rPr>
      </w:pPr>
      <w:r>
        <w:rPr>
          <w:sz w:val="24"/>
        </w:rPr>
        <w:t>3.12.1</w:t>
      </w:r>
      <w:r>
        <w:rPr>
          <w:rFonts w:hint="eastAsia"/>
          <w:sz w:val="24"/>
        </w:rPr>
        <w:t>评标委员会各成员按照评标办法计算各有效投标的加权得分并进行评分汇总，见评标附表</w:t>
      </w:r>
      <w:r>
        <w:rPr>
          <w:sz w:val="24"/>
        </w:rPr>
        <w:t>1</w:t>
      </w:r>
      <w:r>
        <w:rPr>
          <w:rFonts w:hint="eastAsia"/>
          <w:sz w:val="24"/>
        </w:rPr>
        <w:t>4评标委员会成员评分汇总及排序表，按照加权得分平均分值由高至低的次序，对各有效投标进行排序。</w:t>
      </w:r>
    </w:p>
    <w:p>
      <w:pPr>
        <w:tabs>
          <w:tab w:val="left" w:pos="912"/>
          <w:tab w:val="left" w:pos="2456"/>
        </w:tabs>
        <w:snapToGrid w:val="0"/>
        <w:spacing w:line="460" w:lineRule="atLeast"/>
        <w:ind w:firstLine="564" w:firstLineChars="235"/>
        <w:rPr>
          <w:sz w:val="24"/>
        </w:rPr>
      </w:pPr>
      <w:r>
        <w:rPr>
          <w:rFonts w:hint="eastAsia"/>
          <w:sz w:val="24"/>
        </w:rPr>
        <w:t>3.12.2本工程</w:t>
      </w:r>
      <w:r>
        <w:rPr>
          <w:rFonts w:hint="eastAsia"/>
          <w:sz w:val="24"/>
          <w:u w:val="single"/>
        </w:rPr>
        <w:t xml:space="preserve">     </w:t>
      </w:r>
      <w:r>
        <w:rPr>
          <w:rFonts w:hint="eastAsia"/>
          <w:sz w:val="24"/>
        </w:rPr>
        <w:t>（采用/不采用）去掉评标委员会成员打分的一个最高值和最低值后汇总投标人得分，并以算平均分作为投标人最终得分。</w:t>
      </w:r>
    </w:p>
    <w:p>
      <w:pPr>
        <w:pStyle w:val="6"/>
        <w:spacing w:line="460" w:lineRule="atLeast"/>
        <w:ind w:firstLine="566" w:firstLineChars="235"/>
        <w:jc w:val="both"/>
        <w:rPr>
          <w:sz w:val="24"/>
          <w:szCs w:val="24"/>
        </w:rPr>
      </w:pPr>
      <w:r>
        <w:rPr>
          <w:sz w:val="24"/>
          <w:szCs w:val="24"/>
        </w:rPr>
        <w:t>3.13</w:t>
      </w:r>
      <w:r>
        <w:rPr>
          <w:rFonts w:hint="eastAsia"/>
          <w:sz w:val="24"/>
          <w:szCs w:val="24"/>
        </w:rPr>
        <w:t>推荐中标候选人或者直接确定中标候选人</w:t>
      </w:r>
    </w:p>
    <w:p>
      <w:pPr>
        <w:tabs>
          <w:tab w:val="left" w:pos="912"/>
          <w:tab w:val="left" w:pos="2456"/>
        </w:tabs>
        <w:snapToGrid w:val="0"/>
        <w:spacing w:line="460" w:lineRule="atLeast"/>
        <w:ind w:firstLine="564" w:firstLineChars="235"/>
        <w:rPr>
          <w:sz w:val="24"/>
        </w:rPr>
      </w:pPr>
      <w:r>
        <w:rPr>
          <w:sz w:val="24"/>
        </w:rPr>
        <w:t>3.13.1</w:t>
      </w:r>
      <w:r>
        <w:rPr>
          <w:rFonts w:hint="eastAsia"/>
          <w:sz w:val="24"/>
        </w:rPr>
        <w:t>推荐中标候选人</w:t>
      </w:r>
    </w:p>
    <w:p>
      <w:pPr>
        <w:tabs>
          <w:tab w:val="left" w:pos="912"/>
          <w:tab w:val="left" w:pos="2456"/>
        </w:tabs>
        <w:snapToGrid w:val="0"/>
        <w:spacing w:line="460" w:lineRule="atLeast"/>
        <w:ind w:firstLine="564" w:firstLineChars="235"/>
        <w:rPr>
          <w:sz w:val="24"/>
        </w:rPr>
      </w:pPr>
      <w:r>
        <w:rPr>
          <w:rFonts w:hint="eastAsia"/>
          <w:sz w:val="24"/>
        </w:rPr>
        <w:t>评标委员会使用评标报告备案表记录投标人排名次序，并推荐中标候选人。</w:t>
      </w:r>
    </w:p>
    <w:p>
      <w:pPr>
        <w:tabs>
          <w:tab w:val="left" w:pos="912"/>
          <w:tab w:val="left" w:pos="2456"/>
        </w:tabs>
        <w:snapToGrid w:val="0"/>
        <w:spacing w:line="460" w:lineRule="atLeast"/>
        <w:ind w:firstLine="564" w:firstLineChars="235"/>
        <w:rPr>
          <w:sz w:val="24"/>
        </w:rPr>
      </w:pPr>
      <w:r>
        <w:rPr>
          <w:rFonts w:hint="eastAsia"/>
          <w:sz w:val="24"/>
        </w:rPr>
        <w:t>评标委员会在推荐中标候选人时，应按照最终得分由高到低的次序排列，并根据第二章“投标人须知”第</w:t>
      </w:r>
      <w:r>
        <w:rPr>
          <w:sz w:val="24"/>
        </w:rPr>
        <w:t>7.1</w:t>
      </w:r>
      <w:r>
        <w:rPr>
          <w:rFonts w:hint="eastAsia"/>
          <w:sz w:val="24"/>
        </w:rPr>
        <w:t>款规定的中标候选人数量，将排序在前的投标人推荐为中标候选人。招投标情况评标报告见附表</w:t>
      </w:r>
      <w:r>
        <w:rPr>
          <w:sz w:val="24"/>
        </w:rPr>
        <w:t>1</w:t>
      </w:r>
      <w:r>
        <w:rPr>
          <w:rFonts w:hint="eastAsia"/>
          <w:sz w:val="24"/>
        </w:rPr>
        <w:t>5</w:t>
      </w:r>
      <w:r>
        <w:rPr>
          <w:sz w:val="24"/>
        </w:rPr>
        <w:t>-1</w:t>
      </w:r>
      <w:r>
        <w:rPr>
          <w:rFonts w:hint="eastAsia"/>
          <w:sz w:val="24"/>
        </w:rPr>
        <w:t>。</w:t>
      </w:r>
    </w:p>
    <w:p>
      <w:pPr>
        <w:tabs>
          <w:tab w:val="left" w:pos="912"/>
          <w:tab w:val="left" w:pos="2456"/>
        </w:tabs>
        <w:snapToGrid w:val="0"/>
        <w:spacing w:line="460" w:lineRule="atLeast"/>
        <w:ind w:firstLine="564" w:firstLineChars="235"/>
        <w:rPr>
          <w:sz w:val="24"/>
        </w:rPr>
      </w:pPr>
      <w:r>
        <w:rPr>
          <w:sz w:val="24"/>
        </w:rPr>
        <w:t>3.13.2</w:t>
      </w:r>
      <w:r>
        <w:rPr>
          <w:rFonts w:hint="eastAsia"/>
          <w:sz w:val="24"/>
        </w:rPr>
        <w:t>直接确定中标人</w:t>
      </w:r>
    </w:p>
    <w:p>
      <w:pPr>
        <w:spacing w:line="460" w:lineRule="exact"/>
        <w:ind w:firstLine="564" w:firstLineChars="235"/>
        <w:rPr>
          <w:sz w:val="24"/>
        </w:rPr>
      </w:pPr>
      <w:r>
        <w:rPr>
          <w:rFonts w:hint="eastAsia"/>
          <w:sz w:val="24"/>
        </w:rPr>
        <w:t>第二章“投标人须知”第</w:t>
      </w:r>
      <w:r>
        <w:rPr>
          <w:sz w:val="24"/>
        </w:rPr>
        <w:t>7.1</w:t>
      </w:r>
      <w:r>
        <w:rPr>
          <w:rFonts w:hint="eastAsia"/>
          <w:sz w:val="24"/>
        </w:rPr>
        <w:t>款授权评标委员会直接确定中标人的，评标委员会按照最终得分由高到低的次序排列，并确定排名第一的投标人为中标人。评标委员会使用评标报告备案表记录投标人排名次序，并确定中标人。招投标情况评标报告见附表</w:t>
      </w:r>
      <w:r>
        <w:rPr>
          <w:sz w:val="24"/>
        </w:rPr>
        <w:t>1</w:t>
      </w:r>
      <w:r>
        <w:rPr>
          <w:rFonts w:hint="eastAsia"/>
          <w:sz w:val="24"/>
        </w:rPr>
        <w:t>5</w:t>
      </w:r>
      <w:r>
        <w:rPr>
          <w:sz w:val="24"/>
        </w:rPr>
        <w:t>-2</w:t>
      </w:r>
      <w:r>
        <w:rPr>
          <w:rFonts w:hint="eastAsia"/>
          <w:sz w:val="24"/>
        </w:rPr>
        <w:t>。</w:t>
      </w:r>
    </w:p>
    <w:p>
      <w:pPr>
        <w:pStyle w:val="6"/>
        <w:spacing w:line="460" w:lineRule="atLeast"/>
        <w:ind w:firstLine="566" w:firstLineChars="235"/>
        <w:jc w:val="both"/>
        <w:rPr>
          <w:sz w:val="24"/>
        </w:rPr>
      </w:pPr>
      <w:r>
        <w:rPr>
          <w:sz w:val="24"/>
          <w:szCs w:val="24"/>
        </w:rPr>
        <w:t>3.14</w:t>
      </w:r>
      <w:r>
        <w:rPr>
          <w:rFonts w:hint="eastAsia"/>
          <w:sz w:val="24"/>
        </w:rPr>
        <w:t>评标委员会复核打分</w:t>
      </w:r>
    </w:p>
    <w:p>
      <w:pPr>
        <w:spacing w:line="460" w:lineRule="exact"/>
        <w:ind w:firstLine="492" w:firstLineChars="205"/>
        <w:rPr>
          <w:sz w:val="24"/>
        </w:rPr>
      </w:pPr>
      <w:r>
        <w:rPr>
          <w:rFonts w:hint="eastAsia"/>
          <w:sz w:val="24"/>
        </w:rPr>
        <w:t>评标委员会应保证其评审的正确性，并使用评标委员会成员评标打分复核意见书记录评标复核结果。</w:t>
      </w:r>
    </w:p>
    <w:p>
      <w:pPr>
        <w:pStyle w:val="6"/>
        <w:spacing w:line="460" w:lineRule="atLeast"/>
        <w:ind w:firstLine="566" w:firstLineChars="235"/>
        <w:jc w:val="both"/>
        <w:rPr>
          <w:sz w:val="24"/>
          <w:szCs w:val="24"/>
        </w:rPr>
      </w:pPr>
      <w:r>
        <w:rPr>
          <w:sz w:val="24"/>
          <w:szCs w:val="24"/>
        </w:rPr>
        <w:t>3.15</w:t>
      </w:r>
      <w:r>
        <w:rPr>
          <w:rFonts w:hint="eastAsia"/>
          <w:sz w:val="24"/>
          <w:szCs w:val="24"/>
        </w:rPr>
        <w:t>编写评标报告</w:t>
      </w:r>
    </w:p>
    <w:p>
      <w:pPr>
        <w:tabs>
          <w:tab w:val="left" w:pos="912"/>
          <w:tab w:val="left" w:pos="2456"/>
        </w:tabs>
        <w:snapToGrid w:val="0"/>
        <w:spacing w:line="460" w:lineRule="atLeast"/>
        <w:ind w:firstLine="564" w:firstLineChars="235"/>
        <w:rPr>
          <w:sz w:val="24"/>
        </w:rPr>
      </w:pPr>
      <w:r>
        <w:rPr>
          <w:sz w:val="24"/>
        </w:rPr>
        <w:t>3.15.1</w:t>
      </w:r>
      <w:r>
        <w:rPr>
          <w:rFonts w:hint="eastAsia"/>
          <w:sz w:val="24"/>
        </w:rPr>
        <w:t>评标委员会完成上述评审和推荐中标候选人工作后，应及时整理评审成果，并在此基础上编写书面评标报告，评标委员会全体成员手写签名。评标报告应当包括如下内容：</w:t>
      </w:r>
    </w:p>
    <w:p>
      <w:pPr>
        <w:tabs>
          <w:tab w:val="left" w:pos="912"/>
          <w:tab w:val="left" w:pos="2456"/>
        </w:tabs>
        <w:snapToGrid w:val="0"/>
        <w:spacing w:line="460" w:lineRule="atLeast"/>
        <w:ind w:firstLine="564" w:firstLineChars="235"/>
        <w:rPr>
          <w:sz w:val="24"/>
        </w:rPr>
      </w:pPr>
      <w:r>
        <w:rPr>
          <w:rFonts w:hint="eastAsia"/>
          <w:sz w:val="24"/>
        </w:rPr>
        <w:t>（</w:t>
      </w:r>
      <w:r>
        <w:rPr>
          <w:sz w:val="24"/>
        </w:rPr>
        <w:t>1</w:t>
      </w:r>
      <w:r>
        <w:rPr>
          <w:rFonts w:hint="eastAsia"/>
          <w:sz w:val="24"/>
        </w:rPr>
        <w:t>）评标委员会签到记录；</w:t>
      </w:r>
    </w:p>
    <w:p>
      <w:pPr>
        <w:tabs>
          <w:tab w:val="left" w:pos="912"/>
          <w:tab w:val="left" w:pos="2456"/>
        </w:tabs>
        <w:snapToGrid w:val="0"/>
        <w:spacing w:line="460" w:lineRule="atLeast"/>
        <w:ind w:firstLine="564" w:firstLineChars="235"/>
        <w:rPr>
          <w:sz w:val="24"/>
        </w:rPr>
      </w:pPr>
      <w:r>
        <w:rPr>
          <w:rFonts w:hint="eastAsia"/>
          <w:sz w:val="24"/>
        </w:rPr>
        <w:t>（</w:t>
      </w:r>
      <w:r>
        <w:rPr>
          <w:sz w:val="24"/>
        </w:rPr>
        <w:t>2</w:t>
      </w:r>
      <w:r>
        <w:rPr>
          <w:rFonts w:hint="eastAsia"/>
          <w:sz w:val="24"/>
        </w:rPr>
        <w:t>）评标专家声明书；</w:t>
      </w:r>
    </w:p>
    <w:p>
      <w:pPr>
        <w:tabs>
          <w:tab w:val="left" w:pos="912"/>
          <w:tab w:val="left" w:pos="2456"/>
        </w:tabs>
        <w:snapToGrid w:val="0"/>
        <w:spacing w:line="460" w:lineRule="atLeast"/>
        <w:ind w:firstLine="564" w:firstLineChars="235"/>
        <w:rPr>
          <w:sz w:val="24"/>
        </w:rPr>
      </w:pPr>
      <w:r>
        <w:rPr>
          <w:rFonts w:hint="eastAsia"/>
          <w:sz w:val="24"/>
        </w:rPr>
        <w:t>（</w:t>
      </w:r>
      <w:r>
        <w:rPr>
          <w:sz w:val="24"/>
        </w:rPr>
        <w:t>3</w:t>
      </w:r>
      <w:r>
        <w:rPr>
          <w:rFonts w:hint="eastAsia"/>
          <w:sz w:val="24"/>
        </w:rPr>
        <w:t>）形式评审记录表；</w:t>
      </w:r>
    </w:p>
    <w:p>
      <w:pPr>
        <w:tabs>
          <w:tab w:val="left" w:pos="912"/>
          <w:tab w:val="left" w:pos="2456"/>
        </w:tabs>
        <w:snapToGrid w:val="0"/>
        <w:spacing w:line="460" w:lineRule="atLeast"/>
        <w:ind w:firstLine="564" w:firstLineChars="235"/>
        <w:rPr>
          <w:sz w:val="24"/>
        </w:rPr>
      </w:pPr>
      <w:r>
        <w:rPr>
          <w:rFonts w:hint="eastAsia"/>
          <w:sz w:val="24"/>
        </w:rPr>
        <w:t>（</w:t>
      </w:r>
      <w:r>
        <w:rPr>
          <w:sz w:val="24"/>
        </w:rPr>
        <w:t>4</w:t>
      </w:r>
      <w:r>
        <w:rPr>
          <w:rFonts w:hint="eastAsia"/>
          <w:sz w:val="24"/>
        </w:rPr>
        <w:t>）资格审查表；</w:t>
      </w:r>
    </w:p>
    <w:p>
      <w:pPr>
        <w:tabs>
          <w:tab w:val="left" w:pos="912"/>
          <w:tab w:val="left" w:pos="2456"/>
        </w:tabs>
        <w:snapToGrid w:val="0"/>
        <w:spacing w:line="460" w:lineRule="atLeast"/>
        <w:ind w:firstLine="564" w:firstLineChars="235"/>
        <w:rPr>
          <w:sz w:val="24"/>
        </w:rPr>
      </w:pPr>
      <w:r>
        <w:rPr>
          <w:rFonts w:hint="eastAsia"/>
          <w:sz w:val="24"/>
        </w:rPr>
        <w:t>（</w:t>
      </w:r>
      <w:r>
        <w:rPr>
          <w:sz w:val="24"/>
        </w:rPr>
        <w:t>5</w:t>
      </w:r>
      <w:r>
        <w:rPr>
          <w:rFonts w:hint="eastAsia"/>
          <w:sz w:val="24"/>
        </w:rPr>
        <w:t>）响应性评审记录表；</w:t>
      </w:r>
    </w:p>
    <w:p>
      <w:pPr>
        <w:tabs>
          <w:tab w:val="left" w:pos="912"/>
          <w:tab w:val="left" w:pos="2456"/>
        </w:tabs>
        <w:snapToGrid w:val="0"/>
        <w:spacing w:line="460" w:lineRule="atLeast"/>
        <w:ind w:firstLine="564" w:firstLineChars="235"/>
        <w:rPr>
          <w:sz w:val="24"/>
        </w:rPr>
      </w:pPr>
      <w:r>
        <w:rPr>
          <w:rFonts w:hint="eastAsia"/>
          <w:sz w:val="24"/>
        </w:rPr>
        <w:t>（</w:t>
      </w:r>
      <w:r>
        <w:rPr>
          <w:sz w:val="24"/>
        </w:rPr>
        <w:t>6</w:t>
      </w:r>
      <w:r>
        <w:rPr>
          <w:rFonts w:hint="eastAsia"/>
          <w:sz w:val="24"/>
        </w:rPr>
        <w:t>）投标偏差分析表；</w:t>
      </w:r>
    </w:p>
    <w:p>
      <w:pPr>
        <w:tabs>
          <w:tab w:val="left" w:pos="912"/>
          <w:tab w:val="left" w:pos="2456"/>
        </w:tabs>
        <w:snapToGrid w:val="0"/>
        <w:spacing w:line="460" w:lineRule="atLeast"/>
        <w:ind w:firstLine="564" w:firstLineChars="235"/>
        <w:rPr>
          <w:sz w:val="24"/>
        </w:rPr>
      </w:pPr>
      <w:r>
        <w:rPr>
          <w:rFonts w:hint="eastAsia"/>
          <w:sz w:val="24"/>
        </w:rPr>
        <w:t>（</w:t>
      </w:r>
      <w:r>
        <w:rPr>
          <w:sz w:val="24"/>
        </w:rPr>
        <w:t>7</w:t>
      </w:r>
      <w:r>
        <w:rPr>
          <w:rFonts w:hint="eastAsia"/>
          <w:sz w:val="24"/>
        </w:rPr>
        <w:t>）施工组织设计（暗标）评分记录表；</w:t>
      </w:r>
    </w:p>
    <w:p>
      <w:pPr>
        <w:tabs>
          <w:tab w:val="left" w:pos="912"/>
          <w:tab w:val="left" w:pos="2456"/>
        </w:tabs>
        <w:snapToGrid w:val="0"/>
        <w:spacing w:line="460" w:lineRule="atLeast"/>
        <w:ind w:firstLine="564" w:firstLineChars="235"/>
        <w:rPr>
          <w:sz w:val="24"/>
        </w:rPr>
      </w:pPr>
      <w:r>
        <w:rPr>
          <w:rFonts w:hint="eastAsia"/>
          <w:sz w:val="24"/>
        </w:rPr>
        <w:t>（</w:t>
      </w:r>
      <w:r>
        <w:rPr>
          <w:sz w:val="24"/>
        </w:rPr>
        <w:t>8</w:t>
      </w:r>
      <w:r>
        <w:rPr>
          <w:rFonts w:hint="eastAsia"/>
          <w:sz w:val="24"/>
        </w:rPr>
        <w:t>）施工组织设计（暗标）评分汇总录表；</w:t>
      </w:r>
    </w:p>
    <w:p>
      <w:pPr>
        <w:tabs>
          <w:tab w:val="left" w:pos="912"/>
          <w:tab w:val="left" w:pos="2456"/>
        </w:tabs>
        <w:snapToGrid w:val="0"/>
        <w:spacing w:line="460" w:lineRule="atLeast"/>
        <w:ind w:firstLine="564" w:firstLineChars="235"/>
        <w:rPr>
          <w:sz w:val="24"/>
        </w:rPr>
      </w:pPr>
      <w:r>
        <w:rPr>
          <w:rFonts w:hint="eastAsia"/>
          <w:sz w:val="24"/>
        </w:rPr>
        <w:t>（</w:t>
      </w:r>
      <w:r>
        <w:rPr>
          <w:sz w:val="24"/>
        </w:rPr>
        <w:t>9</w:t>
      </w:r>
      <w:r>
        <w:rPr>
          <w:rFonts w:hint="eastAsia"/>
          <w:sz w:val="24"/>
        </w:rPr>
        <w:t>）企业实力和管理机构评审记录表；</w:t>
      </w:r>
    </w:p>
    <w:p>
      <w:pPr>
        <w:tabs>
          <w:tab w:val="left" w:pos="912"/>
          <w:tab w:val="left" w:pos="2456"/>
        </w:tabs>
        <w:snapToGrid w:val="0"/>
        <w:spacing w:line="460" w:lineRule="atLeast"/>
        <w:ind w:firstLine="564" w:firstLineChars="235"/>
        <w:rPr>
          <w:sz w:val="24"/>
        </w:rPr>
      </w:pPr>
      <w:r>
        <w:rPr>
          <w:rFonts w:hint="eastAsia"/>
          <w:sz w:val="24"/>
        </w:rPr>
        <w:t>（</w:t>
      </w:r>
      <w:r>
        <w:rPr>
          <w:sz w:val="24"/>
        </w:rPr>
        <w:t>10</w:t>
      </w:r>
      <w:r>
        <w:rPr>
          <w:rFonts w:hint="eastAsia"/>
          <w:sz w:val="24"/>
        </w:rPr>
        <w:t>）技术暗标编号确认表；</w:t>
      </w:r>
    </w:p>
    <w:p>
      <w:pPr>
        <w:tabs>
          <w:tab w:val="left" w:pos="912"/>
          <w:tab w:val="left" w:pos="2456"/>
        </w:tabs>
        <w:snapToGrid w:val="0"/>
        <w:spacing w:line="460" w:lineRule="atLeast"/>
        <w:ind w:firstLine="564" w:firstLineChars="235"/>
        <w:rPr>
          <w:sz w:val="24"/>
        </w:rPr>
      </w:pPr>
      <w:r>
        <w:rPr>
          <w:sz w:val="24"/>
        </w:rPr>
        <w:t>（</w:t>
      </w:r>
      <w:r>
        <w:rPr>
          <w:rFonts w:hint="eastAsia"/>
          <w:sz w:val="24"/>
        </w:rPr>
        <w:t>11</w:t>
      </w:r>
      <w:r>
        <w:rPr>
          <w:sz w:val="24"/>
        </w:rPr>
        <w:t>）</w:t>
      </w:r>
      <w:r>
        <w:rPr>
          <w:rFonts w:hint="eastAsia"/>
          <w:sz w:val="24"/>
        </w:rPr>
        <w:t>信誉评审记录表；</w:t>
      </w:r>
    </w:p>
    <w:p>
      <w:pPr>
        <w:tabs>
          <w:tab w:val="left" w:pos="912"/>
          <w:tab w:val="left" w:pos="2456"/>
        </w:tabs>
        <w:snapToGrid w:val="0"/>
        <w:spacing w:line="460" w:lineRule="atLeast"/>
        <w:ind w:firstLine="564" w:firstLineChars="235"/>
        <w:rPr>
          <w:sz w:val="24"/>
        </w:rPr>
      </w:pPr>
      <w:r>
        <w:rPr>
          <w:rFonts w:hint="eastAsia"/>
          <w:sz w:val="24"/>
        </w:rPr>
        <w:t>（</w:t>
      </w:r>
      <w:r>
        <w:rPr>
          <w:sz w:val="24"/>
        </w:rPr>
        <w:t>1</w:t>
      </w:r>
      <w:r>
        <w:rPr>
          <w:rFonts w:hint="eastAsia"/>
          <w:sz w:val="24"/>
        </w:rPr>
        <w:t>2）其他因素评审记录表；</w:t>
      </w:r>
    </w:p>
    <w:p>
      <w:pPr>
        <w:tabs>
          <w:tab w:val="left" w:pos="912"/>
          <w:tab w:val="left" w:pos="2456"/>
        </w:tabs>
        <w:snapToGrid w:val="0"/>
        <w:spacing w:line="460" w:lineRule="atLeast"/>
        <w:ind w:firstLine="564" w:firstLineChars="235"/>
        <w:rPr>
          <w:sz w:val="24"/>
        </w:rPr>
      </w:pPr>
      <w:r>
        <w:rPr>
          <w:rFonts w:hint="eastAsia"/>
          <w:sz w:val="24"/>
        </w:rPr>
        <w:t>（</w:t>
      </w:r>
      <w:r>
        <w:rPr>
          <w:sz w:val="24"/>
        </w:rPr>
        <w:t>1</w:t>
      </w:r>
      <w:r>
        <w:rPr>
          <w:rFonts w:hint="eastAsia"/>
          <w:sz w:val="24"/>
        </w:rPr>
        <w:t>3）投标报价评分记录表；</w:t>
      </w:r>
    </w:p>
    <w:p>
      <w:pPr>
        <w:tabs>
          <w:tab w:val="left" w:pos="912"/>
          <w:tab w:val="left" w:pos="2456"/>
        </w:tabs>
        <w:snapToGrid w:val="0"/>
        <w:spacing w:line="460" w:lineRule="atLeast"/>
        <w:ind w:firstLine="564" w:firstLineChars="235"/>
        <w:rPr>
          <w:sz w:val="24"/>
        </w:rPr>
      </w:pPr>
      <w:r>
        <w:rPr>
          <w:rFonts w:hint="eastAsia"/>
          <w:sz w:val="24"/>
        </w:rPr>
        <w:t>（</w:t>
      </w:r>
      <w:r>
        <w:rPr>
          <w:sz w:val="24"/>
        </w:rPr>
        <w:t>1</w:t>
      </w:r>
      <w:r>
        <w:rPr>
          <w:rFonts w:hint="eastAsia"/>
          <w:sz w:val="24"/>
        </w:rPr>
        <w:t>4）评标结果汇总及排序表；</w:t>
      </w:r>
    </w:p>
    <w:p>
      <w:pPr>
        <w:tabs>
          <w:tab w:val="left" w:pos="912"/>
          <w:tab w:val="left" w:pos="2456"/>
        </w:tabs>
        <w:snapToGrid w:val="0"/>
        <w:spacing w:line="460" w:lineRule="atLeast"/>
        <w:ind w:firstLine="564" w:firstLineChars="235"/>
        <w:rPr>
          <w:sz w:val="24"/>
        </w:rPr>
      </w:pPr>
      <w:r>
        <w:rPr>
          <w:rFonts w:hint="eastAsia"/>
          <w:sz w:val="24"/>
        </w:rPr>
        <w:t>（</w:t>
      </w:r>
      <w:r>
        <w:rPr>
          <w:sz w:val="24"/>
        </w:rPr>
        <w:t>1</w:t>
      </w:r>
      <w:r>
        <w:rPr>
          <w:rFonts w:hint="eastAsia"/>
          <w:sz w:val="24"/>
        </w:rPr>
        <w:t>5）评标报告；</w:t>
      </w:r>
    </w:p>
    <w:p>
      <w:pPr>
        <w:tabs>
          <w:tab w:val="left" w:pos="912"/>
          <w:tab w:val="left" w:pos="2456"/>
        </w:tabs>
        <w:snapToGrid w:val="0"/>
        <w:spacing w:line="460" w:lineRule="atLeast"/>
        <w:ind w:firstLine="564" w:firstLineChars="235"/>
        <w:rPr>
          <w:sz w:val="24"/>
        </w:rPr>
      </w:pPr>
      <w:r>
        <w:rPr>
          <w:rFonts w:hint="eastAsia"/>
          <w:sz w:val="24"/>
        </w:rPr>
        <w:t>（</w:t>
      </w:r>
      <w:r>
        <w:rPr>
          <w:sz w:val="24"/>
        </w:rPr>
        <w:t>1</w:t>
      </w:r>
      <w:r>
        <w:rPr>
          <w:rFonts w:hint="eastAsia"/>
          <w:sz w:val="24"/>
        </w:rPr>
        <w:t>6）问题澄清通知；</w:t>
      </w:r>
    </w:p>
    <w:p>
      <w:pPr>
        <w:tabs>
          <w:tab w:val="left" w:pos="912"/>
          <w:tab w:val="left" w:pos="2456"/>
        </w:tabs>
        <w:snapToGrid w:val="0"/>
        <w:spacing w:line="460" w:lineRule="atLeast"/>
        <w:ind w:firstLine="564" w:firstLineChars="235"/>
        <w:rPr>
          <w:sz w:val="24"/>
        </w:rPr>
      </w:pPr>
      <w:r>
        <w:rPr>
          <w:rFonts w:hint="eastAsia"/>
          <w:sz w:val="24"/>
        </w:rPr>
        <w:t>（</w:t>
      </w:r>
      <w:r>
        <w:rPr>
          <w:sz w:val="24"/>
        </w:rPr>
        <w:t>1</w:t>
      </w:r>
      <w:r>
        <w:rPr>
          <w:rFonts w:hint="eastAsia"/>
          <w:sz w:val="24"/>
        </w:rPr>
        <w:t>7）问题的澄清、说明或补正；</w:t>
      </w:r>
    </w:p>
    <w:p>
      <w:pPr>
        <w:tabs>
          <w:tab w:val="left" w:pos="912"/>
          <w:tab w:val="left" w:pos="2456"/>
        </w:tabs>
        <w:snapToGrid w:val="0"/>
        <w:spacing w:line="460" w:lineRule="atLeast"/>
        <w:ind w:firstLine="564" w:firstLineChars="235"/>
        <w:rPr>
          <w:sz w:val="24"/>
        </w:rPr>
      </w:pPr>
      <w:r>
        <w:rPr>
          <w:rFonts w:hint="eastAsia"/>
          <w:sz w:val="24"/>
        </w:rPr>
        <w:t>（</w:t>
      </w:r>
      <w:r>
        <w:rPr>
          <w:sz w:val="24"/>
        </w:rPr>
        <w:t>1</w:t>
      </w:r>
      <w:r>
        <w:rPr>
          <w:rFonts w:hint="eastAsia"/>
          <w:sz w:val="24"/>
        </w:rPr>
        <w:t>8）评审意见表；</w:t>
      </w:r>
    </w:p>
    <w:p>
      <w:pPr>
        <w:tabs>
          <w:tab w:val="left" w:pos="912"/>
          <w:tab w:val="left" w:pos="2456"/>
        </w:tabs>
        <w:snapToGrid w:val="0"/>
        <w:spacing w:line="460" w:lineRule="atLeast"/>
        <w:ind w:firstLine="564" w:firstLineChars="235"/>
        <w:rPr>
          <w:sz w:val="24"/>
        </w:rPr>
      </w:pPr>
      <w:r>
        <w:rPr>
          <w:rFonts w:hint="eastAsia"/>
          <w:sz w:val="24"/>
        </w:rPr>
        <w:t>（</w:t>
      </w:r>
      <w:r>
        <w:rPr>
          <w:sz w:val="24"/>
        </w:rPr>
        <w:t>1</w:t>
      </w:r>
      <w:r>
        <w:rPr>
          <w:rFonts w:hint="eastAsia"/>
          <w:sz w:val="24"/>
        </w:rPr>
        <w:t>9）评标委员会成员评分复核意见书；</w:t>
      </w:r>
    </w:p>
    <w:p>
      <w:pPr>
        <w:tabs>
          <w:tab w:val="left" w:pos="912"/>
          <w:tab w:val="left" w:pos="2456"/>
        </w:tabs>
        <w:snapToGrid w:val="0"/>
        <w:spacing w:line="460" w:lineRule="atLeast"/>
        <w:ind w:firstLine="564" w:firstLineChars="235"/>
        <w:rPr>
          <w:sz w:val="24"/>
        </w:rPr>
      </w:pPr>
      <w:r>
        <w:rPr>
          <w:rFonts w:hint="eastAsia"/>
          <w:sz w:val="24"/>
        </w:rPr>
        <w:t>（20）不能通过评审情况说明；</w:t>
      </w:r>
    </w:p>
    <w:p>
      <w:pPr>
        <w:tabs>
          <w:tab w:val="left" w:pos="912"/>
          <w:tab w:val="left" w:pos="2456"/>
        </w:tabs>
        <w:snapToGrid w:val="0"/>
        <w:spacing w:line="460" w:lineRule="atLeast"/>
        <w:ind w:firstLine="564" w:firstLineChars="235"/>
        <w:rPr>
          <w:sz w:val="24"/>
        </w:rPr>
      </w:pPr>
      <w:r>
        <w:rPr>
          <w:rFonts w:hint="eastAsia"/>
          <w:sz w:val="24"/>
        </w:rPr>
        <w:t>（</w:t>
      </w:r>
      <w:r>
        <w:rPr>
          <w:sz w:val="24"/>
        </w:rPr>
        <w:t>2</w:t>
      </w:r>
      <w:r>
        <w:rPr>
          <w:rFonts w:hint="eastAsia"/>
          <w:sz w:val="24"/>
        </w:rPr>
        <w:t>1）推荐的中标候选人名单与</w:t>
      </w:r>
      <w:r>
        <w:rPr>
          <w:rFonts w:hint="eastAsia"/>
          <w:sz w:val="24"/>
          <w:lang w:eastAsia="zh-CN"/>
        </w:rPr>
        <w:t>签订合同</w:t>
      </w:r>
      <w:r>
        <w:rPr>
          <w:rFonts w:hint="eastAsia"/>
          <w:sz w:val="24"/>
        </w:rPr>
        <w:t>前要处理的事宜；</w:t>
      </w:r>
    </w:p>
    <w:p>
      <w:pPr>
        <w:tabs>
          <w:tab w:val="left" w:pos="912"/>
          <w:tab w:val="left" w:pos="2456"/>
        </w:tabs>
        <w:snapToGrid w:val="0"/>
        <w:spacing w:line="460" w:lineRule="atLeast"/>
        <w:ind w:firstLine="564" w:firstLineChars="235"/>
        <w:rPr>
          <w:sz w:val="24"/>
        </w:rPr>
      </w:pPr>
      <w:r>
        <w:rPr>
          <w:rFonts w:hint="eastAsia"/>
          <w:sz w:val="24"/>
        </w:rPr>
        <w:t>（</w:t>
      </w:r>
      <w:r>
        <w:rPr>
          <w:sz w:val="24"/>
        </w:rPr>
        <w:t>2</w:t>
      </w:r>
      <w:r>
        <w:rPr>
          <w:rFonts w:hint="eastAsia"/>
          <w:sz w:val="24"/>
        </w:rPr>
        <w:t>2）需要说明的其他内容。</w:t>
      </w:r>
    </w:p>
    <w:p>
      <w:pPr>
        <w:tabs>
          <w:tab w:val="left" w:pos="2456"/>
        </w:tabs>
        <w:snapToGrid w:val="0"/>
        <w:spacing w:line="460" w:lineRule="atLeast"/>
        <w:ind w:firstLine="564" w:firstLineChars="235"/>
        <w:rPr>
          <w:sz w:val="24"/>
        </w:rPr>
      </w:pPr>
      <w:r>
        <w:rPr>
          <w:sz w:val="24"/>
        </w:rPr>
        <w:t xml:space="preserve">3.15.2 </w:t>
      </w:r>
      <w:r>
        <w:rPr>
          <w:rFonts w:hint="eastAsia"/>
          <w:sz w:val="24"/>
        </w:rPr>
        <w:t>书面评标报告应由评标委员会全体成员签字确认后提交招标人。</w:t>
      </w:r>
      <w:r>
        <w:rPr>
          <w:sz w:val="24"/>
        </w:rPr>
        <w:t xml:space="preserve">3.15.3 </w:t>
      </w:r>
      <w:r>
        <w:rPr>
          <w:rFonts w:hint="eastAsia"/>
          <w:sz w:val="24"/>
        </w:rPr>
        <w:t>对评标结论持有异议的评标委员会成员可以书面形式阐述其不同意见和理由。评标委员会成员拒绝在评标报告上签字且不陈述其不同意见和理由的，视为同意评标结论。评标委员会应当对此作出书面说明并记录在案。</w:t>
      </w:r>
    </w:p>
    <w:p>
      <w:pPr>
        <w:pStyle w:val="6"/>
        <w:spacing w:before="0" w:line="460" w:lineRule="atLeast"/>
        <w:ind w:firstLine="566" w:firstLineChars="235"/>
        <w:jc w:val="both"/>
        <w:rPr>
          <w:sz w:val="24"/>
          <w:szCs w:val="24"/>
        </w:rPr>
      </w:pPr>
      <w:r>
        <w:rPr>
          <w:sz w:val="24"/>
          <w:szCs w:val="24"/>
        </w:rPr>
        <w:t xml:space="preserve">4. </w:t>
      </w:r>
      <w:r>
        <w:rPr>
          <w:rFonts w:hint="eastAsia"/>
          <w:sz w:val="24"/>
          <w:szCs w:val="24"/>
        </w:rPr>
        <w:t>否决投标的情形</w:t>
      </w:r>
    </w:p>
    <w:p>
      <w:pPr>
        <w:tabs>
          <w:tab w:val="left" w:pos="912"/>
          <w:tab w:val="left" w:pos="2456"/>
        </w:tabs>
        <w:snapToGrid w:val="0"/>
        <w:spacing w:line="460" w:lineRule="atLeast"/>
        <w:ind w:firstLine="564" w:firstLineChars="235"/>
        <w:rPr>
          <w:sz w:val="24"/>
        </w:rPr>
      </w:pPr>
      <w:r>
        <w:rPr>
          <w:rFonts w:hint="eastAsia"/>
          <w:sz w:val="24"/>
        </w:rPr>
        <w:t>评标过程中，评标委员会如发现投标人或其投标文件有以下情形之一的，应当否决其投标。</w:t>
      </w:r>
    </w:p>
    <w:p>
      <w:pPr>
        <w:autoSpaceDE w:val="0"/>
        <w:autoSpaceDN w:val="0"/>
        <w:adjustRightInd w:val="0"/>
        <w:snapToGrid w:val="0"/>
        <w:spacing w:line="460" w:lineRule="atLeast"/>
        <w:ind w:firstLine="564" w:firstLineChars="235"/>
        <w:rPr>
          <w:sz w:val="24"/>
        </w:rPr>
      </w:pPr>
      <w:r>
        <w:rPr>
          <w:rFonts w:hint="eastAsia"/>
          <w:sz w:val="24"/>
        </w:rPr>
        <w:t>（</w:t>
      </w:r>
      <w:r>
        <w:rPr>
          <w:sz w:val="24"/>
        </w:rPr>
        <w:t>1</w:t>
      </w:r>
      <w:r>
        <w:rPr>
          <w:rFonts w:hint="eastAsia"/>
          <w:sz w:val="24"/>
        </w:rPr>
        <w:t>）投标技术文件中的</w:t>
      </w:r>
      <w:r>
        <w:rPr>
          <w:sz w:val="24"/>
        </w:rPr>
        <w:t>“</w:t>
      </w:r>
      <w:r>
        <w:rPr>
          <w:rFonts w:hint="eastAsia"/>
          <w:sz w:val="24"/>
        </w:rPr>
        <w:t>暗标</w:t>
      </w:r>
      <w:r>
        <w:rPr>
          <w:sz w:val="24"/>
        </w:rPr>
        <w:t>”</w:t>
      </w:r>
      <w:r>
        <w:rPr>
          <w:rFonts w:hint="eastAsia"/>
          <w:sz w:val="24"/>
        </w:rPr>
        <w:t>出现投标人的名称和其他可识别投标人的字符和徽标的（包括文字、符号、图案、标识、标志、企业名称、投标人独有的企业标准名称或编号或英文缩写等信息）；</w:t>
      </w:r>
    </w:p>
    <w:p>
      <w:pPr>
        <w:autoSpaceDE w:val="0"/>
        <w:autoSpaceDN w:val="0"/>
        <w:adjustRightInd w:val="0"/>
        <w:snapToGrid w:val="0"/>
        <w:spacing w:line="460" w:lineRule="atLeast"/>
        <w:ind w:firstLine="564" w:firstLineChars="235"/>
        <w:rPr>
          <w:sz w:val="24"/>
        </w:rPr>
      </w:pPr>
      <w:r>
        <w:rPr>
          <w:rFonts w:hint="eastAsia"/>
          <w:sz w:val="24"/>
        </w:rPr>
        <w:t>（2）投标文件中明确的拟投入本工程的项目负责人与下载招标文件时所报的人员不一致的；</w:t>
      </w:r>
    </w:p>
    <w:p>
      <w:pPr>
        <w:autoSpaceDE w:val="0"/>
        <w:autoSpaceDN w:val="0"/>
        <w:adjustRightInd w:val="0"/>
        <w:snapToGrid w:val="0"/>
        <w:spacing w:line="460" w:lineRule="atLeast"/>
        <w:ind w:firstLine="564" w:firstLineChars="235"/>
        <w:rPr>
          <w:sz w:val="24"/>
        </w:rPr>
      </w:pPr>
      <w:r>
        <w:rPr>
          <w:rFonts w:hint="eastAsia"/>
          <w:sz w:val="24"/>
        </w:rPr>
        <w:t>（3）投标文件没有在实质上响应招标文件要求和条件的，实质性响应的投标是指投标符合招标文件的所有条款、条件和规定且没有重大偏离或保留；</w:t>
      </w:r>
    </w:p>
    <w:p>
      <w:pPr>
        <w:autoSpaceDE w:val="0"/>
        <w:autoSpaceDN w:val="0"/>
        <w:adjustRightInd w:val="0"/>
        <w:snapToGrid w:val="0"/>
        <w:spacing w:line="460" w:lineRule="atLeast"/>
        <w:ind w:firstLine="564" w:firstLineChars="235"/>
        <w:rPr>
          <w:sz w:val="24"/>
        </w:rPr>
      </w:pPr>
      <w:r>
        <w:rPr>
          <w:rFonts w:hint="eastAsia"/>
          <w:sz w:val="24"/>
        </w:rPr>
        <w:t>（4）投标文件未按招标文件的有关规定签章的；</w:t>
      </w:r>
    </w:p>
    <w:p>
      <w:pPr>
        <w:autoSpaceDE w:val="0"/>
        <w:autoSpaceDN w:val="0"/>
        <w:adjustRightInd w:val="0"/>
        <w:snapToGrid w:val="0"/>
        <w:spacing w:line="460" w:lineRule="atLeast"/>
        <w:ind w:firstLine="564" w:firstLineChars="235"/>
        <w:rPr>
          <w:sz w:val="24"/>
        </w:rPr>
      </w:pPr>
      <w:r>
        <w:rPr>
          <w:rFonts w:hint="eastAsia"/>
          <w:sz w:val="24"/>
        </w:rPr>
        <w:t>（5）投标文件的格式不符合招标文件要求或未按照规定填写，关键内容字迹模糊、无法辨认的；</w:t>
      </w:r>
    </w:p>
    <w:p>
      <w:pPr>
        <w:autoSpaceDE w:val="0"/>
        <w:autoSpaceDN w:val="0"/>
        <w:adjustRightInd w:val="0"/>
        <w:snapToGrid w:val="0"/>
        <w:spacing w:line="460" w:lineRule="atLeast"/>
        <w:ind w:firstLine="564" w:firstLineChars="235"/>
        <w:rPr>
          <w:sz w:val="24"/>
        </w:rPr>
      </w:pPr>
      <w:r>
        <w:rPr>
          <w:rFonts w:hint="eastAsia"/>
          <w:sz w:val="24"/>
        </w:rPr>
        <w:t>（6）在暗标评审、形式评审、响应性评审中，评标委员会认定投标人的投标不符合评标办法对应评审记录表中规定的任何一项评审标准的；</w:t>
      </w:r>
    </w:p>
    <w:p>
      <w:pPr>
        <w:autoSpaceDE w:val="0"/>
        <w:autoSpaceDN w:val="0"/>
        <w:adjustRightInd w:val="0"/>
        <w:snapToGrid w:val="0"/>
        <w:spacing w:line="460" w:lineRule="atLeast"/>
        <w:ind w:firstLine="564" w:firstLineChars="235"/>
        <w:rPr>
          <w:sz w:val="24"/>
        </w:rPr>
      </w:pPr>
      <w:r>
        <w:rPr>
          <w:rFonts w:hint="eastAsia"/>
          <w:sz w:val="24"/>
        </w:rPr>
        <w:t>（7）投标人未按照招标文件要求提供投标担保的；</w:t>
      </w:r>
    </w:p>
    <w:p>
      <w:pPr>
        <w:autoSpaceDE w:val="0"/>
        <w:autoSpaceDN w:val="0"/>
        <w:adjustRightInd w:val="0"/>
        <w:snapToGrid w:val="0"/>
        <w:spacing w:line="460" w:lineRule="atLeast"/>
        <w:ind w:firstLine="564" w:firstLineChars="235"/>
        <w:rPr>
          <w:sz w:val="24"/>
        </w:rPr>
      </w:pPr>
      <w:r>
        <w:rPr>
          <w:rFonts w:hint="eastAsia"/>
          <w:sz w:val="24"/>
        </w:rPr>
        <w:t>（8）投标人的报价超过招标控制价，或未按招标文件要求填报各项价格，或投标报价可能低于投标人个别成本，且评标委员会要求投标人做出书面的解释，投标人拒绝解释或拒绝提供相关证明材料或投标人不能合理说明或合理解释的；</w:t>
      </w:r>
    </w:p>
    <w:p>
      <w:pPr>
        <w:autoSpaceDE w:val="0"/>
        <w:autoSpaceDN w:val="0"/>
        <w:adjustRightInd w:val="0"/>
        <w:snapToGrid w:val="0"/>
        <w:spacing w:line="460" w:lineRule="atLeast"/>
        <w:ind w:firstLine="564" w:firstLineChars="235"/>
        <w:rPr>
          <w:sz w:val="24"/>
        </w:rPr>
      </w:pPr>
      <w:r>
        <w:rPr>
          <w:rFonts w:hint="eastAsia"/>
          <w:sz w:val="24"/>
        </w:rPr>
        <w:t>（9）</w:t>
      </w:r>
      <w:r>
        <w:rPr>
          <w:sz w:val="24"/>
        </w:rPr>
        <w:t>未按照招标文件的要求对安全防护、文明施工措施费用单独列项计价</w:t>
      </w:r>
      <w:r>
        <w:rPr>
          <w:rFonts w:hint="eastAsia"/>
          <w:sz w:val="24"/>
        </w:rPr>
        <w:t>或安全文明施工费低于本市安全文明施工费相关规定相应专业的费率</w:t>
      </w:r>
      <w:r>
        <w:rPr>
          <w:sz w:val="24"/>
        </w:rPr>
        <w:t>的；</w:t>
      </w:r>
    </w:p>
    <w:p>
      <w:pPr>
        <w:autoSpaceDE w:val="0"/>
        <w:autoSpaceDN w:val="0"/>
        <w:adjustRightInd w:val="0"/>
        <w:snapToGrid w:val="0"/>
        <w:spacing w:line="460" w:lineRule="atLeast"/>
        <w:ind w:firstLine="564" w:firstLineChars="235"/>
        <w:rPr>
          <w:sz w:val="24"/>
        </w:rPr>
      </w:pPr>
      <w:r>
        <w:rPr>
          <w:rFonts w:hint="eastAsia"/>
          <w:sz w:val="24"/>
        </w:rPr>
        <w:t>（10）暂列金额和专业工程暂估价未按招标文件中规定的金额列入的；</w:t>
      </w:r>
    </w:p>
    <w:p>
      <w:pPr>
        <w:autoSpaceDE w:val="0"/>
        <w:autoSpaceDN w:val="0"/>
        <w:adjustRightInd w:val="0"/>
        <w:snapToGrid w:val="0"/>
        <w:spacing w:line="460" w:lineRule="atLeast"/>
        <w:ind w:firstLine="564" w:firstLineChars="235"/>
        <w:rPr>
          <w:sz w:val="24"/>
        </w:rPr>
      </w:pPr>
      <w:r>
        <w:rPr>
          <w:rFonts w:hint="eastAsia"/>
          <w:sz w:val="24"/>
        </w:rPr>
        <w:t>（</w:t>
      </w:r>
      <w:r>
        <w:rPr>
          <w:sz w:val="24"/>
        </w:rPr>
        <w:t>1</w:t>
      </w:r>
      <w:r>
        <w:rPr>
          <w:rFonts w:hint="eastAsia"/>
          <w:sz w:val="24"/>
        </w:rPr>
        <w:t>1）未对招标文件的质量标准做出响应的；</w:t>
      </w:r>
    </w:p>
    <w:p>
      <w:pPr>
        <w:autoSpaceDE w:val="0"/>
        <w:autoSpaceDN w:val="0"/>
        <w:adjustRightInd w:val="0"/>
        <w:snapToGrid w:val="0"/>
        <w:spacing w:line="460" w:lineRule="atLeast"/>
        <w:ind w:firstLine="564" w:firstLineChars="235"/>
        <w:rPr>
          <w:sz w:val="24"/>
        </w:rPr>
      </w:pPr>
      <w:r>
        <w:rPr>
          <w:rFonts w:hint="eastAsia"/>
          <w:sz w:val="24"/>
        </w:rPr>
        <w:t>（</w:t>
      </w:r>
      <w:r>
        <w:rPr>
          <w:sz w:val="24"/>
        </w:rPr>
        <w:t>1</w:t>
      </w:r>
      <w:r>
        <w:rPr>
          <w:rFonts w:hint="eastAsia"/>
          <w:sz w:val="24"/>
        </w:rPr>
        <w:t>2）投标文件载明的工程完成期限超过招标文件规定的期限的。</w:t>
      </w:r>
    </w:p>
    <w:p>
      <w:pPr>
        <w:autoSpaceDE w:val="0"/>
        <w:autoSpaceDN w:val="0"/>
        <w:adjustRightInd w:val="0"/>
        <w:snapToGrid w:val="0"/>
        <w:spacing w:line="460" w:lineRule="atLeast"/>
        <w:ind w:firstLine="564" w:firstLineChars="235"/>
        <w:rPr>
          <w:sz w:val="24"/>
        </w:rPr>
      </w:pPr>
      <w:r>
        <w:rPr>
          <w:rFonts w:hint="eastAsia"/>
          <w:sz w:val="24"/>
        </w:rPr>
        <w:t>（</w:t>
      </w:r>
      <w:r>
        <w:rPr>
          <w:sz w:val="24"/>
        </w:rPr>
        <w:t>1</w:t>
      </w:r>
      <w:r>
        <w:rPr>
          <w:rFonts w:hint="eastAsia"/>
          <w:sz w:val="24"/>
        </w:rPr>
        <w:t>3）</w:t>
      </w:r>
      <w:r>
        <w:rPr>
          <w:sz w:val="24"/>
        </w:rPr>
        <w:t>投标人未按招标文件规定参加开标会，或虽参加开标会议但不能提交授权委托书和出示有效身份证件证明其身份的；</w:t>
      </w:r>
    </w:p>
    <w:p>
      <w:pPr>
        <w:autoSpaceDE w:val="0"/>
        <w:autoSpaceDN w:val="0"/>
        <w:adjustRightInd w:val="0"/>
        <w:snapToGrid w:val="0"/>
        <w:spacing w:line="460" w:lineRule="atLeast"/>
        <w:ind w:firstLine="564" w:firstLineChars="235"/>
        <w:rPr>
          <w:sz w:val="24"/>
        </w:rPr>
      </w:pPr>
      <w:r>
        <w:rPr>
          <w:rFonts w:hint="eastAsia"/>
          <w:sz w:val="24"/>
        </w:rPr>
        <w:t>（14）开标时，扰乱会场秩序，经劝阻无效的；</w:t>
      </w:r>
    </w:p>
    <w:p>
      <w:pPr>
        <w:autoSpaceDE w:val="0"/>
        <w:autoSpaceDN w:val="0"/>
        <w:adjustRightInd w:val="0"/>
        <w:snapToGrid w:val="0"/>
        <w:spacing w:line="460" w:lineRule="atLeast"/>
        <w:ind w:firstLine="564" w:firstLineChars="235"/>
        <w:rPr>
          <w:sz w:val="24"/>
        </w:rPr>
      </w:pPr>
      <w:r>
        <w:rPr>
          <w:rFonts w:hint="eastAsia"/>
          <w:sz w:val="24"/>
        </w:rPr>
        <w:t>（15）有下列情况之一的：未按照招标文件规定的递交方式递交的；电子化平台中无投标文件，且不能出示成功递交回执的；回执载明的传输完成时间超出招标文件规定投标文件递交截止时间的；因投标人原因，电子化平台无法正常打开的；</w:t>
      </w:r>
      <w:r>
        <w:rPr>
          <w:rFonts w:hint="eastAsia" w:ascii="Arial" w:hAnsi="Arial" w:cs="Arial"/>
          <w:sz w:val="24"/>
          <w:szCs w:val="21"/>
        </w:rPr>
        <w:t>未使用电子化平台认可的“</w:t>
      </w:r>
      <w:r>
        <w:rPr>
          <w:rFonts w:hint="eastAsia" w:ascii="宋体" w:hAnsi="宋体" w:cs="Arial"/>
          <w:iCs/>
          <w:sz w:val="24"/>
          <w:szCs w:val="21"/>
        </w:rPr>
        <w:t>电子标书制作工具</w:t>
      </w:r>
      <w:r>
        <w:rPr>
          <w:rFonts w:hint="eastAsia" w:ascii="Arial" w:hAnsi="Arial" w:cs="Arial"/>
          <w:sz w:val="24"/>
          <w:szCs w:val="21"/>
        </w:rPr>
        <w:t>”生成电子投标文件的；</w:t>
      </w:r>
    </w:p>
    <w:p>
      <w:pPr>
        <w:spacing w:line="460" w:lineRule="atLeast"/>
        <w:ind w:firstLine="480" w:firstLineChars="200"/>
        <w:rPr>
          <w:sz w:val="24"/>
        </w:rPr>
      </w:pPr>
      <w:r>
        <w:rPr>
          <w:rFonts w:hint="eastAsia"/>
          <w:sz w:val="24"/>
        </w:rPr>
        <w:t>（16）对评标委员会提出的质疑不能合理解释或者提供证明材料，又拒绝根据评标委员会建议进行修正的；</w:t>
      </w:r>
    </w:p>
    <w:p>
      <w:pPr>
        <w:pStyle w:val="44"/>
        <w:shd w:val="clear" w:color="auto" w:fill="FFFFFF"/>
        <w:adjustRightInd w:val="0"/>
        <w:snapToGrid w:val="0"/>
        <w:spacing w:before="0" w:beforeAutospacing="0" w:after="0" w:afterAutospacing="0" w:line="470" w:lineRule="atLeast"/>
        <w:ind w:firstLine="480" w:firstLineChars="200"/>
      </w:pPr>
      <w:r>
        <w:rPr>
          <w:rFonts w:hint="eastAsia" w:ascii="Times New Roman" w:hAnsi="Times New Roman" w:cs="Times New Roman"/>
          <w:kern w:val="2"/>
        </w:rPr>
        <w:t>（17）与其他投标人串通投标，如：不同投标人委托同一单位或者个人办理投标事宜，或参加投标活动的人员为同一项目其他投标人的在职人员；不同投标人的投标文件载明的项目管理成员为同一人；不同投标人的投标保证金从同一单位或者个人的账户转出或不同投标人的投标保证金从投标人各自的基本账户转出，但是资金来自同一单位或者个人账户；不同投标人的的投标文件的实质性内容存在两处以上细节错误一致或者投标报价呈规律性差异；不同投标人的投标文件由同一电子设备编制、加密或者上传；电子投标文件记录的网卡（MAC）地址和硬盘序列号等硬件信息都相同，且无法提供合理解释的；</w:t>
      </w:r>
    </w:p>
    <w:p>
      <w:pPr>
        <w:spacing w:line="460" w:lineRule="atLeast"/>
        <w:ind w:firstLine="480" w:firstLineChars="200"/>
        <w:rPr>
          <w:sz w:val="24"/>
        </w:rPr>
      </w:pPr>
      <w:r>
        <w:rPr>
          <w:rFonts w:hint="eastAsia"/>
          <w:sz w:val="24"/>
        </w:rPr>
        <w:t>（18）与招标人串通投标的；</w:t>
      </w:r>
    </w:p>
    <w:p>
      <w:pPr>
        <w:spacing w:line="460" w:lineRule="atLeast"/>
        <w:ind w:firstLine="480" w:firstLineChars="200"/>
        <w:rPr>
          <w:sz w:val="24"/>
        </w:rPr>
      </w:pPr>
      <w:r>
        <w:rPr>
          <w:rFonts w:hint="eastAsia"/>
          <w:sz w:val="24"/>
        </w:rPr>
        <w:t>（19）以他人名义投标，如通过受让或者租借等方式获取的资格投标；</w:t>
      </w:r>
    </w:p>
    <w:p>
      <w:pPr>
        <w:spacing w:line="460" w:lineRule="atLeast"/>
        <w:ind w:firstLine="480" w:firstLineChars="200"/>
        <w:rPr>
          <w:sz w:val="24"/>
        </w:rPr>
      </w:pPr>
      <w:r>
        <w:rPr>
          <w:rFonts w:hint="eastAsia"/>
          <w:sz w:val="24"/>
        </w:rPr>
        <w:t>（20）投标文件中弄虚作假，如：伪造、变造资格或者其他许可证件，提供虚假的财务状况或者业绩，提供虚假的项目负责人或者主要技术人员简历、劳动关系证明，提供虚假的信用状况等参加投标的。</w:t>
      </w:r>
    </w:p>
    <w:p>
      <w:pPr>
        <w:spacing w:line="460" w:lineRule="atLeast"/>
        <w:ind w:firstLine="480" w:firstLineChars="200"/>
        <w:rPr>
          <w:sz w:val="24"/>
        </w:rPr>
      </w:pPr>
      <w:r>
        <w:rPr>
          <w:rFonts w:hint="eastAsia"/>
          <w:sz w:val="24"/>
        </w:rPr>
        <w:t>（21）有下列任何一种情形的：为招标人不具有独立法人资格的附属机构（单位）；为本工程前期准备提供设计或咨询服务的，但设计施工总承包的除外；为本工程的监理人；为本工程的代建人；为本工程提供招标代理服务的；与本工程的项目管理单位、监理人、代建人、招标代理机构同为一个法定代表人或相互控股或参股或相互任职的；被责令停业的；被暂停或取消投标资格的；财产被接管或冻结的；在最近三年内有骗取中标或严重违约或重大工程质量问题的。</w:t>
      </w:r>
    </w:p>
    <w:p>
      <w:pPr>
        <w:tabs>
          <w:tab w:val="left" w:pos="912"/>
          <w:tab w:val="left" w:pos="2456"/>
        </w:tabs>
        <w:snapToGrid w:val="0"/>
        <w:spacing w:line="460" w:lineRule="atLeast"/>
        <w:ind w:firstLine="564" w:firstLineChars="235"/>
        <w:rPr>
          <w:sz w:val="24"/>
        </w:rPr>
      </w:pPr>
      <w:r>
        <w:rPr>
          <w:rFonts w:hint="eastAsia"/>
          <w:sz w:val="24"/>
        </w:rPr>
        <w:t>（22）采用否决性评审的,施工组织设计总篇幅超过第二章“投标人须知前附表</w:t>
      </w:r>
      <w:r>
        <w:rPr>
          <w:sz w:val="24"/>
        </w:rPr>
        <w:t>3.7.4</w:t>
      </w:r>
      <w:r>
        <w:rPr>
          <w:rFonts w:hint="eastAsia"/>
          <w:sz w:val="24"/>
        </w:rPr>
        <w:t>款规定篇幅的。</w:t>
      </w:r>
    </w:p>
    <w:p>
      <w:pPr>
        <w:tabs>
          <w:tab w:val="left" w:pos="912"/>
          <w:tab w:val="left" w:pos="2456"/>
        </w:tabs>
        <w:snapToGrid w:val="0"/>
        <w:spacing w:line="460" w:lineRule="atLeast"/>
        <w:ind w:firstLine="564" w:firstLineChars="235"/>
        <w:rPr>
          <w:sz w:val="24"/>
        </w:rPr>
      </w:pPr>
      <w:r>
        <w:rPr>
          <w:rFonts w:hint="eastAsia"/>
          <w:sz w:val="24"/>
        </w:rPr>
        <w:t>（23）违背法律、法规规定的其他情形。</w:t>
      </w:r>
    </w:p>
    <w:p>
      <w:pPr>
        <w:tabs>
          <w:tab w:val="left" w:pos="912"/>
          <w:tab w:val="left" w:pos="2456"/>
        </w:tabs>
        <w:snapToGrid w:val="0"/>
        <w:spacing w:line="460" w:lineRule="atLeast"/>
        <w:rPr>
          <w:sz w:val="24"/>
          <w:u w:val="single"/>
        </w:rPr>
      </w:pPr>
      <w:r>
        <w:rPr>
          <w:rFonts w:hint="eastAsia"/>
          <w:sz w:val="24"/>
          <w:u w:val="single"/>
        </w:rPr>
        <w:t xml:space="preserve">                                                                        </w:t>
      </w:r>
    </w:p>
    <w:p>
      <w:pPr>
        <w:tabs>
          <w:tab w:val="left" w:pos="912"/>
          <w:tab w:val="left" w:pos="2456"/>
        </w:tabs>
        <w:snapToGrid w:val="0"/>
        <w:spacing w:line="460" w:lineRule="atLeast"/>
        <w:rPr>
          <w:sz w:val="24"/>
          <w:u w:val="single"/>
        </w:rPr>
      </w:pPr>
      <w:r>
        <w:rPr>
          <w:rFonts w:hint="eastAsia"/>
          <w:sz w:val="24"/>
          <w:u w:val="single"/>
        </w:rPr>
        <w:t xml:space="preserve">                                                                        </w:t>
      </w:r>
    </w:p>
    <w:p>
      <w:pPr>
        <w:pStyle w:val="6"/>
        <w:spacing w:before="0" w:line="460" w:lineRule="atLeast"/>
        <w:ind w:firstLine="566" w:firstLineChars="235"/>
        <w:jc w:val="both"/>
        <w:rPr>
          <w:sz w:val="24"/>
          <w:szCs w:val="24"/>
        </w:rPr>
      </w:pPr>
      <w:r>
        <w:rPr>
          <w:rFonts w:hint="eastAsia"/>
          <w:sz w:val="24"/>
          <w:szCs w:val="24"/>
        </w:rPr>
        <w:t>5</w:t>
      </w:r>
      <w:r>
        <w:rPr>
          <w:sz w:val="24"/>
          <w:szCs w:val="24"/>
        </w:rPr>
        <w:t xml:space="preserve">. </w:t>
      </w:r>
      <w:r>
        <w:rPr>
          <w:rFonts w:hint="eastAsia"/>
          <w:sz w:val="24"/>
          <w:szCs w:val="24"/>
        </w:rPr>
        <w:t>评审工作原则和纪律</w:t>
      </w:r>
    </w:p>
    <w:p>
      <w:pPr>
        <w:tabs>
          <w:tab w:val="left" w:pos="912"/>
          <w:tab w:val="left" w:pos="2456"/>
        </w:tabs>
        <w:snapToGrid w:val="0"/>
        <w:spacing w:line="460" w:lineRule="atLeast"/>
        <w:ind w:firstLine="564" w:firstLineChars="235"/>
        <w:rPr>
          <w:sz w:val="24"/>
        </w:rPr>
      </w:pPr>
      <w:r>
        <w:rPr>
          <w:rFonts w:hint="eastAsia"/>
          <w:sz w:val="24"/>
        </w:rPr>
        <w:t>5</w:t>
      </w:r>
      <w:r>
        <w:rPr>
          <w:sz w:val="24"/>
        </w:rPr>
        <w:t xml:space="preserve">.1 </w:t>
      </w:r>
      <w:r>
        <w:rPr>
          <w:rFonts w:hint="eastAsia"/>
          <w:sz w:val="24"/>
        </w:rPr>
        <w:t>参加评标活动的所有人员（包括评标委员会成员、监督人员、招标人和其委托的招标代理机构的工作人员）不得透漏对投标文件的评审和比较、中标候选人的推荐情况以及与评标有关的其他情况。</w:t>
      </w:r>
      <w:r>
        <w:rPr>
          <w:sz w:val="24"/>
        </w:rPr>
        <w:t xml:space="preserve"> </w:t>
      </w:r>
    </w:p>
    <w:p>
      <w:pPr>
        <w:tabs>
          <w:tab w:val="left" w:pos="912"/>
          <w:tab w:val="left" w:pos="2456"/>
        </w:tabs>
        <w:snapToGrid w:val="0"/>
        <w:spacing w:line="460" w:lineRule="atLeast"/>
        <w:ind w:firstLine="564" w:firstLineChars="235"/>
        <w:rPr>
          <w:sz w:val="24"/>
        </w:rPr>
      </w:pPr>
      <w:r>
        <w:rPr>
          <w:rFonts w:hint="eastAsia"/>
          <w:sz w:val="24"/>
        </w:rPr>
        <w:t>5</w:t>
      </w:r>
      <w:r>
        <w:rPr>
          <w:sz w:val="24"/>
        </w:rPr>
        <w:t xml:space="preserve">.2 </w:t>
      </w:r>
      <w:r>
        <w:rPr>
          <w:rFonts w:hint="eastAsia"/>
          <w:sz w:val="24"/>
        </w:rPr>
        <w:t>评标委员会成员应当客观、公正地履行职责，遵守职业道德，依法对投标文件进行独立评审，提出评审意见，对所提出的评审意见承担个人责任，不受任何单位和个人的非法干预或影响。</w:t>
      </w:r>
    </w:p>
    <w:p>
      <w:pPr>
        <w:tabs>
          <w:tab w:val="left" w:pos="912"/>
          <w:tab w:val="left" w:pos="2456"/>
        </w:tabs>
        <w:snapToGrid w:val="0"/>
        <w:spacing w:line="460" w:lineRule="atLeast"/>
        <w:ind w:firstLine="564" w:firstLineChars="235"/>
        <w:rPr>
          <w:sz w:val="24"/>
        </w:rPr>
      </w:pPr>
      <w:r>
        <w:rPr>
          <w:rFonts w:hint="eastAsia"/>
          <w:sz w:val="24"/>
        </w:rPr>
        <w:t>5</w:t>
      </w:r>
      <w:r>
        <w:rPr>
          <w:sz w:val="24"/>
        </w:rPr>
        <w:t xml:space="preserve">.3 </w:t>
      </w:r>
      <w:r>
        <w:rPr>
          <w:rFonts w:hint="eastAsia"/>
          <w:sz w:val="24"/>
        </w:rPr>
        <w:t>评标委员会成员不得对其他评委的评审意见施加影响，不得对需要专业判断的主观评审因素协商评分，不得将投标文件带离评标地点评审，不得无故中途退出评标，不得复印、带走与评标有关的资料。</w:t>
      </w:r>
    </w:p>
    <w:p>
      <w:pPr>
        <w:tabs>
          <w:tab w:val="left" w:pos="912"/>
          <w:tab w:val="left" w:pos="2456"/>
        </w:tabs>
        <w:snapToGrid w:val="0"/>
        <w:spacing w:line="460" w:lineRule="atLeast"/>
        <w:ind w:firstLine="564" w:firstLineChars="235"/>
        <w:rPr>
          <w:sz w:val="24"/>
        </w:rPr>
      </w:pPr>
      <w:r>
        <w:rPr>
          <w:rFonts w:hint="eastAsia"/>
          <w:sz w:val="24"/>
        </w:rPr>
        <w:t>5</w:t>
      </w:r>
      <w:r>
        <w:rPr>
          <w:sz w:val="24"/>
        </w:rPr>
        <w:t xml:space="preserve">.4 </w:t>
      </w:r>
      <w:r>
        <w:rPr>
          <w:rFonts w:hint="eastAsia"/>
          <w:sz w:val="24"/>
        </w:rPr>
        <w:t>评标委员会成员不得与任何投标人或者与招标结果有利害关系人进行私下接触，不得收受投标人、中介人、其他利害关系人的财物或者其他好处。</w:t>
      </w:r>
    </w:p>
    <w:p>
      <w:pPr>
        <w:tabs>
          <w:tab w:val="left" w:pos="912"/>
          <w:tab w:val="left" w:pos="2456"/>
        </w:tabs>
        <w:snapToGrid w:val="0"/>
        <w:spacing w:line="460" w:lineRule="atLeast"/>
        <w:ind w:firstLine="564" w:firstLineChars="235"/>
        <w:rPr>
          <w:sz w:val="24"/>
        </w:rPr>
      </w:pPr>
      <w:r>
        <w:rPr>
          <w:rFonts w:hint="eastAsia"/>
          <w:sz w:val="24"/>
        </w:rPr>
        <w:t>5</w:t>
      </w:r>
      <w:r>
        <w:rPr>
          <w:sz w:val="24"/>
        </w:rPr>
        <w:t xml:space="preserve">.5 </w:t>
      </w:r>
      <w:r>
        <w:rPr>
          <w:rFonts w:hint="eastAsia"/>
          <w:sz w:val="24"/>
        </w:rPr>
        <w:t>在评标过程中，除非根据评标委员会的要求，投标人不得主动与招标人和评标委员会成员接触，不得有任何游说、贿赂等影响评标委员会成员客观和公正地进行评标的行为。投标人对招标人或评标委员会成员施加影响的任何企图和行为，将导致其投标无效。</w:t>
      </w:r>
    </w:p>
    <w:p>
      <w:pPr>
        <w:pStyle w:val="6"/>
        <w:spacing w:before="0" w:line="460" w:lineRule="atLeast"/>
        <w:ind w:firstLine="566" w:firstLineChars="235"/>
        <w:jc w:val="both"/>
        <w:rPr>
          <w:sz w:val="24"/>
          <w:szCs w:val="24"/>
        </w:rPr>
      </w:pPr>
      <w:r>
        <w:rPr>
          <w:rFonts w:hint="eastAsia"/>
          <w:sz w:val="24"/>
          <w:szCs w:val="24"/>
        </w:rPr>
        <w:t>6</w:t>
      </w:r>
      <w:r>
        <w:rPr>
          <w:sz w:val="24"/>
          <w:szCs w:val="24"/>
        </w:rPr>
        <w:t xml:space="preserve">. </w:t>
      </w:r>
      <w:r>
        <w:rPr>
          <w:rFonts w:hint="eastAsia"/>
          <w:sz w:val="24"/>
          <w:szCs w:val="24"/>
        </w:rPr>
        <w:t>名词解释与评标规定</w:t>
      </w:r>
    </w:p>
    <w:p>
      <w:pPr>
        <w:tabs>
          <w:tab w:val="left" w:pos="912"/>
          <w:tab w:val="left" w:pos="2456"/>
        </w:tabs>
        <w:snapToGrid w:val="0"/>
        <w:spacing w:line="460" w:lineRule="atLeast"/>
        <w:ind w:firstLine="564" w:firstLineChars="235"/>
        <w:rPr>
          <w:sz w:val="24"/>
        </w:rPr>
      </w:pPr>
      <w:r>
        <w:rPr>
          <w:rFonts w:hint="eastAsia"/>
          <w:sz w:val="24"/>
        </w:rPr>
        <w:t>6</w:t>
      </w:r>
      <w:r>
        <w:rPr>
          <w:sz w:val="24"/>
        </w:rPr>
        <w:t xml:space="preserve">.1 </w:t>
      </w:r>
      <w:r>
        <w:rPr>
          <w:rFonts w:hint="eastAsia"/>
          <w:sz w:val="24"/>
        </w:rPr>
        <w:t>标底</w:t>
      </w:r>
    </w:p>
    <w:p>
      <w:pPr>
        <w:tabs>
          <w:tab w:val="left" w:pos="912"/>
          <w:tab w:val="left" w:pos="2456"/>
        </w:tabs>
        <w:snapToGrid w:val="0"/>
        <w:spacing w:line="460" w:lineRule="atLeast"/>
        <w:ind w:firstLine="564" w:firstLineChars="235"/>
        <w:rPr>
          <w:sz w:val="24"/>
        </w:rPr>
      </w:pPr>
      <w:r>
        <w:rPr>
          <w:rFonts w:hint="eastAsia"/>
          <w:sz w:val="24"/>
        </w:rPr>
        <w:t>本招标工程招标人不设标底。</w:t>
      </w:r>
    </w:p>
    <w:p>
      <w:pPr>
        <w:tabs>
          <w:tab w:val="left" w:pos="2456"/>
        </w:tabs>
        <w:snapToGrid w:val="0"/>
        <w:spacing w:line="460" w:lineRule="atLeast"/>
        <w:ind w:firstLine="564" w:firstLineChars="235"/>
        <w:rPr>
          <w:sz w:val="24"/>
        </w:rPr>
      </w:pPr>
      <w:r>
        <w:rPr>
          <w:rFonts w:hint="eastAsia"/>
          <w:sz w:val="24"/>
        </w:rPr>
        <w:t>6</w:t>
      </w:r>
      <w:r>
        <w:rPr>
          <w:sz w:val="24"/>
        </w:rPr>
        <w:t>.2</w:t>
      </w:r>
      <w:r>
        <w:rPr>
          <w:rFonts w:hint="eastAsia"/>
          <w:sz w:val="24"/>
        </w:rPr>
        <w:t>招标控制价</w:t>
      </w:r>
    </w:p>
    <w:p>
      <w:pPr>
        <w:tabs>
          <w:tab w:val="left" w:pos="912"/>
          <w:tab w:val="left" w:pos="2456"/>
        </w:tabs>
        <w:snapToGrid w:val="0"/>
        <w:spacing w:line="460" w:lineRule="atLeast"/>
        <w:ind w:firstLine="564" w:firstLineChars="235"/>
        <w:rPr>
          <w:sz w:val="24"/>
        </w:rPr>
      </w:pPr>
      <w:r>
        <w:rPr>
          <w:rFonts w:hint="eastAsia"/>
          <w:sz w:val="24"/>
        </w:rPr>
        <w:t>招标控制价是由招标人或招标人委托的中介机构依据招标文件、工程量清单计价规范、北京市计价定额和计价方法、工程造价管理机构发布的工程造价信息（工程造价信息没有发布的参照市场价）而编制的本工程造价。</w:t>
      </w:r>
    </w:p>
    <w:p>
      <w:pPr>
        <w:tabs>
          <w:tab w:val="left" w:pos="912"/>
          <w:tab w:val="left" w:pos="2456"/>
        </w:tabs>
        <w:snapToGrid w:val="0"/>
        <w:spacing w:line="460" w:lineRule="atLeast"/>
        <w:ind w:firstLine="564" w:firstLineChars="235"/>
        <w:rPr>
          <w:sz w:val="24"/>
        </w:rPr>
      </w:pPr>
      <w:r>
        <w:rPr>
          <w:rFonts w:hint="eastAsia"/>
          <w:sz w:val="24"/>
        </w:rPr>
        <w:t>招标人应按招标文件的规定向投标人公布招标控制价，并报送相关的管理部门备案。</w:t>
      </w:r>
    </w:p>
    <w:p>
      <w:pPr>
        <w:tabs>
          <w:tab w:val="left" w:pos="912"/>
          <w:tab w:val="left" w:pos="2456"/>
        </w:tabs>
        <w:snapToGrid w:val="0"/>
        <w:spacing w:line="460" w:lineRule="atLeast"/>
        <w:ind w:firstLine="564" w:firstLineChars="235"/>
        <w:rPr>
          <w:sz w:val="24"/>
        </w:rPr>
      </w:pPr>
      <w:r>
        <w:rPr>
          <w:rFonts w:hint="eastAsia"/>
          <w:sz w:val="24"/>
        </w:rPr>
        <w:t>投标人经复核认为招标人公布的招标控制价未按照上述规定进行编制的，应在公布后</w:t>
      </w:r>
      <w:r>
        <w:rPr>
          <w:sz w:val="24"/>
        </w:rPr>
        <w:t>5</w:t>
      </w:r>
      <w:r>
        <w:rPr>
          <w:rFonts w:hint="eastAsia"/>
          <w:sz w:val="24"/>
        </w:rPr>
        <w:t>日内向招标投标监管部门或（和）工程造价管理部门投诉。</w:t>
      </w:r>
    </w:p>
    <w:p>
      <w:pPr>
        <w:autoSpaceDE w:val="0"/>
        <w:autoSpaceDN w:val="0"/>
        <w:adjustRightInd w:val="0"/>
        <w:spacing w:line="460" w:lineRule="atLeast"/>
        <w:ind w:firstLine="556" w:firstLineChars="232"/>
        <w:jc w:val="left"/>
        <w:rPr>
          <w:sz w:val="24"/>
        </w:rPr>
      </w:pPr>
      <w:r>
        <w:rPr>
          <w:rFonts w:hint="eastAsia"/>
          <w:sz w:val="24"/>
        </w:rPr>
        <w:t>6</w:t>
      </w:r>
      <w:r>
        <w:rPr>
          <w:sz w:val="24"/>
        </w:rPr>
        <w:t xml:space="preserve">.3 </w:t>
      </w:r>
      <w:r>
        <w:rPr>
          <w:rFonts w:hint="eastAsia"/>
          <w:sz w:val="24"/>
        </w:rPr>
        <w:t>有效投标</w:t>
      </w:r>
    </w:p>
    <w:p>
      <w:pPr>
        <w:tabs>
          <w:tab w:val="left" w:pos="426"/>
        </w:tabs>
        <w:autoSpaceDE w:val="0"/>
        <w:autoSpaceDN w:val="0"/>
        <w:adjustRightInd w:val="0"/>
        <w:spacing w:line="460" w:lineRule="atLeast"/>
        <w:ind w:left="198" w:firstLine="480" w:firstLineChars="200"/>
        <w:jc w:val="left"/>
        <w:rPr>
          <w:sz w:val="24"/>
        </w:rPr>
      </w:pPr>
      <w:r>
        <w:rPr>
          <w:rFonts w:hint="eastAsia"/>
          <w:sz w:val="24"/>
        </w:rPr>
        <w:t>有效投标是指没有被评标委员会根据本办法的规定否决或者界定为废标的投标。</w:t>
      </w:r>
    </w:p>
    <w:p>
      <w:pPr>
        <w:autoSpaceDE w:val="0"/>
        <w:autoSpaceDN w:val="0"/>
        <w:adjustRightInd w:val="0"/>
        <w:spacing w:line="460" w:lineRule="atLeast"/>
        <w:ind w:left="198" w:firstLine="360" w:firstLineChars="150"/>
        <w:jc w:val="left"/>
        <w:rPr>
          <w:sz w:val="24"/>
        </w:rPr>
      </w:pPr>
      <w:r>
        <w:rPr>
          <w:rFonts w:hint="eastAsia"/>
          <w:sz w:val="24"/>
        </w:rPr>
        <w:t>6</w:t>
      </w:r>
      <w:r>
        <w:rPr>
          <w:sz w:val="24"/>
        </w:rPr>
        <w:t xml:space="preserve">.4 </w:t>
      </w:r>
      <w:r>
        <w:rPr>
          <w:rFonts w:hint="eastAsia"/>
          <w:sz w:val="24"/>
        </w:rPr>
        <w:t>评标价格</w:t>
      </w:r>
    </w:p>
    <w:p>
      <w:pPr>
        <w:autoSpaceDE w:val="0"/>
        <w:autoSpaceDN w:val="0"/>
        <w:adjustRightInd w:val="0"/>
        <w:spacing w:line="460" w:lineRule="atLeast"/>
        <w:ind w:left="198" w:firstLine="480" w:firstLineChars="200"/>
        <w:jc w:val="left"/>
        <w:rPr>
          <w:sz w:val="24"/>
        </w:rPr>
      </w:pPr>
      <w:r>
        <w:rPr>
          <w:rFonts w:hint="eastAsia"/>
          <w:sz w:val="24"/>
        </w:rPr>
        <w:t>评标价格是指各有效投标的投标报价扣除暂列金额（含税）和专业工程暂估价金额（含税）后的价格。</w:t>
      </w:r>
    </w:p>
    <w:p>
      <w:pPr>
        <w:autoSpaceDE w:val="0"/>
        <w:autoSpaceDN w:val="0"/>
        <w:adjustRightInd w:val="0"/>
        <w:spacing w:line="460" w:lineRule="atLeast"/>
        <w:ind w:left="198" w:firstLine="360" w:firstLineChars="150"/>
        <w:jc w:val="left"/>
        <w:rPr>
          <w:sz w:val="24"/>
        </w:rPr>
      </w:pPr>
      <w:r>
        <w:rPr>
          <w:rFonts w:hint="eastAsia"/>
          <w:sz w:val="24"/>
        </w:rPr>
        <w:t>6</w:t>
      </w:r>
      <w:r>
        <w:rPr>
          <w:sz w:val="24"/>
        </w:rPr>
        <w:t xml:space="preserve">.5 </w:t>
      </w:r>
      <w:r>
        <w:rPr>
          <w:rFonts w:hint="eastAsia"/>
          <w:sz w:val="24"/>
        </w:rPr>
        <w:t>基准价</w:t>
      </w:r>
    </w:p>
    <w:p>
      <w:pPr>
        <w:autoSpaceDE w:val="0"/>
        <w:autoSpaceDN w:val="0"/>
        <w:adjustRightInd w:val="0"/>
        <w:spacing w:line="460" w:lineRule="atLeast"/>
        <w:ind w:left="198" w:firstLine="480" w:firstLineChars="200"/>
        <w:jc w:val="left"/>
        <w:rPr>
          <w:sz w:val="24"/>
        </w:rPr>
      </w:pPr>
      <w:r>
        <w:rPr>
          <w:rFonts w:hint="eastAsia"/>
          <w:sz w:val="24"/>
        </w:rPr>
        <w:t>基准价是指根据基准价计算规定计算的，用于计算经济标评审分值的价格。</w:t>
      </w:r>
    </w:p>
    <w:p>
      <w:pPr>
        <w:tabs>
          <w:tab w:val="left" w:pos="912"/>
          <w:tab w:val="left" w:pos="2456"/>
        </w:tabs>
        <w:snapToGrid w:val="0"/>
        <w:spacing w:line="460" w:lineRule="atLeast"/>
        <w:ind w:firstLine="564" w:firstLineChars="235"/>
        <w:rPr>
          <w:sz w:val="24"/>
        </w:rPr>
      </w:pPr>
      <w:r>
        <w:rPr>
          <w:rFonts w:hint="eastAsia"/>
          <w:sz w:val="24"/>
        </w:rPr>
        <w:t>6</w:t>
      </w:r>
      <w:r>
        <w:rPr>
          <w:sz w:val="24"/>
        </w:rPr>
        <w:t xml:space="preserve">.6 </w:t>
      </w:r>
      <w:r>
        <w:rPr>
          <w:rFonts w:hint="eastAsia"/>
          <w:sz w:val="24"/>
        </w:rPr>
        <w:t>量化分值小数点后有效位数确定</w:t>
      </w:r>
    </w:p>
    <w:p>
      <w:pPr>
        <w:tabs>
          <w:tab w:val="left" w:pos="912"/>
          <w:tab w:val="left" w:pos="2456"/>
        </w:tabs>
        <w:snapToGrid w:val="0"/>
        <w:spacing w:line="460" w:lineRule="atLeast"/>
        <w:ind w:firstLine="564" w:firstLineChars="235"/>
        <w:rPr>
          <w:sz w:val="24"/>
        </w:rPr>
      </w:pPr>
      <w:r>
        <w:rPr>
          <w:rFonts w:hint="eastAsia"/>
          <w:sz w:val="24"/>
        </w:rPr>
        <w:t>本办法中量化评分分值计算保留小数点后两位，第三位四舍五入。</w:t>
      </w:r>
    </w:p>
    <w:p>
      <w:pPr>
        <w:pStyle w:val="6"/>
        <w:spacing w:before="0" w:line="460" w:lineRule="atLeast"/>
        <w:ind w:firstLine="566" w:firstLineChars="235"/>
        <w:jc w:val="both"/>
        <w:rPr>
          <w:sz w:val="24"/>
          <w:szCs w:val="24"/>
        </w:rPr>
      </w:pPr>
      <w:r>
        <w:rPr>
          <w:rFonts w:hint="eastAsia"/>
          <w:sz w:val="24"/>
          <w:szCs w:val="24"/>
        </w:rPr>
        <w:t>7</w:t>
      </w:r>
      <w:r>
        <w:rPr>
          <w:sz w:val="24"/>
          <w:szCs w:val="24"/>
        </w:rPr>
        <w:t xml:space="preserve">. </w:t>
      </w:r>
      <w:r>
        <w:rPr>
          <w:rFonts w:hint="eastAsia"/>
          <w:sz w:val="24"/>
          <w:szCs w:val="24"/>
        </w:rPr>
        <w:t>特殊情况处置</w:t>
      </w:r>
    </w:p>
    <w:p>
      <w:pPr>
        <w:tabs>
          <w:tab w:val="left" w:pos="912"/>
          <w:tab w:val="left" w:pos="2456"/>
        </w:tabs>
        <w:snapToGrid w:val="0"/>
        <w:spacing w:line="460" w:lineRule="atLeast"/>
        <w:ind w:firstLine="564" w:firstLineChars="235"/>
        <w:rPr>
          <w:sz w:val="24"/>
        </w:rPr>
      </w:pPr>
      <w:r>
        <w:rPr>
          <w:rFonts w:hint="eastAsia"/>
          <w:sz w:val="24"/>
        </w:rPr>
        <w:t>7</w:t>
      </w:r>
      <w:r>
        <w:rPr>
          <w:sz w:val="24"/>
        </w:rPr>
        <w:t>.1</w:t>
      </w:r>
      <w:r>
        <w:rPr>
          <w:rFonts w:hint="eastAsia"/>
          <w:sz w:val="24"/>
        </w:rPr>
        <w:t>暗标评审的评审程序规定</w:t>
      </w:r>
    </w:p>
    <w:p>
      <w:pPr>
        <w:spacing w:line="460" w:lineRule="atLeast"/>
        <w:ind w:firstLine="480" w:firstLineChars="200"/>
        <w:rPr>
          <w:sz w:val="24"/>
        </w:rPr>
      </w:pPr>
      <w:r>
        <w:rPr>
          <w:rFonts w:hint="eastAsia" w:ascii="宋体" w:hAnsi="宋体"/>
          <w:sz w:val="24"/>
        </w:rPr>
        <w:t>根据第二章</w:t>
      </w:r>
      <w:r>
        <w:rPr>
          <w:rFonts w:ascii="宋体" w:hAnsi="宋体"/>
          <w:sz w:val="24"/>
        </w:rPr>
        <w:t>“</w:t>
      </w:r>
      <w:r>
        <w:rPr>
          <w:rFonts w:hint="eastAsia" w:ascii="宋体" w:hAnsi="宋体"/>
          <w:sz w:val="24"/>
        </w:rPr>
        <w:t>投标人须知</w:t>
      </w:r>
      <w:r>
        <w:rPr>
          <w:rFonts w:ascii="宋体" w:hAnsi="宋体"/>
          <w:sz w:val="24"/>
        </w:rPr>
        <w:t>”</w:t>
      </w:r>
      <w:r>
        <w:rPr>
          <w:rFonts w:hint="eastAsia" w:ascii="宋体" w:hAnsi="宋体"/>
          <w:sz w:val="24"/>
        </w:rPr>
        <w:t>中第</w:t>
      </w:r>
      <w:r>
        <w:rPr>
          <w:rFonts w:ascii="宋体" w:hAnsi="宋体"/>
          <w:sz w:val="24"/>
        </w:rPr>
        <w:t>3.7.</w:t>
      </w:r>
      <w:r>
        <w:rPr>
          <w:rFonts w:hint="eastAsia" w:ascii="宋体" w:hAnsi="宋体"/>
          <w:sz w:val="24"/>
        </w:rPr>
        <w:t>4项的要求，评标委员会需对施工组织设计进行暗标评审，评标委员会需将施工组织设计（暗标）评审提前到初步评审之前进行。施工组织设计评审结果封存后再进行形式评审、资格审查、响应性评审、企业实力和管理机构评审和投标报价评审。</w:t>
      </w:r>
      <w:r>
        <w:rPr>
          <w:rFonts w:hint="eastAsia"/>
          <w:sz w:val="24"/>
        </w:rPr>
        <w:t>评分汇总完成后再公开暗标编号与投标人名称之间的对应关系。</w:t>
      </w:r>
    </w:p>
    <w:p>
      <w:pPr>
        <w:tabs>
          <w:tab w:val="left" w:pos="912"/>
          <w:tab w:val="left" w:pos="2456"/>
        </w:tabs>
        <w:snapToGrid w:val="0"/>
        <w:spacing w:line="460" w:lineRule="atLeast"/>
        <w:ind w:firstLine="564" w:firstLineChars="235"/>
        <w:rPr>
          <w:sz w:val="24"/>
        </w:rPr>
      </w:pPr>
      <w:r>
        <w:rPr>
          <w:rFonts w:hint="eastAsia"/>
          <w:sz w:val="24"/>
        </w:rPr>
        <w:t>7</w:t>
      </w:r>
      <w:r>
        <w:rPr>
          <w:sz w:val="24"/>
        </w:rPr>
        <w:t>.</w:t>
      </w:r>
      <w:r>
        <w:rPr>
          <w:rFonts w:hint="eastAsia"/>
          <w:sz w:val="24"/>
        </w:rPr>
        <w:t>2关于评标活动暂停</w:t>
      </w:r>
    </w:p>
    <w:p>
      <w:pPr>
        <w:spacing w:line="460" w:lineRule="atLeast"/>
        <w:ind w:left="141" w:leftChars="67" w:firstLine="564" w:firstLineChars="235"/>
        <w:rPr>
          <w:rFonts w:ascii="宋体"/>
          <w:sz w:val="24"/>
        </w:rPr>
      </w:pPr>
      <w:r>
        <w:rPr>
          <w:rFonts w:hint="eastAsia" w:ascii="宋体" w:hAnsi="宋体"/>
          <w:sz w:val="24"/>
        </w:rPr>
        <w:t>评标委员会应当执行连续评标的原则，按评标办法中规定的程序、内容、方法、标准完成全部评标工作。只有发生不可抗力导致评标工作无法继续时，评标活动方可暂停。</w:t>
      </w:r>
    </w:p>
    <w:p>
      <w:pPr>
        <w:tabs>
          <w:tab w:val="left" w:pos="912"/>
          <w:tab w:val="left" w:pos="2456"/>
        </w:tabs>
        <w:snapToGrid w:val="0"/>
        <w:spacing w:line="460" w:lineRule="atLeast"/>
        <w:ind w:left="141" w:leftChars="67" w:firstLine="420" w:firstLineChars="175"/>
        <w:rPr>
          <w:sz w:val="24"/>
        </w:rPr>
      </w:pPr>
      <w:r>
        <w:rPr>
          <w:rFonts w:hint="eastAsia" w:ascii="宋体" w:hAnsi="宋体"/>
          <w:sz w:val="24"/>
        </w:rPr>
        <w:t>发生评标暂停情况时，评标委员会应当封存全部投标文件和评标记录，待不可抗力的影响结束且具备继续评标的条件时，由原评标委员会继续评标。</w:t>
      </w:r>
    </w:p>
    <w:p>
      <w:pPr>
        <w:tabs>
          <w:tab w:val="left" w:pos="912"/>
          <w:tab w:val="left" w:pos="2456"/>
        </w:tabs>
        <w:snapToGrid w:val="0"/>
        <w:spacing w:line="460" w:lineRule="atLeast"/>
        <w:ind w:firstLine="564" w:firstLineChars="235"/>
        <w:rPr>
          <w:sz w:val="24"/>
        </w:rPr>
      </w:pPr>
      <w:r>
        <w:rPr>
          <w:rFonts w:hint="eastAsia"/>
          <w:sz w:val="24"/>
        </w:rPr>
        <w:t>7</w:t>
      </w:r>
      <w:r>
        <w:rPr>
          <w:sz w:val="24"/>
        </w:rPr>
        <w:t>.</w:t>
      </w:r>
      <w:r>
        <w:rPr>
          <w:rFonts w:hint="eastAsia"/>
          <w:sz w:val="24"/>
        </w:rPr>
        <w:t>3关于评标中途更换评委</w:t>
      </w:r>
    </w:p>
    <w:p>
      <w:pPr>
        <w:tabs>
          <w:tab w:val="left" w:pos="912"/>
          <w:tab w:val="left" w:pos="2456"/>
        </w:tabs>
        <w:snapToGrid w:val="0"/>
        <w:spacing w:line="460" w:lineRule="atLeast"/>
        <w:ind w:firstLine="564" w:firstLineChars="235"/>
        <w:rPr>
          <w:sz w:val="24"/>
        </w:rPr>
      </w:pPr>
      <w:r>
        <w:rPr>
          <w:rFonts w:hint="eastAsia"/>
          <w:sz w:val="24"/>
        </w:rPr>
        <w:t>符合本办法第</w:t>
      </w:r>
      <w:r>
        <w:rPr>
          <w:sz w:val="24"/>
        </w:rPr>
        <w:t>3.1.1.3</w:t>
      </w:r>
      <w:r>
        <w:rPr>
          <w:rFonts w:hint="eastAsia"/>
          <w:sz w:val="24"/>
        </w:rPr>
        <w:t>项规定的关于评标委员会成员应当回避的情形。</w:t>
      </w:r>
    </w:p>
    <w:p>
      <w:pPr>
        <w:tabs>
          <w:tab w:val="left" w:pos="912"/>
          <w:tab w:val="left" w:pos="2456"/>
        </w:tabs>
        <w:snapToGrid w:val="0"/>
        <w:spacing w:line="460" w:lineRule="atLeast"/>
        <w:ind w:firstLine="564" w:firstLineChars="235"/>
        <w:rPr>
          <w:sz w:val="24"/>
        </w:rPr>
      </w:pPr>
      <w:r>
        <w:rPr>
          <w:rFonts w:hint="eastAsia"/>
          <w:sz w:val="24"/>
        </w:rPr>
        <w:t>中途退出评标活动的评标委员会成员，其完成的评标工作无效，但仍负有对本招标工程评标活动的保密义务。招标人根据本办法关于评标委员会产生的规定，另行确定新的评标委员会成员，替代中途退出评标活动的评标委员会成员进行评标。</w:t>
      </w:r>
    </w:p>
    <w:p>
      <w:pPr>
        <w:tabs>
          <w:tab w:val="left" w:pos="2456"/>
        </w:tabs>
        <w:snapToGrid w:val="0"/>
        <w:spacing w:line="460" w:lineRule="atLeast"/>
        <w:ind w:firstLine="564" w:firstLineChars="235"/>
        <w:rPr>
          <w:sz w:val="24"/>
        </w:rPr>
      </w:pPr>
      <w:r>
        <w:rPr>
          <w:rFonts w:hint="eastAsia"/>
          <w:sz w:val="24"/>
        </w:rPr>
        <w:t>7</w:t>
      </w:r>
      <w:r>
        <w:rPr>
          <w:sz w:val="24"/>
        </w:rPr>
        <w:t>.</w:t>
      </w:r>
      <w:r>
        <w:rPr>
          <w:rFonts w:hint="eastAsia"/>
          <w:sz w:val="24"/>
        </w:rPr>
        <w:t>4</w:t>
      </w:r>
      <w:r>
        <w:rPr>
          <w:sz w:val="24"/>
        </w:rPr>
        <w:t xml:space="preserve"> </w:t>
      </w:r>
      <w:r>
        <w:rPr>
          <w:rFonts w:hint="eastAsia"/>
          <w:sz w:val="24"/>
        </w:rPr>
        <w:t>关于评标过程中发现问题的处理</w:t>
      </w:r>
    </w:p>
    <w:p>
      <w:pPr>
        <w:tabs>
          <w:tab w:val="left" w:pos="912"/>
          <w:tab w:val="left" w:pos="2456"/>
        </w:tabs>
        <w:snapToGrid w:val="0"/>
        <w:spacing w:line="460" w:lineRule="atLeast"/>
        <w:ind w:firstLine="564" w:firstLineChars="235"/>
        <w:rPr>
          <w:sz w:val="24"/>
        </w:rPr>
      </w:pPr>
      <w:r>
        <w:rPr>
          <w:rFonts w:hint="eastAsia"/>
          <w:sz w:val="24"/>
        </w:rPr>
        <w:t>评标委员会在评标过程中发现的问题，应当及时作出处理或者向招标人提出处理建议，并作出书面记录。</w:t>
      </w:r>
    </w:p>
    <w:p>
      <w:pPr>
        <w:spacing w:line="460" w:lineRule="atLeast"/>
        <w:ind w:left="420" w:leftChars="200" w:firstLine="120" w:firstLineChars="50"/>
        <w:rPr>
          <w:sz w:val="24"/>
        </w:rPr>
      </w:pPr>
      <w:r>
        <w:rPr>
          <w:rFonts w:hint="eastAsia"/>
          <w:sz w:val="24"/>
        </w:rPr>
        <w:t>7</w:t>
      </w:r>
      <w:r>
        <w:rPr>
          <w:sz w:val="24"/>
        </w:rPr>
        <w:t>.</w:t>
      </w:r>
      <w:r>
        <w:rPr>
          <w:rFonts w:hint="eastAsia"/>
          <w:sz w:val="24"/>
        </w:rPr>
        <w:t>5基本信息采集及</w:t>
      </w:r>
      <w:r>
        <w:rPr>
          <w:rFonts w:hint="eastAsia"/>
          <w:iCs/>
          <w:sz w:val="24"/>
        </w:rPr>
        <w:t>证明资料</w:t>
      </w:r>
    </w:p>
    <w:p>
      <w:pPr>
        <w:spacing w:line="460" w:lineRule="atLeast"/>
        <w:ind w:firstLine="480" w:firstLineChars="200"/>
        <w:rPr>
          <w:sz w:val="24"/>
        </w:rPr>
      </w:pPr>
      <w:r>
        <w:rPr>
          <w:rFonts w:hint="eastAsia"/>
          <w:sz w:val="24"/>
        </w:rPr>
        <w:t>投标人的人员、业绩等信息应以</w:t>
      </w:r>
      <w:r>
        <w:rPr>
          <w:rFonts w:hint="eastAsia" w:ascii="宋体" w:hAnsi="宋体"/>
          <w:sz w:val="24"/>
        </w:rPr>
        <w:t>北京市园林绿化建设市场信用信息系统</w:t>
      </w:r>
      <w:r>
        <w:rPr>
          <w:rFonts w:hint="eastAsia"/>
          <w:sz w:val="24"/>
        </w:rPr>
        <w:t>中的信息为依据，并直接调用，直接调用的数据都不用再重复上传相关证明资料。除直接调用的信息数据外，其他电子投标文件中的证明资料均为“扫描件”，作为电子投标文件的组成部分。</w:t>
      </w:r>
    </w:p>
    <w:p>
      <w:pPr>
        <w:spacing w:line="460" w:lineRule="atLeast"/>
        <w:ind w:left="420" w:leftChars="200" w:firstLine="120" w:firstLineChars="50"/>
      </w:pPr>
      <w:r>
        <w:rPr>
          <w:rFonts w:hint="eastAsia"/>
          <w:sz w:val="24"/>
        </w:rPr>
        <w:t>7</w:t>
      </w:r>
      <w:r>
        <w:rPr>
          <w:sz w:val="24"/>
        </w:rPr>
        <w:t>.</w:t>
      </w:r>
      <w:r>
        <w:rPr>
          <w:rFonts w:hint="eastAsia"/>
          <w:sz w:val="24"/>
        </w:rPr>
        <w:t>6突发情况处理</w:t>
      </w:r>
    </w:p>
    <w:p>
      <w:pPr>
        <w:spacing w:line="460" w:lineRule="atLeast"/>
        <w:ind w:firstLine="480" w:firstLineChars="200"/>
        <w:rPr>
          <w:rFonts w:ascii="宋体" w:cs="Arial"/>
          <w:iCs/>
          <w:sz w:val="24"/>
          <w:szCs w:val="28"/>
        </w:rPr>
      </w:pPr>
      <w:r>
        <w:rPr>
          <w:rFonts w:hint="eastAsia" w:ascii="宋体" w:hAnsi="宋体" w:cs="Arial"/>
          <w:iCs/>
          <w:sz w:val="24"/>
          <w:szCs w:val="28"/>
        </w:rPr>
        <w:t>评标时，如遇系统故障等突发事件，评标专家应及时与现场工作人员沟通解决。</w:t>
      </w:r>
    </w:p>
    <w:p>
      <w:pPr>
        <w:pStyle w:val="6"/>
        <w:tabs>
          <w:tab w:val="left" w:pos="810"/>
        </w:tabs>
        <w:spacing w:before="0" w:line="460" w:lineRule="atLeast"/>
        <w:ind w:firstLine="566" w:firstLineChars="235"/>
        <w:jc w:val="both"/>
        <w:rPr>
          <w:sz w:val="24"/>
          <w:szCs w:val="24"/>
        </w:rPr>
      </w:pPr>
      <w:r>
        <w:rPr>
          <w:rFonts w:hint="eastAsia"/>
          <w:sz w:val="24"/>
          <w:szCs w:val="24"/>
        </w:rPr>
        <w:t>8</w:t>
      </w:r>
      <w:r>
        <w:rPr>
          <w:sz w:val="24"/>
          <w:szCs w:val="24"/>
        </w:rPr>
        <w:t xml:space="preserve">. </w:t>
      </w:r>
      <w:r>
        <w:rPr>
          <w:rFonts w:hint="eastAsia"/>
          <w:sz w:val="24"/>
          <w:szCs w:val="24"/>
        </w:rPr>
        <w:t>评标委员会建议重新招标</w:t>
      </w:r>
    </w:p>
    <w:p>
      <w:pPr>
        <w:tabs>
          <w:tab w:val="left" w:pos="912"/>
          <w:tab w:val="left" w:pos="2456"/>
        </w:tabs>
        <w:snapToGrid w:val="0"/>
        <w:spacing w:line="460" w:lineRule="atLeast"/>
        <w:ind w:firstLine="564" w:firstLineChars="235"/>
        <w:rPr>
          <w:sz w:val="24"/>
        </w:rPr>
      </w:pPr>
      <w:r>
        <w:rPr>
          <w:rFonts w:hint="eastAsia"/>
          <w:sz w:val="24"/>
        </w:rPr>
        <w:t>评标委员会经评审，确认存在下列情形之一的，应当建议招标人依法重新组织招标：</w:t>
      </w:r>
    </w:p>
    <w:p>
      <w:pPr>
        <w:tabs>
          <w:tab w:val="left" w:pos="912"/>
          <w:tab w:val="left" w:pos="2456"/>
        </w:tabs>
        <w:snapToGrid w:val="0"/>
        <w:spacing w:line="460" w:lineRule="atLeast"/>
        <w:ind w:firstLine="564" w:firstLineChars="235"/>
        <w:rPr>
          <w:sz w:val="24"/>
        </w:rPr>
      </w:pPr>
      <w:r>
        <w:rPr>
          <w:rFonts w:hint="eastAsia"/>
          <w:sz w:val="24"/>
        </w:rPr>
        <w:t>（</w:t>
      </w:r>
      <w:r>
        <w:rPr>
          <w:sz w:val="24"/>
        </w:rPr>
        <w:t>1</w:t>
      </w:r>
      <w:r>
        <w:rPr>
          <w:rFonts w:hint="eastAsia"/>
          <w:sz w:val="24"/>
        </w:rPr>
        <w:t>）因有效投标不足三个使得投标明显缺乏竞争的，评标委员会可以否决全部投标；</w:t>
      </w:r>
    </w:p>
    <w:p>
      <w:pPr>
        <w:tabs>
          <w:tab w:val="left" w:pos="912"/>
          <w:tab w:val="left" w:pos="2456"/>
        </w:tabs>
        <w:snapToGrid w:val="0"/>
        <w:spacing w:line="460" w:lineRule="atLeast"/>
        <w:ind w:firstLine="564" w:firstLineChars="235"/>
        <w:rPr>
          <w:sz w:val="24"/>
        </w:rPr>
      </w:pPr>
      <w:r>
        <w:rPr>
          <w:rFonts w:hint="eastAsia"/>
          <w:sz w:val="24"/>
        </w:rPr>
        <w:t>（</w:t>
      </w:r>
      <w:r>
        <w:rPr>
          <w:sz w:val="24"/>
        </w:rPr>
        <w:t>2</w:t>
      </w:r>
      <w:r>
        <w:rPr>
          <w:rFonts w:hint="eastAsia"/>
          <w:sz w:val="24"/>
        </w:rPr>
        <w:t>）投标人少于三个或者所有投标被否决的。</w:t>
      </w:r>
    </w:p>
    <w:p>
      <w:pPr>
        <w:pStyle w:val="6"/>
        <w:spacing w:before="0" w:line="460" w:lineRule="atLeast"/>
        <w:ind w:firstLine="566" w:firstLineChars="235"/>
        <w:jc w:val="both"/>
        <w:rPr>
          <w:sz w:val="24"/>
          <w:szCs w:val="24"/>
        </w:rPr>
      </w:pPr>
      <w:r>
        <w:rPr>
          <w:rFonts w:hint="eastAsia"/>
          <w:sz w:val="24"/>
          <w:szCs w:val="24"/>
        </w:rPr>
        <w:t>9</w:t>
      </w:r>
      <w:r>
        <w:rPr>
          <w:sz w:val="24"/>
          <w:szCs w:val="24"/>
        </w:rPr>
        <w:t xml:space="preserve">. </w:t>
      </w:r>
      <w:r>
        <w:rPr>
          <w:rFonts w:hint="eastAsia"/>
          <w:sz w:val="24"/>
          <w:szCs w:val="24"/>
        </w:rPr>
        <w:t>附表</w:t>
      </w:r>
    </w:p>
    <w:p>
      <w:pPr>
        <w:tabs>
          <w:tab w:val="left" w:pos="912"/>
          <w:tab w:val="left" w:pos="2456"/>
        </w:tabs>
        <w:snapToGrid w:val="0"/>
        <w:spacing w:line="460" w:lineRule="atLeast"/>
        <w:ind w:firstLine="564" w:firstLineChars="235"/>
        <w:rPr>
          <w:sz w:val="24"/>
        </w:rPr>
      </w:pPr>
      <w:r>
        <w:rPr>
          <w:rFonts w:hint="eastAsia"/>
          <w:sz w:val="24"/>
        </w:rPr>
        <w:t>以下评标附表是本评标办法的组成部分，供评标委员会评标使用。评标委员会依据有关评标附表中明确的评审内容及其标准进行评审。</w:t>
      </w:r>
    </w:p>
    <w:p>
      <w:pPr>
        <w:tabs>
          <w:tab w:val="left" w:pos="912"/>
          <w:tab w:val="left" w:pos="2456"/>
        </w:tabs>
        <w:snapToGrid w:val="0"/>
        <w:spacing w:line="460" w:lineRule="atLeast"/>
        <w:ind w:firstLine="564" w:firstLineChars="235"/>
        <w:rPr>
          <w:sz w:val="24"/>
        </w:rPr>
      </w:pPr>
      <w:r>
        <w:rPr>
          <w:rFonts w:hint="eastAsia"/>
          <w:sz w:val="24"/>
        </w:rPr>
        <w:t>附表</w:t>
      </w:r>
      <w:r>
        <w:rPr>
          <w:sz w:val="24"/>
        </w:rPr>
        <w:t>-1</w:t>
      </w:r>
      <w:r>
        <w:rPr>
          <w:rFonts w:hint="eastAsia"/>
          <w:sz w:val="24"/>
        </w:rPr>
        <w:t>：评标委员会签到表</w:t>
      </w:r>
    </w:p>
    <w:p>
      <w:pPr>
        <w:tabs>
          <w:tab w:val="left" w:pos="912"/>
          <w:tab w:val="left" w:pos="2456"/>
        </w:tabs>
        <w:snapToGrid w:val="0"/>
        <w:spacing w:line="460" w:lineRule="atLeast"/>
        <w:ind w:firstLine="564" w:firstLineChars="235"/>
        <w:rPr>
          <w:sz w:val="24"/>
        </w:rPr>
      </w:pPr>
      <w:r>
        <w:rPr>
          <w:rFonts w:hint="eastAsia"/>
          <w:sz w:val="24"/>
        </w:rPr>
        <w:t>附表</w:t>
      </w:r>
      <w:r>
        <w:rPr>
          <w:sz w:val="24"/>
        </w:rPr>
        <w:t>-2</w:t>
      </w:r>
      <w:r>
        <w:rPr>
          <w:rFonts w:hint="eastAsia"/>
          <w:sz w:val="24"/>
        </w:rPr>
        <w:t>：评标专家声明书</w:t>
      </w:r>
    </w:p>
    <w:p>
      <w:pPr>
        <w:tabs>
          <w:tab w:val="left" w:pos="912"/>
          <w:tab w:val="left" w:pos="2456"/>
        </w:tabs>
        <w:snapToGrid w:val="0"/>
        <w:spacing w:line="460" w:lineRule="atLeast"/>
        <w:ind w:firstLine="564" w:firstLineChars="235"/>
        <w:rPr>
          <w:sz w:val="24"/>
        </w:rPr>
      </w:pPr>
      <w:r>
        <w:rPr>
          <w:rFonts w:hint="eastAsia"/>
          <w:sz w:val="24"/>
        </w:rPr>
        <w:t>附表</w:t>
      </w:r>
      <w:r>
        <w:rPr>
          <w:sz w:val="24"/>
        </w:rPr>
        <w:t>-3</w:t>
      </w:r>
      <w:r>
        <w:rPr>
          <w:rFonts w:hint="eastAsia"/>
          <w:sz w:val="24"/>
        </w:rPr>
        <w:t>：形式评审记录表</w:t>
      </w:r>
    </w:p>
    <w:p>
      <w:pPr>
        <w:tabs>
          <w:tab w:val="left" w:pos="912"/>
          <w:tab w:val="left" w:pos="2456"/>
        </w:tabs>
        <w:snapToGrid w:val="0"/>
        <w:spacing w:line="460" w:lineRule="atLeast"/>
        <w:ind w:firstLine="564" w:firstLineChars="235"/>
        <w:rPr>
          <w:sz w:val="24"/>
        </w:rPr>
      </w:pPr>
      <w:r>
        <w:rPr>
          <w:rFonts w:hint="eastAsia"/>
          <w:sz w:val="24"/>
        </w:rPr>
        <w:t>附表</w:t>
      </w:r>
      <w:r>
        <w:rPr>
          <w:sz w:val="24"/>
        </w:rPr>
        <w:t>-4</w:t>
      </w:r>
      <w:r>
        <w:rPr>
          <w:rFonts w:hint="eastAsia"/>
          <w:sz w:val="24"/>
        </w:rPr>
        <w:t>：资格审查表</w:t>
      </w:r>
    </w:p>
    <w:p>
      <w:pPr>
        <w:tabs>
          <w:tab w:val="left" w:pos="912"/>
          <w:tab w:val="left" w:pos="2456"/>
        </w:tabs>
        <w:snapToGrid w:val="0"/>
        <w:spacing w:line="460" w:lineRule="atLeast"/>
        <w:ind w:firstLine="564" w:firstLineChars="235"/>
        <w:rPr>
          <w:sz w:val="24"/>
        </w:rPr>
      </w:pPr>
      <w:r>
        <w:rPr>
          <w:rFonts w:hint="eastAsia"/>
          <w:sz w:val="24"/>
        </w:rPr>
        <w:t>附表</w:t>
      </w:r>
      <w:r>
        <w:rPr>
          <w:sz w:val="24"/>
        </w:rPr>
        <w:t>-5</w:t>
      </w:r>
      <w:r>
        <w:rPr>
          <w:rFonts w:hint="eastAsia"/>
          <w:sz w:val="24"/>
        </w:rPr>
        <w:t>：响应性评审记录表</w:t>
      </w:r>
    </w:p>
    <w:p>
      <w:pPr>
        <w:tabs>
          <w:tab w:val="left" w:pos="912"/>
          <w:tab w:val="left" w:pos="2456"/>
        </w:tabs>
        <w:snapToGrid w:val="0"/>
        <w:spacing w:line="460" w:lineRule="atLeast"/>
        <w:ind w:firstLine="564" w:firstLineChars="235"/>
        <w:rPr>
          <w:sz w:val="24"/>
        </w:rPr>
      </w:pPr>
      <w:r>
        <w:rPr>
          <w:rFonts w:hint="eastAsia"/>
          <w:sz w:val="24"/>
        </w:rPr>
        <w:t>附表</w:t>
      </w:r>
      <w:r>
        <w:rPr>
          <w:sz w:val="24"/>
        </w:rPr>
        <w:t>-6</w:t>
      </w:r>
      <w:r>
        <w:rPr>
          <w:rFonts w:hint="eastAsia"/>
          <w:sz w:val="24"/>
        </w:rPr>
        <w:t>：投标偏差分析表</w:t>
      </w:r>
    </w:p>
    <w:p>
      <w:pPr>
        <w:tabs>
          <w:tab w:val="left" w:pos="912"/>
          <w:tab w:val="left" w:pos="2456"/>
        </w:tabs>
        <w:snapToGrid w:val="0"/>
        <w:spacing w:line="460" w:lineRule="atLeast"/>
        <w:ind w:firstLine="564" w:firstLineChars="235"/>
        <w:rPr>
          <w:sz w:val="24"/>
        </w:rPr>
      </w:pPr>
      <w:r>
        <w:rPr>
          <w:rFonts w:hint="eastAsia"/>
          <w:sz w:val="24"/>
        </w:rPr>
        <w:t>附表</w:t>
      </w:r>
      <w:r>
        <w:rPr>
          <w:sz w:val="24"/>
        </w:rPr>
        <w:t>-7</w:t>
      </w:r>
      <w:r>
        <w:rPr>
          <w:rFonts w:hint="eastAsia"/>
          <w:sz w:val="24"/>
        </w:rPr>
        <w:t>：施工组织设计（暗标）评分表</w:t>
      </w:r>
    </w:p>
    <w:p>
      <w:pPr>
        <w:tabs>
          <w:tab w:val="left" w:pos="912"/>
          <w:tab w:val="left" w:pos="2456"/>
        </w:tabs>
        <w:snapToGrid w:val="0"/>
        <w:spacing w:line="460" w:lineRule="atLeast"/>
        <w:ind w:firstLine="564" w:firstLineChars="235"/>
        <w:rPr>
          <w:sz w:val="24"/>
        </w:rPr>
      </w:pPr>
      <w:r>
        <w:rPr>
          <w:rFonts w:hint="eastAsia"/>
          <w:sz w:val="24"/>
        </w:rPr>
        <w:t>附表</w:t>
      </w:r>
      <w:r>
        <w:rPr>
          <w:sz w:val="24"/>
        </w:rPr>
        <w:t>-8</w:t>
      </w:r>
      <w:r>
        <w:rPr>
          <w:rFonts w:hint="eastAsia"/>
          <w:sz w:val="24"/>
        </w:rPr>
        <w:t>：施工组织设计（暗标）评分汇总表</w:t>
      </w:r>
    </w:p>
    <w:p>
      <w:pPr>
        <w:tabs>
          <w:tab w:val="left" w:pos="912"/>
          <w:tab w:val="left" w:pos="2456"/>
        </w:tabs>
        <w:snapToGrid w:val="0"/>
        <w:spacing w:line="460" w:lineRule="atLeast"/>
        <w:ind w:firstLine="564" w:firstLineChars="235"/>
        <w:rPr>
          <w:sz w:val="24"/>
        </w:rPr>
      </w:pPr>
      <w:r>
        <w:rPr>
          <w:rFonts w:hint="eastAsia"/>
          <w:sz w:val="24"/>
        </w:rPr>
        <w:t>附表</w:t>
      </w:r>
      <w:r>
        <w:rPr>
          <w:sz w:val="24"/>
        </w:rPr>
        <w:t>-9</w:t>
      </w:r>
      <w:r>
        <w:rPr>
          <w:rFonts w:hint="eastAsia"/>
          <w:sz w:val="24"/>
        </w:rPr>
        <w:t>：企业实力和管理机构评审记录表</w:t>
      </w:r>
    </w:p>
    <w:p>
      <w:pPr>
        <w:tabs>
          <w:tab w:val="left" w:pos="912"/>
          <w:tab w:val="left" w:pos="2456"/>
        </w:tabs>
        <w:snapToGrid w:val="0"/>
        <w:spacing w:line="460" w:lineRule="atLeast"/>
        <w:ind w:firstLine="564" w:firstLineChars="235"/>
        <w:rPr>
          <w:sz w:val="24"/>
        </w:rPr>
      </w:pPr>
      <w:r>
        <w:rPr>
          <w:rFonts w:hint="eastAsia"/>
          <w:sz w:val="24"/>
        </w:rPr>
        <w:t>附表</w:t>
      </w:r>
      <w:r>
        <w:rPr>
          <w:sz w:val="24"/>
        </w:rPr>
        <w:t>-10</w:t>
      </w:r>
      <w:r>
        <w:rPr>
          <w:rFonts w:hint="eastAsia"/>
          <w:sz w:val="24"/>
        </w:rPr>
        <w:t>：技术暗标编号确认表</w:t>
      </w:r>
    </w:p>
    <w:p>
      <w:pPr>
        <w:tabs>
          <w:tab w:val="left" w:pos="912"/>
          <w:tab w:val="left" w:pos="2456"/>
        </w:tabs>
        <w:snapToGrid w:val="0"/>
        <w:spacing w:line="460" w:lineRule="atLeast"/>
        <w:ind w:firstLine="564" w:firstLineChars="235"/>
        <w:rPr>
          <w:sz w:val="24"/>
        </w:rPr>
      </w:pPr>
      <w:r>
        <w:rPr>
          <w:rFonts w:hint="eastAsia"/>
          <w:sz w:val="24"/>
        </w:rPr>
        <w:t>附表</w:t>
      </w:r>
      <w:r>
        <w:rPr>
          <w:sz w:val="24"/>
        </w:rPr>
        <w:t>-11</w:t>
      </w:r>
      <w:r>
        <w:rPr>
          <w:rFonts w:hint="eastAsia"/>
          <w:sz w:val="24"/>
        </w:rPr>
        <w:t>：信誉评审记录表</w:t>
      </w:r>
    </w:p>
    <w:p>
      <w:pPr>
        <w:tabs>
          <w:tab w:val="left" w:pos="912"/>
          <w:tab w:val="left" w:pos="2456"/>
        </w:tabs>
        <w:snapToGrid w:val="0"/>
        <w:spacing w:line="460" w:lineRule="atLeast"/>
        <w:ind w:firstLine="564" w:firstLineChars="235"/>
        <w:rPr>
          <w:sz w:val="24"/>
        </w:rPr>
      </w:pPr>
      <w:r>
        <w:rPr>
          <w:rFonts w:hint="eastAsia"/>
          <w:sz w:val="24"/>
        </w:rPr>
        <w:t>附表</w:t>
      </w:r>
      <w:r>
        <w:rPr>
          <w:sz w:val="24"/>
        </w:rPr>
        <w:t>-1</w:t>
      </w:r>
      <w:r>
        <w:rPr>
          <w:rFonts w:hint="eastAsia"/>
          <w:sz w:val="24"/>
        </w:rPr>
        <w:t>2：其他因素评审记录表</w:t>
      </w:r>
    </w:p>
    <w:p>
      <w:pPr>
        <w:tabs>
          <w:tab w:val="left" w:pos="912"/>
          <w:tab w:val="left" w:pos="2456"/>
        </w:tabs>
        <w:snapToGrid w:val="0"/>
        <w:spacing w:line="460" w:lineRule="atLeast"/>
        <w:ind w:firstLine="564" w:firstLineChars="235"/>
        <w:rPr>
          <w:rFonts w:ascii="宋体"/>
          <w:sz w:val="28"/>
        </w:rPr>
      </w:pPr>
      <w:r>
        <w:rPr>
          <w:rFonts w:hint="eastAsia"/>
          <w:sz w:val="24"/>
        </w:rPr>
        <w:t>附表</w:t>
      </w:r>
      <w:r>
        <w:rPr>
          <w:sz w:val="24"/>
        </w:rPr>
        <w:t>-1</w:t>
      </w:r>
      <w:r>
        <w:rPr>
          <w:rFonts w:hint="eastAsia"/>
          <w:sz w:val="24"/>
        </w:rPr>
        <w:t>3</w:t>
      </w:r>
      <w:r>
        <w:rPr>
          <w:sz w:val="24"/>
        </w:rPr>
        <w:t>-1</w:t>
      </w:r>
      <w:bookmarkEnd w:id="111"/>
      <w:r>
        <w:rPr>
          <w:rFonts w:hint="eastAsia"/>
          <w:sz w:val="24"/>
        </w:rPr>
        <w:t>：投标报价评分记录表</w:t>
      </w:r>
      <w:r>
        <w:rPr>
          <w:sz w:val="24"/>
        </w:rPr>
        <w:t>(</w:t>
      </w:r>
      <w:r>
        <w:rPr>
          <w:rFonts w:hint="eastAsia"/>
          <w:sz w:val="24"/>
        </w:rPr>
        <w:t>适用于区间法</w:t>
      </w:r>
      <w:r>
        <w:rPr>
          <w:sz w:val="24"/>
        </w:rPr>
        <w:t>)</w:t>
      </w:r>
    </w:p>
    <w:p>
      <w:pPr>
        <w:tabs>
          <w:tab w:val="left" w:pos="912"/>
          <w:tab w:val="left" w:pos="2456"/>
        </w:tabs>
        <w:snapToGrid w:val="0"/>
        <w:spacing w:line="460" w:lineRule="atLeast"/>
        <w:ind w:firstLine="564" w:firstLineChars="235"/>
        <w:rPr>
          <w:sz w:val="24"/>
        </w:rPr>
      </w:pPr>
      <w:r>
        <w:rPr>
          <w:rFonts w:hint="eastAsia"/>
          <w:sz w:val="24"/>
        </w:rPr>
        <w:t>附表</w:t>
      </w:r>
      <w:r>
        <w:rPr>
          <w:sz w:val="24"/>
        </w:rPr>
        <w:t>-1</w:t>
      </w:r>
      <w:r>
        <w:rPr>
          <w:rFonts w:hint="eastAsia"/>
          <w:sz w:val="24"/>
        </w:rPr>
        <w:t>3</w:t>
      </w:r>
      <w:r>
        <w:rPr>
          <w:sz w:val="24"/>
        </w:rPr>
        <w:t>-2</w:t>
      </w:r>
      <w:r>
        <w:rPr>
          <w:rFonts w:hint="eastAsia"/>
          <w:sz w:val="24"/>
        </w:rPr>
        <w:t>：投标报价评分记录表</w:t>
      </w:r>
      <w:r>
        <w:rPr>
          <w:sz w:val="24"/>
        </w:rPr>
        <w:t>(</w:t>
      </w:r>
      <w:r>
        <w:rPr>
          <w:rFonts w:hint="eastAsia"/>
          <w:sz w:val="24"/>
        </w:rPr>
        <w:t>适用于内插法</w:t>
      </w:r>
      <w:r>
        <w:rPr>
          <w:sz w:val="24"/>
        </w:rPr>
        <w:t>)</w:t>
      </w:r>
    </w:p>
    <w:p>
      <w:pPr>
        <w:tabs>
          <w:tab w:val="left" w:pos="912"/>
          <w:tab w:val="left" w:pos="2456"/>
        </w:tabs>
        <w:snapToGrid w:val="0"/>
        <w:spacing w:line="460" w:lineRule="atLeast"/>
        <w:ind w:firstLine="564" w:firstLineChars="235"/>
        <w:rPr>
          <w:sz w:val="24"/>
        </w:rPr>
      </w:pPr>
      <w:r>
        <w:rPr>
          <w:rFonts w:hint="eastAsia"/>
          <w:sz w:val="24"/>
        </w:rPr>
        <w:t>附表</w:t>
      </w:r>
      <w:r>
        <w:rPr>
          <w:sz w:val="24"/>
        </w:rPr>
        <w:t>-1</w:t>
      </w:r>
      <w:r>
        <w:rPr>
          <w:rFonts w:hint="eastAsia"/>
          <w:sz w:val="24"/>
        </w:rPr>
        <w:t>4：评标结果汇总及排序表</w:t>
      </w:r>
    </w:p>
    <w:p>
      <w:pPr>
        <w:tabs>
          <w:tab w:val="left" w:pos="912"/>
          <w:tab w:val="left" w:pos="2456"/>
        </w:tabs>
        <w:snapToGrid w:val="0"/>
        <w:spacing w:line="460" w:lineRule="atLeast"/>
        <w:ind w:firstLine="564" w:firstLineChars="235"/>
        <w:rPr>
          <w:sz w:val="24"/>
        </w:rPr>
      </w:pPr>
      <w:r>
        <w:rPr>
          <w:rFonts w:hint="eastAsia"/>
          <w:sz w:val="24"/>
        </w:rPr>
        <w:t>附表</w:t>
      </w:r>
      <w:r>
        <w:rPr>
          <w:sz w:val="24"/>
        </w:rPr>
        <w:t>-1</w:t>
      </w:r>
      <w:r>
        <w:rPr>
          <w:rFonts w:hint="eastAsia"/>
          <w:sz w:val="24"/>
        </w:rPr>
        <w:t>5</w:t>
      </w:r>
      <w:r>
        <w:rPr>
          <w:sz w:val="24"/>
        </w:rPr>
        <w:t>-1</w:t>
      </w:r>
      <w:r>
        <w:rPr>
          <w:rFonts w:hint="eastAsia"/>
          <w:sz w:val="24"/>
        </w:rPr>
        <w:t>：评标报告（适用于评标委员会推荐中标候选人）</w:t>
      </w:r>
    </w:p>
    <w:p>
      <w:pPr>
        <w:tabs>
          <w:tab w:val="left" w:pos="912"/>
          <w:tab w:val="left" w:pos="2456"/>
        </w:tabs>
        <w:snapToGrid w:val="0"/>
        <w:spacing w:line="460" w:lineRule="atLeast"/>
        <w:ind w:firstLine="564" w:firstLineChars="235"/>
        <w:rPr>
          <w:sz w:val="24"/>
        </w:rPr>
      </w:pPr>
      <w:r>
        <w:rPr>
          <w:rFonts w:hint="eastAsia"/>
          <w:sz w:val="24"/>
        </w:rPr>
        <w:t>附表</w:t>
      </w:r>
      <w:r>
        <w:rPr>
          <w:sz w:val="24"/>
        </w:rPr>
        <w:t>-1</w:t>
      </w:r>
      <w:r>
        <w:rPr>
          <w:rFonts w:hint="eastAsia"/>
          <w:sz w:val="24"/>
        </w:rPr>
        <w:t>5</w:t>
      </w:r>
      <w:r>
        <w:rPr>
          <w:sz w:val="24"/>
        </w:rPr>
        <w:t>-2</w:t>
      </w:r>
      <w:r>
        <w:rPr>
          <w:rFonts w:hint="eastAsia"/>
          <w:sz w:val="24"/>
        </w:rPr>
        <w:t>：评标报告（适用于评标委员会直接确定中标人）</w:t>
      </w:r>
    </w:p>
    <w:p>
      <w:pPr>
        <w:tabs>
          <w:tab w:val="left" w:pos="912"/>
          <w:tab w:val="left" w:pos="2456"/>
        </w:tabs>
        <w:snapToGrid w:val="0"/>
        <w:spacing w:line="460" w:lineRule="atLeast"/>
        <w:ind w:firstLine="564" w:firstLineChars="235"/>
        <w:rPr>
          <w:sz w:val="24"/>
        </w:rPr>
      </w:pPr>
      <w:r>
        <w:rPr>
          <w:rFonts w:hint="eastAsia"/>
          <w:sz w:val="24"/>
        </w:rPr>
        <w:t>附表</w:t>
      </w:r>
      <w:r>
        <w:rPr>
          <w:sz w:val="24"/>
        </w:rPr>
        <w:t>-1</w:t>
      </w:r>
      <w:r>
        <w:rPr>
          <w:rFonts w:hint="eastAsia"/>
          <w:sz w:val="24"/>
        </w:rPr>
        <w:t>6：不能通过评审情况说明</w:t>
      </w:r>
    </w:p>
    <w:p>
      <w:pPr>
        <w:tabs>
          <w:tab w:val="left" w:pos="912"/>
          <w:tab w:val="left" w:pos="2456"/>
        </w:tabs>
        <w:snapToGrid w:val="0"/>
        <w:spacing w:line="460" w:lineRule="atLeast"/>
        <w:ind w:firstLine="564" w:firstLineChars="235"/>
        <w:rPr>
          <w:sz w:val="24"/>
        </w:rPr>
      </w:pPr>
      <w:r>
        <w:rPr>
          <w:rFonts w:hint="eastAsia"/>
          <w:sz w:val="24"/>
        </w:rPr>
        <w:t>附表</w:t>
      </w:r>
      <w:r>
        <w:rPr>
          <w:sz w:val="24"/>
        </w:rPr>
        <w:t>-1</w:t>
      </w:r>
      <w:r>
        <w:rPr>
          <w:rFonts w:hint="eastAsia"/>
          <w:sz w:val="24"/>
        </w:rPr>
        <w:t>7：问题澄清通知</w:t>
      </w:r>
    </w:p>
    <w:p>
      <w:pPr>
        <w:tabs>
          <w:tab w:val="left" w:pos="912"/>
          <w:tab w:val="left" w:pos="2456"/>
        </w:tabs>
        <w:snapToGrid w:val="0"/>
        <w:spacing w:line="460" w:lineRule="atLeast"/>
        <w:ind w:firstLine="564" w:firstLineChars="235"/>
        <w:rPr>
          <w:sz w:val="24"/>
        </w:rPr>
      </w:pPr>
      <w:r>
        <w:rPr>
          <w:rFonts w:hint="eastAsia"/>
          <w:sz w:val="24"/>
        </w:rPr>
        <w:t>附表</w:t>
      </w:r>
      <w:r>
        <w:rPr>
          <w:sz w:val="24"/>
        </w:rPr>
        <w:t>-1</w:t>
      </w:r>
      <w:r>
        <w:rPr>
          <w:rFonts w:hint="eastAsia"/>
          <w:sz w:val="24"/>
        </w:rPr>
        <w:t>8：问题的澄清、说明或补正</w:t>
      </w:r>
    </w:p>
    <w:p>
      <w:pPr>
        <w:tabs>
          <w:tab w:val="left" w:pos="912"/>
          <w:tab w:val="left" w:pos="2456"/>
        </w:tabs>
        <w:snapToGrid w:val="0"/>
        <w:spacing w:line="460" w:lineRule="atLeast"/>
        <w:ind w:firstLine="564" w:firstLineChars="235"/>
        <w:rPr>
          <w:sz w:val="24"/>
        </w:rPr>
      </w:pPr>
      <w:r>
        <w:rPr>
          <w:rFonts w:hint="eastAsia"/>
          <w:sz w:val="24"/>
        </w:rPr>
        <w:t>附表</w:t>
      </w:r>
      <w:r>
        <w:rPr>
          <w:sz w:val="24"/>
        </w:rPr>
        <w:t>-</w:t>
      </w:r>
      <w:r>
        <w:rPr>
          <w:rFonts w:hint="eastAsia"/>
          <w:sz w:val="24"/>
        </w:rPr>
        <w:t>19：评审意见表</w:t>
      </w:r>
    </w:p>
    <w:p>
      <w:pPr>
        <w:tabs>
          <w:tab w:val="left" w:pos="912"/>
          <w:tab w:val="left" w:pos="2456"/>
        </w:tabs>
        <w:snapToGrid w:val="0"/>
        <w:spacing w:line="460" w:lineRule="atLeast"/>
        <w:ind w:firstLine="564" w:firstLineChars="235"/>
        <w:rPr>
          <w:sz w:val="24"/>
        </w:rPr>
      </w:pPr>
      <w:r>
        <w:rPr>
          <w:rFonts w:hint="eastAsia"/>
          <w:sz w:val="24"/>
        </w:rPr>
        <w:t>附表</w:t>
      </w:r>
      <w:r>
        <w:rPr>
          <w:sz w:val="24"/>
        </w:rPr>
        <w:t>-2</w:t>
      </w:r>
      <w:r>
        <w:rPr>
          <w:rFonts w:hint="eastAsia"/>
          <w:sz w:val="24"/>
        </w:rPr>
        <w:t>0：评标委员会成员评分复核意见书</w:t>
      </w:r>
    </w:p>
    <w:p>
      <w:pPr>
        <w:tabs>
          <w:tab w:val="left" w:pos="912"/>
          <w:tab w:val="left" w:pos="2456"/>
        </w:tabs>
        <w:snapToGrid w:val="0"/>
        <w:spacing w:line="460" w:lineRule="atLeast"/>
        <w:ind w:firstLine="564" w:firstLineChars="235"/>
        <w:rPr>
          <w:sz w:val="24"/>
        </w:rPr>
      </w:pPr>
    </w:p>
    <w:p>
      <w:pPr>
        <w:tabs>
          <w:tab w:val="left" w:pos="912"/>
          <w:tab w:val="left" w:pos="2456"/>
        </w:tabs>
        <w:snapToGrid w:val="0"/>
        <w:spacing w:line="460" w:lineRule="atLeast"/>
        <w:ind w:firstLine="564" w:firstLineChars="235"/>
        <w:rPr>
          <w:sz w:val="24"/>
        </w:rPr>
      </w:pPr>
    </w:p>
    <w:p>
      <w:pPr>
        <w:tabs>
          <w:tab w:val="left" w:pos="912"/>
          <w:tab w:val="left" w:pos="2456"/>
        </w:tabs>
        <w:snapToGrid w:val="0"/>
        <w:spacing w:line="460" w:lineRule="atLeast"/>
        <w:ind w:firstLine="564" w:firstLineChars="235"/>
        <w:rPr>
          <w:sz w:val="24"/>
        </w:rPr>
        <w:sectPr>
          <w:headerReference r:id="rId6" w:type="default"/>
          <w:footerReference r:id="rId7" w:type="default"/>
          <w:pgSz w:w="11906" w:h="16838"/>
          <w:pgMar w:top="1418" w:right="1644" w:bottom="1361" w:left="1644" w:header="851" w:footer="992" w:gutter="0"/>
          <w:cols w:space="425" w:num="1"/>
          <w:docGrid w:linePitch="312" w:charSpace="0"/>
        </w:sectPr>
      </w:pPr>
    </w:p>
    <w:p>
      <w:pPr>
        <w:pStyle w:val="5"/>
        <w:tabs>
          <w:tab w:val="left" w:pos="0"/>
        </w:tabs>
        <w:jc w:val="both"/>
        <w:rPr>
          <w:rFonts w:ascii="宋体"/>
          <w:sz w:val="28"/>
          <w:szCs w:val="24"/>
        </w:rPr>
      </w:pPr>
      <w:bookmarkStart w:id="169" w:name="_Toc455409838"/>
      <w:bookmarkStart w:id="170" w:name="_Toc396818217"/>
      <w:bookmarkStart w:id="171" w:name="_Toc419547907"/>
      <w:bookmarkStart w:id="172" w:name="_Toc470011316"/>
      <w:bookmarkStart w:id="173" w:name="_Toc419547361"/>
      <w:bookmarkStart w:id="174" w:name="_Toc381265938"/>
      <w:bookmarkStart w:id="175" w:name="_Toc247566583"/>
      <w:bookmarkStart w:id="176" w:name="_Toc249901940"/>
      <w:bookmarkStart w:id="177" w:name="_Toc258414727"/>
      <w:bookmarkStart w:id="178" w:name="_Toc247388126"/>
      <w:r>
        <w:rPr>
          <w:rFonts w:hint="eastAsia" w:ascii="宋体" w:hAnsi="宋体"/>
          <w:sz w:val="28"/>
          <w:szCs w:val="24"/>
        </w:rPr>
        <w:t>附表</w:t>
      </w:r>
      <w:r>
        <w:rPr>
          <w:rFonts w:ascii="宋体" w:hAnsi="宋体"/>
          <w:sz w:val="28"/>
          <w:szCs w:val="24"/>
        </w:rPr>
        <w:t>-1</w:t>
      </w:r>
      <w:r>
        <w:rPr>
          <w:rFonts w:hint="eastAsia" w:ascii="宋体" w:hAnsi="宋体"/>
          <w:sz w:val="28"/>
          <w:szCs w:val="24"/>
        </w:rPr>
        <w:t>：评标委员会签到表</w:t>
      </w:r>
      <w:bookmarkEnd w:id="169"/>
      <w:bookmarkEnd w:id="170"/>
      <w:bookmarkEnd w:id="171"/>
      <w:bookmarkEnd w:id="172"/>
      <w:bookmarkEnd w:id="173"/>
    </w:p>
    <w:p>
      <w:pPr>
        <w:tabs>
          <w:tab w:val="left" w:pos="4680"/>
        </w:tabs>
        <w:spacing w:after="120" w:afterLines="50" w:line="300" w:lineRule="auto"/>
        <w:jc w:val="center"/>
        <w:rPr>
          <w:rFonts w:ascii="黑体" w:hAnsi="黑体" w:eastAsia="黑体"/>
          <w:sz w:val="28"/>
        </w:rPr>
      </w:pPr>
      <w:r>
        <w:rPr>
          <w:rFonts w:hint="eastAsia" w:ascii="黑体" w:hAnsi="黑体" w:eastAsia="黑体"/>
          <w:sz w:val="28"/>
        </w:rPr>
        <w:t>评标委员会签到表</w:t>
      </w:r>
    </w:p>
    <w:p>
      <w:pPr>
        <w:tabs>
          <w:tab w:val="left" w:pos="4680"/>
        </w:tabs>
        <w:spacing w:after="120" w:afterLines="50" w:line="300" w:lineRule="auto"/>
        <w:rPr>
          <w:bCs/>
          <w:szCs w:val="21"/>
        </w:rPr>
      </w:pPr>
      <w:r>
        <w:rPr>
          <w:rFonts w:hint="eastAsia"/>
          <w:bCs/>
          <w:szCs w:val="21"/>
        </w:rPr>
        <w:t>工程名称：</w:t>
      </w:r>
      <w:r>
        <w:rPr>
          <w:bCs/>
          <w:szCs w:val="21"/>
          <w:u w:val="single"/>
        </w:rPr>
        <w:t xml:space="preserve">       </w:t>
      </w:r>
      <w:r>
        <w:rPr>
          <w:bCs/>
          <w:szCs w:val="21"/>
        </w:rPr>
        <w:t xml:space="preserve">                                                  </w:t>
      </w:r>
      <w:r>
        <w:rPr>
          <w:rFonts w:hint="eastAsia"/>
          <w:bCs/>
          <w:szCs w:val="21"/>
        </w:rPr>
        <w:t xml:space="preserve">           评标时间：</w:t>
      </w:r>
      <w:r>
        <w:rPr>
          <w:bCs/>
          <w:szCs w:val="21"/>
        </w:rPr>
        <w:t xml:space="preserve">      </w:t>
      </w:r>
      <w:r>
        <w:rPr>
          <w:rFonts w:hint="eastAsia"/>
          <w:bCs/>
          <w:szCs w:val="21"/>
        </w:rPr>
        <w:t>年</w:t>
      </w:r>
      <w:r>
        <w:rPr>
          <w:bCs/>
          <w:szCs w:val="21"/>
        </w:rPr>
        <w:t xml:space="preserve">    </w:t>
      </w:r>
      <w:r>
        <w:rPr>
          <w:rFonts w:hint="eastAsia"/>
          <w:bCs/>
          <w:szCs w:val="21"/>
        </w:rPr>
        <w:t>月</w:t>
      </w:r>
      <w:r>
        <w:rPr>
          <w:bCs/>
          <w:szCs w:val="21"/>
        </w:rPr>
        <w:t xml:space="preserve">    </w:t>
      </w:r>
      <w:r>
        <w:rPr>
          <w:rFonts w:hint="eastAsia"/>
          <w:bCs/>
          <w:szCs w:val="21"/>
        </w:rPr>
        <w:t>日</w:t>
      </w:r>
    </w:p>
    <w:tbl>
      <w:tblPr>
        <w:tblStyle w:val="49"/>
        <w:tblW w:w="140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65"/>
        <w:gridCol w:w="4111"/>
        <w:gridCol w:w="2126"/>
        <w:gridCol w:w="3827"/>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tabs>
                <w:tab w:val="left" w:pos="4680"/>
              </w:tabs>
              <w:spacing w:before="120" w:beforeLines="50" w:after="120" w:afterLines="50"/>
              <w:jc w:val="center"/>
              <w:rPr>
                <w:bCs/>
                <w:szCs w:val="21"/>
              </w:rPr>
            </w:pPr>
            <w:r>
              <w:rPr>
                <w:rFonts w:hint="eastAsia"/>
                <w:bCs/>
                <w:szCs w:val="21"/>
              </w:rPr>
              <w:t>序号</w:t>
            </w:r>
          </w:p>
        </w:tc>
        <w:tc>
          <w:tcPr>
            <w:tcW w:w="1265" w:type="dxa"/>
          </w:tcPr>
          <w:p>
            <w:pPr>
              <w:tabs>
                <w:tab w:val="left" w:pos="4680"/>
              </w:tabs>
              <w:spacing w:before="120" w:beforeLines="50" w:after="120" w:afterLines="50"/>
              <w:jc w:val="center"/>
              <w:rPr>
                <w:bCs/>
                <w:szCs w:val="21"/>
              </w:rPr>
            </w:pPr>
            <w:r>
              <w:rPr>
                <w:rFonts w:hint="eastAsia"/>
                <w:bCs/>
                <w:szCs w:val="21"/>
              </w:rPr>
              <w:t>姓名</w:t>
            </w:r>
          </w:p>
        </w:tc>
        <w:tc>
          <w:tcPr>
            <w:tcW w:w="4111" w:type="dxa"/>
          </w:tcPr>
          <w:p>
            <w:pPr>
              <w:tabs>
                <w:tab w:val="left" w:pos="4680"/>
              </w:tabs>
              <w:spacing w:before="120" w:beforeLines="50" w:after="120" w:afterLines="50"/>
              <w:jc w:val="center"/>
              <w:rPr>
                <w:bCs/>
                <w:szCs w:val="21"/>
              </w:rPr>
            </w:pPr>
            <w:r>
              <w:rPr>
                <w:rFonts w:hint="eastAsia"/>
                <w:bCs/>
                <w:szCs w:val="21"/>
              </w:rPr>
              <w:t>工作单位</w:t>
            </w:r>
          </w:p>
        </w:tc>
        <w:tc>
          <w:tcPr>
            <w:tcW w:w="2126" w:type="dxa"/>
          </w:tcPr>
          <w:p>
            <w:pPr>
              <w:tabs>
                <w:tab w:val="left" w:pos="4680"/>
              </w:tabs>
              <w:spacing w:before="120" w:beforeLines="50" w:after="120" w:afterLines="50"/>
              <w:jc w:val="center"/>
              <w:rPr>
                <w:bCs/>
                <w:szCs w:val="21"/>
              </w:rPr>
            </w:pPr>
            <w:r>
              <w:rPr>
                <w:rFonts w:hint="eastAsia"/>
                <w:bCs/>
                <w:szCs w:val="21"/>
              </w:rPr>
              <w:t>专家证号码</w:t>
            </w:r>
          </w:p>
        </w:tc>
        <w:tc>
          <w:tcPr>
            <w:tcW w:w="3827" w:type="dxa"/>
          </w:tcPr>
          <w:p>
            <w:pPr>
              <w:tabs>
                <w:tab w:val="left" w:pos="4680"/>
              </w:tabs>
              <w:spacing w:before="120" w:beforeLines="50" w:after="120" w:afterLines="50"/>
              <w:jc w:val="center"/>
              <w:rPr>
                <w:bCs/>
                <w:szCs w:val="21"/>
              </w:rPr>
            </w:pPr>
            <w:r>
              <w:rPr>
                <w:rFonts w:hint="eastAsia"/>
                <w:bCs/>
                <w:szCs w:val="21"/>
              </w:rPr>
              <w:t>身份证号</w:t>
            </w:r>
          </w:p>
        </w:tc>
        <w:tc>
          <w:tcPr>
            <w:tcW w:w="1991" w:type="dxa"/>
          </w:tcPr>
          <w:p>
            <w:pPr>
              <w:tabs>
                <w:tab w:val="left" w:pos="4680"/>
              </w:tabs>
              <w:spacing w:before="120" w:beforeLines="50" w:after="120" w:afterLines="50"/>
              <w:jc w:val="center"/>
              <w:rPr>
                <w:bCs/>
                <w:szCs w:val="21"/>
              </w:rPr>
            </w:pPr>
            <w:r>
              <w:rPr>
                <w:rFonts w:hint="eastAsia"/>
                <w:bCs/>
                <w:szCs w:val="21"/>
              </w:rPr>
              <w:t>签到时间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tabs>
                <w:tab w:val="left" w:pos="4680"/>
              </w:tabs>
              <w:spacing w:before="120" w:beforeLines="50" w:after="120" w:afterLines="50"/>
              <w:jc w:val="center"/>
              <w:rPr>
                <w:bCs/>
                <w:szCs w:val="21"/>
              </w:rPr>
            </w:pPr>
          </w:p>
        </w:tc>
        <w:tc>
          <w:tcPr>
            <w:tcW w:w="1265" w:type="dxa"/>
          </w:tcPr>
          <w:p>
            <w:pPr>
              <w:tabs>
                <w:tab w:val="left" w:pos="4680"/>
              </w:tabs>
              <w:spacing w:before="120" w:beforeLines="50" w:after="120" w:afterLines="50"/>
              <w:rPr>
                <w:bCs/>
                <w:szCs w:val="21"/>
              </w:rPr>
            </w:pPr>
          </w:p>
        </w:tc>
        <w:tc>
          <w:tcPr>
            <w:tcW w:w="4111" w:type="dxa"/>
          </w:tcPr>
          <w:p>
            <w:pPr>
              <w:tabs>
                <w:tab w:val="left" w:pos="4680"/>
              </w:tabs>
              <w:spacing w:before="120" w:beforeLines="50" w:after="120" w:afterLines="50"/>
              <w:rPr>
                <w:bCs/>
                <w:szCs w:val="21"/>
              </w:rPr>
            </w:pPr>
          </w:p>
        </w:tc>
        <w:tc>
          <w:tcPr>
            <w:tcW w:w="2126" w:type="dxa"/>
          </w:tcPr>
          <w:p>
            <w:pPr>
              <w:tabs>
                <w:tab w:val="left" w:pos="4680"/>
              </w:tabs>
              <w:spacing w:before="120" w:beforeLines="50" w:after="120" w:afterLines="50"/>
              <w:rPr>
                <w:bCs/>
                <w:szCs w:val="21"/>
              </w:rPr>
            </w:pPr>
          </w:p>
        </w:tc>
        <w:tc>
          <w:tcPr>
            <w:tcW w:w="3827" w:type="dxa"/>
          </w:tcPr>
          <w:p>
            <w:pPr>
              <w:tabs>
                <w:tab w:val="left" w:pos="4680"/>
              </w:tabs>
              <w:spacing w:before="120" w:beforeLines="50" w:after="120" w:afterLines="50"/>
              <w:rPr>
                <w:bCs/>
                <w:szCs w:val="21"/>
              </w:rPr>
            </w:pPr>
          </w:p>
        </w:tc>
        <w:tc>
          <w:tcPr>
            <w:tcW w:w="1991" w:type="dxa"/>
          </w:tcPr>
          <w:p>
            <w:pPr>
              <w:tabs>
                <w:tab w:val="left" w:pos="4680"/>
              </w:tabs>
              <w:spacing w:before="120" w:beforeLines="50" w:after="120" w:afterLines="50"/>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tabs>
                <w:tab w:val="left" w:pos="4680"/>
              </w:tabs>
              <w:spacing w:before="120" w:beforeLines="50" w:after="120" w:afterLines="50"/>
              <w:jc w:val="center"/>
              <w:rPr>
                <w:bCs/>
                <w:szCs w:val="21"/>
              </w:rPr>
            </w:pPr>
          </w:p>
        </w:tc>
        <w:tc>
          <w:tcPr>
            <w:tcW w:w="1265" w:type="dxa"/>
          </w:tcPr>
          <w:p>
            <w:pPr>
              <w:tabs>
                <w:tab w:val="left" w:pos="4680"/>
              </w:tabs>
              <w:spacing w:before="120" w:beforeLines="50" w:after="120" w:afterLines="50"/>
              <w:rPr>
                <w:bCs/>
                <w:szCs w:val="21"/>
              </w:rPr>
            </w:pPr>
          </w:p>
        </w:tc>
        <w:tc>
          <w:tcPr>
            <w:tcW w:w="4111" w:type="dxa"/>
          </w:tcPr>
          <w:p>
            <w:pPr>
              <w:tabs>
                <w:tab w:val="left" w:pos="4680"/>
              </w:tabs>
              <w:spacing w:before="120" w:beforeLines="50" w:after="120" w:afterLines="50"/>
              <w:rPr>
                <w:bCs/>
                <w:szCs w:val="21"/>
              </w:rPr>
            </w:pPr>
          </w:p>
        </w:tc>
        <w:tc>
          <w:tcPr>
            <w:tcW w:w="2126" w:type="dxa"/>
          </w:tcPr>
          <w:p>
            <w:pPr>
              <w:tabs>
                <w:tab w:val="left" w:pos="4680"/>
              </w:tabs>
              <w:spacing w:before="120" w:beforeLines="50" w:after="120" w:afterLines="50"/>
              <w:rPr>
                <w:bCs/>
                <w:szCs w:val="21"/>
              </w:rPr>
            </w:pPr>
          </w:p>
        </w:tc>
        <w:tc>
          <w:tcPr>
            <w:tcW w:w="3827" w:type="dxa"/>
          </w:tcPr>
          <w:p>
            <w:pPr>
              <w:tabs>
                <w:tab w:val="left" w:pos="4680"/>
              </w:tabs>
              <w:spacing w:before="120" w:beforeLines="50" w:after="120" w:afterLines="50"/>
              <w:rPr>
                <w:bCs/>
                <w:szCs w:val="21"/>
              </w:rPr>
            </w:pPr>
          </w:p>
        </w:tc>
        <w:tc>
          <w:tcPr>
            <w:tcW w:w="1991" w:type="dxa"/>
          </w:tcPr>
          <w:p>
            <w:pPr>
              <w:tabs>
                <w:tab w:val="left" w:pos="4680"/>
              </w:tabs>
              <w:spacing w:before="120" w:beforeLines="50" w:after="120" w:afterLines="50"/>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tcPr>
          <w:p>
            <w:pPr>
              <w:tabs>
                <w:tab w:val="left" w:pos="4680"/>
              </w:tabs>
              <w:spacing w:before="120" w:beforeLines="50" w:after="120" w:afterLines="50"/>
              <w:jc w:val="center"/>
              <w:rPr>
                <w:bCs/>
                <w:szCs w:val="21"/>
              </w:rPr>
            </w:pPr>
          </w:p>
        </w:tc>
        <w:tc>
          <w:tcPr>
            <w:tcW w:w="1265" w:type="dxa"/>
          </w:tcPr>
          <w:p>
            <w:pPr>
              <w:tabs>
                <w:tab w:val="left" w:pos="4680"/>
              </w:tabs>
              <w:spacing w:before="120" w:beforeLines="50" w:after="120" w:afterLines="50"/>
              <w:rPr>
                <w:bCs/>
                <w:szCs w:val="21"/>
              </w:rPr>
            </w:pPr>
          </w:p>
        </w:tc>
        <w:tc>
          <w:tcPr>
            <w:tcW w:w="4111" w:type="dxa"/>
          </w:tcPr>
          <w:p>
            <w:pPr>
              <w:tabs>
                <w:tab w:val="left" w:pos="4680"/>
              </w:tabs>
              <w:spacing w:before="120" w:beforeLines="50" w:after="120" w:afterLines="50"/>
              <w:rPr>
                <w:bCs/>
                <w:szCs w:val="21"/>
              </w:rPr>
            </w:pPr>
          </w:p>
        </w:tc>
        <w:tc>
          <w:tcPr>
            <w:tcW w:w="2126" w:type="dxa"/>
          </w:tcPr>
          <w:p>
            <w:pPr>
              <w:tabs>
                <w:tab w:val="left" w:pos="4680"/>
              </w:tabs>
              <w:spacing w:before="120" w:beforeLines="50" w:after="120" w:afterLines="50"/>
              <w:rPr>
                <w:bCs/>
                <w:szCs w:val="21"/>
              </w:rPr>
            </w:pPr>
          </w:p>
        </w:tc>
        <w:tc>
          <w:tcPr>
            <w:tcW w:w="3827" w:type="dxa"/>
          </w:tcPr>
          <w:p>
            <w:pPr>
              <w:tabs>
                <w:tab w:val="left" w:pos="4680"/>
              </w:tabs>
              <w:spacing w:before="120" w:beforeLines="50" w:after="120" w:afterLines="50"/>
              <w:rPr>
                <w:bCs/>
                <w:szCs w:val="21"/>
              </w:rPr>
            </w:pPr>
          </w:p>
        </w:tc>
        <w:tc>
          <w:tcPr>
            <w:tcW w:w="1991" w:type="dxa"/>
          </w:tcPr>
          <w:p>
            <w:pPr>
              <w:tabs>
                <w:tab w:val="left" w:pos="4680"/>
              </w:tabs>
              <w:spacing w:before="120" w:beforeLines="50" w:after="120" w:afterLines="50"/>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tabs>
                <w:tab w:val="left" w:pos="4680"/>
              </w:tabs>
              <w:spacing w:before="120" w:beforeLines="50" w:after="120" w:afterLines="50"/>
              <w:jc w:val="center"/>
              <w:rPr>
                <w:bCs/>
                <w:szCs w:val="21"/>
              </w:rPr>
            </w:pPr>
          </w:p>
        </w:tc>
        <w:tc>
          <w:tcPr>
            <w:tcW w:w="1265" w:type="dxa"/>
          </w:tcPr>
          <w:p>
            <w:pPr>
              <w:tabs>
                <w:tab w:val="left" w:pos="4680"/>
              </w:tabs>
              <w:spacing w:before="120" w:beforeLines="50" w:after="120" w:afterLines="50"/>
              <w:rPr>
                <w:bCs/>
                <w:szCs w:val="21"/>
              </w:rPr>
            </w:pPr>
          </w:p>
        </w:tc>
        <w:tc>
          <w:tcPr>
            <w:tcW w:w="4111" w:type="dxa"/>
          </w:tcPr>
          <w:p>
            <w:pPr>
              <w:tabs>
                <w:tab w:val="left" w:pos="4680"/>
              </w:tabs>
              <w:spacing w:before="120" w:beforeLines="50" w:after="120" w:afterLines="50"/>
              <w:rPr>
                <w:bCs/>
                <w:szCs w:val="21"/>
              </w:rPr>
            </w:pPr>
          </w:p>
        </w:tc>
        <w:tc>
          <w:tcPr>
            <w:tcW w:w="2126" w:type="dxa"/>
          </w:tcPr>
          <w:p>
            <w:pPr>
              <w:tabs>
                <w:tab w:val="left" w:pos="4680"/>
              </w:tabs>
              <w:spacing w:before="120" w:beforeLines="50" w:after="120" w:afterLines="50"/>
              <w:rPr>
                <w:bCs/>
                <w:szCs w:val="21"/>
              </w:rPr>
            </w:pPr>
          </w:p>
        </w:tc>
        <w:tc>
          <w:tcPr>
            <w:tcW w:w="3827" w:type="dxa"/>
          </w:tcPr>
          <w:p>
            <w:pPr>
              <w:tabs>
                <w:tab w:val="left" w:pos="4680"/>
              </w:tabs>
              <w:spacing w:before="120" w:beforeLines="50" w:after="120" w:afterLines="50"/>
              <w:rPr>
                <w:bCs/>
                <w:szCs w:val="21"/>
              </w:rPr>
            </w:pPr>
          </w:p>
        </w:tc>
        <w:tc>
          <w:tcPr>
            <w:tcW w:w="1991" w:type="dxa"/>
          </w:tcPr>
          <w:p>
            <w:pPr>
              <w:tabs>
                <w:tab w:val="left" w:pos="4680"/>
              </w:tabs>
              <w:spacing w:before="120" w:beforeLines="50" w:after="120" w:afterLines="50"/>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tabs>
                <w:tab w:val="left" w:pos="4680"/>
              </w:tabs>
              <w:spacing w:before="120" w:beforeLines="50" w:after="120" w:afterLines="50"/>
              <w:jc w:val="center"/>
              <w:rPr>
                <w:bCs/>
                <w:szCs w:val="21"/>
              </w:rPr>
            </w:pPr>
          </w:p>
        </w:tc>
        <w:tc>
          <w:tcPr>
            <w:tcW w:w="1265" w:type="dxa"/>
          </w:tcPr>
          <w:p>
            <w:pPr>
              <w:tabs>
                <w:tab w:val="left" w:pos="4680"/>
              </w:tabs>
              <w:spacing w:before="120" w:beforeLines="50" w:after="120" w:afterLines="50"/>
              <w:rPr>
                <w:bCs/>
                <w:szCs w:val="21"/>
              </w:rPr>
            </w:pPr>
          </w:p>
        </w:tc>
        <w:tc>
          <w:tcPr>
            <w:tcW w:w="4111" w:type="dxa"/>
          </w:tcPr>
          <w:p>
            <w:pPr>
              <w:tabs>
                <w:tab w:val="left" w:pos="4680"/>
              </w:tabs>
              <w:spacing w:before="120" w:beforeLines="50" w:after="120" w:afterLines="50"/>
              <w:rPr>
                <w:bCs/>
                <w:szCs w:val="21"/>
              </w:rPr>
            </w:pPr>
          </w:p>
        </w:tc>
        <w:tc>
          <w:tcPr>
            <w:tcW w:w="2126" w:type="dxa"/>
          </w:tcPr>
          <w:p>
            <w:pPr>
              <w:tabs>
                <w:tab w:val="left" w:pos="4680"/>
              </w:tabs>
              <w:spacing w:before="120" w:beforeLines="50" w:after="120" w:afterLines="50"/>
              <w:rPr>
                <w:bCs/>
                <w:szCs w:val="21"/>
              </w:rPr>
            </w:pPr>
          </w:p>
        </w:tc>
        <w:tc>
          <w:tcPr>
            <w:tcW w:w="3827" w:type="dxa"/>
          </w:tcPr>
          <w:p>
            <w:pPr>
              <w:tabs>
                <w:tab w:val="left" w:pos="4680"/>
              </w:tabs>
              <w:spacing w:before="120" w:beforeLines="50" w:after="120" w:afterLines="50"/>
              <w:rPr>
                <w:bCs/>
                <w:szCs w:val="21"/>
              </w:rPr>
            </w:pPr>
          </w:p>
        </w:tc>
        <w:tc>
          <w:tcPr>
            <w:tcW w:w="1991" w:type="dxa"/>
          </w:tcPr>
          <w:p>
            <w:pPr>
              <w:tabs>
                <w:tab w:val="left" w:pos="4680"/>
              </w:tabs>
              <w:spacing w:before="120" w:beforeLines="50" w:after="120" w:afterLines="50"/>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tabs>
                <w:tab w:val="left" w:pos="4680"/>
              </w:tabs>
              <w:spacing w:before="120" w:beforeLines="50" w:after="120" w:afterLines="50"/>
              <w:jc w:val="center"/>
              <w:rPr>
                <w:bCs/>
                <w:szCs w:val="21"/>
              </w:rPr>
            </w:pPr>
          </w:p>
        </w:tc>
        <w:tc>
          <w:tcPr>
            <w:tcW w:w="1265" w:type="dxa"/>
          </w:tcPr>
          <w:p>
            <w:pPr>
              <w:tabs>
                <w:tab w:val="left" w:pos="4680"/>
              </w:tabs>
              <w:spacing w:before="120" w:beforeLines="50" w:after="120" w:afterLines="50"/>
              <w:rPr>
                <w:bCs/>
                <w:szCs w:val="21"/>
              </w:rPr>
            </w:pPr>
          </w:p>
        </w:tc>
        <w:tc>
          <w:tcPr>
            <w:tcW w:w="4111" w:type="dxa"/>
          </w:tcPr>
          <w:p>
            <w:pPr>
              <w:tabs>
                <w:tab w:val="left" w:pos="4680"/>
              </w:tabs>
              <w:spacing w:before="120" w:beforeLines="50" w:after="120" w:afterLines="50"/>
              <w:rPr>
                <w:bCs/>
                <w:szCs w:val="21"/>
              </w:rPr>
            </w:pPr>
          </w:p>
        </w:tc>
        <w:tc>
          <w:tcPr>
            <w:tcW w:w="2126" w:type="dxa"/>
          </w:tcPr>
          <w:p>
            <w:pPr>
              <w:tabs>
                <w:tab w:val="left" w:pos="4680"/>
              </w:tabs>
              <w:spacing w:before="120" w:beforeLines="50" w:after="120" w:afterLines="50"/>
              <w:rPr>
                <w:bCs/>
                <w:szCs w:val="21"/>
              </w:rPr>
            </w:pPr>
          </w:p>
        </w:tc>
        <w:tc>
          <w:tcPr>
            <w:tcW w:w="3827" w:type="dxa"/>
          </w:tcPr>
          <w:p>
            <w:pPr>
              <w:tabs>
                <w:tab w:val="left" w:pos="4680"/>
              </w:tabs>
              <w:spacing w:before="120" w:beforeLines="50" w:after="120" w:afterLines="50"/>
              <w:rPr>
                <w:bCs/>
                <w:szCs w:val="21"/>
              </w:rPr>
            </w:pPr>
          </w:p>
        </w:tc>
        <w:tc>
          <w:tcPr>
            <w:tcW w:w="1991" w:type="dxa"/>
          </w:tcPr>
          <w:p>
            <w:pPr>
              <w:tabs>
                <w:tab w:val="left" w:pos="4680"/>
              </w:tabs>
              <w:spacing w:before="120" w:beforeLines="50" w:after="120" w:afterLines="50"/>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tcPr>
          <w:p>
            <w:pPr>
              <w:tabs>
                <w:tab w:val="left" w:pos="4680"/>
              </w:tabs>
              <w:spacing w:before="120" w:beforeLines="50" w:after="120" w:afterLines="50"/>
              <w:jc w:val="center"/>
              <w:rPr>
                <w:bCs/>
                <w:szCs w:val="21"/>
              </w:rPr>
            </w:pPr>
          </w:p>
        </w:tc>
        <w:tc>
          <w:tcPr>
            <w:tcW w:w="1265" w:type="dxa"/>
          </w:tcPr>
          <w:p>
            <w:pPr>
              <w:tabs>
                <w:tab w:val="left" w:pos="4680"/>
              </w:tabs>
              <w:spacing w:before="120" w:beforeLines="50" w:after="120" w:afterLines="50"/>
              <w:rPr>
                <w:bCs/>
                <w:szCs w:val="21"/>
              </w:rPr>
            </w:pPr>
          </w:p>
        </w:tc>
        <w:tc>
          <w:tcPr>
            <w:tcW w:w="4111" w:type="dxa"/>
          </w:tcPr>
          <w:p>
            <w:pPr>
              <w:tabs>
                <w:tab w:val="left" w:pos="4680"/>
              </w:tabs>
              <w:spacing w:before="120" w:beforeLines="50" w:after="120" w:afterLines="50"/>
              <w:rPr>
                <w:bCs/>
                <w:szCs w:val="21"/>
              </w:rPr>
            </w:pPr>
          </w:p>
        </w:tc>
        <w:tc>
          <w:tcPr>
            <w:tcW w:w="2126" w:type="dxa"/>
          </w:tcPr>
          <w:p>
            <w:pPr>
              <w:tabs>
                <w:tab w:val="left" w:pos="4680"/>
              </w:tabs>
              <w:spacing w:before="120" w:beforeLines="50" w:after="120" w:afterLines="50"/>
              <w:rPr>
                <w:bCs/>
                <w:szCs w:val="21"/>
              </w:rPr>
            </w:pPr>
          </w:p>
        </w:tc>
        <w:tc>
          <w:tcPr>
            <w:tcW w:w="3827" w:type="dxa"/>
          </w:tcPr>
          <w:p>
            <w:pPr>
              <w:tabs>
                <w:tab w:val="left" w:pos="4680"/>
              </w:tabs>
              <w:spacing w:before="120" w:beforeLines="50" w:after="120" w:afterLines="50"/>
              <w:rPr>
                <w:bCs/>
                <w:szCs w:val="21"/>
              </w:rPr>
            </w:pPr>
          </w:p>
        </w:tc>
        <w:tc>
          <w:tcPr>
            <w:tcW w:w="1991" w:type="dxa"/>
          </w:tcPr>
          <w:p>
            <w:pPr>
              <w:tabs>
                <w:tab w:val="left" w:pos="4680"/>
              </w:tabs>
              <w:spacing w:before="120" w:beforeLines="50" w:after="120" w:afterLines="50"/>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tabs>
                <w:tab w:val="left" w:pos="4680"/>
              </w:tabs>
              <w:spacing w:before="120" w:beforeLines="50" w:after="120" w:afterLines="50"/>
              <w:jc w:val="center"/>
              <w:rPr>
                <w:bCs/>
                <w:szCs w:val="21"/>
              </w:rPr>
            </w:pPr>
          </w:p>
        </w:tc>
        <w:tc>
          <w:tcPr>
            <w:tcW w:w="1265" w:type="dxa"/>
          </w:tcPr>
          <w:p>
            <w:pPr>
              <w:tabs>
                <w:tab w:val="left" w:pos="4680"/>
              </w:tabs>
              <w:spacing w:before="120" w:beforeLines="50" w:after="120" w:afterLines="50"/>
              <w:rPr>
                <w:bCs/>
                <w:szCs w:val="21"/>
              </w:rPr>
            </w:pPr>
          </w:p>
        </w:tc>
        <w:tc>
          <w:tcPr>
            <w:tcW w:w="4111" w:type="dxa"/>
          </w:tcPr>
          <w:p>
            <w:pPr>
              <w:tabs>
                <w:tab w:val="left" w:pos="4680"/>
              </w:tabs>
              <w:spacing w:before="120" w:beforeLines="50" w:after="120" w:afterLines="50"/>
              <w:rPr>
                <w:bCs/>
                <w:szCs w:val="21"/>
              </w:rPr>
            </w:pPr>
          </w:p>
        </w:tc>
        <w:tc>
          <w:tcPr>
            <w:tcW w:w="2126" w:type="dxa"/>
          </w:tcPr>
          <w:p>
            <w:pPr>
              <w:tabs>
                <w:tab w:val="left" w:pos="4680"/>
              </w:tabs>
              <w:spacing w:before="120" w:beforeLines="50" w:after="120" w:afterLines="50"/>
              <w:rPr>
                <w:bCs/>
                <w:szCs w:val="21"/>
              </w:rPr>
            </w:pPr>
          </w:p>
        </w:tc>
        <w:tc>
          <w:tcPr>
            <w:tcW w:w="3827" w:type="dxa"/>
          </w:tcPr>
          <w:p>
            <w:pPr>
              <w:tabs>
                <w:tab w:val="left" w:pos="4680"/>
              </w:tabs>
              <w:spacing w:before="120" w:beforeLines="50" w:after="120" w:afterLines="50"/>
              <w:rPr>
                <w:bCs/>
                <w:szCs w:val="21"/>
              </w:rPr>
            </w:pPr>
          </w:p>
        </w:tc>
        <w:tc>
          <w:tcPr>
            <w:tcW w:w="1991" w:type="dxa"/>
          </w:tcPr>
          <w:p>
            <w:pPr>
              <w:tabs>
                <w:tab w:val="left" w:pos="4680"/>
              </w:tabs>
              <w:spacing w:before="120" w:beforeLines="50" w:after="120" w:afterLines="50"/>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tabs>
                <w:tab w:val="left" w:pos="4680"/>
              </w:tabs>
              <w:spacing w:before="120" w:beforeLines="50" w:after="120" w:afterLines="50"/>
              <w:jc w:val="center"/>
              <w:rPr>
                <w:bCs/>
                <w:szCs w:val="21"/>
              </w:rPr>
            </w:pPr>
          </w:p>
        </w:tc>
        <w:tc>
          <w:tcPr>
            <w:tcW w:w="1265" w:type="dxa"/>
          </w:tcPr>
          <w:p>
            <w:pPr>
              <w:tabs>
                <w:tab w:val="left" w:pos="4680"/>
              </w:tabs>
              <w:spacing w:before="120" w:beforeLines="50" w:after="120" w:afterLines="50"/>
              <w:rPr>
                <w:bCs/>
                <w:szCs w:val="21"/>
              </w:rPr>
            </w:pPr>
          </w:p>
        </w:tc>
        <w:tc>
          <w:tcPr>
            <w:tcW w:w="4111" w:type="dxa"/>
          </w:tcPr>
          <w:p>
            <w:pPr>
              <w:tabs>
                <w:tab w:val="left" w:pos="4680"/>
              </w:tabs>
              <w:spacing w:before="120" w:beforeLines="50" w:after="120" w:afterLines="50"/>
              <w:rPr>
                <w:bCs/>
                <w:szCs w:val="21"/>
              </w:rPr>
            </w:pPr>
          </w:p>
        </w:tc>
        <w:tc>
          <w:tcPr>
            <w:tcW w:w="2126" w:type="dxa"/>
          </w:tcPr>
          <w:p>
            <w:pPr>
              <w:tabs>
                <w:tab w:val="left" w:pos="4680"/>
              </w:tabs>
              <w:spacing w:before="120" w:beforeLines="50" w:after="120" w:afterLines="50"/>
              <w:rPr>
                <w:bCs/>
                <w:szCs w:val="21"/>
              </w:rPr>
            </w:pPr>
          </w:p>
        </w:tc>
        <w:tc>
          <w:tcPr>
            <w:tcW w:w="3827" w:type="dxa"/>
          </w:tcPr>
          <w:p>
            <w:pPr>
              <w:tabs>
                <w:tab w:val="left" w:pos="4680"/>
              </w:tabs>
              <w:spacing w:before="120" w:beforeLines="50" w:after="120" w:afterLines="50"/>
              <w:rPr>
                <w:bCs/>
                <w:szCs w:val="21"/>
              </w:rPr>
            </w:pPr>
          </w:p>
        </w:tc>
        <w:tc>
          <w:tcPr>
            <w:tcW w:w="1991" w:type="dxa"/>
          </w:tcPr>
          <w:p>
            <w:pPr>
              <w:tabs>
                <w:tab w:val="left" w:pos="4680"/>
              </w:tabs>
              <w:spacing w:before="120" w:beforeLines="50" w:after="120" w:afterLines="50"/>
              <w:rPr>
                <w:bCs/>
                <w:szCs w:val="21"/>
              </w:rPr>
            </w:pPr>
          </w:p>
        </w:tc>
      </w:tr>
    </w:tbl>
    <w:p>
      <w:pPr>
        <w:wordWrap w:val="0"/>
        <w:spacing w:line="440" w:lineRule="exact"/>
        <w:ind w:left="-288" w:leftChars="-137" w:firstLine="240" w:firstLineChars="100"/>
        <w:jc w:val="left"/>
        <w:rPr>
          <w:rFonts w:ascii="宋体"/>
          <w:sz w:val="24"/>
        </w:rPr>
      </w:pPr>
      <w:r>
        <w:rPr>
          <w:rFonts w:hint="eastAsia" w:ascii="宋体" w:hAnsi="宋体" w:cs="Arial"/>
          <w:sz w:val="24"/>
        </w:rPr>
        <w:t>评标委员会全体成员</w:t>
      </w:r>
      <w:r>
        <w:rPr>
          <w:rFonts w:hint="eastAsia" w:ascii="宋体" w:hAnsi="宋体" w:cs="Arial"/>
          <w:sz w:val="24"/>
          <w:u w:val="single"/>
        </w:rPr>
        <w:t>（手写签名）</w:t>
      </w:r>
      <w:r>
        <w:rPr>
          <w:rFonts w:ascii="宋体" w:hAnsi="宋体" w:cs="Arial"/>
          <w:sz w:val="24"/>
          <w:u w:val="single"/>
        </w:rPr>
        <w:t xml:space="preserve">                     </w:t>
      </w:r>
    </w:p>
    <w:p>
      <w:pPr>
        <w:tabs>
          <w:tab w:val="left" w:pos="4680"/>
        </w:tabs>
        <w:spacing w:after="120" w:afterLines="50" w:line="300" w:lineRule="auto"/>
        <w:rPr>
          <w:b/>
          <w:bCs/>
          <w:sz w:val="24"/>
          <w:szCs w:val="20"/>
          <w:u w:val="single"/>
        </w:rPr>
      </w:pPr>
    </w:p>
    <w:p>
      <w:pPr>
        <w:tabs>
          <w:tab w:val="left" w:pos="4680"/>
        </w:tabs>
        <w:spacing w:after="120" w:afterLines="50" w:line="300" w:lineRule="auto"/>
        <w:rPr>
          <w:b/>
          <w:bCs/>
          <w:sz w:val="24"/>
          <w:szCs w:val="20"/>
          <w:u w:val="single"/>
        </w:rPr>
        <w:sectPr>
          <w:headerReference r:id="rId8" w:type="default"/>
          <w:footerReference r:id="rId9" w:type="default"/>
          <w:pgSz w:w="16838" w:h="11906" w:orient="landscape"/>
          <w:pgMar w:top="1644" w:right="1361" w:bottom="1644" w:left="1418" w:header="851" w:footer="992" w:gutter="0"/>
          <w:cols w:space="425" w:num="1"/>
          <w:docGrid w:linePitch="312" w:charSpace="0"/>
        </w:sectPr>
      </w:pPr>
    </w:p>
    <w:p>
      <w:pPr>
        <w:pStyle w:val="5"/>
        <w:tabs>
          <w:tab w:val="left" w:pos="0"/>
        </w:tabs>
        <w:jc w:val="both"/>
        <w:rPr>
          <w:rFonts w:ascii="宋体"/>
          <w:sz w:val="28"/>
          <w:szCs w:val="24"/>
        </w:rPr>
      </w:pPr>
      <w:bookmarkStart w:id="179" w:name="_Toc455409839"/>
      <w:bookmarkStart w:id="180" w:name="_Toc419547362"/>
      <w:bookmarkStart w:id="181" w:name="_Toc470011317"/>
      <w:bookmarkStart w:id="182" w:name="_Toc396818218"/>
      <w:bookmarkStart w:id="183" w:name="_Toc419547908"/>
      <w:r>
        <w:rPr>
          <w:rFonts w:hint="eastAsia" w:ascii="宋体" w:hAnsi="宋体"/>
          <w:sz w:val="28"/>
          <w:szCs w:val="24"/>
        </w:rPr>
        <w:t>附表</w:t>
      </w:r>
      <w:r>
        <w:rPr>
          <w:rFonts w:ascii="宋体" w:hAnsi="宋体"/>
          <w:sz w:val="28"/>
          <w:szCs w:val="24"/>
        </w:rPr>
        <w:t>-2</w:t>
      </w:r>
      <w:r>
        <w:rPr>
          <w:rFonts w:hint="eastAsia" w:ascii="宋体" w:hAnsi="宋体"/>
          <w:sz w:val="28"/>
          <w:szCs w:val="24"/>
        </w:rPr>
        <w:t>：评标专家声明书</w:t>
      </w:r>
      <w:bookmarkEnd w:id="179"/>
      <w:bookmarkEnd w:id="180"/>
      <w:bookmarkEnd w:id="181"/>
      <w:bookmarkEnd w:id="182"/>
      <w:bookmarkEnd w:id="183"/>
    </w:p>
    <w:p>
      <w:pPr>
        <w:widowControl/>
        <w:spacing w:line="360" w:lineRule="auto"/>
        <w:jc w:val="center"/>
        <w:rPr>
          <w:b/>
          <w:bCs/>
          <w:kern w:val="0"/>
          <w:sz w:val="28"/>
          <w:szCs w:val="28"/>
        </w:rPr>
      </w:pPr>
    </w:p>
    <w:p>
      <w:pPr>
        <w:widowControl/>
        <w:spacing w:line="360" w:lineRule="auto"/>
        <w:jc w:val="center"/>
        <w:rPr>
          <w:rFonts w:ascii="黑体" w:hAnsi="黑体" w:eastAsia="黑体"/>
          <w:kern w:val="0"/>
          <w:sz w:val="28"/>
          <w:szCs w:val="28"/>
        </w:rPr>
      </w:pPr>
      <w:r>
        <w:rPr>
          <w:rFonts w:hint="eastAsia" w:ascii="黑体" w:hAnsi="黑体" w:eastAsia="黑体"/>
          <w:bCs/>
          <w:kern w:val="0"/>
          <w:sz w:val="28"/>
          <w:szCs w:val="28"/>
        </w:rPr>
        <w:t>评标专家声明书</w:t>
      </w:r>
    </w:p>
    <w:p>
      <w:pPr>
        <w:widowControl/>
        <w:spacing w:line="360" w:lineRule="auto"/>
        <w:rPr>
          <w:kern w:val="0"/>
          <w:szCs w:val="21"/>
        </w:rPr>
      </w:pPr>
    </w:p>
    <w:p>
      <w:pPr>
        <w:widowControl/>
        <w:spacing w:line="400" w:lineRule="exact"/>
        <w:ind w:firstLine="420" w:firstLineChars="200"/>
        <w:rPr>
          <w:kern w:val="0"/>
          <w:szCs w:val="21"/>
        </w:rPr>
      </w:pPr>
      <w:r>
        <w:rPr>
          <w:rFonts w:hint="eastAsia"/>
          <w:kern w:val="0"/>
          <w:szCs w:val="21"/>
        </w:rPr>
        <w:t>本人接受招标人邀请，担任</w:t>
      </w:r>
      <w:r>
        <w:rPr>
          <w:bCs/>
          <w:szCs w:val="21"/>
          <w:u w:val="single"/>
        </w:rPr>
        <w:t xml:space="preserve">        </w:t>
      </w:r>
      <w:r>
        <w:rPr>
          <w:rFonts w:hint="eastAsia"/>
          <w:bCs/>
          <w:szCs w:val="21"/>
        </w:rPr>
        <w:t>（工程名称）施工</w:t>
      </w:r>
      <w:r>
        <w:rPr>
          <w:rFonts w:hint="eastAsia"/>
          <w:kern w:val="0"/>
          <w:szCs w:val="21"/>
        </w:rPr>
        <w:t>招标的评标专家。</w:t>
      </w:r>
    </w:p>
    <w:p>
      <w:pPr>
        <w:widowControl/>
        <w:spacing w:line="400" w:lineRule="exact"/>
        <w:ind w:firstLine="420" w:firstLineChars="200"/>
        <w:rPr>
          <w:kern w:val="0"/>
          <w:szCs w:val="21"/>
        </w:rPr>
      </w:pPr>
      <w:r>
        <w:rPr>
          <w:rFonts w:hint="eastAsia"/>
          <w:kern w:val="0"/>
          <w:szCs w:val="21"/>
        </w:rPr>
        <w:t>本人声明：本人</w:t>
      </w:r>
      <w:r>
        <w:rPr>
          <w:rFonts w:hint="eastAsia"/>
          <w:bCs/>
          <w:kern w:val="0"/>
          <w:szCs w:val="21"/>
        </w:rPr>
        <w:t>在评标</w:t>
      </w:r>
      <w:r>
        <w:rPr>
          <w:rFonts w:hint="eastAsia"/>
          <w:kern w:val="0"/>
          <w:szCs w:val="21"/>
        </w:rPr>
        <w:t>前未与招标人、招标代理机构以及投标人发生可能影响评标结果的接触；在中标结果确定之前，不向外透露对投标文件的评审、中标候选人的推荐情况以及与评标有关的其他情况；不收受招标人超出合理报酬以外的任何现金、有价证券和礼物；不收受有关利害关系人的任何财物和好处；无国家及本市有关规定需要回避的情形。</w:t>
      </w:r>
      <w:r>
        <w:rPr>
          <w:kern w:val="0"/>
          <w:szCs w:val="21"/>
        </w:rPr>
        <w:t xml:space="preserve"> </w:t>
      </w:r>
    </w:p>
    <w:p>
      <w:pPr>
        <w:widowControl/>
        <w:spacing w:line="400" w:lineRule="exact"/>
        <w:ind w:firstLine="420" w:firstLineChars="200"/>
        <w:rPr>
          <w:kern w:val="0"/>
          <w:szCs w:val="21"/>
        </w:rPr>
      </w:pPr>
      <w:r>
        <w:rPr>
          <w:rFonts w:hint="eastAsia"/>
          <w:kern w:val="0"/>
          <w:szCs w:val="21"/>
        </w:rPr>
        <w:t>本人郑重保证：在评标过程中，遵守有关法律法规规章和评标纪律；服从评标委员会的统一安排；独立、客观、公正地履行评标专家职责。</w:t>
      </w:r>
      <w:r>
        <w:rPr>
          <w:kern w:val="0"/>
          <w:szCs w:val="21"/>
        </w:rPr>
        <w:t xml:space="preserve"> </w:t>
      </w:r>
    </w:p>
    <w:p>
      <w:pPr>
        <w:widowControl/>
        <w:spacing w:line="400" w:lineRule="exact"/>
        <w:ind w:firstLine="420" w:firstLineChars="200"/>
        <w:rPr>
          <w:kern w:val="0"/>
          <w:szCs w:val="21"/>
        </w:rPr>
      </w:pPr>
      <w:r>
        <w:rPr>
          <w:rFonts w:hint="eastAsia"/>
          <w:kern w:val="0"/>
          <w:szCs w:val="21"/>
        </w:rPr>
        <w:t>本人接受有关行政监督部门依法实施监督。如违反上述承诺或者不能履行评标专家职责，本人愿意承担一切由此带来的法律责任。</w:t>
      </w:r>
      <w:r>
        <w:rPr>
          <w:kern w:val="0"/>
          <w:szCs w:val="21"/>
        </w:rPr>
        <w:t xml:space="preserve"> </w:t>
      </w:r>
    </w:p>
    <w:p>
      <w:pPr>
        <w:widowControl/>
        <w:spacing w:line="400" w:lineRule="exact"/>
        <w:ind w:firstLine="420" w:firstLineChars="200"/>
        <w:rPr>
          <w:kern w:val="0"/>
          <w:szCs w:val="21"/>
        </w:rPr>
      </w:pPr>
      <w:r>
        <w:rPr>
          <w:rFonts w:hint="eastAsia"/>
          <w:kern w:val="0"/>
          <w:szCs w:val="21"/>
        </w:rPr>
        <w:t>特此声明。</w:t>
      </w:r>
      <w:r>
        <w:rPr>
          <w:kern w:val="0"/>
          <w:szCs w:val="21"/>
        </w:rPr>
        <w:t xml:space="preserve"> </w:t>
      </w:r>
    </w:p>
    <w:p>
      <w:pPr>
        <w:widowControl/>
        <w:spacing w:line="400" w:lineRule="exact"/>
        <w:rPr>
          <w:kern w:val="0"/>
          <w:szCs w:val="21"/>
        </w:rPr>
      </w:pPr>
    </w:p>
    <w:p>
      <w:pPr>
        <w:wordWrap w:val="0"/>
        <w:spacing w:line="440" w:lineRule="exact"/>
        <w:ind w:left="-90" w:leftChars="-43" w:firstLine="88" w:firstLineChars="42"/>
        <w:jc w:val="left"/>
        <w:rPr>
          <w:rFonts w:ascii="宋体"/>
          <w:sz w:val="24"/>
        </w:rPr>
      </w:pPr>
      <w:r>
        <w:rPr>
          <w:rFonts w:hint="eastAsia"/>
          <w:szCs w:val="21"/>
        </w:rPr>
        <w:t>评标委员会成员</w:t>
      </w:r>
      <w:r>
        <w:rPr>
          <w:rFonts w:hint="eastAsia"/>
          <w:szCs w:val="21"/>
          <w:u w:val="single"/>
        </w:rPr>
        <w:t>（手写签名）</w:t>
      </w:r>
      <w:r>
        <w:rPr>
          <w:szCs w:val="21"/>
          <w:u w:val="single"/>
        </w:rPr>
        <w:t xml:space="preserve">                  </w:t>
      </w:r>
    </w:p>
    <w:p>
      <w:pPr>
        <w:spacing w:line="360" w:lineRule="auto"/>
        <w:rPr>
          <w:szCs w:val="21"/>
        </w:rPr>
      </w:pPr>
    </w:p>
    <w:p>
      <w:pPr>
        <w:spacing w:line="360" w:lineRule="auto"/>
        <w:rPr>
          <w:szCs w:val="21"/>
        </w:rPr>
      </w:pPr>
      <w:r>
        <w:rPr>
          <w:szCs w:val="21"/>
        </w:rPr>
        <w:t xml:space="preserve">   </w:t>
      </w:r>
    </w:p>
    <w:p>
      <w:pPr>
        <w:spacing w:line="360" w:lineRule="auto"/>
        <w:ind w:firstLine="315" w:firstLineChars="150"/>
        <w:rPr>
          <w:szCs w:val="21"/>
        </w:rPr>
      </w:pPr>
      <w:r>
        <w:rPr>
          <w:szCs w:val="21"/>
        </w:rPr>
        <w:t xml:space="preserve"> </w:t>
      </w:r>
      <w:r>
        <w:rPr>
          <w:rFonts w:hint="eastAsia"/>
          <w:szCs w:val="21"/>
        </w:rPr>
        <w:t>日</w:t>
      </w:r>
      <w:r>
        <w:rPr>
          <w:rStyle w:val="57"/>
          <w:szCs w:val="21"/>
        </w:rPr>
        <w:t xml:space="preserve"> </w:t>
      </w:r>
      <w:r>
        <w:rPr>
          <w:rFonts w:hint="eastAsia"/>
          <w:szCs w:val="21"/>
        </w:rPr>
        <w:t>期：</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pPr>
        <w:pStyle w:val="5"/>
        <w:tabs>
          <w:tab w:val="left" w:pos="0"/>
        </w:tabs>
        <w:jc w:val="both"/>
        <w:rPr>
          <w:b w:val="0"/>
          <w:bCs/>
          <w:sz w:val="24"/>
          <w:u w:val="single"/>
        </w:rPr>
        <w:sectPr>
          <w:headerReference r:id="rId10" w:type="default"/>
          <w:pgSz w:w="11906" w:h="16838"/>
          <w:pgMar w:top="1418" w:right="1644" w:bottom="1361" w:left="1644" w:header="851" w:footer="992" w:gutter="0"/>
          <w:cols w:space="425" w:num="1"/>
          <w:docGrid w:linePitch="312" w:charSpace="0"/>
        </w:sectPr>
      </w:pPr>
    </w:p>
    <w:p>
      <w:pPr>
        <w:pStyle w:val="5"/>
        <w:tabs>
          <w:tab w:val="left" w:pos="0"/>
        </w:tabs>
        <w:jc w:val="both"/>
        <w:rPr>
          <w:rFonts w:ascii="宋体"/>
          <w:sz w:val="28"/>
          <w:szCs w:val="24"/>
        </w:rPr>
      </w:pPr>
      <w:bookmarkStart w:id="184" w:name="_Toc419547364"/>
      <w:bookmarkStart w:id="185" w:name="_Toc396818220"/>
      <w:bookmarkStart w:id="186" w:name="_Toc419547910"/>
      <w:bookmarkStart w:id="187" w:name="_Toc455409840"/>
      <w:bookmarkStart w:id="188" w:name="_Toc470011318"/>
      <w:r>
        <w:rPr>
          <w:rFonts w:hint="eastAsia" w:ascii="宋体" w:hAnsi="宋体"/>
          <w:sz w:val="28"/>
          <w:szCs w:val="24"/>
        </w:rPr>
        <w:t>附表</w:t>
      </w:r>
      <w:r>
        <w:rPr>
          <w:rFonts w:ascii="宋体"/>
          <w:sz w:val="28"/>
          <w:szCs w:val="24"/>
        </w:rPr>
        <w:t>-</w:t>
      </w:r>
      <w:r>
        <w:rPr>
          <w:rFonts w:ascii="宋体" w:hAnsi="宋体"/>
          <w:sz w:val="28"/>
          <w:szCs w:val="24"/>
        </w:rPr>
        <w:t>3</w:t>
      </w:r>
      <w:r>
        <w:rPr>
          <w:rFonts w:hint="eastAsia" w:ascii="宋体" w:hAnsi="宋体"/>
          <w:sz w:val="28"/>
          <w:szCs w:val="24"/>
        </w:rPr>
        <w:t>：</w:t>
      </w:r>
      <w:bookmarkEnd w:id="184"/>
      <w:bookmarkEnd w:id="185"/>
      <w:bookmarkEnd w:id="186"/>
      <w:r>
        <w:rPr>
          <w:rFonts w:hint="eastAsia" w:ascii="宋体" w:hAnsi="宋体"/>
          <w:sz w:val="28"/>
          <w:szCs w:val="24"/>
        </w:rPr>
        <w:t>形式评审</w:t>
      </w:r>
      <w:bookmarkEnd w:id="187"/>
      <w:bookmarkEnd w:id="188"/>
      <w:r>
        <w:rPr>
          <w:rFonts w:hint="eastAsia" w:ascii="宋体" w:hAnsi="宋体"/>
          <w:sz w:val="28"/>
          <w:szCs w:val="24"/>
        </w:rPr>
        <w:t>记录表</w:t>
      </w:r>
    </w:p>
    <w:p>
      <w:pPr>
        <w:tabs>
          <w:tab w:val="left" w:pos="4680"/>
        </w:tabs>
        <w:spacing w:after="120" w:afterLines="50" w:line="300" w:lineRule="auto"/>
        <w:jc w:val="center"/>
        <w:rPr>
          <w:rFonts w:ascii="黑体" w:hAnsi="黑体" w:eastAsia="黑体"/>
          <w:sz w:val="28"/>
          <w:szCs w:val="28"/>
        </w:rPr>
      </w:pPr>
      <w:r>
        <w:rPr>
          <w:rFonts w:hint="eastAsia" w:ascii="黑体" w:hAnsi="黑体" w:eastAsia="黑体"/>
          <w:sz w:val="28"/>
          <w:szCs w:val="28"/>
        </w:rPr>
        <w:t>形式评审记录表</w:t>
      </w:r>
    </w:p>
    <w:p>
      <w:pPr>
        <w:tabs>
          <w:tab w:val="left" w:pos="4680"/>
        </w:tabs>
        <w:spacing w:after="120" w:afterLines="50" w:line="300" w:lineRule="auto"/>
        <w:rPr>
          <w:bCs/>
          <w:szCs w:val="21"/>
        </w:rPr>
      </w:pPr>
      <w:r>
        <w:rPr>
          <w:rFonts w:hint="eastAsia"/>
          <w:bCs/>
          <w:szCs w:val="21"/>
        </w:rPr>
        <w:t>工程名称：</w:t>
      </w:r>
      <w:r>
        <w:rPr>
          <w:bCs/>
          <w:szCs w:val="21"/>
          <w:u w:val="single"/>
        </w:rPr>
        <w:t xml:space="preserve">        </w:t>
      </w:r>
    </w:p>
    <w:tbl>
      <w:tblPr>
        <w:tblStyle w:val="49"/>
        <w:tblW w:w="1393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6"/>
        <w:gridCol w:w="2161"/>
        <w:gridCol w:w="2416"/>
        <w:gridCol w:w="1209"/>
        <w:gridCol w:w="1208"/>
        <w:gridCol w:w="1209"/>
        <w:gridCol w:w="1209"/>
        <w:gridCol w:w="1211"/>
        <w:gridCol w:w="1210"/>
        <w:gridCol w:w="12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1" w:hRule="atLeast"/>
        </w:trPr>
        <w:tc>
          <w:tcPr>
            <w:tcW w:w="896" w:type="dxa"/>
            <w:vMerge w:val="restart"/>
            <w:tcBorders>
              <w:top w:val="single" w:color="auto" w:sz="4" w:space="0"/>
              <w:right w:val="single" w:color="auto" w:sz="4" w:space="0"/>
            </w:tcBorders>
            <w:vAlign w:val="center"/>
          </w:tcPr>
          <w:p>
            <w:pPr>
              <w:spacing w:before="60" w:beforeLines="25" w:after="60" w:afterLines="25"/>
              <w:jc w:val="center"/>
              <w:rPr>
                <w:szCs w:val="21"/>
              </w:rPr>
            </w:pPr>
            <w:r>
              <w:rPr>
                <w:rFonts w:hint="eastAsia"/>
                <w:szCs w:val="21"/>
              </w:rPr>
              <w:t>序号</w:t>
            </w:r>
          </w:p>
        </w:tc>
        <w:tc>
          <w:tcPr>
            <w:tcW w:w="2161" w:type="dxa"/>
            <w:vMerge w:val="restart"/>
            <w:tcBorders>
              <w:top w:val="single" w:color="auto" w:sz="4" w:space="0"/>
              <w:left w:val="single" w:color="auto" w:sz="4" w:space="0"/>
              <w:right w:val="single" w:color="auto" w:sz="4" w:space="0"/>
            </w:tcBorders>
            <w:vAlign w:val="center"/>
          </w:tcPr>
          <w:p>
            <w:pPr>
              <w:spacing w:before="60" w:beforeLines="25" w:after="60" w:afterLines="25"/>
              <w:jc w:val="center"/>
              <w:rPr>
                <w:szCs w:val="21"/>
              </w:rPr>
            </w:pPr>
            <w:r>
              <w:rPr>
                <w:rFonts w:hint="eastAsia"/>
                <w:szCs w:val="21"/>
              </w:rPr>
              <w:t>评审因素</w:t>
            </w:r>
          </w:p>
        </w:tc>
        <w:tc>
          <w:tcPr>
            <w:tcW w:w="2416" w:type="dxa"/>
            <w:vMerge w:val="restart"/>
            <w:tcBorders>
              <w:top w:val="single" w:color="auto" w:sz="4" w:space="0"/>
              <w:left w:val="single" w:color="auto" w:sz="4" w:space="0"/>
            </w:tcBorders>
            <w:vAlign w:val="center"/>
          </w:tcPr>
          <w:p>
            <w:pPr>
              <w:widowControl/>
              <w:jc w:val="center"/>
              <w:rPr>
                <w:szCs w:val="21"/>
              </w:rPr>
            </w:pPr>
            <w:r>
              <w:rPr>
                <w:rFonts w:hint="eastAsia"/>
                <w:szCs w:val="21"/>
              </w:rPr>
              <w:t>评审标准</w:t>
            </w:r>
          </w:p>
        </w:tc>
        <w:tc>
          <w:tcPr>
            <w:tcW w:w="8465" w:type="dxa"/>
            <w:gridSpan w:val="7"/>
            <w:tcBorders>
              <w:top w:val="single" w:color="auto" w:sz="4" w:space="0"/>
              <w:left w:val="single" w:color="auto" w:sz="4" w:space="0"/>
              <w:bottom w:val="single" w:color="auto" w:sz="4" w:space="0"/>
            </w:tcBorders>
            <w:vAlign w:val="center"/>
          </w:tcPr>
          <w:p>
            <w:pPr>
              <w:widowControl/>
              <w:jc w:val="center"/>
              <w:rPr>
                <w:szCs w:val="21"/>
              </w:rPr>
            </w:pPr>
            <w:r>
              <w:rPr>
                <w:rFonts w:hint="eastAsia"/>
                <w:szCs w:val="21"/>
              </w:rPr>
              <w:t>投标人名称及评审意见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96" w:type="dxa"/>
            <w:vMerge w:val="continue"/>
            <w:tcBorders>
              <w:bottom w:val="single" w:color="auto" w:sz="4" w:space="0"/>
              <w:right w:val="single" w:color="auto" w:sz="4" w:space="0"/>
            </w:tcBorders>
            <w:vAlign w:val="center"/>
          </w:tcPr>
          <w:p>
            <w:pPr>
              <w:spacing w:before="60" w:beforeLines="25" w:after="60" w:afterLines="25"/>
              <w:jc w:val="center"/>
              <w:rPr>
                <w:szCs w:val="21"/>
              </w:rPr>
            </w:pPr>
          </w:p>
        </w:tc>
        <w:tc>
          <w:tcPr>
            <w:tcW w:w="2161" w:type="dxa"/>
            <w:vMerge w:val="continue"/>
            <w:tcBorders>
              <w:left w:val="single" w:color="auto" w:sz="4" w:space="0"/>
              <w:bottom w:val="single" w:color="auto" w:sz="4" w:space="0"/>
              <w:right w:val="single" w:color="auto" w:sz="4" w:space="0"/>
            </w:tcBorders>
            <w:vAlign w:val="center"/>
          </w:tcPr>
          <w:p>
            <w:pPr>
              <w:spacing w:before="60" w:beforeLines="25" w:after="60" w:afterLines="25"/>
              <w:jc w:val="center"/>
              <w:rPr>
                <w:szCs w:val="21"/>
              </w:rPr>
            </w:pPr>
          </w:p>
        </w:tc>
        <w:tc>
          <w:tcPr>
            <w:tcW w:w="2416" w:type="dxa"/>
            <w:vMerge w:val="continue"/>
            <w:tcBorders>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09" w:type="dxa"/>
            <w:tcBorders>
              <w:top w:val="nil"/>
              <w:left w:val="single" w:color="auto" w:sz="4" w:space="0"/>
              <w:bottom w:val="single" w:color="auto" w:sz="4" w:space="0"/>
            </w:tcBorders>
            <w:vAlign w:val="center"/>
          </w:tcPr>
          <w:p>
            <w:pPr>
              <w:spacing w:before="60" w:beforeLines="25" w:after="60" w:afterLines="25"/>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60" w:beforeLines="25" w:after="60" w:afterLines="25"/>
              <w:jc w:val="center"/>
              <w:rPr>
                <w:szCs w:val="21"/>
              </w:rPr>
            </w:pPr>
            <w:r>
              <w:rPr>
                <w:szCs w:val="21"/>
              </w:rPr>
              <w:t>1</w:t>
            </w:r>
          </w:p>
        </w:tc>
        <w:tc>
          <w:tcPr>
            <w:tcW w:w="21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rPr>
            </w:pPr>
            <w:r>
              <w:rPr>
                <w:rFonts w:hint="eastAsia" w:hAnsi="宋体"/>
                <w:szCs w:val="21"/>
              </w:rPr>
              <w:t>投标人名称</w:t>
            </w:r>
          </w:p>
        </w:tc>
        <w:tc>
          <w:tcPr>
            <w:tcW w:w="2416"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r>
              <w:rPr>
                <w:rFonts w:hint="eastAsia" w:hAnsi="宋体"/>
                <w:szCs w:val="21"/>
              </w:rPr>
              <w:t>与营业执照一致（如有特殊正当原因不一致，应提供有效的补充证明资料）</w:t>
            </w:r>
          </w:p>
        </w:tc>
        <w:tc>
          <w:tcPr>
            <w:tcW w:w="1209"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09" w:type="dxa"/>
            <w:tcBorders>
              <w:top w:val="single" w:color="auto" w:sz="4" w:space="0"/>
              <w:left w:val="single" w:color="auto" w:sz="4" w:space="0"/>
              <w:bottom w:val="single" w:color="auto" w:sz="4" w:space="0"/>
            </w:tcBorders>
            <w:vAlign w:val="center"/>
          </w:tcPr>
          <w:p>
            <w:pPr>
              <w:spacing w:before="60" w:beforeLines="25" w:after="60" w:afterLines="25"/>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60" w:beforeLines="25" w:after="60" w:afterLines="25"/>
              <w:jc w:val="center"/>
              <w:rPr>
                <w:szCs w:val="21"/>
              </w:rPr>
            </w:pPr>
            <w:r>
              <w:rPr>
                <w:szCs w:val="21"/>
              </w:rPr>
              <w:t>2</w:t>
            </w:r>
          </w:p>
        </w:tc>
        <w:tc>
          <w:tcPr>
            <w:tcW w:w="21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rPr>
            </w:pPr>
            <w:r>
              <w:rPr>
                <w:rFonts w:hint="eastAsia" w:hAnsi="宋体"/>
                <w:szCs w:val="21"/>
              </w:rPr>
              <w:t>投标函盖</w:t>
            </w:r>
            <w:r>
              <w:rPr>
                <w:rFonts w:hAnsi="宋体"/>
                <w:szCs w:val="21"/>
              </w:rPr>
              <w:t>CA</w:t>
            </w:r>
            <w:r>
              <w:rPr>
                <w:rFonts w:hint="eastAsia" w:hAnsi="宋体"/>
                <w:szCs w:val="21"/>
              </w:rPr>
              <w:t>电子印章</w:t>
            </w:r>
          </w:p>
        </w:tc>
        <w:tc>
          <w:tcPr>
            <w:tcW w:w="2416"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r>
              <w:rPr>
                <w:rFonts w:hint="eastAsia" w:hAnsi="宋体"/>
                <w:szCs w:val="21"/>
              </w:rPr>
              <w:t>有法定代表人或其委托代理人盖个人</w:t>
            </w:r>
            <w:r>
              <w:rPr>
                <w:rFonts w:hAnsi="宋体"/>
                <w:szCs w:val="21"/>
              </w:rPr>
              <w:t>CA</w:t>
            </w:r>
            <w:r>
              <w:rPr>
                <w:rFonts w:hint="eastAsia" w:hAnsi="宋体"/>
                <w:szCs w:val="21"/>
              </w:rPr>
              <w:t>电子印章并加盖企业</w:t>
            </w:r>
            <w:r>
              <w:rPr>
                <w:rFonts w:hAnsi="宋体"/>
                <w:szCs w:val="21"/>
              </w:rPr>
              <w:t>CA</w:t>
            </w:r>
            <w:r>
              <w:rPr>
                <w:rFonts w:hint="eastAsia" w:hAnsi="宋体"/>
                <w:szCs w:val="21"/>
              </w:rPr>
              <w:t>电子印章</w:t>
            </w:r>
          </w:p>
        </w:tc>
        <w:tc>
          <w:tcPr>
            <w:tcW w:w="1209"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09" w:type="dxa"/>
            <w:tcBorders>
              <w:top w:val="single" w:color="auto" w:sz="4" w:space="0"/>
              <w:left w:val="single" w:color="auto" w:sz="4" w:space="0"/>
              <w:bottom w:val="single" w:color="auto" w:sz="4" w:space="0"/>
            </w:tcBorders>
            <w:vAlign w:val="center"/>
          </w:tcPr>
          <w:p>
            <w:pPr>
              <w:spacing w:before="60" w:beforeLines="25" w:after="60" w:afterLines="25"/>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60" w:beforeLines="25" w:after="60" w:afterLines="25"/>
              <w:jc w:val="center"/>
              <w:rPr>
                <w:szCs w:val="21"/>
              </w:rPr>
            </w:pPr>
            <w:r>
              <w:rPr>
                <w:szCs w:val="21"/>
              </w:rPr>
              <w:t>3</w:t>
            </w:r>
          </w:p>
        </w:tc>
        <w:tc>
          <w:tcPr>
            <w:tcW w:w="21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rPr>
            </w:pPr>
            <w:r>
              <w:rPr>
                <w:rFonts w:hint="eastAsia" w:hAnsi="宋体"/>
                <w:szCs w:val="21"/>
              </w:rPr>
              <w:t>投标文件格式</w:t>
            </w:r>
          </w:p>
        </w:tc>
        <w:tc>
          <w:tcPr>
            <w:tcW w:w="2416"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r>
              <w:rPr>
                <w:rFonts w:hint="eastAsia" w:hAnsi="宋体"/>
                <w:szCs w:val="21"/>
              </w:rPr>
              <w:t>符合第八章</w:t>
            </w:r>
            <w:r>
              <w:rPr>
                <w:rFonts w:hint="eastAsia"/>
                <w:szCs w:val="21"/>
              </w:rPr>
              <w:t>“</w:t>
            </w:r>
            <w:r>
              <w:rPr>
                <w:rFonts w:hint="eastAsia" w:hAnsi="宋体"/>
                <w:szCs w:val="21"/>
              </w:rPr>
              <w:t>投标文件格式</w:t>
            </w:r>
            <w:r>
              <w:rPr>
                <w:rFonts w:hint="eastAsia"/>
                <w:szCs w:val="21"/>
              </w:rPr>
              <w:t>”</w:t>
            </w:r>
            <w:r>
              <w:rPr>
                <w:rFonts w:hint="eastAsia" w:hAnsi="宋体"/>
                <w:szCs w:val="21"/>
              </w:rPr>
              <w:t>的要求</w:t>
            </w:r>
          </w:p>
        </w:tc>
        <w:tc>
          <w:tcPr>
            <w:tcW w:w="1209"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09" w:type="dxa"/>
            <w:tcBorders>
              <w:top w:val="single" w:color="auto" w:sz="4" w:space="0"/>
              <w:left w:val="single" w:color="auto" w:sz="4" w:space="0"/>
              <w:bottom w:val="single" w:color="auto" w:sz="4" w:space="0"/>
            </w:tcBorders>
            <w:vAlign w:val="center"/>
          </w:tcPr>
          <w:p>
            <w:pPr>
              <w:spacing w:before="60" w:beforeLines="25" w:after="60" w:afterLines="25"/>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60" w:beforeLines="25" w:after="60" w:afterLines="25"/>
              <w:jc w:val="center"/>
              <w:rPr>
                <w:szCs w:val="21"/>
              </w:rPr>
            </w:pPr>
            <w:r>
              <w:rPr>
                <w:szCs w:val="21"/>
              </w:rPr>
              <w:t>4</w:t>
            </w:r>
          </w:p>
        </w:tc>
        <w:tc>
          <w:tcPr>
            <w:tcW w:w="216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rPr>
            </w:pPr>
            <w:r>
              <w:rPr>
                <w:rFonts w:hint="eastAsia" w:hAnsi="宋体"/>
                <w:szCs w:val="21"/>
              </w:rPr>
              <w:t>报价唯一</w:t>
            </w:r>
          </w:p>
        </w:tc>
        <w:tc>
          <w:tcPr>
            <w:tcW w:w="2416"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r>
              <w:rPr>
                <w:rFonts w:hint="eastAsia" w:hAnsi="宋体"/>
                <w:szCs w:val="21"/>
              </w:rPr>
              <w:t>只能有一个有效报价</w:t>
            </w:r>
          </w:p>
        </w:tc>
        <w:tc>
          <w:tcPr>
            <w:tcW w:w="1209"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09" w:type="dxa"/>
            <w:tcBorders>
              <w:top w:val="single" w:color="auto" w:sz="4" w:space="0"/>
              <w:left w:val="single" w:color="auto" w:sz="4" w:space="0"/>
              <w:bottom w:val="single" w:color="auto" w:sz="4" w:space="0"/>
            </w:tcBorders>
            <w:vAlign w:val="center"/>
          </w:tcPr>
          <w:p>
            <w:pPr>
              <w:spacing w:before="60" w:beforeLines="25" w:after="60" w:afterLines="25"/>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96" w:type="dxa"/>
            <w:tcBorders>
              <w:top w:val="single" w:color="auto" w:sz="4" w:space="0"/>
              <w:bottom w:val="single" w:color="auto" w:sz="4" w:space="0"/>
              <w:right w:val="single" w:color="auto" w:sz="4" w:space="0"/>
            </w:tcBorders>
            <w:vAlign w:val="center"/>
          </w:tcPr>
          <w:p>
            <w:pPr>
              <w:spacing w:before="60" w:beforeLines="25" w:after="60" w:afterLines="25"/>
              <w:jc w:val="center"/>
              <w:rPr>
                <w:szCs w:val="21"/>
              </w:rPr>
            </w:pPr>
            <w:r>
              <w:rPr>
                <w:szCs w:val="21"/>
              </w:rPr>
              <w:t>5</w:t>
            </w:r>
          </w:p>
        </w:tc>
        <w:tc>
          <w:tcPr>
            <w:tcW w:w="2161" w:type="dxa"/>
            <w:tcBorders>
              <w:top w:val="single" w:color="auto" w:sz="4" w:space="0"/>
              <w:left w:val="single" w:color="auto" w:sz="4" w:space="0"/>
              <w:bottom w:val="single" w:color="auto" w:sz="4" w:space="0"/>
              <w:right w:val="single" w:color="auto" w:sz="4" w:space="0"/>
            </w:tcBorders>
            <w:vAlign w:val="center"/>
          </w:tcPr>
          <w:p>
            <w:pPr>
              <w:jc w:val="center"/>
              <w:rPr>
                <w:strike/>
              </w:rPr>
            </w:pPr>
            <w:r>
              <w:rPr>
                <w:szCs w:val="21"/>
              </w:rPr>
              <w:t>……</w:t>
            </w:r>
          </w:p>
        </w:tc>
        <w:tc>
          <w:tcPr>
            <w:tcW w:w="2416" w:type="dxa"/>
            <w:tcBorders>
              <w:top w:val="single" w:color="auto" w:sz="4" w:space="0"/>
              <w:left w:val="single" w:color="auto" w:sz="4" w:space="0"/>
              <w:bottom w:val="single" w:color="auto" w:sz="4" w:space="0"/>
              <w:right w:val="single" w:color="auto" w:sz="4" w:space="0"/>
            </w:tcBorders>
          </w:tcPr>
          <w:p>
            <w:pPr>
              <w:rPr>
                <w:strike/>
              </w:rPr>
            </w:pPr>
          </w:p>
        </w:tc>
        <w:tc>
          <w:tcPr>
            <w:tcW w:w="1209"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09" w:type="dxa"/>
            <w:tcBorders>
              <w:top w:val="single" w:color="auto" w:sz="4" w:space="0"/>
              <w:left w:val="single" w:color="auto" w:sz="4" w:space="0"/>
              <w:bottom w:val="single" w:color="auto" w:sz="4" w:space="0"/>
            </w:tcBorders>
            <w:vAlign w:val="center"/>
          </w:tcPr>
          <w:p>
            <w:pPr>
              <w:spacing w:before="60" w:beforeLines="25" w:after="60" w:afterLines="25"/>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5473" w:type="dxa"/>
            <w:gridSpan w:val="3"/>
            <w:tcBorders>
              <w:top w:val="single" w:color="auto" w:sz="4" w:space="0"/>
              <w:bottom w:val="single" w:color="auto" w:sz="4" w:space="0"/>
              <w:right w:val="single" w:color="auto" w:sz="4" w:space="0"/>
            </w:tcBorders>
          </w:tcPr>
          <w:p>
            <w:pPr>
              <w:spacing w:before="60" w:beforeLines="25" w:after="60" w:afterLines="25"/>
              <w:jc w:val="left"/>
              <w:rPr>
                <w:szCs w:val="21"/>
              </w:rPr>
            </w:pPr>
            <w:r>
              <w:rPr>
                <w:rFonts w:hint="eastAsia"/>
                <w:szCs w:val="21"/>
              </w:rPr>
              <w:t>形式评审结论：</w:t>
            </w:r>
          </w:p>
          <w:p>
            <w:pPr>
              <w:spacing w:before="60" w:beforeLines="25" w:after="60" w:afterLines="25"/>
              <w:jc w:val="left"/>
              <w:rPr>
                <w:szCs w:val="21"/>
              </w:rPr>
            </w:pPr>
            <w:r>
              <w:rPr>
                <w:rFonts w:hint="eastAsia"/>
                <w:szCs w:val="21"/>
              </w:rPr>
              <w:t>通过形式评审标注为</w:t>
            </w:r>
            <w:r>
              <w:rPr>
                <w:szCs w:val="21"/>
              </w:rPr>
              <w:t>√</w:t>
            </w:r>
            <w:r>
              <w:rPr>
                <w:rFonts w:hint="eastAsia"/>
                <w:szCs w:val="21"/>
              </w:rPr>
              <w:t>；未通过形式评审标注为</w:t>
            </w:r>
            <w:r>
              <w:rPr>
                <w:szCs w:val="21"/>
              </w:rPr>
              <w:t>×</w:t>
            </w:r>
            <w:r>
              <w:rPr>
                <w:szCs w:val="21"/>
              </w:rPr>
              <w:tab/>
            </w:r>
          </w:p>
        </w:tc>
        <w:tc>
          <w:tcPr>
            <w:tcW w:w="1209"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09" w:type="dxa"/>
            <w:tcBorders>
              <w:top w:val="single" w:color="auto" w:sz="4" w:space="0"/>
              <w:left w:val="single" w:color="auto" w:sz="4" w:space="0"/>
              <w:bottom w:val="single" w:color="auto" w:sz="4" w:space="0"/>
            </w:tcBorders>
            <w:vAlign w:val="center"/>
          </w:tcPr>
          <w:p>
            <w:pPr>
              <w:spacing w:before="60" w:beforeLines="25" w:after="60" w:afterLines="25"/>
              <w:rPr>
                <w:szCs w:val="21"/>
              </w:rPr>
            </w:pPr>
          </w:p>
        </w:tc>
      </w:tr>
    </w:tbl>
    <w:p>
      <w:pPr>
        <w:rPr>
          <w:szCs w:val="21"/>
        </w:rPr>
      </w:pPr>
      <w:r>
        <w:rPr>
          <w:rFonts w:hint="eastAsia"/>
          <w:szCs w:val="21"/>
        </w:rPr>
        <w:t>评标委员会全体成员</w:t>
      </w:r>
      <w:r>
        <w:rPr>
          <w:rFonts w:hint="eastAsia"/>
          <w:szCs w:val="21"/>
          <w:u w:val="single"/>
        </w:rPr>
        <w:t>（手写签名）</w:t>
      </w:r>
      <w:r>
        <w:rPr>
          <w:szCs w:val="21"/>
          <w:u w:val="single"/>
        </w:rPr>
        <w:t xml:space="preserve">      </w:t>
      </w:r>
      <w:r>
        <w:rPr>
          <w:rFonts w:ascii="宋体" w:hAnsi="宋体" w:cs="Arial"/>
          <w:sz w:val="24"/>
          <w:u w:val="single"/>
        </w:rPr>
        <w:t xml:space="preserve">     </w:t>
      </w:r>
      <w:r>
        <w:rPr>
          <w:szCs w:val="21"/>
        </w:rPr>
        <w:t xml:space="preserve">                                                                     </w:t>
      </w:r>
      <w:r>
        <w:rPr>
          <w:rFonts w:hint="eastAsia"/>
          <w:szCs w:val="21"/>
        </w:rPr>
        <w:t>日期：</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pPr>
        <w:rPr>
          <w:szCs w:val="21"/>
        </w:rPr>
        <w:sectPr>
          <w:pgSz w:w="16838" w:h="11906" w:orient="landscape"/>
          <w:pgMar w:top="1644" w:right="1361" w:bottom="1644" w:left="1418" w:header="851" w:footer="992" w:gutter="0"/>
          <w:cols w:space="425" w:num="1"/>
          <w:docGrid w:linePitch="312" w:charSpace="0"/>
        </w:sectPr>
      </w:pPr>
    </w:p>
    <w:p>
      <w:pPr>
        <w:pStyle w:val="5"/>
        <w:tabs>
          <w:tab w:val="left" w:pos="0"/>
        </w:tabs>
        <w:jc w:val="left"/>
        <w:rPr>
          <w:rFonts w:ascii="宋体"/>
          <w:sz w:val="28"/>
          <w:szCs w:val="24"/>
        </w:rPr>
      </w:pPr>
      <w:bookmarkStart w:id="189" w:name="_Toc470011319"/>
      <w:bookmarkStart w:id="190" w:name="_Toc455409841"/>
      <w:r>
        <w:rPr>
          <w:rFonts w:hint="eastAsia" w:ascii="宋体" w:hAnsi="宋体"/>
          <w:sz w:val="28"/>
          <w:szCs w:val="24"/>
        </w:rPr>
        <w:t>附表</w:t>
      </w:r>
      <w:r>
        <w:rPr>
          <w:rFonts w:ascii="宋体" w:hAnsi="宋体"/>
          <w:sz w:val="28"/>
          <w:szCs w:val="24"/>
        </w:rPr>
        <w:t>-4</w:t>
      </w:r>
      <w:r>
        <w:rPr>
          <w:rFonts w:hint="eastAsia" w:ascii="宋体" w:hAnsi="宋体"/>
          <w:sz w:val="28"/>
          <w:szCs w:val="24"/>
        </w:rPr>
        <w:t>：资格审查表</w:t>
      </w:r>
      <w:bookmarkEnd w:id="189"/>
      <w:bookmarkEnd w:id="190"/>
    </w:p>
    <w:p>
      <w:pPr>
        <w:tabs>
          <w:tab w:val="left" w:pos="3084"/>
          <w:tab w:val="center" w:pos="4252"/>
        </w:tabs>
        <w:snapToGrid w:val="0"/>
        <w:spacing w:before="100" w:beforeAutospacing="1" w:after="120" w:afterLines="50"/>
        <w:jc w:val="center"/>
        <w:rPr>
          <w:rFonts w:ascii="黑体" w:hAnsi="黑体" w:eastAsia="黑体"/>
          <w:sz w:val="28"/>
          <w:szCs w:val="28"/>
        </w:rPr>
      </w:pPr>
      <w:r>
        <w:rPr>
          <w:rFonts w:hint="eastAsia" w:ascii="黑体" w:hAnsi="黑体" w:eastAsia="黑体"/>
          <w:sz w:val="28"/>
          <w:szCs w:val="28"/>
        </w:rPr>
        <w:t>投标人资格审查表</w:t>
      </w:r>
    </w:p>
    <w:p>
      <w:pPr>
        <w:tabs>
          <w:tab w:val="left" w:pos="3084"/>
          <w:tab w:val="center" w:pos="4252"/>
        </w:tabs>
        <w:snapToGrid w:val="0"/>
        <w:spacing w:before="100" w:beforeAutospacing="1" w:after="120" w:afterLines="50"/>
        <w:jc w:val="left"/>
        <w:rPr>
          <w:rFonts w:hAnsi="宋体"/>
          <w:szCs w:val="21"/>
        </w:rPr>
      </w:pPr>
      <w:r>
        <w:rPr>
          <w:rFonts w:hint="eastAsia" w:hAnsi="宋体"/>
          <w:szCs w:val="21"/>
        </w:rPr>
        <w:t>工程名称：</w:t>
      </w:r>
      <w:r>
        <w:rPr>
          <w:rFonts w:hAnsi="宋体"/>
          <w:szCs w:val="21"/>
          <w:u w:val="single"/>
        </w:rPr>
        <w:t xml:space="preserve">                   </w:t>
      </w:r>
    </w:p>
    <w:tbl>
      <w:tblPr>
        <w:tblStyle w:val="49"/>
        <w:tblW w:w="8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320"/>
        <w:gridCol w:w="2668"/>
        <w:gridCol w:w="1946"/>
        <w:gridCol w:w="1017"/>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79" w:type="dxa"/>
            <w:vMerge w:val="restart"/>
            <w:vAlign w:val="center"/>
          </w:tcPr>
          <w:p>
            <w:pPr>
              <w:snapToGrid w:val="0"/>
              <w:spacing w:line="400" w:lineRule="exact"/>
              <w:jc w:val="center"/>
              <w:rPr>
                <w:b/>
                <w:szCs w:val="21"/>
              </w:rPr>
            </w:pPr>
            <w:r>
              <w:rPr>
                <w:rFonts w:hint="eastAsia" w:hAnsi="宋体"/>
                <w:b/>
                <w:szCs w:val="21"/>
              </w:rPr>
              <w:t>序号</w:t>
            </w:r>
          </w:p>
        </w:tc>
        <w:tc>
          <w:tcPr>
            <w:tcW w:w="1320" w:type="dxa"/>
            <w:vMerge w:val="restart"/>
            <w:vAlign w:val="center"/>
          </w:tcPr>
          <w:p>
            <w:pPr>
              <w:snapToGrid w:val="0"/>
              <w:spacing w:line="400" w:lineRule="exact"/>
              <w:jc w:val="center"/>
              <w:rPr>
                <w:b/>
                <w:szCs w:val="21"/>
              </w:rPr>
            </w:pPr>
            <w:r>
              <w:rPr>
                <w:rFonts w:hint="eastAsia" w:hAnsi="宋体"/>
                <w:b/>
                <w:szCs w:val="21"/>
              </w:rPr>
              <w:t>项目内容</w:t>
            </w:r>
          </w:p>
        </w:tc>
        <w:tc>
          <w:tcPr>
            <w:tcW w:w="2668" w:type="dxa"/>
            <w:vMerge w:val="restart"/>
            <w:vAlign w:val="center"/>
          </w:tcPr>
          <w:p>
            <w:pPr>
              <w:snapToGrid w:val="0"/>
              <w:spacing w:line="400" w:lineRule="exact"/>
              <w:jc w:val="center"/>
              <w:rPr>
                <w:b/>
                <w:szCs w:val="21"/>
              </w:rPr>
            </w:pPr>
            <w:r>
              <w:rPr>
                <w:rFonts w:hint="eastAsia" w:hAnsi="宋体"/>
                <w:b/>
                <w:szCs w:val="21"/>
              </w:rPr>
              <w:t>合格条件</w:t>
            </w:r>
          </w:p>
        </w:tc>
        <w:tc>
          <w:tcPr>
            <w:tcW w:w="1946" w:type="dxa"/>
            <w:vMerge w:val="restart"/>
            <w:vAlign w:val="center"/>
          </w:tcPr>
          <w:p>
            <w:pPr>
              <w:snapToGrid w:val="0"/>
              <w:rPr>
                <w:b/>
                <w:szCs w:val="21"/>
              </w:rPr>
            </w:pPr>
            <w:r>
              <w:rPr>
                <w:rFonts w:hint="eastAsia" w:hAnsi="宋体"/>
                <w:b/>
                <w:szCs w:val="21"/>
              </w:rPr>
              <w:t>投标人具备的</w:t>
            </w:r>
          </w:p>
          <w:p>
            <w:pPr>
              <w:snapToGrid w:val="0"/>
              <w:rPr>
                <w:b/>
                <w:szCs w:val="21"/>
              </w:rPr>
            </w:pPr>
            <w:r>
              <w:rPr>
                <w:rFonts w:hint="eastAsia" w:hAnsi="宋体"/>
                <w:b/>
                <w:szCs w:val="21"/>
              </w:rPr>
              <w:t>条件及说明</w:t>
            </w:r>
          </w:p>
        </w:tc>
        <w:tc>
          <w:tcPr>
            <w:tcW w:w="2034" w:type="dxa"/>
            <w:gridSpan w:val="2"/>
          </w:tcPr>
          <w:p>
            <w:pPr>
              <w:snapToGrid w:val="0"/>
              <w:jc w:val="center"/>
              <w:rPr>
                <w:rFonts w:hAnsi="宋体"/>
                <w:b/>
                <w:szCs w:val="21"/>
              </w:rPr>
            </w:pPr>
            <w:r>
              <w:rPr>
                <w:rFonts w:hint="eastAsia" w:ascii="宋体" w:hAnsi="宋体" w:cs="Arial"/>
                <w:szCs w:val="21"/>
              </w:rPr>
              <w:t>投标人名称及审查意见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0" w:type="auto"/>
            <w:vMerge w:val="continue"/>
            <w:vAlign w:val="center"/>
          </w:tcPr>
          <w:p>
            <w:pPr>
              <w:jc w:val="left"/>
              <w:rPr>
                <w:b/>
                <w:szCs w:val="21"/>
              </w:rPr>
            </w:pPr>
          </w:p>
        </w:tc>
        <w:tc>
          <w:tcPr>
            <w:tcW w:w="0" w:type="auto"/>
            <w:vMerge w:val="continue"/>
            <w:vAlign w:val="center"/>
          </w:tcPr>
          <w:p>
            <w:pPr>
              <w:jc w:val="left"/>
              <w:rPr>
                <w:b/>
                <w:szCs w:val="21"/>
              </w:rPr>
            </w:pPr>
          </w:p>
        </w:tc>
        <w:tc>
          <w:tcPr>
            <w:tcW w:w="0" w:type="auto"/>
            <w:vMerge w:val="continue"/>
            <w:vAlign w:val="center"/>
          </w:tcPr>
          <w:p>
            <w:pPr>
              <w:jc w:val="left"/>
              <w:rPr>
                <w:b/>
                <w:szCs w:val="21"/>
              </w:rPr>
            </w:pPr>
          </w:p>
        </w:tc>
        <w:tc>
          <w:tcPr>
            <w:tcW w:w="0" w:type="auto"/>
            <w:vMerge w:val="continue"/>
            <w:vAlign w:val="center"/>
          </w:tcPr>
          <w:p>
            <w:pPr>
              <w:jc w:val="left"/>
              <w:rPr>
                <w:b/>
                <w:szCs w:val="21"/>
              </w:rPr>
            </w:pPr>
          </w:p>
        </w:tc>
        <w:tc>
          <w:tcPr>
            <w:tcW w:w="1017" w:type="dxa"/>
          </w:tcPr>
          <w:p>
            <w:pPr>
              <w:snapToGrid w:val="0"/>
              <w:jc w:val="center"/>
              <w:rPr>
                <w:rFonts w:hAnsi="宋体"/>
                <w:b/>
                <w:szCs w:val="21"/>
              </w:rPr>
            </w:pPr>
          </w:p>
        </w:tc>
        <w:tc>
          <w:tcPr>
            <w:tcW w:w="1017" w:type="dxa"/>
          </w:tcPr>
          <w:p>
            <w:pPr>
              <w:snapToGrid w:val="0"/>
              <w:jc w:val="center"/>
              <w:rPr>
                <w:rFonts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779" w:type="dxa"/>
            <w:vAlign w:val="center"/>
          </w:tcPr>
          <w:p>
            <w:pPr>
              <w:snapToGrid w:val="0"/>
              <w:spacing w:line="400" w:lineRule="exact"/>
              <w:jc w:val="center"/>
              <w:rPr>
                <w:b/>
                <w:szCs w:val="21"/>
              </w:rPr>
            </w:pPr>
            <w:r>
              <w:rPr>
                <w:b/>
                <w:szCs w:val="21"/>
              </w:rPr>
              <w:t>1</w:t>
            </w:r>
          </w:p>
        </w:tc>
        <w:tc>
          <w:tcPr>
            <w:tcW w:w="1320" w:type="dxa"/>
            <w:vAlign w:val="center"/>
          </w:tcPr>
          <w:p>
            <w:pPr>
              <w:snapToGrid w:val="0"/>
              <w:spacing w:line="400" w:lineRule="exact"/>
              <w:rPr>
                <w:szCs w:val="21"/>
              </w:rPr>
            </w:pPr>
            <w:r>
              <w:rPr>
                <w:rFonts w:hint="eastAsia" w:hAnsi="宋体"/>
                <w:szCs w:val="21"/>
              </w:rPr>
              <w:t>企业营业执照</w:t>
            </w:r>
          </w:p>
        </w:tc>
        <w:tc>
          <w:tcPr>
            <w:tcW w:w="2668" w:type="dxa"/>
            <w:vAlign w:val="center"/>
          </w:tcPr>
          <w:p>
            <w:pPr>
              <w:snapToGrid w:val="0"/>
              <w:rPr>
                <w:rFonts w:hAnsi="宋体"/>
                <w:szCs w:val="21"/>
              </w:rPr>
            </w:pPr>
            <w:r>
              <w:rPr>
                <w:rFonts w:hint="eastAsia" w:hAnsi="宋体"/>
                <w:szCs w:val="21"/>
              </w:rPr>
              <w:t>具有独立法人资格，有效的营业执照且处于在正常开业状态，且具备承担招标项目的能力。</w:t>
            </w:r>
          </w:p>
          <w:p>
            <w:pPr>
              <w:snapToGrid w:val="0"/>
              <w:rPr>
                <w:strike/>
                <w:szCs w:val="21"/>
              </w:rPr>
            </w:pPr>
          </w:p>
        </w:tc>
        <w:tc>
          <w:tcPr>
            <w:tcW w:w="1946" w:type="dxa"/>
            <w:vAlign w:val="center"/>
          </w:tcPr>
          <w:p>
            <w:pPr>
              <w:snapToGrid w:val="0"/>
              <w:rPr>
                <w:szCs w:val="21"/>
              </w:rPr>
            </w:pPr>
            <w:r>
              <w:rPr>
                <w:rFonts w:hint="eastAsia" w:hAnsi="宋体"/>
                <w:szCs w:val="21"/>
              </w:rPr>
              <w:t>营业执照副本复印件或扫描件、正常开业的证明资料（市场监督管理行政主管部门网站截图）</w:t>
            </w:r>
            <w:r>
              <w:rPr>
                <w:rFonts w:hint="eastAsia" w:ascii="宋体" w:hAnsi="宋体"/>
                <w:szCs w:val="21"/>
              </w:rPr>
              <w:t>盖企业</w:t>
            </w:r>
            <w:r>
              <w:rPr>
                <w:rFonts w:ascii="宋体" w:hAnsi="宋体"/>
                <w:szCs w:val="21"/>
              </w:rPr>
              <w:t>CA</w:t>
            </w:r>
            <w:r>
              <w:rPr>
                <w:rFonts w:hint="eastAsia" w:ascii="宋体" w:hAnsi="宋体"/>
                <w:szCs w:val="21"/>
              </w:rPr>
              <w:t>电子印章</w:t>
            </w:r>
            <w:r>
              <w:rPr>
                <w:rFonts w:hint="eastAsia" w:hAnsi="宋体"/>
                <w:szCs w:val="21"/>
              </w:rPr>
              <w:t>。</w:t>
            </w:r>
          </w:p>
        </w:tc>
        <w:tc>
          <w:tcPr>
            <w:tcW w:w="1017" w:type="dxa"/>
          </w:tcPr>
          <w:p>
            <w:pPr>
              <w:snapToGrid w:val="0"/>
              <w:rPr>
                <w:rFonts w:hAnsi="宋体"/>
                <w:szCs w:val="21"/>
              </w:rPr>
            </w:pPr>
          </w:p>
        </w:tc>
        <w:tc>
          <w:tcPr>
            <w:tcW w:w="1017" w:type="dxa"/>
          </w:tcPr>
          <w:p>
            <w:pPr>
              <w:snapToGrid w:val="0"/>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779" w:type="dxa"/>
            <w:vAlign w:val="center"/>
          </w:tcPr>
          <w:p>
            <w:pPr>
              <w:snapToGrid w:val="0"/>
              <w:spacing w:line="400" w:lineRule="exact"/>
              <w:jc w:val="center"/>
              <w:rPr>
                <w:b/>
                <w:szCs w:val="21"/>
              </w:rPr>
            </w:pPr>
            <w:r>
              <w:rPr>
                <w:b/>
                <w:szCs w:val="21"/>
              </w:rPr>
              <w:t>2</w:t>
            </w:r>
          </w:p>
        </w:tc>
        <w:tc>
          <w:tcPr>
            <w:tcW w:w="1320" w:type="dxa"/>
            <w:vAlign w:val="center"/>
          </w:tcPr>
          <w:p>
            <w:pPr>
              <w:snapToGrid w:val="0"/>
              <w:spacing w:line="400" w:lineRule="exact"/>
              <w:rPr>
                <w:szCs w:val="21"/>
              </w:rPr>
            </w:pPr>
            <w:r>
              <w:rPr>
                <w:rFonts w:hint="eastAsia" w:hAnsi="宋体"/>
                <w:szCs w:val="21"/>
              </w:rPr>
              <w:t>项目负责人</w:t>
            </w:r>
          </w:p>
        </w:tc>
        <w:tc>
          <w:tcPr>
            <w:tcW w:w="2668" w:type="dxa"/>
            <w:vAlign w:val="center"/>
          </w:tcPr>
          <w:p>
            <w:pPr>
              <w:snapToGrid w:val="0"/>
              <w:rPr>
                <w:rFonts w:hAnsi="宋体"/>
                <w:szCs w:val="21"/>
              </w:rPr>
            </w:pPr>
            <w:r>
              <w:rPr>
                <w:rFonts w:hint="eastAsia" w:hAnsi="宋体"/>
                <w:szCs w:val="21"/>
              </w:rPr>
              <w:t>（</w:t>
            </w:r>
            <w:r>
              <w:rPr>
                <w:rFonts w:hAnsi="宋体"/>
                <w:szCs w:val="21"/>
              </w:rPr>
              <w:t>1</w:t>
            </w:r>
            <w:r>
              <w:rPr>
                <w:rFonts w:hint="eastAsia" w:hAnsi="宋体"/>
                <w:szCs w:val="21"/>
              </w:rPr>
              <w:t>）项目</w:t>
            </w:r>
            <w:r>
              <w:rPr>
                <w:rFonts w:hint="eastAsia" w:ascii="宋体" w:hAnsi="宋体"/>
                <w:szCs w:val="21"/>
              </w:rPr>
              <w:t>负责人与</w:t>
            </w:r>
            <w:r>
              <w:rPr>
                <w:rFonts w:hint="eastAsia" w:hAnsi="宋体"/>
                <w:szCs w:val="21"/>
              </w:rPr>
              <w:t>下载招标审文件阶段所报人员一致</w:t>
            </w:r>
          </w:p>
          <w:p>
            <w:pPr>
              <w:snapToGrid w:val="0"/>
              <w:rPr>
                <w:szCs w:val="21"/>
              </w:rPr>
            </w:pPr>
            <w:r>
              <w:rPr>
                <w:rFonts w:hint="eastAsia" w:hAnsi="宋体"/>
                <w:szCs w:val="21"/>
              </w:rPr>
              <w:t>（</w:t>
            </w:r>
            <w:r>
              <w:rPr>
                <w:rFonts w:hAnsi="宋体"/>
                <w:szCs w:val="21"/>
              </w:rPr>
              <w:t>2</w:t>
            </w:r>
            <w:r>
              <w:rPr>
                <w:rFonts w:hint="eastAsia" w:hAnsi="宋体"/>
                <w:szCs w:val="21"/>
              </w:rPr>
              <w:t>）项目</w:t>
            </w:r>
            <w:r>
              <w:rPr>
                <w:rFonts w:hint="eastAsia" w:ascii="宋体" w:hAnsi="宋体"/>
                <w:szCs w:val="21"/>
              </w:rPr>
              <w:t>负责人</w:t>
            </w:r>
            <w:r>
              <w:rPr>
                <w:rFonts w:hint="eastAsia" w:hAnsi="宋体"/>
                <w:szCs w:val="21"/>
              </w:rPr>
              <w:t>并未在其他在建施工项目中担任项目</w:t>
            </w:r>
            <w:r>
              <w:rPr>
                <w:rFonts w:hint="eastAsia" w:ascii="宋体" w:hAnsi="宋体"/>
                <w:szCs w:val="21"/>
              </w:rPr>
              <w:t>负责人</w:t>
            </w:r>
            <w:r>
              <w:rPr>
                <w:rFonts w:hint="eastAsia" w:hAnsi="宋体"/>
                <w:szCs w:val="21"/>
              </w:rPr>
              <w:t>。</w:t>
            </w:r>
          </w:p>
        </w:tc>
        <w:tc>
          <w:tcPr>
            <w:tcW w:w="1946" w:type="dxa"/>
            <w:vAlign w:val="center"/>
          </w:tcPr>
          <w:p>
            <w:pPr>
              <w:snapToGrid w:val="0"/>
              <w:rPr>
                <w:szCs w:val="21"/>
              </w:rPr>
            </w:pPr>
            <w:r>
              <w:rPr>
                <w:rFonts w:hint="eastAsia" w:hAnsi="宋体"/>
                <w:szCs w:val="21"/>
              </w:rPr>
              <w:t>投标人出具</w:t>
            </w:r>
            <w:r>
              <w:rPr>
                <w:rFonts w:hint="eastAsia" w:ascii="宋体" w:hAnsi="宋体"/>
                <w:szCs w:val="21"/>
              </w:rPr>
              <w:t>盖企业</w:t>
            </w:r>
            <w:r>
              <w:rPr>
                <w:rFonts w:ascii="宋体" w:hAnsi="宋体"/>
                <w:szCs w:val="21"/>
              </w:rPr>
              <w:t>CA</w:t>
            </w:r>
            <w:r>
              <w:rPr>
                <w:rFonts w:hint="eastAsia" w:ascii="宋体" w:hAnsi="宋体"/>
                <w:szCs w:val="21"/>
              </w:rPr>
              <w:t>电子印章</w:t>
            </w:r>
            <w:r>
              <w:rPr>
                <w:rFonts w:hint="eastAsia" w:hAnsi="宋体"/>
                <w:szCs w:val="21"/>
              </w:rPr>
              <w:t>和法定代表人个人</w:t>
            </w:r>
            <w:r>
              <w:rPr>
                <w:rFonts w:ascii="宋体" w:hAnsi="宋体"/>
                <w:szCs w:val="21"/>
              </w:rPr>
              <w:t>CA</w:t>
            </w:r>
            <w:r>
              <w:rPr>
                <w:rFonts w:hint="eastAsia" w:ascii="宋体" w:hAnsi="宋体"/>
                <w:szCs w:val="21"/>
              </w:rPr>
              <w:t>电子印章</w:t>
            </w:r>
            <w:r>
              <w:rPr>
                <w:rFonts w:hint="eastAsia" w:hAnsi="宋体"/>
                <w:szCs w:val="21"/>
              </w:rPr>
              <w:t>的承诺书。</w:t>
            </w:r>
          </w:p>
        </w:tc>
        <w:tc>
          <w:tcPr>
            <w:tcW w:w="1017" w:type="dxa"/>
          </w:tcPr>
          <w:p>
            <w:pPr>
              <w:snapToGrid w:val="0"/>
              <w:rPr>
                <w:rFonts w:hAnsi="宋体"/>
                <w:szCs w:val="21"/>
              </w:rPr>
            </w:pPr>
          </w:p>
        </w:tc>
        <w:tc>
          <w:tcPr>
            <w:tcW w:w="1017" w:type="dxa"/>
          </w:tcPr>
          <w:p>
            <w:pPr>
              <w:snapToGrid w:val="0"/>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779" w:type="dxa"/>
            <w:vAlign w:val="center"/>
          </w:tcPr>
          <w:p>
            <w:pPr>
              <w:snapToGrid w:val="0"/>
              <w:spacing w:line="400" w:lineRule="exact"/>
              <w:jc w:val="center"/>
              <w:rPr>
                <w:b/>
                <w:szCs w:val="21"/>
              </w:rPr>
            </w:pPr>
            <w:r>
              <w:rPr>
                <w:b/>
                <w:szCs w:val="21"/>
              </w:rPr>
              <w:t>3</w:t>
            </w:r>
          </w:p>
        </w:tc>
        <w:tc>
          <w:tcPr>
            <w:tcW w:w="1320" w:type="dxa"/>
            <w:vAlign w:val="center"/>
          </w:tcPr>
          <w:p>
            <w:pPr>
              <w:snapToGrid w:val="0"/>
              <w:spacing w:line="400" w:lineRule="exact"/>
              <w:rPr>
                <w:szCs w:val="21"/>
              </w:rPr>
            </w:pPr>
            <w:r>
              <w:rPr>
                <w:rFonts w:hint="eastAsia"/>
                <w:szCs w:val="21"/>
              </w:rPr>
              <w:t>业绩要求（如需要）</w:t>
            </w:r>
          </w:p>
        </w:tc>
        <w:tc>
          <w:tcPr>
            <w:tcW w:w="2668" w:type="dxa"/>
            <w:vAlign w:val="center"/>
          </w:tcPr>
          <w:p>
            <w:pPr>
              <w:snapToGrid w:val="0"/>
              <w:rPr>
                <w:rFonts w:hAnsi="宋体"/>
                <w:szCs w:val="21"/>
              </w:rPr>
            </w:pPr>
            <w:r>
              <w:rPr>
                <w:rFonts w:hint="eastAsia" w:hAnsi="宋体"/>
                <w:szCs w:val="21"/>
              </w:rPr>
              <w:t>近</w:t>
            </w:r>
            <w:r>
              <w:rPr>
                <w:rFonts w:hAnsi="宋体"/>
                <w:szCs w:val="21"/>
                <w:u w:val="single"/>
              </w:rPr>
              <w:t xml:space="preserve">  </w:t>
            </w:r>
            <w:r>
              <w:rPr>
                <w:rFonts w:hint="eastAsia" w:hAnsi="宋体"/>
                <w:szCs w:val="21"/>
              </w:rPr>
              <w:t>年至少具有一个类似项目的业绩。</w:t>
            </w:r>
          </w:p>
        </w:tc>
        <w:tc>
          <w:tcPr>
            <w:tcW w:w="1946" w:type="dxa"/>
            <w:vAlign w:val="center"/>
          </w:tcPr>
          <w:p>
            <w:pPr>
              <w:snapToGrid w:val="0"/>
              <w:rPr>
                <w:rFonts w:hAnsi="宋体"/>
                <w:strike/>
                <w:szCs w:val="21"/>
              </w:rPr>
            </w:pPr>
            <w:r>
              <w:rPr>
                <w:rFonts w:hint="eastAsia" w:hAnsi="宋体"/>
                <w:szCs w:val="21"/>
              </w:rPr>
              <w:t>此条业绩下载资格预审文件阶段时系统已与北京市园林绿化建设市场信用信息系统中企业自行录入的信息自动校验。</w:t>
            </w:r>
          </w:p>
        </w:tc>
        <w:tc>
          <w:tcPr>
            <w:tcW w:w="1017" w:type="dxa"/>
            <w:vAlign w:val="center"/>
          </w:tcPr>
          <w:p>
            <w:pPr>
              <w:snapToGrid w:val="0"/>
              <w:spacing w:line="400" w:lineRule="exact"/>
              <w:rPr>
                <w:szCs w:val="21"/>
              </w:rPr>
            </w:pPr>
          </w:p>
        </w:tc>
        <w:tc>
          <w:tcPr>
            <w:tcW w:w="1017" w:type="dxa"/>
            <w:vAlign w:val="center"/>
          </w:tcPr>
          <w:p>
            <w:pPr>
              <w:snapToGrid w:val="0"/>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779" w:type="dxa"/>
            <w:vAlign w:val="center"/>
          </w:tcPr>
          <w:p>
            <w:pPr>
              <w:snapToGrid w:val="0"/>
              <w:spacing w:line="400" w:lineRule="exact"/>
              <w:jc w:val="center"/>
              <w:rPr>
                <w:b/>
                <w:szCs w:val="21"/>
              </w:rPr>
            </w:pPr>
            <w:r>
              <w:rPr>
                <w:b/>
                <w:szCs w:val="21"/>
              </w:rPr>
              <w:t>4</w:t>
            </w:r>
          </w:p>
        </w:tc>
        <w:tc>
          <w:tcPr>
            <w:tcW w:w="1320" w:type="dxa"/>
            <w:vAlign w:val="center"/>
          </w:tcPr>
          <w:p>
            <w:pPr>
              <w:snapToGrid w:val="0"/>
              <w:rPr>
                <w:szCs w:val="21"/>
              </w:rPr>
            </w:pPr>
            <w:r>
              <w:rPr>
                <w:rFonts w:hint="eastAsia" w:hAnsi="宋体"/>
                <w:szCs w:val="21"/>
              </w:rPr>
              <w:t>财务情况</w:t>
            </w:r>
          </w:p>
        </w:tc>
        <w:tc>
          <w:tcPr>
            <w:tcW w:w="2668" w:type="dxa"/>
            <w:vAlign w:val="center"/>
          </w:tcPr>
          <w:p>
            <w:pPr>
              <w:snapToGrid w:val="0"/>
              <w:rPr>
                <w:szCs w:val="21"/>
              </w:rPr>
            </w:pPr>
            <w:r>
              <w:rPr>
                <w:rFonts w:hint="eastAsia" w:hAnsi="宋体"/>
                <w:szCs w:val="21"/>
              </w:rPr>
              <w:t>有近</w:t>
            </w:r>
            <w:r>
              <w:rPr>
                <w:rFonts w:hAnsi="宋体"/>
                <w:szCs w:val="21"/>
                <w:u w:val="single"/>
              </w:rPr>
              <w:t xml:space="preserve"> </w:t>
            </w:r>
            <w:r>
              <w:rPr>
                <w:rFonts w:hint="eastAsia" w:hAnsi="宋体"/>
                <w:szCs w:val="21"/>
              </w:rPr>
              <w:t>年经会计师事务所或审计机构审计的财务会计报表或近三个月内银行资信证明。</w:t>
            </w:r>
            <w:r>
              <w:rPr>
                <w:rFonts w:hAnsi="宋体"/>
                <w:szCs w:val="21"/>
              </w:rPr>
              <w:t xml:space="preserve"> </w:t>
            </w:r>
          </w:p>
        </w:tc>
        <w:tc>
          <w:tcPr>
            <w:tcW w:w="1946" w:type="dxa"/>
            <w:vAlign w:val="center"/>
          </w:tcPr>
          <w:p>
            <w:pPr>
              <w:snapToGrid w:val="0"/>
              <w:rPr>
                <w:szCs w:val="21"/>
              </w:rPr>
            </w:pPr>
            <w:r>
              <w:rPr>
                <w:rFonts w:hint="eastAsia" w:hAnsi="宋体"/>
                <w:szCs w:val="21"/>
              </w:rPr>
              <w:t>提供会计师行业统一监管平台赋验证码的审计报告扫描件</w:t>
            </w:r>
            <w:r>
              <w:rPr>
                <w:rFonts w:hint="eastAsia" w:ascii="宋体" w:hAnsi="宋体"/>
                <w:szCs w:val="21"/>
              </w:rPr>
              <w:t>盖企业CA电子印章</w:t>
            </w:r>
            <w:r>
              <w:rPr>
                <w:rFonts w:hint="eastAsia" w:hAnsi="宋体"/>
                <w:szCs w:val="21"/>
              </w:rPr>
              <w:t>；或提供银行资信证明扫描件</w:t>
            </w:r>
            <w:r>
              <w:rPr>
                <w:rFonts w:hint="eastAsia"/>
                <w:szCs w:val="21"/>
              </w:rPr>
              <w:t>盖企业CA电子印章。</w:t>
            </w:r>
          </w:p>
        </w:tc>
        <w:tc>
          <w:tcPr>
            <w:tcW w:w="1017" w:type="dxa"/>
          </w:tcPr>
          <w:p>
            <w:pPr>
              <w:snapToGrid w:val="0"/>
              <w:rPr>
                <w:rFonts w:hAnsi="宋体"/>
                <w:szCs w:val="21"/>
              </w:rPr>
            </w:pPr>
          </w:p>
        </w:tc>
        <w:tc>
          <w:tcPr>
            <w:tcW w:w="1017" w:type="dxa"/>
          </w:tcPr>
          <w:p>
            <w:pPr>
              <w:snapToGrid w:val="0"/>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779" w:type="dxa"/>
            <w:vAlign w:val="center"/>
          </w:tcPr>
          <w:p>
            <w:pPr>
              <w:snapToGrid w:val="0"/>
              <w:spacing w:line="400" w:lineRule="exact"/>
              <w:jc w:val="center"/>
              <w:rPr>
                <w:b/>
                <w:szCs w:val="21"/>
              </w:rPr>
            </w:pPr>
            <w:r>
              <w:rPr>
                <w:b/>
                <w:szCs w:val="21"/>
              </w:rPr>
              <w:t>5</w:t>
            </w:r>
          </w:p>
        </w:tc>
        <w:tc>
          <w:tcPr>
            <w:tcW w:w="1320" w:type="dxa"/>
            <w:vAlign w:val="center"/>
          </w:tcPr>
          <w:p>
            <w:pPr>
              <w:snapToGrid w:val="0"/>
              <w:rPr>
                <w:szCs w:val="21"/>
              </w:rPr>
            </w:pPr>
            <w:r>
              <w:rPr>
                <w:rFonts w:hint="eastAsia"/>
                <w:szCs w:val="21"/>
              </w:rPr>
              <w:t>生产经营状态</w:t>
            </w:r>
          </w:p>
        </w:tc>
        <w:tc>
          <w:tcPr>
            <w:tcW w:w="2668" w:type="dxa"/>
            <w:vAlign w:val="center"/>
          </w:tcPr>
          <w:p>
            <w:pPr>
              <w:snapToGrid w:val="0"/>
              <w:rPr>
                <w:szCs w:val="21"/>
              </w:rPr>
            </w:pPr>
            <w:r>
              <w:rPr>
                <w:rFonts w:hint="eastAsia" w:hAnsi="宋体"/>
                <w:szCs w:val="21"/>
              </w:rPr>
              <w:t>没有处于投标资格被取消，被责令停业，财产被接管、冻结，破产状态。</w:t>
            </w:r>
          </w:p>
        </w:tc>
        <w:tc>
          <w:tcPr>
            <w:tcW w:w="1946" w:type="dxa"/>
            <w:vAlign w:val="center"/>
          </w:tcPr>
          <w:p>
            <w:pPr>
              <w:snapToGrid w:val="0"/>
              <w:rPr>
                <w:szCs w:val="21"/>
              </w:rPr>
            </w:pPr>
            <w:r>
              <w:rPr>
                <w:rFonts w:hint="eastAsia" w:hAnsi="宋体"/>
                <w:szCs w:val="21"/>
              </w:rPr>
              <w:t>投标人出具加</w:t>
            </w:r>
            <w:r>
              <w:rPr>
                <w:rFonts w:hint="eastAsia" w:ascii="宋体" w:hAnsi="宋体"/>
                <w:szCs w:val="21"/>
              </w:rPr>
              <w:t>盖企业</w:t>
            </w:r>
            <w:r>
              <w:rPr>
                <w:rFonts w:ascii="宋体" w:hAnsi="宋体"/>
                <w:szCs w:val="21"/>
              </w:rPr>
              <w:t>CA</w:t>
            </w:r>
            <w:r>
              <w:rPr>
                <w:rFonts w:hint="eastAsia" w:ascii="宋体" w:hAnsi="宋体"/>
                <w:szCs w:val="21"/>
              </w:rPr>
              <w:t>电子印章</w:t>
            </w:r>
            <w:r>
              <w:rPr>
                <w:rFonts w:hint="eastAsia" w:hAnsi="宋体"/>
                <w:szCs w:val="21"/>
              </w:rPr>
              <w:t>和法定代表人个人</w:t>
            </w:r>
            <w:r>
              <w:rPr>
                <w:rFonts w:ascii="宋体" w:hAnsi="宋体"/>
                <w:szCs w:val="21"/>
              </w:rPr>
              <w:t>CA</w:t>
            </w:r>
            <w:r>
              <w:rPr>
                <w:rFonts w:hint="eastAsia" w:ascii="宋体" w:hAnsi="宋体"/>
                <w:szCs w:val="21"/>
              </w:rPr>
              <w:t>电子印章</w:t>
            </w:r>
            <w:r>
              <w:rPr>
                <w:rFonts w:hint="eastAsia" w:hAnsi="宋体"/>
                <w:szCs w:val="21"/>
              </w:rPr>
              <w:t>的承诺书或声明书。</w:t>
            </w:r>
          </w:p>
        </w:tc>
        <w:tc>
          <w:tcPr>
            <w:tcW w:w="1017" w:type="dxa"/>
          </w:tcPr>
          <w:p>
            <w:pPr>
              <w:snapToGrid w:val="0"/>
              <w:rPr>
                <w:rFonts w:hAnsi="宋体"/>
                <w:szCs w:val="21"/>
              </w:rPr>
            </w:pPr>
          </w:p>
        </w:tc>
        <w:tc>
          <w:tcPr>
            <w:tcW w:w="1017" w:type="dxa"/>
          </w:tcPr>
          <w:p>
            <w:pPr>
              <w:snapToGrid w:val="0"/>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79" w:type="dxa"/>
            <w:vAlign w:val="center"/>
          </w:tcPr>
          <w:p>
            <w:pPr>
              <w:snapToGrid w:val="0"/>
              <w:spacing w:line="400" w:lineRule="exact"/>
              <w:jc w:val="center"/>
              <w:rPr>
                <w:b/>
                <w:szCs w:val="21"/>
              </w:rPr>
            </w:pPr>
            <w:r>
              <w:rPr>
                <w:b/>
                <w:szCs w:val="21"/>
              </w:rPr>
              <w:t>6</w:t>
            </w:r>
          </w:p>
        </w:tc>
        <w:tc>
          <w:tcPr>
            <w:tcW w:w="1320" w:type="dxa"/>
            <w:vAlign w:val="center"/>
          </w:tcPr>
          <w:p>
            <w:pPr>
              <w:snapToGrid w:val="0"/>
              <w:rPr>
                <w:szCs w:val="21"/>
              </w:rPr>
            </w:pPr>
            <w:r>
              <w:rPr>
                <w:rFonts w:hint="eastAsia" w:hAnsi="宋体"/>
                <w:szCs w:val="21"/>
              </w:rPr>
              <w:t>履约历史</w:t>
            </w:r>
          </w:p>
        </w:tc>
        <w:tc>
          <w:tcPr>
            <w:tcW w:w="2668" w:type="dxa"/>
            <w:vAlign w:val="center"/>
          </w:tcPr>
          <w:p>
            <w:pPr>
              <w:snapToGrid w:val="0"/>
              <w:rPr>
                <w:szCs w:val="21"/>
              </w:rPr>
            </w:pPr>
            <w:r>
              <w:rPr>
                <w:rFonts w:hint="eastAsia" w:hAnsi="宋体"/>
                <w:szCs w:val="21"/>
              </w:rPr>
              <w:t>在近年内没有出现骗取中标、严重违约、重大工程质量、安全等问题。</w:t>
            </w:r>
          </w:p>
        </w:tc>
        <w:tc>
          <w:tcPr>
            <w:tcW w:w="1946" w:type="dxa"/>
            <w:vAlign w:val="center"/>
          </w:tcPr>
          <w:p>
            <w:pPr>
              <w:snapToGrid w:val="0"/>
              <w:rPr>
                <w:szCs w:val="21"/>
              </w:rPr>
            </w:pPr>
            <w:r>
              <w:rPr>
                <w:rFonts w:hint="eastAsia" w:hAnsi="宋体"/>
                <w:szCs w:val="21"/>
              </w:rPr>
              <w:t>投标人出具加</w:t>
            </w:r>
            <w:r>
              <w:rPr>
                <w:rFonts w:hint="eastAsia" w:ascii="宋体" w:hAnsi="宋体"/>
                <w:szCs w:val="21"/>
              </w:rPr>
              <w:t>盖企业</w:t>
            </w:r>
            <w:r>
              <w:rPr>
                <w:rFonts w:ascii="宋体" w:hAnsi="宋体"/>
                <w:szCs w:val="21"/>
              </w:rPr>
              <w:t>CA</w:t>
            </w:r>
            <w:r>
              <w:rPr>
                <w:rFonts w:hint="eastAsia" w:ascii="宋体" w:hAnsi="宋体"/>
                <w:szCs w:val="21"/>
              </w:rPr>
              <w:t>电子印章</w:t>
            </w:r>
            <w:r>
              <w:rPr>
                <w:rFonts w:hint="eastAsia" w:hAnsi="宋体"/>
                <w:szCs w:val="21"/>
              </w:rPr>
              <w:t>和法定代表人个人</w:t>
            </w:r>
            <w:r>
              <w:rPr>
                <w:rFonts w:ascii="宋体" w:hAnsi="宋体"/>
                <w:szCs w:val="21"/>
              </w:rPr>
              <w:t>CA</w:t>
            </w:r>
            <w:r>
              <w:rPr>
                <w:rFonts w:hint="eastAsia" w:ascii="宋体" w:hAnsi="宋体"/>
                <w:szCs w:val="21"/>
              </w:rPr>
              <w:t>电子印章</w:t>
            </w:r>
            <w:r>
              <w:rPr>
                <w:rFonts w:hint="eastAsia" w:hAnsi="宋体"/>
                <w:szCs w:val="21"/>
              </w:rPr>
              <w:t>的承诺书或声明书。</w:t>
            </w:r>
          </w:p>
        </w:tc>
        <w:tc>
          <w:tcPr>
            <w:tcW w:w="1017" w:type="dxa"/>
          </w:tcPr>
          <w:p>
            <w:pPr>
              <w:snapToGrid w:val="0"/>
              <w:rPr>
                <w:rFonts w:hAnsi="宋体"/>
                <w:szCs w:val="21"/>
              </w:rPr>
            </w:pPr>
          </w:p>
        </w:tc>
        <w:tc>
          <w:tcPr>
            <w:tcW w:w="1017" w:type="dxa"/>
          </w:tcPr>
          <w:p>
            <w:pPr>
              <w:snapToGrid w:val="0"/>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79" w:type="dxa"/>
            <w:vAlign w:val="center"/>
          </w:tcPr>
          <w:p>
            <w:pPr>
              <w:snapToGrid w:val="0"/>
              <w:spacing w:line="400" w:lineRule="exact"/>
              <w:ind w:firstLine="206" w:firstLineChars="98"/>
              <w:rPr>
                <w:b/>
                <w:szCs w:val="21"/>
              </w:rPr>
            </w:pPr>
            <w:r>
              <w:rPr>
                <w:b/>
                <w:szCs w:val="21"/>
              </w:rPr>
              <w:t>7</w:t>
            </w:r>
          </w:p>
        </w:tc>
        <w:tc>
          <w:tcPr>
            <w:tcW w:w="1320" w:type="dxa"/>
            <w:vAlign w:val="center"/>
          </w:tcPr>
          <w:p>
            <w:pPr>
              <w:snapToGrid w:val="0"/>
              <w:rPr>
                <w:rFonts w:hAnsi="宋体"/>
                <w:szCs w:val="21"/>
              </w:rPr>
            </w:pPr>
            <w:r>
              <w:rPr>
                <w:rFonts w:hint="eastAsia" w:hAnsi="宋体"/>
                <w:szCs w:val="21"/>
              </w:rPr>
              <w:t>安全生产承诺</w:t>
            </w:r>
          </w:p>
        </w:tc>
        <w:tc>
          <w:tcPr>
            <w:tcW w:w="2668" w:type="dxa"/>
            <w:vAlign w:val="center"/>
          </w:tcPr>
          <w:p>
            <w:pPr>
              <w:snapToGrid w:val="0"/>
              <w:rPr>
                <w:rFonts w:hAnsi="宋体"/>
                <w:szCs w:val="21"/>
              </w:rPr>
            </w:pPr>
            <w:r>
              <w:rPr>
                <w:rFonts w:hint="eastAsia" w:hAnsi="宋体"/>
                <w:szCs w:val="21"/>
              </w:rPr>
              <w:t>有针对本项目施工过程中的安全生产承诺。</w:t>
            </w:r>
          </w:p>
        </w:tc>
        <w:tc>
          <w:tcPr>
            <w:tcW w:w="1946" w:type="dxa"/>
            <w:vAlign w:val="center"/>
          </w:tcPr>
          <w:p>
            <w:pPr>
              <w:snapToGrid w:val="0"/>
              <w:rPr>
                <w:rFonts w:hAnsi="宋体"/>
                <w:szCs w:val="21"/>
              </w:rPr>
            </w:pPr>
            <w:r>
              <w:rPr>
                <w:rFonts w:hint="eastAsia" w:hAnsi="宋体"/>
                <w:szCs w:val="21"/>
              </w:rPr>
              <w:t>投标人出具加</w:t>
            </w:r>
            <w:r>
              <w:rPr>
                <w:rFonts w:hint="eastAsia" w:ascii="宋体" w:hAnsi="宋体"/>
                <w:szCs w:val="21"/>
              </w:rPr>
              <w:t>盖企业</w:t>
            </w:r>
            <w:r>
              <w:rPr>
                <w:rFonts w:ascii="宋体" w:hAnsi="宋体"/>
                <w:szCs w:val="21"/>
              </w:rPr>
              <w:t>CA</w:t>
            </w:r>
            <w:r>
              <w:rPr>
                <w:rFonts w:hint="eastAsia" w:ascii="宋体" w:hAnsi="宋体"/>
                <w:szCs w:val="21"/>
              </w:rPr>
              <w:t>电子印章</w:t>
            </w:r>
            <w:r>
              <w:rPr>
                <w:rFonts w:hint="eastAsia" w:hAnsi="宋体"/>
                <w:szCs w:val="21"/>
              </w:rPr>
              <w:t>和法定代表人个人</w:t>
            </w:r>
            <w:r>
              <w:rPr>
                <w:rFonts w:ascii="宋体" w:hAnsi="宋体"/>
                <w:szCs w:val="21"/>
              </w:rPr>
              <w:t>CA</w:t>
            </w:r>
            <w:r>
              <w:rPr>
                <w:rFonts w:hint="eastAsia" w:ascii="宋体" w:hAnsi="宋体"/>
                <w:szCs w:val="21"/>
              </w:rPr>
              <w:t>电子印章</w:t>
            </w:r>
            <w:r>
              <w:rPr>
                <w:rFonts w:hint="eastAsia" w:hAnsi="宋体"/>
                <w:szCs w:val="21"/>
              </w:rPr>
              <w:t>的承诺书。</w:t>
            </w:r>
          </w:p>
        </w:tc>
        <w:tc>
          <w:tcPr>
            <w:tcW w:w="1017" w:type="dxa"/>
          </w:tcPr>
          <w:p>
            <w:pPr>
              <w:snapToGrid w:val="0"/>
              <w:rPr>
                <w:rFonts w:hAnsi="宋体"/>
                <w:szCs w:val="21"/>
              </w:rPr>
            </w:pPr>
          </w:p>
        </w:tc>
        <w:tc>
          <w:tcPr>
            <w:tcW w:w="1017" w:type="dxa"/>
          </w:tcPr>
          <w:p>
            <w:pPr>
              <w:snapToGrid w:val="0"/>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779" w:type="dxa"/>
            <w:vAlign w:val="center"/>
          </w:tcPr>
          <w:p>
            <w:pPr>
              <w:snapToGrid w:val="0"/>
              <w:spacing w:line="400" w:lineRule="exact"/>
              <w:ind w:firstLine="206" w:firstLineChars="98"/>
              <w:rPr>
                <w:b/>
                <w:szCs w:val="21"/>
              </w:rPr>
            </w:pPr>
            <w:r>
              <w:rPr>
                <w:b/>
                <w:szCs w:val="21"/>
              </w:rPr>
              <w:t>8</w:t>
            </w:r>
          </w:p>
        </w:tc>
        <w:tc>
          <w:tcPr>
            <w:tcW w:w="1320" w:type="dxa"/>
            <w:vAlign w:val="center"/>
          </w:tcPr>
          <w:p>
            <w:pPr>
              <w:snapToGrid w:val="0"/>
              <w:rPr>
                <w:rFonts w:hAnsi="宋体"/>
                <w:szCs w:val="21"/>
              </w:rPr>
            </w:pPr>
            <w:r>
              <w:rPr>
                <w:rFonts w:hint="eastAsia" w:hAnsi="宋体"/>
                <w:szCs w:val="21"/>
              </w:rPr>
              <w:t>信誉要求</w:t>
            </w:r>
          </w:p>
        </w:tc>
        <w:tc>
          <w:tcPr>
            <w:tcW w:w="2668" w:type="dxa"/>
            <w:vAlign w:val="center"/>
          </w:tcPr>
          <w:p>
            <w:pPr>
              <w:snapToGrid w:val="0"/>
              <w:rPr>
                <w:rFonts w:hAnsi="宋体"/>
                <w:szCs w:val="21"/>
              </w:rPr>
            </w:pPr>
            <w:r>
              <w:rPr>
                <w:rFonts w:hint="eastAsia" w:hAnsi="宋体"/>
                <w:szCs w:val="21"/>
              </w:rPr>
              <w:t>投标人须提供“信用中国”网站 “严重失信主体名单查询”内容，本市企业也可提供“信用中国（北京）”网站或“京通”小程序或市区两级政务服务大厅获取的专用信用报告。</w:t>
            </w:r>
          </w:p>
        </w:tc>
        <w:tc>
          <w:tcPr>
            <w:tcW w:w="1946" w:type="dxa"/>
          </w:tcPr>
          <w:p>
            <w:pPr>
              <w:snapToGrid w:val="0"/>
              <w:rPr>
                <w:rFonts w:hAnsi="宋体"/>
                <w:szCs w:val="21"/>
              </w:rPr>
            </w:pPr>
            <w:r>
              <w:rPr>
                <w:rFonts w:hint="eastAsia" w:hAnsi="宋体"/>
                <w:szCs w:val="21"/>
              </w:rPr>
              <w:t>提交“信用中国”网站“严重失信主体名单查询”截图，盖企业CA电子印章；本市企业也可提交信用报告扫描件，</w:t>
            </w:r>
            <w:r>
              <w:rPr>
                <w:rFonts w:hint="eastAsia" w:ascii="宋体" w:hAnsi="宋体"/>
                <w:szCs w:val="21"/>
              </w:rPr>
              <w:t>盖企业CA电子印章</w:t>
            </w:r>
            <w:r>
              <w:rPr>
                <w:rFonts w:hint="eastAsia" w:hAnsi="宋体"/>
                <w:szCs w:val="21"/>
              </w:rPr>
              <w:t>。</w:t>
            </w:r>
          </w:p>
        </w:tc>
        <w:tc>
          <w:tcPr>
            <w:tcW w:w="1017" w:type="dxa"/>
            <w:vAlign w:val="center"/>
          </w:tcPr>
          <w:p>
            <w:pPr>
              <w:snapToGrid w:val="0"/>
              <w:spacing w:line="400" w:lineRule="exact"/>
              <w:ind w:firstLine="206" w:firstLineChars="98"/>
              <w:rPr>
                <w:b/>
                <w:szCs w:val="21"/>
              </w:rPr>
            </w:pPr>
          </w:p>
        </w:tc>
        <w:tc>
          <w:tcPr>
            <w:tcW w:w="1017" w:type="dxa"/>
            <w:vAlign w:val="center"/>
          </w:tcPr>
          <w:p>
            <w:pPr>
              <w:snapToGrid w:val="0"/>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779" w:type="dxa"/>
            <w:vAlign w:val="center"/>
          </w:tcPr>
          <w:p>
            <w:pPr>
              <w:snapToGrid w:val="0"/>
              <w:spacing w:line="400" w:lineRule="exact"/>
              <w:ind w:firstLine="206" w:firstLineChars="98"/>
              <w:rPr>
                <w:b/>
                <w:szCs w:val="21"/>
              </w:rPr>
            </w:pPr>
            <w:r>
              <w:rPr>
                <w:b/>
                <w:szCs w:val="21"/>
              </w:rPr>
              <w:t>9</w:t>
            </w:r>
          </w:p>
        </w:tc>
        <w:tc>
          <w:tcPr>
            <w:tcW w:w="1320" w:type="dxa"/>
            <w:vAlign w:val="center"/>
          </w:tcPr>
          <w:p>
            <w:pPr>
              <w:jc w:val="left"/>
              <w:rPr>
                <w:rFonts w:hAnsi="宋体"/>
                <w:szCs w:val="21"/>
              </w:rPr>
            </w:pPr>
            <w:r>
              <w:rPr>
                <w:rFonts w:hint="eastAsia" w:hAnsi="宋体"/>
                <w:szCs w:val="21"/>
              </w:rPr>
              <w:t>环境保护</w:t>
            </w:r>
          </w:p>
        </w:tc>
        <w:tc>
          <w:tcPr>
            <w:tcW w:w="2668" w:type="dxa"/>
            <w:vAlign w:val="center"/>
          </w:tcPr>
          <w:p>
            <w:pPr>
              <w:jc w:val="left"/>
              <w:rPr>
                <w:rFonts w:hAnsi="宋体"/>
                <w:szCs w:val="21"/>
              </w:rPr>
            </w:pPr>
            <w:r>
              <w:rPr>
                <w:rFonts w:hint="eastAsia" w:hAnsi="宋体"/>
                <w:szCs w:val="21"/>
              </w:rPr>
              <w:t>投标人应承诺施工过程中在禁用区内不使用高排放非道路移动机械、严格遵守施工工地扬尘控制、施工企业渣土运输车辆管理、园林绿化废弃物禁烧的管控措施。</w:t>
            </w:r>
          </w:p>
        </w:tc>
        <w:tc>
          <w:tcPr>
            <w:tcW w:w="1946" w:type="dxa"/>
          </w:tcPr>
          <w:p>
            <w:pPr>
              <w:rPr>
                <w:rFonts w:hAnsi="宋体"/>
                <w:szCs w:val="21"/>
              </w:rPr>
            </w:pPr>
            <w:r>
              <w:rPr>
                <w:rFonts w:hint="eastAsia" w:hAnsi="宋体"/>
                <w:szCs w:val="21"/>
              </w:rPr>
              <w:t>投标人出具加</w:t>
            </w:r>
            <w:r>
              <w:rPr>
                <w:rFonts w:hint="eastAsia" w:ascii="宋体" w:hAnsi="宋体"/>
                <w:szCs w:val="21"/>
              </w:rPr>
              <w:t>盖企业</w:t>
            </w:r>
            <w:r>
              <w:rPr>
                <w:rFonts w:ascii="宋体" w:hAnsi="宋体"/>
                <w:szCs w:val="21"/>
              </w:rPr>
              <w:t>CA</w:t>
            </w:r>
            <w:r>
              <w:rPr>
                <w:rFonts w:hint="eastAsia" w:ascii="宋体" w:hAnsi="宋体"/>
                <w:szCs w:val="21"/>
              </w:rPr>
              <w:t>电子印章</w:t>
            </w:r>
            <w:r>
              <w:rPr>
                <w:rFonts w:hint="eastAsia" w:hAnsi="宋体"/>
                <w:szCs w:val="21"/>
              </w:rPr>
              <w:t>和法定代表人个人</w:t>
            </w:r>
            <w:r>
              <w:rPr>
                <w:rFonts w:ascii="宋体" w:hAnsi="宋体"/>
                <w:szCs w:val="21"/>
              </w:rPr>
              <w:t>CA</w:t>
            </w:r>
            <w:r>
              <w:rPr>
                <w:rFonts w:hint="eastAsia" w:ascii="宋体" w:hAnsi="宋体"/>
                <w:szCs w:val="21"/>
              </w:rPr>
              <w:t>电子印章</w:t>
            </w:r>
            <w:r>
              <w:rPr>
                <w:rFonts w:hint="eastAsia" w:hAnsi="宋体"/>
                <w:szCs w:val="21"/>
              </w:rPr>
              <w:t>的承诺书。</w:t>
            </w:r>
          </w:p>
        </w:tc>
        <w:tc>
          <w:tcPr>
            <w:tcW w:w="1017" w:type="dxa"/>
          </w:tcPr>
          <w:p>
            <w:pPr>
              <w:rPr>
                <w:rFonts w:hAnsi="宋体"/>
                <w:szCs w:val="21"/>
              </w:rPr>
            </w:pPr>
          </w:p>
        </w:tc>
        <w:tc>
          <w:tcPr>
            <w:tcW w:w="1017" w:type="dxa"/>
          </w:tcPr>
          <w:p>
            <w:pP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79" w:type="dxa"/>
            <w:vAlign w:val="center"/>
          </w:tcPr>
          <w:p>
            <w:pPr>
              <w:snapToGrid w:val="0"/>
              <w:spacing w:line="400" w:lineRule="exact"/>
              <w:ind w:firstLine="210" w:firstLineChars="100"/>
              <w:rPr>
                <w:b/>
                <w:szCs w:val="21"/>
              </w:rPr>
            </w:pPr>
            <w:r>
              <w:rPr>
                <w:b/>
                <w:szCs w:val="21"/>
              </w:rPr>
              <w:t>1</w:t>
            </w:r>
            <w:r>
              <w:rPr>
                <w:rFonts w:hint="eastAsia"/>
                <w:b/>
                <w:szCs w:val="21"/>
              </w:rPr>
              <w:t>0</w:t>
            </w:r>
          </w:p>
        </w:tc>
        <w:tc>
          <w:tcPr>
            <w:tcW w:w="1320" w:type="dxa"/>
            <w:vAlign w:val="center"/>
          </w:tcPr>
          <w:p>
            <w:pPr>
              <w:snapToGrid w:val="0"/>
              <w:rPr>
                <w:rFonts w:hAnsi="宋体"/>
                <w:szCs w:val="21"/>
              </w:rPr>
            </w:pPr>
            <w:r>
              <w:rPr>
                <w:rFonts w:hint="eastAsia" w:hAnsi="宋体"/>
                <w:szCs w:val="21"/>
              </w:rPr>
              <w:t>……</w:t>
            </w:r>
          </w:p>
        </w:tc>
        <w:tc>
          <w:tcPr>
            <w:tcW w:w="2668" w:type="dxa"/>
            <w:vAlign w:val="center"/>
          </w:tcPr>
          <w:p>
            <w:pPr>
              <w:snapToGrid w:val="0"/>
              <w:rPr>
                <w:rFonts w:hAnsi="宋体"/>
                <w:szCs w:val="21"/>
              </w:rPr>
            </w:pPr>
            <w:r>
              <w:rPr>
                <w:rFonts w:hint="eastAsia" w:hAnsi="宋体"/>
                <w:szCs w:val="21"/>
              </w:rPr>
              <w:t>……</w:t>
            </w:r>
          </w:p>
        </w:tc>
        <w:tc>
          <w:tcPr>
            <w:tcW w:w="1946" w:type="dxa"/>
            <w:vAlign w:val="center"/>
          </w:tcPr>
          <w:p>
            <w:pPr>
              <w:snapToGrid w:val="0"/>
              <w:rPr>
                <w:rFonts w:hAnsi="宋体"/>
                <w:szCs w:val="21"/>
              </w:rPr>
            </w:pPr>
            <w:r>
              <w:rPr>
                <w:rFonts w:hint="eastAsia" w:hAnsi="宋体"/>
                <w:szCs w:val="21"/>
              </w:rPr>
              <w:t>……</w:t>
            </w:r>
          </w:p>
        </w:tc>
        <w:tc>
          <w:tcPr>
            <w:tcW w:w="1017" w:type="dxa"/>
          </w:tcPr>
          <w:p>
            <w:pPr>
              <w:snapToGrid w:val="0"/>
              <w:rPr>
                <w:rFonts w:hAnsi="宋体"/>
                <w:szCs w:val="21"/>
              </w:rPr>
            </w:pPr>
          </w:p>
        </w:tc>
        <w:tc>
          <w:tcPr>
            <w:tcW w:w="1017" w:type="dxa"/>
          </w:tcPr>
          <w:p>
            <w:pPr>
              <w:snapToGrid w:val="0"/>
              <w:rPr>
                <w:rFonts w:hAnsi="宋体"/>
                <w:szCs w:val="21"/>
              </w:rPr>
            </w:pPr>
          </w:p>
        </w:tc>
      </w:tr>
    </w:tbl>
    <w:p>
      <w:pPr>
        <w:jc w:val="left"/>
        <w:rPr>
          <w:szCs w:val="21"/>
        </w:rPr>
      </w:pPr>
      <w:r>
        <w:rPr>
          <w:rFonts w:hint="eastAsia"/>
          <w:szCs w:val="21"/>
        </w:rPr>
        <w:t>评标委员会</w:t>
      </w:r>
      <w:r>
        <w:rPr>
          <w:rFonts w:hint="eastAsia" w:ascii="宋体" w:hAnsi="宋体" w:cs="Arial"/>
          <w:szCs w:val="21"/>
        </w:rPr>
        <w:t>全体成员</w:t>
      </w:r>
      <w:r>
        <w:rPr>
          <w:rFonts w:hint="eastAsia"/>
          <w:szCs w:val="21"/>
          <w:u w:val="single"/>
        </w:rPr>
        <w:t>（手写签名）</w:t>
      </w:r>
      <w:r>
        <w:rPr>
          <w:szCs w:val="21"/>
          <w:u w:val="single"/>
        </w:rPr>
        <w:t xml:space="preserve">      </w:t>
      </w:r>
      <w:r>
        <w:rPr>
          <w:rFonts w:ascii="宋体" w:hAnsi="宋体" w:cs="Arial"/>
          <w:sz w:val="24"/>
          <w:u w:val="single"/>
        </w:rPr>
        <w:t xml:space="preserve"> </w:t>
      </w:r>
    </w:p>
    <w:p>
      <w:pPr>
        <w:rPr>
          <w:sz w:val="24"/>
        </w:rPr>
      </w:pPr>
      <w:r>
        <w:rPr>
          <w:sz w:val="24"/>
        </w:rPr>
        <w:t xml:space="preserve">                              </w:t>
      </w:r>
    </w:p>
    <w:p>
      <w:pPr>
        <w:rPr>
          <w:sz w:val="24"/>
        </w:rPr>
      </w:pPr>
    </w:p>
    <w:p>
      <w:pPr>
        <w:jc w:val="right"/>
        <w:rPr>
          <w:sz w:val="24"/>
        </w:rPr>
      </w:pPr>
    </w:p>
    <w:p>
      <w:pPr>
        <w:jc w:val="right"/>
        <w:rPr>
          <w:szCs w:val="21"/>
        </w:rPr>
      </w:pPr>
      <w:r>
        <w:rPr>
          <w:rFonts w:hint="eastAsia"/>
          <w:szCs w:val="21"/>
        </w:rPr>
        <w:t>日期：</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pPr>
        <w:jc w:val="right"/>
      </w:pPr>
    </w:p>
    <w:p>
      <w:pPr>
        <w:rPr>
          <w:szCs w:val="21"/>
        </w:rPr>
        <w:sectPr>
          <w:pgSz w:w="11906" w:h="16838"/>
          <w:pgMar w:top="1418" w:right="1644" w:bottom="1361" w:left="1644" w:header="851" w:footer="992" w:gutter="0"/>
          <w:cols w:space="425" w:num="1"/>
          <w:docGrid w:linePitch="312" w:charSpace="0"/>
        </w:sectPr>
      </w:pPr>
    </w:p>
    <w:p>
      <w:pPr>
        <w:pStyle w:val="5"/>
        <w:tabs>
          <w:tab w:val="left" w:pos="0"/>
        </w:tabs>
        <w:jc w:val="both"/>
        <w:rPr>
          <w:rFonts w:ascii="宋体"/>
          <w:sz w:val="28"/>
          <w:szCs w:val="24"/>
        </w:rPr>
      </w:pPr>
      <w:bookmarkStart w:id="191" w:name="_Toc368157339"/>
      <w:bookmarkStart w:id="192" w:name="_Toc470011320"/>
      <w:bookmarkStart w:id="193" w:name="_Toc455409842"/>
      <w:r>
        <w:rPr>
          <w:rFonts w:hint="eastAsia" w:ascii="宋体" w:hAnsi="宋体"/>
          <w:sz w:val="28"/>
          <w:szCs w:val="24"/>
        </w:rPr>
        <w:t>附表</w:t>
      </w:r>
      <w:r>
        <w:rPr>
          <w:rFonts w:ascii="宋体" w:hAnsi="宋体"/>
          <w:sz w:val="28"/>
          <w:szCs w:val="24"/>
        </w:rPr>
        <w:t>-5</w:t>
      </w:r>
      <w:r>
        <w:rPr>
          <w:rFonts w:hint="eastAsia" w:ascii="宋体" w:hAnsi="宋体"/>
          <w:sz w:val="28"/>
          <w:szCs w:val="24"/>
        </w:rPr>
        <w:t>：</w:t>
      </w:r>
      <w:bookmarkEnd w:id="191"/>
      <w:r>
        <w:rPr>
          <w:rFonts w:hint="eastAsia" w:ascii="宋体" w:hAnsi="宋体"/>
          <w:sz w:val="28"/>
          <w:szCs w:val="24"/>
        </w:rPr>
        <w:t>响应性评审</w:t>
      </w:r>
      <w:bookmarkEnd w:id="192"/>
      <w:bookmarkEnd w:id="193"/>
      <w:r>
        <w:rPr>
          <w:rFonts w:hint="eastAsia" w:ascii="宋体" w:hAnsi="宋体"/>
          <w:sz w:val="28"/>
          <w:szCs w:val="24"/>
        </w:rPr>
        <w:t>记录表</w:t>
      </w:r>
    </w:p>
    <w:p>
      <w:pPr>
        <w:tabs>
          <w:tab w:val="left" w:pos="4680"/>
        </w:tabs>
        <w:spacing w:after="120" w:afterLines="50" w:line="300" w:lineRule="auto"/>
        <w:jc w:val="center"/>
        <w:rPr>
          <w:rFonts w:ascii="黑体" w:hAnsi="黑体" w:eastAsia="黑体"/>
          <w:bCs/>
          <w:sz w:val="28"/>
          <w:szCs w:val="28"/>
        </w:rPr>
      </w:pPr>
      <w:r>
        <w:rPr>
          <w:rFonts w:hint="eastAsia" w:ascii="黑体" w:hAnsi="黑体" w:eastAsia="黑体"/>
          <w:bCs/>
          <w:sz w:val="28"/>
          <w:szCs w:val="28"/>
        </w:rPr>
        <w:t>响应性评审记录表</w:t>
      </w:r>
    </w:p>
    <w:p>
      <w:pPr>
        <w:tabs>
          <w:tab w:val="left" w:pos="4680"/>
        </w:tabs>
        <w:spacing w:after="120" w:afterLines="50" w:line="300" w:lineRule="auto"/>
        <w:rPr>
          <w:bCs/>
          <w:szCs w:val="21"/>
        </w:rPr>
      </w:pPr>
      <w:r>
        <w:rPr>
          <w:rFonts w:hint="eastAsia" w:hAnsi="宋体"/>
          <w:bCs/>
          <w:szCs w:val="21"/>
        </w:rPr>
        <w:t>工程名称：</w:t>
      </w:r>
      <w:r>
        <w:rPr>
          <w:bCs/>
          <w:szCs w:val="21"/>
          <w:u w:val="single"/>
        </w:rPr>
        <w:t xml:space="preserve">                  </w:t>
      </w:r>
    </w:p>
    <w:tbl>
      <w:tblPr>
        <w:tblStyle w:val="49"/>
        <w:tblW w:w="1393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2410"/>
        <w:gridCol w:w="2212"/>
        <w:gridCol w:w="1209"/>
        <w:gridCol w:w="1208"/>
        <w:gridCol w:w="1209"/>
        <w:gridCol w:w="1209"/>
        <w:gridCol w:w="1211"/>
        <w:gridCol w:w="1210"/>
        <w:gridCol w:w="12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blHeader/>
        </w:trPr>
        <w:tc>
          <w:tcPr>
            <w:tcW w:w="851" w:type="dxa"/>
            <w:vMerge w:val="restart"/>
            <w:tcBorders>
              <w:top w:val="single" w:color="auto" w:sz="4" w:space="0"/>
              <w:right w:val="single" w:color="auto" w:sz="4" w:space="0"/>
            </w:tcBorders>
            <w:vAlign w:val="center"/>
          </w:tcPr>
          <w:p>
            <w:pPr>
              <w:spacing w:before="60" w:beforeLines="25" w:after="60" w:afterLines="25"/>
              <w:jc w:val="center"/>
              <w:rPr>
                <w:szCs w:val="21"/>
              </w:rPr>
            </w:pPr>
            <w:r>
              <w:rPr>
                <w:rFonts w:hint="eastAsia" w:hAnsi="宋体"/>
                <w:szCs w:val="21"/>
              </w:rPr>
              <w:t>序号</w:t>
            </w:r>
          </w:p>
        </w:tc>
        <w:tc>
          <w:tcPr>
            <w:tcW w:w="2410" w:type="dxa"/>
            <w:vMerge w:val="restart"/>
            <w:tcBorders>
              <w:top w:val="single" w:color="auto" w:sz="4" w:space="0"/>
              <w:left w:val="single" w:color="auto" w:sz="4" w:space="0"/>
              <w:right w:val="single" w:color="auto" w:sz="4" w:space="0"/>
            </w:tcBorders>
            <w:vAlign w:val="center"/>
          </w:tcPr>
          <w:p>
            <w:pPr>
              <w:spacing w:before="60" w:beforeLines="25" w:after="60" w:afterLines="25"/>
              <w:jc w:val="center"/>
              <w:rPr>
                <w:szCs w:val="21"/>
              </w:rPr>
            </w:pPr>
            <w:r>
              <w:rPr>
                <w:rFonts w:hint="eastAsia" w:hAnsi="宋体"/>
                <w:szCs w:val="21"/>
              </w:rPr>
              <w:t>评审因素</w:t>
            </w:r>
          </w:p>
        </w:tc>
        <w:tc>
          <w:tcPr>
            <w:tcW w:w="2212" w:type="dxa"/>
            <w:vMerge w:val="restart"/>
            <w:tcBorders>
              <w:top w:val="single" w:color="auto" w:sz="4" w:space="0"/>
              <w:left w:val="single" w:color="auto" w:sz="4" w:space="0"/>
            </w:tcBorders>
            <w:vAlign w:val="center"/>
          </w:tcPr>
          <w:p>
            <w:pPr>
              <w:widowControl/>
              <w:jc w:val="center"/>
              <w:rPr>
                <w:szCs w:val="21"/>
              </w:rPr>
            </w:pPr>
            <w:r>
              <w:rPr>
                <w:rFonts w:hint="eastAsia" w:hAnsi="宋体"/>
                <w:szCs w:val="21"/>
              </w:rPr>
              <w:t>评审标准</w:t>
            </w:r>
          </w:p>
        </w:tc>
        <w:tc>
          <w:tcPr>
            <w:tcW w:w="8465" w:type="dxa"/>
            <w:gridSpan w:val="7"/>
            <w:tcBorders>
              <w:top w:val="single" w:color="auto" w:sz="4" w:space="0"/>
              <w:left w:val="single" w:color="auto" w:sz="4" w:space="0"/>
              <w:bottom w:val="single" w:color="auto" w:sz="4" w:space="0"/>
            </w:tcBorders>
            <w:vAlign w:val="center"/>
          </w:tcPr>
          <w:p>
            <w:pPr>
              <w:widowControl/>
              <w:jc w:val="center"/>
              <w:rPr>
                <w:szCs w:val="21"/>
              </w:rPr>
            </w:pPr>
            <w:r>
              <w:rPr>
                <w:rFonts w:hint="eastAsia" w:hAnsi="宋体"/>
                <w:szCs w:val="21"/>
              </w:rPr>
              <w:t>投标人名称及评审意见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2" w:hRule="atLeast"/>
          <w:tblHeader/>
        </w:trPr>
        <w:tc>
          <w:tcPr>
            <w:tcW w:w="851" w:type="dxa"/>
            <w:vMerge w:val="continue"/>
            <w:tcBorders>
              <w:bottom w:val="single" w:color="auto" w:sz="4" w:space="0"/>
              <w:right w:val="single" w:color="auto" w:sz="4" w:space="0"/>
            </w:tcBorders>
            <w:vAlign w:val="center"/>
          </w:tcPr>
          <w:p>
            <w:pPr>
              <w:spacing w:before="60" w:beforeLines="25" w:after="60" w:afterLines="25"/>
              <w:jc w:val="center"/>
              <w:rPr>
                <w:szCs w:val="21"/>
              </w:rPr>
            </w:pPr>
          </w:p>
        </w:tc>
        <w:tc>
          <w:tcPr>
            <w:tcW w:w="2410" w:type="dxa"/>
            <w:vMerge w:val="continue"/>
            <w:tcBorders>
              <w:left w:val="single" w:color="auto" w:sz="4" w:space="0"/>
              <w:bottom w:val="single" w:color="auto" w:sz="4" w:space="0"/>
              <w:right w:val="single" w:color="auto" w:sz="4" w:space="0"/>
            </w:tcBorders>
            <w:vAlign w:val="center"/>
          </w:tcPr>
          <w:p>
            <w:pPr>
              <w:spacing w:before="60" w:beforeLines="25" w:after="60" w:afterLines="25"/>
              <w:jc w:val="center"/>
              <w:rPr>
                <w:szCs w:val="21"/>
              </w:rPr>
            </w:pPr>
          </w:p>
        </w:tc>
        <w:tc>
          <w:tcPr>
            <w:tcW w:w="2212" w:type="dxa"/>
            <w:vMerge w:val="continue"/>
            <w:tcBorders>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09" w:type="dxa"/>
            <w:tcBorders>
              <w:top w:val="nil"/>
              <w:left w:val="single" w:color="auto" w:sz="4" w:space="0"/>
              <w:bottom w:val="single" w:color="auto" w:sz="4" w:space="0"/>
            </w:tcBorders>
            <w:vAlign w:val="center"/>
          </w:tcPr>
          <w:p>
            <w:pPr>
              <w:spacing w:before="60" w:beforeLines="25" w:after="60" w:afterLines="25"/>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51" w:type="dxa"/>
            <w:tcBorders>
              <w:top w:val="single" w:color="auto" w:sz="4" w:space="0"/>
              <w:bottom w:val="single" w:color="auto" w:sz="4" w:space="0"/>
              <w:right w:val="single" w:color="auto" w:sz="4" w:space="0"/>
            </w:tcBorders>
            <w:vAlign w:val="center"/>
          </w:tcPr>
          <w:p>
            <w:pPr>
              <w:spacing w:before="60" w:beforeLines="25" w:after="60" w:afterLines="25"/>
              <w:jc w:val="center"/>
              <w:rPr>
                <w:szCs w:val="21"/>
              </w:rPr>
            </w:pPr>
            <w:r>
              <w:rPr>
                <w:szCs w:val="21"/>
              </w:rPr>
              <w:t>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rPr>
            </w:pPr>
            <w:r>
              <w:rPr>
                <w:rFonts w:hint="eastAsia" w:hAnsi="宋体"/>
                <w:szCs w:val="21"/>
              </w:rPr>
              <w:t>投标内容</w:t>
            </w:r>
          </w:p>
        </w:tc>
        <w:tc>
          <w:tcPr>
            <w:tcW w:w="22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r>
              <w:rPr>
                <w:rFonts w:hint="eastAsia" w:hAnsi="宋体"/>
                <w:szCs w:val="21"/>
              </w:rPr>
              <w:t>符合第二章“投标人须知”第</w:t>
            </w:r>
            <w:r>
              <w:rPr>
                <w:szCs w:val="21"/>
              </w:rPr>
              <w:t>1.3.1</w:t>
            </w:r>
            <w:r>
              <w:rPr>
                <w:rFonts w:hint="eastAsia" w:hAnsi="宋体"/>
                <w:szCs w:val="21"/>
              </w:rPr>
              <w:t>项规定</w:t>
            </w:r>
          </w:p>
        </w:tc>
        <w:tc>
          <w:tcPr>
            <w:tcW w:w="1209"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09" w:type="dxa"/>
            <w:tcBorders>
              <w:top w:val="single" w:color="auto" w:sz="4" w:space="0"/>
              <w:left w:val="single" w:color="auto" w:sz="4" w:space="0"/>
              <w:bottom w:val="single" w:color="auto" w:sz="4" w:space="0"/>
            </w:tcBorders>
            <w:vAlign w:val="center"/>
          </w:tcPr>
          <w:p>
            <w:pPr>
              <w:spacing w:before="60" w:beforeLines="25" w:after="60" w:afterLines="25"/>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51" w:type="dxa"/>
            <w:tcBorders>
              <w:top w:val="single" w:color="auto" w:sz="4" w:space="0"/>
              <w:bottom w:val="single" w:color="auto" w:sz="4" w:space="0"/>
              <w:right w:val="single" w:color="auto" w:sz="4" w:space="0"/>
            </w:tcBorders>
            <w:vAlign w:val="center"/>
          </w:tcPr>
          <w:p>
            <w:pPr>
              <w:spacing w:before="60" w:beforeLines="25" w:after="60" w:afterLines="25"/>
              <w:jc w:val="center"/>
              <w:rPr>
                <w:szCs w:val="21"/>
              </w:rPr>
            </w:pPr>
            <w:r>
              <w:rPr>
                <w:szCs w:val="21"/>
              </w:rPr>
              <w:t>2</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rPr>
            </w:pPr>
            <w:r>
              <w:rPr>
                <w:rFonts w:hint="eastAsia" w:hAnsi="宋体"/>
                <w:szCs w:val="21"/>
              </w:rPr>
              <w:t>工期</w:t>
            </w:r>
          </w:p>
        </w:tc>
        <w:tc>
          <w:tcPr>
            <w:tcW w:w="22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r>
              <w:rPr>
                <w:rFonts w:hint="eastAsia" w:hAnsi="宋体"/>
                <w:szCs w:val="21"/>
              </w:rPr>
              <w:t>符合第二章“投标人须知”第</w:t>
            </w:r>
            <w:r>
              <w:rPr>
                <w:szCs w:val="21"/>
              </w:rPr>
              <w:t>1.3.2</w:t>
            </w:r>
            <w:r>
              <w:rPr>
                <w:rFonts w:hint="eastAsia" w:hAnsi="宋体"/>
                <w:szCs w:val="21"/>
              </w:rPr>
              <w:t>项规定</w:t>
            </w:r>
          </w:p>
        </w:tc>
        <w:tc>
          <w:tcPr>
            <w:tcW w:w="1209"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09" w:type="dxa"/>
            <w:tcBorders>
              <w:top w:val="single" w:color="auto" w:sz="4" w:space="0"/>
              <w:left w:val="single" w:color="auto" w:sz="4" w:space="0"/>
              <w:bottom w:val="single" w:color="auto" w:sz="4" w:space="0"/>
            </w:tcBorders>
            <w:vAlign w:val="center"/>
          </w:tcPr>
          <w:p>
            <w:pPr>
              <w:spacing w:before="60" w:beforeLines="25" w:after="60" w:afterLines="25"/>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51" w:type="dxa"/>
            <w:tcBorders>
              <w:top w:val="single" w:color="auto" w:sz="4" w:space="0"/>
              <w:bottom w:val="single" w:color="auto" w:sz="4" w:space="0"/>
              <w:right w:val="single" w:color="auto" w:sz="4" w:space="0"/>
            </w:tcBorders>
            <w:vAlign w:val="center"/>
          </w:tcPr>
          <w:p>
            <w:pPr>
              <w:spacing w:before="60" w:beforeLines="25" w:after="60" w:afterLines="25"/>
              <w:jc w:val="center"/>
              <w:rPr>
                <w:szCs w:val="21"/>
              </w:rPr>
            </w:pPr>
            <w:r>
              <w:rPr>
                <w:szCs w:val="21"/>
              </w:rPr>
              <w:t>3</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rPr>
            </w:pPr>
            <w:r>
              <w:rPr>
                <w:rFonts w:hint="eastAsia" w:hAnsi="宋体"/>
                <w:szCs w:val="21"/>
              </w:rPr>
              <w:t>工程质量</w:t>
            </w:r>
          </w:p>
        </w:tc>
        <w:tc>
          <w:tcPr>
            <w:tcW w:w="22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r>
              <w:rPr>
                <w:rFonts w:hint="eastAsia" w:hAnsi="宋体"/>
                <w:szCs w:val="21"/>
              </w:rPr>
              <w:t>符合第二章“投标人须知”第</w:t>
            </w:r>
            <w:r>
              <w:rPr>
                <w:szCs w:val="21"/>
              </w:rPr>
              <w:t>1.3.3</w:t>
            </w:r>
            <w:r>
              <w:rPr>
                <w:rFonts w:hint="eastAsia" w:hAnsi="宋体"/>
                <w:szCs w:val="21"/>
              </w:rPr>
              <w:t>项规定</w:t>
            </w:r>
          </w:p>
        </w:tc>
        <w:tc>
          <w:tcPr>
            <w:tcW w:w="1209"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09" w:type="dxa"/>
            <w:tcBorders>
              <w:top w:val="single" w:color="auto" w:sz="4" w:space="0"/>
              <w:left w:val="single" w:color="auto" w:sz="4" w:space="0"/>
              <w:bottom w:val="single" w:color="auto" w:sz="4" w:space="0"/>
            </w:tcBorders>
            <w:vAlign w:val="center"/>
          </w:tcPr>
          <w:p>
            <w:pPr>
              <w:spacing w:before="60" w:beforeLines="25" w:after="60" w:afterLines="25"/>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51" w:type="dxa"/>
            <w:tcBorders>
              <w:top w:val="single" w:color="auto" w:sz="4" w:space="0"/>
              <w:bottom w:val="single" w:color="auto" w:sz="4" w:space="0"/>
              <w:right w:val="single" w:color="auto" w:sz="4" w:space="0"/>
            </w:tcBorders>
            <w:vAlign w:val="center"/>
          </w:tcPr>
          <w:p>
            <w:pPr>
              <w:spacing w:before="60" w:beforeLines="25" w:after="60" w:afterLines="25"/>
              <w:jc w:val="center"/>
              <w:rPr>
                <w:szCs w:val="21"/>
              </w:rPr>
            </w:pPr>
            <w:r>
              <w:rPr>
                <w:szCs w:val="21"/>
              </w:rPr>
              <w:t>4</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rPr>
            </w:pPr>
            <w:r>
              <w:rPr>
                <w:rFonts w:hint="eastAsia" w:hAnsi="宋体"/>
                <w:szCs w:val="21"/>
              </w:rPr>
              <w:t>投标有效期</w:t>
            </w:r>
          </w:p>
        </w:tc>
        <w:tc>
          <w:tcPr>
            <w:tcW w:w="22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r>
              <w:rPr>
                <w:rFonts w:hint="eastAsia" w:hAnsi="宋体"/>
                <w:szCs w:val="21"/>
              </w:rPr>
              <w:t>符合第二章“投标人须知”第</w:t>
            </w:r>
            <w:r>
              <w:rPr>
                <w:szCs w:val="21"/>
              </w:rPr>
              <w:t>3.3.1</w:t>
            </w:r>
            <w:r>
              <w:rPr>
                <w:rFonts w:hint="eastAsia" w:hAnsi="宋体"/>
                <w:szCs w:val="21"/>
              </w:rPr>
              <w:t>项规定</w:t>
            </w:r>
          </w:p>
        </w:tc>
        <w:tc>
          <w:tcPr>
            <w:tcW w:w="1209"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09" w:type="dxa"/>
            <w:tcBorders>
              <w:top w:val="single" w:color="auto" w:sz="4" w:space="0"/>
              <w:left w:val="single" w:color="auto" w:sz="4" w:space="0"/>
              <w:bottom w:val="single" w:color="auto" w:sz="4" w:space="0"/>
            </w:tcBorders>
            <w:vAlign w:val="center"/>
          </w:tcPr>
          <w:p>
            <w:pPr>
              <w:spacing w:before="60" w:beforeLines="25" w:after="60" w:afterLines="25"/>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851" w:type="dxa"/>
            <w:tcBorders>
              <w:top w:val="single" w:color="auto" w:sz="4" w:space="0"/>
              <w:bottom w:val="single" w:color="auto" w:sz="4" w:space="0"/>
              <w:right w:val="single" w:color="auto" w:sz="4" w:space="0"/>
            </w:tcBorders>
            <w:vAlign w:val="center"/>
          </w:tcPr>
          <w:p>
            <w:pPr>
              <w:spacing w:before="60" w:beforeLines="25" w:after="60" w:afterLines="25"/>
              <w:jc w:val="center"/>
              <w:rPr>
                <w:szCs w:val="21"/>
              </w:rPr>
            </w:pPr>
            <w:r>
              <w:rPr>
                <w:szCs w:val="21"/>
              </w:rPr>
              <w:t>5</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rPr>
            </w:pPr>
            <w:r>
              <w:rPr>
                <w:rFonts w:hint="eastAsia" w:hAnsi="宋体"/>
                <w:szCs w:val="21"/>
              </w:rPr>
              <w:t>投标担保</w:t>
            </w:r>
          </w:p>
        </w:tc>
        <w:tc>
          <w:tcPr>
            <w:tcW w:w="22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r>
              <w:rPr>
                <w:rFonts w:hint="eastAsia" w:hAnsi="宋体"/>
                <w:szCs w:val="21"/>
              </w:rPr>
              <w:t>符合第二章“投标人须知”第</w:t>
            </w:r>
            <w:r>
              <w:rPr>
                <w:szCs w:val="21"/>
              </w:rPr>
              <w:t>3.4.1</w:t>
            </w:r>
            <w:r>
              <w:rPr>
                <w:rFonts w:hint="eastAsia" w:hAnsi="宋体"/>
                <w:szCs w:val="21"/>
              </w:rPr>
              <w:t>项规定</w:t>
            </w:r>
          </w:p>
        </w:tc>
        <w:tc>
          <w:tcPr>
            <w:tcW w:w="1209"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09" w:type="dxa"/>
            <w:tcBorders>
              <w:top w:val="single" w:color="auto" w:sz="4" w:space="0"/>
              <w:left w:val="single" w:color="auto" w:sz="4" w:space="0"/>
              <w:bottom w:val="single" w:color="auto" w:sz="4" w:space="0"/>
            </w:tcBorders>
            <w:vAlign w:val="center"/>
          </w:tcPr>
          <w:p>
            <w:pPr>
              <w:spacing w:before="60" w:beforeLines="25" w:after="60" w:afterLines="25"/>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51" w:type="dxa"/>
            <w:tcBorders>
              <w:top w:val="single" w:color="auto" w:sz="4" w:space="0"/>
              <w:bottom w:val="single" w:color="auto" w:sz="4" w:space="0"/>
              <w:right w:val="single" w:color="auto" w:sz="4" w:space="0"/>
            </w:tcBorders>
            <w:vAlign w:val="center"/>
          </w:tcPr>
          <w:p>
            <w:pPr>
              <w:spacing w:before="60" w:beforeLines="25" w:after="60" w:afterLines="25"/>
              <w:jc w:val="center"/>
              <w:rPr>
                <w:szCs w:val="21"/>
              </w:rPr>
            </w:pPr>
            <w:r>
              <w:rPr>
                <w:szCs w:val="21"/>
              </w:rPr>
              <w:t>6</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rPr>
            </w:pPr>
            <w:r>
              <w:rPr>
                <w:rFonts w:hint="eastAsia" w:hAnsi="宋体"/>
                <w:szCs w:val="21"/>
              </w:rPr>
              <w:t>权利义务</w:t>
            </w:r>
          </w:p>
        </w:tc>
        <w:tc>
          <w:tcPr>
            <w:tcW w:w="22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r>
              <w:rPr>
                <w:rFonts w:hint="eastAsia" w:hAnsi="宋体"/>
                <w:szCs w:val="21"/>
              </w:rPr>
              <w:t>投标函附录中的相关承诺符合或优于第四章“合同条款及格式”的相关规定</w:t>
            </w:r>
          </w:p>
        </w:tc>
        <w:tc>
          <w:tcPr>
            <w:tcW w:w="1209"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09" w:type="dxa"/>
            <w:tcBorders>
              <w:top w:val="single" w:color="auto" w:sz="4" w:space="0"/>
              <w:left w:val="single" w:color="auto" w:sz="4" w:space="0"/>
              <w:bottom w:val="single" w:color="auto" w:sz="4" w:space="0"/>
            </w:tcBorders>
            <w:vAlign w:val="center"/>
          </w:tcPr>
          <w:p>
            <w:pPr>
              <w:spacing w:before="60" w:beforeLines="25" w:after="60" w:afterLines="25"/>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51" w:type="dxa"/>
            <w:tcBorders>
              <w:top w:val="single" w:color="auto" w:sz="4" w:space="0"/>
              <w:bottom w:val="single" w:color="auto" w:sz="4" w:space="0"/>
              <w:right w:val="single" w:color="auto" w:sz="4" w:space="0"/>
            </w:tcBorders>
            <w:vAlign w:val="center"/>
          </w:tcPr>
          <w:p>
            <w:pPr>
              <w:spacing w:before="60" w:beforeLines="25" w:after="60" w:afterLines="25"/>
              <w:jc w:val="center"/>
              <w:rPr>
                <w:szCs w:val="21"/>
              </w:rPr>
            </w:pPr>
            <w:r>
              <w:rPr>
                <w:szCs w:val="21"/>
              </w:rPr>
              <w:t>7</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rPr>
            </w:pPr>
            <w:r>
              <w:rPr>
                <w:rFonts w:hint="eastAsia" w:hAnsi="宋体"/>
                <w:szCs w:val="21"/>
              </w:rPr>
              <w:t>已标价工程量清单</w:t>
            </w:r>
          </w:p>
        </w:tc>
        <w:tc>
          <w:tcPr>
            <w:tcW w:w="22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r>
              <w:rPr>
                <w:rFonts w:hint="eastAsia" w:hAnsi="宋体"/>
                <w:szCs w:val="21"/>
              </w:rPr>
              <w:t>符合第五章“</w:t>
            </w:r>
            <w:r>
              <w:rPr>
                <w:rFonts w:hint="eastAsia"/>
                <w:szCs w:val="21"/>
              </w:rPr>
              <w:t>招标</w:t>
            </w:r>
            <w:r>
              <w:rPr>
                <w:rFonts w:hint="eastAsia" w:hAnsi="宋体"/>
                <w:szCs w:val="21"/>
              </w:rPr>
              <w:t>工程量清单”给出的子目编码、子目名称、子目特征、计量单位和工程量</w:t>
            </w:r>
          </w:p>
        </w:tc>
        <w:tc>
          <w:tcPr>
            <w:tcW w:w="1209"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09" w:type="dxa"/>
            <w:tcBorders>
              <w:top w:val="single" w:color="auto" w:sz="4" w:space="0"/>
              <w:left w:val="single" w:color="auto" w:sz="4" w:space="0"/>
              <w:bottom w:val="single" w:color="auto" w:sz="4" w:space="0"/>
            </w:tcBorders>
            <w:vAlign w:val="center"/>
          </w:tcPr>
          <w:p>
            <w:pPr>
              <w:spacing w:before="60" w:beforeLines="25" w:after="60" w:afterLines="25"/>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51" w:type="dxa"/>
            <w:tcBorders>
              <w:top w:val="single" w:color="auto" w:sz="4" w:space="0"/>
              <w:bottom w:val="single" w:color="auto" w:sz="4" w:space="0"/>
              <w:right w:val="single" w:color="auto" w:sz="4" w:space="0"/>
            </w:tcBorders>
            <w:vAlign w:val="center"/>
          </w:tcPr>
          <w:p>
            <w:pPr>
              <w:spacing w:before="60" w:beforeLines="25" w:after="60" w:afterLines="25"/>
              <w:jc w:val="center"/>
              <w:rPr>
                <w:szCs w:val="21"/>
              </w:rPr>
            </w:pPr>
            <w:r>
              <w:rPr>
                <w:szCs w:val="21"/>
              </w:rPr>
              <w:t>8</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rPr>
            </w:pPr>
            <w:r>
              <w:rPr>
                <w:rFonts w:hint="eastAsia" w:hAnsi="宋体"/>
                <w:szCs w:val="21"/>
              </w:rPr>
              <w:t>技术标准和要求</w:t>
            </w:r>
          </w:p>
        </w:tc>
        <w:tc>
          <w:tcPr>
            <w:tcW w:w="22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r>
              <w:rPr>
                <w:rFonts w:hint="eastAsia" w:hAnsi="宋体"/>
                <w:szCs w:val="21"/>
              </w:rPr>
              <w:t>符合第七章“技术标准和要求”规定</w:t>
            </w:r>
          </w:p>
        </w:tc>
        <w:tc>
          <w:tcPr>
            <w:tcW w:w="1209"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09" w:type="dxa"/>
            <w:tcBorders>
              <w:top w:val="single" w:color="auto" w:sz="4" w:space="0"/>
              <w:left w:val="single" w:color="auto" w:sz="4" w:space="0"/>
              <w:bottom w:val="single" w:color="auto" w:sz="4" w:space="0"/>
            </w:tcBorders>
            <w:vAlign w:val="center"/>
          </w:tcPr>
          <w:p>
            <w:pPr>
              <w:spacing w:before="60" w:beforeLines="25" w:after="60" w:afterLines="25"/>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51" w:type="dxa"/>
            <w:tcBorders>
              <w:top w:val="single" w:color="auto" w:sz="4" w:space="0"/>
              <w:bottom w:val="single" w:color="auto" w:sz="4" w:space="0"/>
              <w:right w:val="single" w:color="auto" w:sz="4" w:space="0"/>
            </w:tcBorders>
            <w:vAlign w:val="center"/>
          </w:tcPr>
          <w:p>
            <w:pPr>
              <w:spacing w:before="60" w:beforeLines="25" w:after="60" w:afterLines="25"/>
              <w:jc w:val="center"/>
              <w:rPr>
                <w:szCs w:val="21"/>
              </w:rPr>
            </w:pPr>
            <w:r>
              <w:rPr>
                <w:szCs w:val="21"/>
              </w:rPr>
              <w:t>9</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rPr>
            </w:pPr>
            <w:r>
              <w:rPr>
                <w:rFonts w:hint="eastAsia" w:hAnsi="宋体"/>
                <w:szCs w:val="21"/>
              </w:rPr>
              <w:t>投标价格</w:t>
            </w:r>
          </w:p>
        </w:tc>
        <w:tc>
          <w:tcPr>
            <w:tcW w:w="22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r>
              <w:rPr>
                <w:rFonts w:hint="eastAsia" w:hAnsi="宋体"/>
                <w:szCs w:val="21"/>
              </w:rPr>
              <w:t>符合第二章“投标人须知”第</w:t>
            </w:r>
            <w:r>
              <w:rPr>
                <w:szCs w:val="21"/>
              </w:rPr>
              <w:t>3.2</w:t>
            </w:r>
            <w:r>
              <w:rPr>
                <w:rFonts w:hint="eastAsia" w:hAnsi="宋体"/>
                <w:szCs w:val="21"/>
              </w:rPr>
              <w:t>项对应规定，且不超过控制价</w:t>
            </w:r>
          </w:p>
        </w:tc>
        <w:tc>
          <w:tcPr>
            <w:tcW w:w="1209"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09" w:type="dxa"/>
            <w:tcBorders>
              <w:top w:val="single" w:color="auto" w:sz="4" w:space="0"/>
              <w:left w:val="single" w:color="auto" w:sz="4" w:space="0"/>
              <w:bottom w:val="single" w:color="auto" w:sz="4" w:space="0"/>
            </w:tcBorders>
            <w:vAlign w:val="center"/>
          </w:tcPr>
          <w:p>
            <w:pPr>
              <w:spacing w:before="60" w:beforeLines="25" w:after="60" w:afterLines="25"/>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51" w:type="dxa"/>
            <w:tcBorders>
              <w:top w:val="single" w:color="auto" w:sz="4" w:space="0"/>
              <w:bottom w:val="single" w:color="auto" w:sz="4" w:space="0"/>
              <w:right w:val="single" w:color="auto" w:sz="4" w:space="0"/>
            </w:tcBorders>
            <w:vAlign w:val="center"/>
          </w:tcPr>
          <w:p>
            <w:pPr>
              <w:spacing w:before="60" w:beforeLines="25" w:after="60" w:afterLines="25"/>
              <w:jc w:val="center"/>
              <w:rPr>
                <w:szCs w:val="21"/>
              </w:rPr>
            </w:pPr>
            <w:r>
              <w:rPr>
                <w:szCs w:val="21"/>
              </w:rPr>
              <w:t>10</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rPr>
            </w:pPr>
            <w:r>
              <w:rPr>
                <w:rFonts w:hint="eastAsia" w:hAnsi="宋体"/>
                <w:szCs w:val="21"/>
              </w:rPr>
              <w:t>分包计划</w:t>
            </w:r>
          </w:p>
        </w:tc>
        <w:tc>
          <w:tcPr>
            <w:tcW w:w="22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r>
              <w:rPr>
                <w:rFonts w:hint="eastAsia" w:hAnsi="宋体"/>
                <w:szCs w:val="21"/>
              </w:rPr>
              <w:t>符合第二章“投标人须知”第</w:t>
            </w:r>
            <w:r>
              <w:rPr>
                <w:szCs w:val="21"/>
              </w:rPr>
              <w:t>1.11</w:t>
            </w:r>
            <w:r>
              <w:rPr>
                <w:rFonts w:hint="eastAsia" w:hAnsi="宋体"/>
                <w:szCs w:val="21"/>
              </w:rPr>
              <w:t>款规定</w:t>
            </w:r>
          </w:p>
        </w:tc>
        <w:tc>
          <w:tcPr>
            <w:tcW w:w="1209"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09" w:type="dxa"/>
            <w:tcBorders>
              <w:top w:val="single" w:color="auto" w:sz="4" w:space="0"/>
              <w:left w:val="single" w:color="auto" w:sz="4" w:space="0"/>
              <w:bottom w:val="single" w:color="auto" w:sz="4" w:space="0"/>
            </w:tcBorders>
            <w:vAlign w:val="center"/>
          </w:tcPr>
          <w:p>
            <w:pPr>
              <w:spacing w:before="60" w:beforeLines="25" w:after="60" w:afterLines="25"/>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51" w:type="dxa"/>
            <w:tcBorders>
              <w:top w:val="single" w:color="auto" w:sz="4" w:space="0"/>
              <w:bottom w:val="single" w:color="auto" w:sz="4" w:space="0"/>
              <w:right w:val="single" w:color="auto" w:sz="4" w:space="0"/>
            </w:tcBorders>
            <w:vAlign w:val="center"/>
          </w:tcPr>
          <w:p>
            <w:pPr>
              <w:spacing w:before="60" w:beforeLines="25" w:after="60" w:afterLines="25"/>
              <w:jc w:val="center"/>
              <w:rPr>
                <w:szCs w:val="21"/>
              </w:rPr>
            </w:pPr>
            <w:r>
              <w:rPr>
                <w:szCs w:val="21"/>
              </w:rPr>
              <w:t>11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r>
              <w:rPr>
                <w:rFonts w:hint="eastAsia" w:hAnsi="宋体"/>
                <w:szCs w:val="21"/>
              </w:rPr>
              <w:t>声明及承诺</w:t>
            </w:r>
          </w:p>
        </w:tc>
        <w:tc>
          <w:tcPr>
            <w:tcW w:w="22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rFonts w:hAnsi="宋体"/>
                <w:szCs w:val="21"/>
              </w:rPr>
            </w:pPr>
            <w:r>
              <w:rPr>
                <w:rFonts w:hint="eastAsia" w:hAnsi="宋体"/>
                <w:szCs w:val="21"/>
              </w:rPr>
              <w:t>符合第二章“投标人须知”第</w:t>
            </w:r>
            <w:r>
              <w:rPr>
                <w:rFonts w:hAnsi="宋体"/>
                <w:szCs w:val="21"/>
              </w:rPr>
              <w:t>3.1.1</w:t>
            </w:r>
            <w:r>
              <w:rPr>
                <w:rFonts w:hint="eastAsia" w:hAnsi="宋体"/>
                <w:szCs w:val="21"/>
              </w:rPr>
              <w:t>（9）款的要求</w:t>
            </w:r>
          </w:p>
        </w:tc>
        <w:tc>
          <w:tcPr>
            <w:tcW w:w="1209"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09" w:type="dxa"/>
            <w:tcBorders>
              <w:top w:val="single" w:color="auto" w:sz="4" w:space="0"/>
              <w:left w:val="single" w:color="auto" w:sz="4" w:space="0"/>
              <w:bottom w:val="single" w:color="auto" w:sz="4" w:space="0"/>
            </w:tcBorders>
            <w:vAlign w:val="center"/>
          </w:tcPr>
          <w:p>
            <w:pPr>
              <w:spacing w:before="60" w:beforeLines="25" w:after="60" w:afterLines="25"/>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851" w:type="dxa"/>
            <w:tcBorders>
              <w:top w:val="single" w:color="auto" w:sz="4" w:space="0"/>
              <w:bottom w:val="single" w:color="auto" w:sz="4" w:space="0"/>
              <w:right w:val="single" w:color="auto" w:sz="4" w:space="0"/>
            </w:tcBorders>
            <w:vAlign w:val="center"/>
          </w:tcPr>
          <w:p>
            <w:pPr>
              <w:spacing w:before="60" w:beforeLines="25" w:after="60" w:afterLines="25"/>
              <w:jc w:val="center"/>
              <w:rPr>
                <w:szCs w:val="21"/>
              </w:rPr>
            </w:pPr>
            <w:r>
              <w:rPr>
                <w:szCs w:val="21"/>
              </w:rPr>
              <w:t>…</w:t>
            </w:r>
          </w:p>
        </w:tc>
        <w:tc>
          <w:tcPr>
            <w:tcW w:w="24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szCs w:val="21"/>
              </w:rPr>
            </w:pPr>
          </w:p>
        </w:tc>
        <w:tc>
          <w:tcPr>
            <w:tcW w:w="2212"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rFonts w:hAnsi="宋体"/>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09" w:type="dxa"/>
            <w:tcBorders>
              <w:top w:val="single" w:color="auto" w:sz="4" w:space="0"/>
              <w:left w:val="single" w:color="auto" w:sz="4" w:space="0"/>
              <w:bottom w:val="single" w:color="auto" w:sz="4" w:space="0"/>
            </w:tcBorders>
            <w:vAlign w:val="center"/>
          </w:tcPr>
          <w:p>
            <w:pPr>
              <w:spacing w:before="60" w:beforeLines="25" w:after="60" w:afterLines="25"/>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5473" w:type="dxa"/>
            <w:gridSpan w:val="3"/>
            <w:tcBorders>
              <w:top w:val="single" w:color="auto" w:sz="4" w:space="0"/>
              <w:bottom w:val="single" w:color="auto" w:sz="4" w:space="0"/>
              <w:right w:val="single" w:color="auto" w:sz="4" w:space="0"/>
            </w:tcBorders>
            <w:vAlign w:val="center"/>
          </w:tcPr>
          <w:p>
            <w:pPr>
              <w:spacing w:before="60" w:beforeLines="25" w:after="60" w:afterLines="25"/>
              <w:jc w:val="left"/>
              <w:rPr>
                <w:szCs w:val="21"/>
              </w:rPr>
            </w:pPr>
            <w:r>
              <w:rPr>
                <w:rFonts w:hint="eastAsia" w:hAnsi="宋体"/>
                <w:szCs w:val="21"/>
              </w:rPr>
              <w:t>响应性评审结论：</w:t>
            </w:r>
          </w:p>
          <w:p>
            <w:pPr>
              <w:spacing w:before="60" w:beforeLines="25" w:after="60" w:afterLines="25"/>
              <w:rPr>
                <w:szCs w:val="21"/>
              </w:rPr>
            </w:pPr>
            <w:r>
              <w:rPr>
                <w:rFonts w:hint="eastAsia" w:hAnsi="宋体"/>
                <w:szCs w:val="21"/>
              </w:rPr>
              <w:t>通过响应性评审标注为</w:t>
            </w:r>
            <w:r>
              <w:rPr>
                <w:szCs w:val="21"/>
              </w:rPr>
              <w:t>√</w:t>
            </w:r>
            <w:r>
              <w:rPr>
                <w:rFonts w:hint="eastAsia" w:hAnsi="宋体"/>
                <w:szCs w:val="21"/>
              </w:rPr>
              <w:t>；未通过响应性评审标注为</w:t>
            </w:r>
            <w:r>
              <w:rPr>
                <w:szCs w:val="21"/>
              </w:rPr>
              <w:t>×</w:t>
            </w:r>
          </w:p>
        </w:tc>
        <w:tc>
          <w:tcPr>
            <w:tcW w:w="1209"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8"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tcPr>
          <w:p>
            <w:pPr>
              <w:spacing w:before="60" w:beforeLines="25" w:after="60" w:afterLines="25"/>
              <w:rPr>
                <w:szCs w:val="21"/>
              </w:rPr>
            </w:pPr>
          </w:p>
        </w:tc>
        <w:tc>
          <w:tcPr>
            <w:tcW w:w="1209"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10"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szCs w:val="21"/>
              </w:rPr>
            </w:pPr>
          </w:p>
        </w:tc>
        <w:tc>
          <w:tcPr>
            <w:tcW w:w="1209" w:type="dxa"/>
            <w:tcBorders>
              <w:top w:val="single" w:color="auto" w:sz="4" w:space="0"/>
              <w:left w:val="single" w:color="auto" w:sz="4" w:space="0"/>
              <w:bottom w:val="single" w:color="auto" w:sz="4" w:space="0"/>
            </w:tcBorders>
            <w:vAlign w:val="center"/>
          </w:tcPr>
          <w:p>
            <w:pPr>
              <w:spacing w:before="60" w:beforeLines="25" w:after="60" w:afterLines="25"/>
              <w:rPr>
                <w:szCs w:val="21"/>
              </w:rPr>
            </w:pPr>
          </w:p>
        </w:tc>
      </w:tr>
    </w:tbl>
    <w:p>
      <w:pPr>
        <w:tabs>
          <w:tab w:val="left" w:pos="4680"/>
        </w:tabs>
        <w:spacing w:after="120" w:afterLines="50" w:line="300" w:lineRule="auto"/>
        <w:rPr>
          <w:szCs w:val="21"/>
        </w:rPr>
      </w:pPr>
    </w:p>
    <w:p>
      <w:pPr>
        <w:tabs>
          <w:tab w:val="left" w:pos="4680"/>
        </w:tabs>
        <w:spacing w:after="120" w:afterLines="50" w:line="300" w:lineRule="auto"/>
        <w:rPr>
          <w:rFonts w:hAnsi="宋体"/>
          <w:sz w:val="24"/>
        </w:rPr>
      </w:pPr>
      <w:r>
        <w:rPr>
          <w:rFonts w:hint="eastAsia" w:hAnsi="宋体"/>
          <w:sz w:val="24"/>
        </w:rPr>
        <w:t>评标委员会全体成员</w:t>
      </w:r>
      <w:r>
        <w:rPr>
          <w:rFonts w:hint="eastAsia" w:hAnsi="宋体"/>
          <w:sz w:val="24"/>
          <w:u w:val="single"/>
        </w:rPr>
        <w:t>（手写签名）</w:t>
      </w:r>
      <w:r>
        <w:rPr>
          <w:rFonts w:hAnsi="宋体"/>
          <w:sz w:val="24"/>
          <w:u w:val="single"/>
        </w:rPr>
        <w:t xml:space="preserve">          </w:t>
      </w:r>
      <w:r>
        <w:rPr>
          <w:sz w:val="24"/>
        </w:rPr>
        <w:t xml:space="preserve">                                               </w:t>
      </w:r>
      <w:r>
        <w:rPr>
          <w:rFonts w:hint="eastAsia" w:hAnsi="宋体"/>
          <w:sz w:val="24"/>
        </w:rPr>
        <w:t>日期：</w:t>
      </w:r>
      <w:r>
        <w:rPr>
          <w:sz w:val="24"/>
        </w:rPr>
        <w:t xml:space="preserve">   </w:t>
      </w:r>
      <w:r>
        <w:rPr>
          <w:rFonts w:hint="eastAsia" w:hAnsi="宋体"/>
          <w:sz w:val="24"/>
        </w:rPr>
        <w:t>年</w:t>
      </w:r>
      <w:r>
        <w:rPr>
          <w:sz w:val="24"/>
        </w:rPr>
        <w:t xml:space="preserve">    </w:t>
      </w:r>
      <w:r>
        <w:rPr>
          <w:rFonts w:hint="eastAsia" w:hAnsi="宋体"/>
          <w:sz w:val="24"/>
        </w:rPr>
        <w:t>月</w:t>
      </w:r>
      <w:r>
        <w:rPr>
          <w:sz w:val="24"/>
        </w:rPr>
        <w:t xml:space="preserve">   </w:t>
      </w:r>
      <w:r>
        <w:rPr>
          <w:rFonts w:hint="eastAsia" w:hAnsi="宋体"/>
          <w:sz w:val="24"/>
        </w:rPr>
        <w:t>日</w:t>
      </w:r>
    </w:p>
    <w:p>
      <w:pPr>
        <w:tabs>
          <w:tab w:val="left" w:pos="4680"/>
        </w:tabs>
        <w:spacing w:after="120" w:afterLines="50" w:line="300" w:lineRule="auto"/>
        <w:rPr>
          <w:szCs w:val="21"/>
        </w:rPr>
        <w:sectPr>
          <w:pgSz w:w="16838" w:h="11906" w:orient="landscape"/>
          <w:pgMar w:top="1644" w:right="1361" w:bottom="1644" w:left="1418" w:header="851" w:footer="992" w:gutter="0"/>
          <w:cols w:space="425" w:num="1"/>
          <w:docGrid w:linePitch="312" w:charSpace="0"/>
        </w:sectPr>
      </w:pPr>
    </w:p>
    <w:p>
      <w:pPr>
        <w:pStyle w:val="5"/>
        <w:ind w:left="720" w:hanging="720"/>
        <w:jc w:val="left"/>
        <w:rPr>
          <w:sz w:val="28"/>
          <w:szCs w:val="28"/>
        </w:rPr>
      </w:pPr>
      <w:bookmarkStart w:id="194" w:name="_Toc419547365"/>
      <w:bookmarkStart w:id="195" w:name="_Toc396818221"/>
      <w:bookmarkStart w:id="196" w:name="_Toc470011321"/>
      <w:bookmarkStart w:id="197" w:name="_Toc455409843"/>
      <w:bookmarkStart w:id="198" w:name="_Toc419547911"/>
      <w:r>
        <w:rPr>
          <w:rFonts w:hint="eastAsia"/>
        </w:rPr>
        <w:t>附表</w:t>
      </w:r>
      <w:r>
        <w:t>-6</w:t>
      </w:r>
      <w:r>
        <w:rPr>
          <w:rFonts w:hint="eastAsia"/>
        </w:rPr>
        <w:t>：</w:t>
      </w:r>
      <w:r>
        <w:rPr>
          <w:rFonts w:hint="eastAsia"/>
          <w:sz w:val="28"/>
          <w:szCs w:val="28"/>
        </w:rPr>
        <w:t>投标偏差分析表</w:t>
      </w:r>
    </w:p>
    <w:p>
      <w:pPr>
        <w:tabs>
          <w:tab w:val="left" w:pos="4680"/>
        </w:tabs>
        <w:spacing w:line="360" w:lineRule="auto"/>
        <w:jc w:val="center"/>
        <w:rPr>
          <w:rFonts w:ascii="宋体" w:cs="Arial"/>
          <w:b/>
          <w:sz w:val="28"/>
          <w:szCs w:val="28"/>
        </w:rPr>
      </w:pPr>
      <w:r>
        <w:rPr>
          <w:rFonts w:hint="eastAsia" w:ascii="宋体" w:hAnsi="宋体" w:cs="Arial"/>
          <w:b/>
          <w:sz w:val="28"/>
          <w:szCs w:val="28"/>
        </w:rPr>
        <w:t>投标偏差分析表</w:t>
      </w:r>
    </w:p>
    <w:p>
      <w:pPr>
        <w:tabs>
          <w:tab w:val="left" w:pos="4680"/>
        </w:tabs>
        <w:spacing w:line="360" w:lineRule="auto"/>
        <w:rPr>
          <w:rFonts w:ascii="宋体" w:cs="Arial"/>
          <w:b/>
          <w:szCs w:val="21"/>
          <w:u w:val="single"/>
        </w:rPr>
      </w:pPr>
      <w:r>
        <w:rPr>
          <w:rFonts w:hint="eastAsia" w:ascii="宋体" w:hAnsi="宋体"/>
        </w:rPr>
        <w:t>投标人名称：</w:t>
      </w:r>
      <w:r>
        <w:rPr>
          <w:rFonts w:ascii="宋体" w:hAnsi="宋体"/>
        </w:rPr>
        <w:t xml:space="preserve"> </w:t>
      </w:r>
      <w:r>
        <w:rPr>
          <w:rFonts w:ascii="宋体" w:hAnsi="宋体"/>
          <w:u w:val="single"/>
        </w:rPr>
        <w:t xml:space="preserve">                                </w:t>
      </w:r>
    </w:p>
    <w:tbl>
      <w:tblPr>
        <w:tblStyle w:val="49"/>
        <w:tblW w:w="13950"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81"/>
        <w:gridCol w:w="2292"/>
        <w:gridCol w:w="753"/>
        <w:gridCol w:w="2896"/>
        <w:gridCol w:w="2205"/>
        <w:gridCol w:w="22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892" w:type="dxa"/>
            <w:gridSpan w:val="3"/>
            <w:tcBorders>
              <w:top w:val="single" w:color="auto" w:sz="8" w:space="0"/>
            </w:tcBorders>
            <w:vAlign w:val="center"/>
          </w:tcPr>
          <w:p>
            <w:pPr>
              <w:spacing w:line="360" w:lineRule="auto"/>
              <w:jc w:val="center"/>
              <w:rPr>
                <w:rFonts w:ascii="宋体" w:cs="Arial"/>
                <w:szCs w:val="21"/>
              </w:rPr>
            </w:pPr>
            <w:r>
              <w:rPr>
                <w:rFonts w:hint="eastAsia" w:ascii="宋体" w:hAnsi="宋体" w:cs="Arial"/>
                <w:szCs w:val="21"/>
              </w:rPr>
              <w:t>重大偏差</w:t>
            </w:r>
          </w:p>
        </w:tc>
        <w:tc>
          <w:tcPr>
            <w:tcW w:w="8055" w:type="dxa"/>
            <w:gridSpan w:val="4"/>
            <w:tcBorders>
              <w:top w:val="single" w:color="auto" w:sz="8" w:space="0"/>
            </w:tcBorders>
            <w:vAlign w:val="center"/>
          </w:tcPr>
          <w:p>
            <w:pPr>
              <w:spacing w:line="360" w:lineRule="auto"/>
              <w:jc w:val="center"/>
              <w:rPr>
                <w:rFonts w:ascii="宋体" w:cs="Arial"/>
                <w:szCs w:val="21"/>
              </w:rPr>
            </w:pPr>
            <w:r>
              <w:rPr>
                <w:rFonts w:hint="eastAsia" w:ascii="宋体" w:hAnsi="宋体" w:cs="Arial"/>
                <w:szCs w:val="21"/>
              </w:rPr>
              <w:t>细微偏差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20" w:type="dxa"/>
            <w:vAlign w:val="center"/>
          </w:tcPr>
          <w:p>
            <w:pPr>
              <w:spacing w:line="360" w:lineRule="auto"/>
              <w:jc w:val="center"/>
              <w:rPr>
                <w:rFonts w:ascii="宋体" w:cs="Arial"/>
                <w:szCs w:val="21"/>
              </w:rPr>
            </w:pPr>
            <w:r>
              <w:rPr>
                <w:rFonts w:hint="eastAsia" w:ascii="宋体" w:hAnsi="宋体" w:cs="Arial"/>
                <w:szCs w:val="21"/>
              </w:rPr>
              <w:t>序号</w:t>
            </w:r>
          </w:p>
        </w:tc>
        <w:tc>
          <w:tcPr>
            <w:tcW w:w="2880" w:type="dxa"/>
            <w:vAlign w:val="center"/>
          </w:tcPr>
          <w:p>
            <w:pPr>
              <w:spacing w:line="360" w:lineRule="auto"/>
              <w:jc w:val="center"/>
              <w:rPr>
                <w:rFonts w:ascii="宋体" w:cs="Arial"/>
                <w:szCs w:val="21"/>
              </w:rPr>
            </w:pPr>
            <w:r>
              <w:rPr>
                <w:rFonts w:hint="eastAsia" w:ascii="宋体" w:hAnsi="宋体" w:cs="Arial"/>
                <w:szCs w:val="21"/>
              </w:rPr>
              <w:t>重大偏差内容说明</w:t>
            </w:r>
          </w:p>
        </w:tc>
        <w:tc>
          <w:tcPr>
            <w:tcW w:w="2292" w:type="dxa"/>
            <w:vAlign w:val="center"/>
          </w:tcPr>
          <w:p>
            <w:pPr>
              <w:spacing w:line="360" w:lineRule="auto"/>
              <w:jc w:val="center"/>
              <w:rPr>
                <w:rFonts w:ascii="宋体" w:cs="Arial"/>
                <w:szCs w:val="21"/>
              </w:rPr>
            </w:pPr>
            <w:r>
              <w:rPr>
                <w:rFonts w:hint="eastAsia" w:ascii="宋体" w:hAnsi="宋体" w:cs="Arial"/>
                <w:szCs w:val="21"/>
              </w:rPr>
              <w:t>招标文件相关条款</w:t>
            </w:r>
          </w:p>
        </w:tc>
        <w:tc>
          <w:tcPr>
            <w:tcW w:w="753" w:type="dxa"/>
            <w:vAlign w:val="center"/>
          </w:tcPr>
          <w:p>
            <w:pPr>
              <w:spacing w:line="360" w:lineRule="auto"/>
              <w:jc w:val="center"/>
              <w:rPr>
                <w:rFonts w:ascii="宋体" w:cs="Arial"/>
                <w:szCs w:val="21"/>
              </w:rPr>
            </w:pPr>
            <w:r>
              <w:rPr>
                <w:rFonts w:hint="eastAsia" w:ascii="宋体" w:hAnsi="宋体" w:cs="Arial"/>
                <w:szCs w:val="21"/>
              </w:rPr>
              <w:t>序号</w:t>
            </w:r>
          </w:p>
        </w:tc>
        <w:tc>
          <w:tcPr>
            <w:tcW w:w="2895" w:type="dxa"/>
            <w:vAlign w:val="center"/>
          </w:tcPr>
          <w:p>
            <w:pPr>
              <w:spacing w:line="360" w:lineRule="auto"/>
              <w:jc w:val="center"/>
              <w:rPr>
                <w:rFonts w:ascii="宋体" w:cs="Arial"/>
                <w:szCs w:val="21"/>
              </w:rPr>
            </w:pPr>
            <w:r>
              <w:rPr>
                <w:rFonts w:hint="eastAsia" w:ascii="宋体" w:hAnsi="宋体" w:cs="Arial"/>
                <w:szCs w:val="21"/>
              </w:rPr>
              <w:t>细微偏差内容说明</w:t>
            </w:r>
          </w:p>
        </w:tc>
        <w:tc>
          <w:tcPr>
            <w:tcW w:w="2205" w:type="dxa"/>
            <w:vAlign w:val="center"/>
          </w:tcPr>
          <w:p>
            <w:pPr>
              <w:spacing w:line="360" w:lineRule="auto"/>
              <w:jc w:val="center"/>
              <w:rPr>
                <w:rFonts w:ascii="宋体" w:cs="Arial"/>
                <w:szCs w:val="21"/>
              </w:rPr>
            </w:pPr>
            <w:r>
              <w:rPr>
                <w:rFonts w:hint="eastAsia" w:ascii="宋体" w:hAnsi="宋体" w:cs="Arial"/>
                <w:szCs w:val="21"/>
              </w:rPr>
              <w:t>招标文件相关条款</w:t>
            </w:r>
          </w:p>
        </w:tc>
        <w:tc>
          <w:tcPr>
            <w:tcW w:w="2202" w:type="dxa"/>
            <w:vAlign w:val="center"/>
          </w:tcPr>
          <w:p>
            <w:pPr>
              <w:spacing w:line="360" w:lineRule="auto"/>
              <w:jc w:val="center"/>
              <w:rPr>
                <w:rFonts w:ascii="宋体" w:cs="Arial"/>
                <w:szCs w:val="21"/>
              </w:rPr>
            </w:pPr>
            <w:r>
              <w:rPr>
                <w:rFonts w:hint="eastAsia" w:ascii="宋体" w:hAnsi="宋体" w:cs="Arial"/>
                <w:szCs w:val="21"/>
              </w:rPr>
              <w:t>补正情况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89" w:hRule="atLeast"/>
        </w:trPr>
        <w:tc>
          <w:tcPr>
            <w:tcW w:w="720" w:type="dxa"/>
            <w:tcBorders>
              <w:bottom w:val="single" w:color="auto" w:sz="8" w:space="0"/>
            </w:tcBorders>
          </w:tcPr>
          <w:p>
            <w:pPr>
              <w:spacing w:line="360" w:lineRule="auto"/>
              <w:rPr>
                <w:rFonts w:ascii="宋体" w:cs="Arial"/>
                <w:szCs w:val="21"/>
              </w:rPr>
            </w:pPr>
          </w:p>
        </w:tc>
        <w:tc>
          <w:tcPr>
            <w:tcW w:w="2880" w:type="dxa"/>
            <w:tcBorders>
              <w:bottom w:val="single" w:color="auto" w:sz="8" w:space="0"/>
            </w:tcBorders>
          </w:tcPr>
          <w:p>
            <w:pPr>
              <w:spacing w:line="360" w:lineRule="auto"/>
              <w:rPr>
                <w:rFonts w:ascii="宋体" w:cs="Arial"/>
                <w:szCs w:val="21"/>
              </w:rPr>
            </w:pPr>
          </w:p>
          <w:p>
            <w:pPr>
              <w:spacing w:line="360" w:lineRule="auto"/>
              <w:rPr>
                <w:rFonts w:ascii="宋体" w:cs="Arial"/>
                <w:szCs w:val="21"/>
              </w:rPr>
            </w:pPr>
          </w:p>
          <w:p>
            <w:pPr>
              <w:spacing w:line="360" w:lineRule="auto"/>
              <w:rPr>
                <w:rFonts w:ascii="宋体" w:cs="Arial"/>
                <w:szCs w:val="21"/>
              </w:rPr>
            </w:pPr>
          </w:p>
          <w:p>
            <w:pPr>
              <w:spacing w:line="360" w:lineRule="auto"/>
              <w:rPr>
                <w:rFonts w:ascii="宋体" w:cs="Arial"/>
                <w:szCs w:val="21"/>
              </w:rPr>
            </w:pPr>
          </w:p>
          <w:p>
            <w:pPr>
              <w:spacing w:line="360" w:lineRule="auto"/>
              <w:rPr>
                <w:rFonts w:ascii="宋体" w:cs="Arial"/>
                <w:szCs w:val="21"/>
              </w:rPr>
            </w:pPr>
          </w:p>
          <w:p>
            <w:pPr>
              <w:spacing w:line="360" w:lineRule="auto"/>
              <w:rPr>
                <w:rFonts w:ascii="宋体" w:cs="Arial"/>
                <w:szCs w:val="21"/>
              </w:rPr>
            </w:pPr>
          </w:p>
          <w:p>
            <w:pPr>
              <w:spacing w:line="360" w:lineRule="auto"/>
              <w:rPr>
                <w:rFonts w:ascii="宋体" w:cs="Arial"/>
                <w:szCs w:val="21"/>
              </w:rPr>
            </w:pPr>
          </w:p>
        </w:tc>
        <w:tc>
          <w:tcPr>
            <w:tcW w:w="2292" w:type="dxa"/>
            <w:tcBorders>
              <w:bottom w:val="single" w:color="auto" w:sz="8" w:space="0"/>
            </w:tcBorders>
          </w:tcPr>
          <w:p>
            <w:pPr>
              <w:spacing w:line="360" w:lineRule="auto"/>
              <w:rPr>
                <w:rFonts w:ascii="宋体" w:cs="Arial"/>
                <w:szCs w:val="21"/>
              </w:rPr>
            </w:pPr>
          </w:p>
        </w:tc>
        <w:tc>
          <w:tcPr>
            <w:tcW w:w="753" w:type="dxa"/>
            <w:tcBorders>
              <w:bottom w:val="single" w:color="auto" w:sz="8" w:space="0"/>
            </w:tcBorders>
          </w:tcPr>
          <w:p>
            <w:pPr>
              <w:spacing w:line="360" w:lineRule="auto"/>
              <w:rPr>
                <w:rFonts w:ascii="宋体" w:cs="Arial"/>
                <w:szCs w:val="21"/>
              </w:rPr>
            </w:pPr>
          </w:p>
        </w:tc>
        <w:tc>
          <w:tcPr>
            <w:tcW w:w="2895" w:type="dxa"/>
            <w:tcBorders>
              <w:bottom w:val="single" w:color="auto" w:sz="8" w:space="0"/>
            </w:tcBorders>
          </w:tcPr>
          <w:p>
            <w:pPr>
              <w:spacing w:line="360" w:lineRule="auto"/>
              <w:rPr>
                <w:rFonts w:ascii="宋体" w:cs="Arial"/>
                <w:szCs w:val="21"/>
              </w:rPr>
            </w:pPr>
          </w:p>
        </w:tc>
        <w:tc>
          <w:tcPr>
            <w:tcW w:w="2205" w:type="dxa"/>
            <w:tcBorders>
              <w:bottom w:val="single" w:color="auto" w:sz="8" w:space="0"/>
            </w:tcBorders>
          </w:tcPr>
          <w:p>
            <w:pPr>
              <w:spacing w:line="360" w:lineRule="auto"/>
              <w:rPr>
                <w:rFonts w:ascii="宋体" w:cs="Arial"/>
                <w:szCs w:val="21"/>
              </w:rPr>
            </w:pPr>
          </w:p>
        </w:tc>
        <w:tc>
          <w:tcPr>
            <w:tcW w:w="2202" w:type="dxa"/>
            <w:tcBorders>
              <w:bottom w:val="single" w:color="auto" w:sz="8" w:space="0"/>
            </w:tcBorders>
          </w:tcPr>
          <w:p>
            <w:pPr>
              <w:spacing w:line="360" w:lineRule="auto"/>
              <w:rPr>
                <w:rFonts w:ascii="宋体" w:cs="Arial"/>
                <w:szCs w:val="21"/>
              </w:rPr>
            </w:pPr>
          </w:p>
        </w:tc>
      </w:tr>
    </w:tbl>
    <w:p>
      <w:pPr>
        <w:tabs>
          <w:tab w:val="left" w:pos="4680"/>
        </w:tabs>
        <w:spacing w:after="120" w:afterLines="50" w:line="300" w:lineRule="auto"/>
        <w:rPr>
          <w:rFonts w:ascii="宋体" w:cs="Arial"/>
          <w:szCs w:val="21"/>
        </w:rPr>
      </w:pPr>
    </w:p>
    <w:p>
      <w:pPr>
        <w:tabs>
          <w:tab w:val="left" w:pos="4680"/>
        </w:tabs>
        <w:spacing w:after="120" w:afterLines="50" w:line="300" w:lineRule="auto"/>
        <w:rPr>
          <w:sz w:val="24"/>
        </w:rPr>
      </w:pPr>
      <w:r>
        <w:rPr>
          <w:rFonts w:hint="eastAsia" w:ascii="宋体" w:hAnsi="宋体" w:cs="Arial"/>
          <w:sz w:val="24"/>
        </w:rPr>
        <w:t>评标委员会全体成员</w:t>
      </w:r>
      <w:r>
        <w:rPr>
          <w:rFonts w:hint="eastAsia" w:ascii="宋体" w:hAnsi="宋体" w:cs="Arial"/>
          <w:sz w:val="24"/>
          <w:u w:val="single"/>
        </w:rPr>
        <w:t>（手写签名）</w:t>
      </w:r>
      <w:r>
        <w:rPr>
          <w:rFonts w:ascii="宋体" w:hAnsi="宋体" w:cs="Arial"/>
          <w:sz w:val="24"/>
          <w:u w:val="single"/>
        </w:rPr>
        <w:t xml:space="preserve">        </w:t>
      </w:r>
      <w:r>
        <w:rPr>
          <w:rFonts w:ascii="宋体" w:hAnsi="宋体" w:cs="Arial"/>
          <w:sz w:val="24"/>
        </w:rPr>
        <w:t xml:space="preserve">                                                  </w:t>
      </w:r>
      <w:r>
        <w:rPr>
          <w:rFonts w:hint="eastAsia"/>
          <w:sz w:val="24"/>
        </w:rPr>
        <w:t>日期：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
      <w:pPr>
        <w:rPr>
          <w:sz w:val="28"/>
          <w:szCs w:val="28"/>
        </w:rPr>
      </w:pPr>
    </w:p>
    <w:p>
      <w:pPr>
        <w:pStyle w:val="5"/>
        <w:tabs>
          <w:tab w:val="left" w:pos="0"/>
        </w:tabs>
        <w:jc w:val="left"/>
        <w:rPr>
          <w:rFonts w:ascii="宋体"/>
          <w:sz w:val="28"/>
          <w:szCs w:val="24"/>
        </w:rPr>
      </w:pPr>
      <w:r>
        <w:rPr>
          <w:rFonts w:hint="eastAsia" w:ascii="宋体" w:hAnsi="宋体"/>
          <w:sz w:val="28"/>
          <w:szCs w:val="24"/>
        </w:rPr>
        <w:t>附表</w:t>
      </w:r>
      <w:r>
        <w:rPr>
          <w:rFonts w:ascii="宋体" w:hAnsi="宋体"/>
          <w:sz w:val="28"/>
          <w:szCs w:val="24"/>
        </w:rPr>
        <w:t>-7</w:t>
      </w:r>
      <w:r>
        <w:rPr>
          <w:rFonts w:hint="eastAsia" w:ascii="宋体" w:hAnsi="宋体"/>
          <w:sz w:val="28"/>
          <w:szCs w:val="24"/>
        </w:rPr>
        <w:t>：施工组织设计（暗标）评分表</w:t>
      </w:r>
      <w:bookmarkEnd w:id="174"/>
      <w:bookmarkEnd w:id="194"/>
      <w:bookmarkEnd w:id="195"/>
      <w:bookmarkEnd w:id="196"/>
      <w:bookmarkEnd w:id="197"/>
      <w:bookmarkEnd w:id="198"/>
    </w:p>
    <w:p>
      <w:pPr>
        <w:pStyle w:val="30"/>
        <w:tabs>
          <w:tab w:val="left" w:pos="4680"/>
        </w:tabs>
        <w:spacing w:after="120" w:afterLines="50"/>
        <w:jc w:val="center"/>
        <w:rPr>
          <w:rFonts w:hAnsi="宋体"/>
          <w:b/>
          <w:bCs/>
          <w:sz w:val="28"/>
          <w:szCs w:val="28"/>
        </w:rPr>
      </w:pPr>
      <w:r>
        <w:rPr>
          <w:rFonts w:hint="eastAsia"/>
        </w:rPr>
        <w:t>施工组织设计（暗标）评分表</w:t>
      </w:r>
    </w:p>
    <w:p>
      <w:pPr>
        <w:rPr>
          <w:rFonts w:ascii="宋体" w:cs="Arial"/>
          <w:bCs/>
          <w:szCs w:val="21"/>
          <w:u w:val="single"/>
        </w:rPr>
      </w:pPr>
      <w:r>
        <w:rPr>
          <w:rFonts w:hint="eastAsia" w:ascii="宋体" w:hAnsi="宋体" w:cs="Arial"/>
          <w:bCs/>
          <w:szCs w:val="21"/>
        </w:rPr>
        <w:t>工程名称：</w:t>
      </w:r>
      <w:r>
        <w:rPr>
          <w:rFonts w:ascii="宋体" w:hAnsi="宋体" w:cs="Arial"/>
          <w:bCs/>
          <w:szCs w:val="21"/>
          <w:u w:val="single"/>
        </w:rPr>
        <w:t xml:space="preserve">                                    </w:t>
      </w:r>
    </w:p>
    <w:tbl>
      <w:tblPr>
        <w:tblStyle w:val="49"/>
        <w:tblW w:w="1275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6"/>
        <w:gridCol w:w="2691"/>
        <w:gridCol w:w="3970"/>
        <w:gridCol w:w="857"/>
        <w:gridCol w:w="861"/>
        <w:gridCol w:w="917"/>
        <w:gridCol w:w="708"/>
        <w:gridCol w:w="993"/>
        <w:gridCol w:w="10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 w:hRule="atLeast"/>
          <w:tblHeader/>
        </w:trPr>
        <w:tc>
          <w:tcPr>
            <w:tcW w:w="706" w:type="dxa"/>
            <w:vMerge w:val="restart"/>
            <w:tcBorders>
              <w:top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r>
              <w:rPr>
                <w:rFonts w:hint="eastAsia" w:ascii="宋体" w:hAnsi="宋体" w:cs="Arial"/>
                <w:szCs w:val="21"/>
              </w:rPr>
              <w:t>序号</w:t>
            </w:r>
          </w:p>
        </w:tc>
        <w:tc>
          <w:tcPr>
            <w:tcW w:w="2691" w:type="dxa"/>
            <w:vMerge w:val="restart"/>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r>
              <w:rPr>
                <w:rFonts w:hint="eastAsia" w:ascii="宋体" w:hAnsi="宋体" w:cs="Arial"/>
                <w:szCs w:val="21"/>
              </w:rPr>
              <w:t>评分模块</w:t>
            </w:r>
          </w:p>
        </w:tc>
        <w:tc>
          <w:tcPr>
            <w:tcW w:w="482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szCs w:val="21"/>
              </w:rPr>
            </w:pPr>
            <w:r>
              <w:rPr>
                <w:rFonts w:hint="eastAsia" w:ascii="宋体" w:hAnsi="宋体" w:cs="Arial"/>
                <w:szCs w:val="21"/>
              </w:rPr>
              <w:t>评分标准</w:t>
            </w:r>
          </w:p>
        </w:tc>
        <w:tc>
          <w:tcPr>
            <w:tcW w:w="861" w:type="dxa"/>
            <w:vMerge w:val="restart"/>
            <w:tcBorders>
              <w:top w:val="single" w:color="auto" w:sz="4" w:space="0"/>
              <w:left w:val="single" w:color="auto" w:sz="4" w:space="0"/>
              <w:right w:val="single" w:color="auto" w:sz="4" w:space="0"/>
            </w:tcBorders>
            <w:vAlign w:val="center"/>
          </w:tcPr>
          <w:p>
            <w:pPr>
              <w:spacing w:before="60" w:beforeLines="25" w:after="60" w:afterLines="25"/>
              <w:jc w:val="center"/>
              <w:rPr>
                <w:rFonts w:ascii="宋体" w:cs="Arial"/>
                <w:szCs w:val="21"/>
              </w:rPr>
            </w:pPr>
            <w:r>
              <w:rPr>
                <w:rFonts w:hint="eastAsia" w:ascii="宋体" w:hAnsi="宋体" w:cs="Arial"/>
                <w:szCs w:val="21"/>
              </w:rPr>
              <w:t>标准分</w:t>
            </w:r>
          </w:p>
        </w:tc>
        <w:tc>
          <w:tcPr>
            <w:tcW w:w="3667" w:type="dxa"/>
            <w:gridSpan w:val="4"/>
            <w:tcBorders>
              <w:top w:val="single" w:color="auto" w:sz="4" w:space="0"/>
              <w:left w:val="single" w:color="auto" w:sz="4" w:space="0"/>
              <w:bottom w:val="single" w:color="auto" w:sz="4" w:space="0"/>
            </w:tcBorders>
            <w:vAlign w:val="center"/>
          </w:tcPr>
          <w:p>
            <w:pPr>
              <w:jc w:val="center"/>
              <w:rPr>
                <w:rFonts w:ascii="宋体" w:cs="Arial"/>
                <w:szCs w:val="21"/>
              </w:rPr>
            </w:pPr>
            <w:r>
              <w:rPr>
                <w:rFonts w:hint="eastAsia" w:ascii="宋体" w:hAnsi="宋体" w:cs="Arial"/>
                <w:szCs w:val="21"/>
              </w:rPr>
              <w:t>投标人名称及评审得分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1" w:hRule="atLeast"/>
          <w:tblHeader/>
        </w:trPr>
        <w:tc>
          <w:tcPr>
            <w:tcW w:w="706" w:type="dxa"/>
            <w:vMerge w:val="continue"/>
            <w:tcBorders>
              <w:top w:val="single" w:color="auto" w:sz="4" w:space="0"/>
              <w:bottom w:val="single" w:color="auto" w:sz="4" w:space="0"/>
              <w:right w:val="single" w:color="auto" w:sz="4" w:space="0"/>
            </w:tcBorders>
            <w:vAlign w:val="center"/>
          </w:tcPr>
          <w:p>
            <w:pPr>
              <w:widowControl/>
              <w:jc w:val="left"/>
              <w:rPr>
                <w:rFonts w:ascii="宋体" w:cs="Arial"/>
                <w:szCs w:val="21"/>
              </w:rPr>
            </w:pPr>
          </w:p>
        </w:tc>
        <w:tc>
          <w:tcPr>
            <w:tcW w:w="26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482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861" w:type="dxa"/>
            <w:vMerge w:val="continue"/>
            <w:tcBorders>
              <w:left w:val="single" w:color="auto" w:sz="4" w:space="0"/>
              <w:right w:val="single" w:color="auto" w:sz="4" w:space="0"/>
            </w:tcBorders>
            <w:vAlign w:val="center"/>
          </w:tcPr>
          <w:p>
            <w:pPr>
              <w:spacing w:before="60" w:beforeLines="25" w:after="60" w:afterLines="25"/>
              <w:jc w:val="center"/>
              <w:rPr>
                <w:rFonts w:ascii="宋体" w:cs="Arial"/>
                <w:szCs w:val="21"/>
              </w:rPr>
            </w:pPr>
          </w:p>
        </w:tc>
        <w:tc>
          <w:tcPr>
            <w:tcW w:w="1625" w:type="dxa"/>
            <w:gridSpan w:val="2"/>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p>
        </w:tc>
        <w:tc>
          <w:tcPr>
            <w:tcW w:w="2042" w:type="dxa"/>
            <w:gridSpan w:val="2"/>
            <w:tcBorders>
              <w:top w:val="single" w:color="auto" w:sz="4" w:space="0"/>
              <w:left w:val="single" w:color="auto" w:sz="4" w:space="0"/>
              <w:bottom w:val="single" w:color="auto" w:sz="4" w:space="0"/>
            </w:tcBorders>
            <w:vAlign w:val="center"/>
          </w:tcPr>
          <w:p>
            <w:pPr>
              <w:spacing w:before="60" w:beforeLines="25" w:after="60" w:afterLines="25"/>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1" w:hRule="atLeast"/>
          <w:tblHeader/>
        </w:trPr>
        <w:tc>
          <w:tcPr>
            <w:tcW w:w="706" w:type="dxa"/>
            <w:vMerge w:val="continue"/>
            <w:tcBorders>
              <w:top w:val="single" w:color="auto" w:sz="4" w:space="0"/>
              <w:bottom w:val="single" w:color="auto" w:sz="4" w:space="0"/>
              <w:right w:val="single" w:color="auto" w:sz="4" w:space="0"/>
            </w:tcBorders>
            <w:vAlign w:val="center"/>
          </w:tcPr>
          <w:p>
            <w:pPr>
              <w:widowControl/>
              <w:jc w:val="left"/>
              <w:rPr>
                <w:rFonts w:ascii="宋体" w:cs="Arial"/>
                <w:szCs w:val="21"/>
              </w:rPr>
            </w:pPr>
          </w:p>
        </w:tc>
        <w:tc>
          <w:tcPr>
            <w:tcW w:w="26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482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861" w:type="dxa"/>
            <w:vMerge w:val="continue"/>
            <w:tcBorders>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r>
              <w:rPr>
                <w:rFonts w:hint="eastAsia" w:ascii="宋体" w:hAnsi="宋体" w:cs="Arial"/>
                <w:szCs w:val="21"/>
              </w:rPr>
              <w:t>模块暗标编号</w:t>
            </w:r>
          </w:p>
        </w:tc>
        <w:tc>
          <w:tcPr>
            <w:tcW w:w="708"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r>
              <w:rPr>
                <w:rFonts w:hint="eastAsia" w:ascii="宋体" w:hAnsi="宋体" w:cs="Arial"/>
                <w:szCs w:val="21"/>
              </w:rPr>
              <w:t>得分</w:t>
            </w:r>
          </w:p>
        </w:tc>
        <w:tc>
          <w:tcPr>
            <w:tcW w:w="993"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r>
              <w:rPr>
                <w:rFonts w:hint="eastAsia" w:ascii="宋体" w:hAnsi="宋体" w:cs="Arial"/>
                <w:szCs w:val="21"/>
              </w:rPr>
              <w:t>模块暗标编号</w:t>
            </w:r>
          </w:p>
        </w:tc>
        <w:tc>
          <w:tcPr>
            <w:tcW w:w="1049" w:type="dxa"/>
            <w:tcBorders>
              <w:top w:val="single" w:color="auto" w:sz="4" w:space="0"/>
              <w:left w:val="single" w:color="auto" w:sz="4" w:space="0"/>
              <w:bottom w:val="single" w:color="auto" w:sz="4" w:space="0"/>
            </w:tcBorders>
            <w:vAlign w:val="center"/>
          </w:tcPr>
          <w:p>
            <w:pPr>
              <w:spacing w:before="60" w:beforeLines="25" w:after="60" w:afterLines="25"/>
              <w:jc w:val="center"/>
              <w:rPr>
                <w:rFonts w:ascii="宋体" w:cs="Arial"/>
                <w:szCs w:val="21"/>
              </w:rPr>
            </w:pPr>
            <w:r>
              <w:rPr>
                <w:rFonts w:hint="eastAsia" w:ascii="宋体" w:hAnsi="宋体" w:cs="Arial"/>
                <w:szCs w:val="21"/>
              </w:rPr>
              <w:t>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5" w:hRule="atLeast"/>
        </w:trPr>
        <w:tc>
          <w:tcPr>
            <w:tcW w:w="706" w:type="dxa"/>
            <w:vMerge w:val="restart"/>
            <w:tcBorders>
              <w:top w:val="nil"/>
              <w:bottom w:val="single" w:color="auto" w:sz="4" w:space="0"/>
              <w:right w:val="single" w:color="auto" w:sz="4" w:space="0"/>
            </w:tcBorders>
            <w:vAlign w:val="center"/>
          </w:tcPr>
          <w:p>
            <w:pPr>
              <w:spacing w:before="60" w:beforeLines="25" w:after="60" w:afterLines="25"/>
              <w:jc w:val="center"/>
              <w:rPr>
                <w:rFonts w:ascii="宋体" w:cs="Arial"/>
                <w:szCs w:val="21"/>
              </w:rPr>
            </w:pPr>
            <w:r>
              <w:rPr>
                <w:rFonts w:ascii="宋体" w:hAnsi="宋体" w:cs="Arial"/>
                <w:szCs w:val="21"/>
              </w:rPr>
              <w:t>1</w:t>
            </w:r>
          </w:p>
        </w:tc>
        <w:tc>
          <w:tcPr>
            <w:tcW w:w="2691" w:type="dxa"/>
            <w:vMerge w:val="restart"/>
            <w:tcBorders>
              <w:top w:val="nil"/>
              <w:left w:val="single" w:color="auto" w:sz="4" w:space="0"/>
              <w:bottom w:val="single" w:color="auto" w:sz="4" w:space="0"/>
              <w:right w:val="single" w:color="auto" w:sz="4" w:space="0"/>
            </w:tcBorders>
            <w:vAlign w:val="center"/>
          </w:tcPr>
          <w:p>
            <w:pPr>
              <w:spacing w:before="60" w:beforeLines="25" w:after="60" w:afterLines="25"/>
              <w:rPr>
                <w:rFonts w:ascii="宋体" w:cs="Arial"/>
                <w:szCs w:val="21"/>
              </w:rPr>
            </w:pPr>
            <w:r>
              <w:rPr>
                <w:rFonts w:hint="eastAsia" w:ascii="宋体" w:hAnsi="宋体"/>
                <w:szCs w:val="21"/>
              </w:rPr>
              <w:t>施工方案与技术措施</w:t>
            </w:r>
          </w:p>
        </w:tc>
        <w:tc>
          <w:tcPr>
            <w:tcW w:w="3970"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left"/>
              <w:rPr>
                <w:rFonts w:ascii="宋体" w:cs="Arial"/>
                <w:szCs w:val="21"/>
              </w:rPr>
            </w:pPr>
            <w:r>
              <w:rPr>
                <w:rFonts w:hint="eastAsia"/>
                <w:spacing w:val="-6"/>
                <w:szCs w:val="21"/>
              </w:rPr>
              <w:t>方案科学、合理、可行，针对性强；重点、难点分析全面；技术措施（包括季节性施工）可靠、有保障；资源投入能够满足本工程的施工需要。</w:t>
            </w:r>
          </w:p>
        </w:tc>
        <w:tc>
          <w:tcPr>
            <w:tcW w:w="85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right"/>
              <w:rPr>
                <w:rFonts w:ascii="宋体" w:cs="Arial"/>
                <w:szCs w:val="21"/>
              </w:rPr>
            </w:pPr>
            <w:r>
              <w:rPr>
                <w:rFonts w:hint="eastAsia" w:ascii="宋体" w:hAnsi="宋体"/>
                <w:szCs w:val="21"/>
              </w:rPr>
              <w:t>分</w:t>
            </w:r>
          </w:p>
        </w:tc>
        <w:tc>
          <w:tcPr>
            <w:tcW w:w="861" w:type="dxa"/>
            <w:vMerge w:val="restart"/>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p>
        </w:tc>
        <w:tc>
          <w:tcPr>
            <w:tcW w:w="917" w:type="dxa"/>
            <w:vMerge w:val="restart"/>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p>
        </w:tc>
        <w:tc>
          <w:tcPr>
            <w:tcW w:w="993" w:type="dxa"/>
            <w:vMerge w:val="restart"/>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p>
        </w:tc>
        <w:tc>
          <w:tcPr>
            <w:tcW w:w="1049" w:type="dxa"/>
            <w:vMerge w:val="restart"/>
            <w:tcBorders>
              <w:top w:val="single" w:color="auto" w:sz="4" w:space="0"/>
              <w:left w:val="single" w:color="auto" w:sz="4" w:space="0"/>
              <w:bottom w:val="single" w:color="auto" w:sz="4" w:space="0"/>
            </w:tcBorders>
            <w:vAlign w:val="center"/>
          </w:tcPr>
          <w:p>
            <w:pPr>
              <w:spacing w:before="60" w:beforeLines="25" w:after="60" w:afterLines="25"/>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5" w:hRule="atLeast"/>
        </w:trPr>
        <w:tc>
          <w:tcPr>
            <w:tcW w:w="706" w:type="dxa"/>
            <w:vMerge w:val="continue"/>
            <w:tcBorders>
              <w:top w:val="nil"/>
              <w:bottom w:val="single" w:color="auto" w:sz="4" w:space="0"/>
              <w:right w:val="single" w:color="auto" w:sz="4" w:space="0"/>
            </w:tcBorders>
            <w:vAlign w:val="center"/>
          </w:tcPr>
          <w:p>
            <w:pPr>
              <w:widowControl/>
              <w:jc w:val="left"/>
              <w:rPr>
                <w:rFonts w:ascii="宋体" w:cs="Arial"/>
                <w:szCs w:val="21"/>
              </w:rPr>
            </w:pPr>
          </w:p>
        </w:tc>
        <w:tc>
          <w:tcPr>
            <w:tcW w:w="26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3970"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left"/>
              <w:rPr>
                <w:rFonts w:ascii="宋体" w:hAnsi="宋体" w:cs="Arial"/>
                <w:szCs w:val="21"/>
              </w:rPr>
            </w:pPr>
            <w:r>
              <w:rPr>
                <w:rFonts w:hint="eastAsia"/>
                <w:spacing w:val="-6"/>
                <w:szCs w:val="21"/>
              </w:rPr>
              <w:t>方案科学、合理、可行，针对性较强；重点、难点分析较全面；技术措施（包括季节性施工）较可靠、有保障；资源投入基本满足本工程的施工需要。</w:t>
            </w:r>
          </w:p>
        </w:tc>
        <w:tc>
          <w:tcPr>
            <w:tcW w:w="85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right"/>
              <w:rPr>
                <w:rFonts w:ascii="宋体" w:cs="Arial"/>
                <w:szCs w:val="21"/>
              </w:rPr>
            </w:pPr>
            <w:r>
              <w:rPr>
                <w:rFonts w:hint="eastAsia" w:ascii="宋体" w:hAnsi="宋体"/>
                <w:szCs w:val="21"/>
              </w:rPr>
              <w:t>分</w:t>
            </w:r>
          </w:p>
        </w:tc>
        <w:tc>
          <w:tcPr>
            <w:tcW w:w="8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1049" w:type="dxa"/>
            <w:vMerge w:val="continue"/>
            <w:tcBorders>
              <w:top w:val="single" w:color="auto" w:sz="4" w:space="0"/>
              <w:left w:val="single" w:color="auto" w:sz="4" w:space="0"/>
              <w:bottom w:val="single" w:color="auto" w:sz="4" w:space="0"/>
            </w:tcBorders>
            <w:vAlign w:val="center"/>
          </w:tcPr>
          <w:p>
            <w:pPr>
              <w:widowControl/>
              <w:jc w:val="left"/>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706" w:type="dxa"/>
            <w:vMerge w:val="continue"/>
            <w:tcBorders>
              <w:top w:val="nil"/>
              <w:bottom w:val="single" w:color="auto" w:sz="4" w:space="0"/>
              <w:right w:val="single" w:color="auto" w:sz="4" w:space="0"/>
            </w:tcBorders>
            <w:vAlign w:val="center"/>
          </w:tcPr>
          <w:p>
            <w:pPr>
              <w:widowControl/>
              <w:jc w:val="left"/>
              <w:rPr>
                <w:rFonts w:ascii="宋体" w:cs="Arial"/>
                <w:szCs w:val="21"/>
              </w:rPr>
            </w:pPr>
          </w:p>
        </w:tc>
        <w:tc>
          <w:tcPr>
            <w:tcW w:w="26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3970"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left"/>
              <w:rPr>
                <w:rFonts w:ascii="宋体" w:cs="Arial"/>
                <w:szCs w:val="21"/>
              </w:rPr>
            </w:pPr>
            <w:r>
              <w:rPr>
                <w:rFonts w:hint="eastAsia"/>
                <w:spacing w:val="-6"/>
                <w:szCs w:val="21"/>
              </w:rPr>
              <w:t>方案一般，重点、难点分析不全面；资源投入基本满足本工程施工需要。</w:t>
            </w:r>
          </w:p>
        </w:tc>
        <w:tc>
          <w:tcPr>
            <w:tcW w:w="85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right"/>
              <w:rPr>
                <w:rFonts w:ascii="宋体" w:cs="Arial"/>
                <w:szCs w:val="21"/>
              </w:rPr>
            </w:pPr>
            <w:r>
              <w:rPr>
                <w:rFonts w:hint="eastAsia" w:ascii="宋体" w:hAnsi="宋体"/>
                <w:szCs w:val="21"/>
              </w:rPr>
              <w:t>分</w:t>
            </w:r>
          </w:p>
        </w:tc>
        <w:tc>
          <w:tcPr>
            <w:tcW w:w="8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1049" w:type="dxa"/>
            <w:vMerge w:val="continue"/>
            <w:tcBorders>
              <w:top w:val="single" w:color="auto" w:sz="4" w:space="0"/>
              <w:left w:val="single" w:color="auto" w:sz="4" w:space="0"/>
              <w:bottom w:val="single" w:color="auto" w:sz="4" w:space="0"/>
            </w:tcBorders>
            <w:vAlign w:val="center"/>
          </w:tcPr>
          <w:p>
            <w:pPr>
              <w:widowControl/>
              <w:jc w:val="left"/>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6" w:hRule="atLeast"/>
        </w:trPr>
        <w:tc>
          <w:tcPr>
            <w:tcW w:w="706" w:type="dxa"/>
            <w:vMerge w:val="restart"/>
            <w:tcBorders>
              <w:top w:val="nil"/>
              <w:bottom w:val="single" w:color="auto" w:sz="4" w:space="0"/>
              <w:right w:val="single" w:color="auto" w:sz="4" w:space="0"/>
            </w:tcBorders>
            <w:vAlign w:val="center"/>
          </w:tcPr>
          <w:p>
            <w:pPr>
              <w:spacing w:before="60" w:beforeLines="25" w:after="60" w:afterLines="25"/>
              <w:jc w:val="center"/>
              <w:rPr>
                <w:rFonts w:ascii="宋体" w:cs="Arial"/>
                <w:szCs w:val="21"/>
              </w:rPr>
            </w:pPr>
            <w:r>
              <w:rPr>
                <w:rFonts w:ascii="宋体" w:hAnsi="宋体" w:cs="Arial"/>
                <w:szCs w:val="21"/>
              </w:rPr>
              <w:t>2</w:t>
            </w:r>
          </w:p>
        </w:tc>
        <w:tc>
          <w:tcPr>
            <w:tcW w:w="2691" w:type="dxa"/>
            <w:vMerge w:val="restart"/>
            <w:tcBorders>
              <w:top w:val="nil"/>
              <w:left w:val="single" w:color="auto" w:sz="4" w:space="0"/>
              <w:bottom w:val="single" w:color="auto" w:sz="4" w:space="0"/>
              <w:right w:val="single" w:color="auto" w:sz="4" w:space="0"/>
            </w:tcBorders>
            <w:vAlign w:val="center"/>
          </w:tcPr>
          <w:p>
            <w:pPr>
              <w:spacing w:before="60" w:beforeLines="25" w:after="60" w:afterLines="25"/>
              <w:rPr>
                <w:rFonts w:ascii="宋体" w:cs="Arial"/>
                <w:szCs w:val="21"/>
              </w:rPr>
            </w:pPr>
            <w:r>
              <w:rPr>
                <w:rFonts w:hint="eastAsia"/>
                <w:szCs w:val="21"/>
              </w:rPr>
              <w:t>质量目标和质量保证措施</w:t>
            </w:r>
          </w:p>
        </w:tc>
        <w:tc>
          <w:tcPr>
            <w:tcW w:w="3970"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left"/>
              <w:rPr>
                <w:rFonts w:ascii="宋体" w:cs="Arial"/>
                <w:szCs w:val="21"/>
              </w:rPr>
            </w:pPr>
            <w:r>
              <w:rPr>
                <w:rFonts w:hint="eastAsia"/>
                <w:szCs w:val="21"/>
              </w:rPr>
              <w:t>质量目标符合招标文件的要求，质量控制计划和保障措施科学、合理、有效。</w:t>
            </w:r>
          </w:p>
        </w:tc>
        <w:tc>
          <w:tcPr>
            <w:tcW w:w="85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right"/>
              <w:rPr>
                <w:rFonts w:ascii="宋体" w:cs="Arial"/>
                <w:szCs w:val="21"/>
              </w:rPr>
            </w:pPr>
            <w:r>
              <w:rPr>
                <w:rFonts w:hint="eastAsia" w:ascii="宋体" w:hAnsi="宋体"/>
                <w:szCs w:val="21"/>
              </w:rPr>
              <w:t>分</w:t>
            </w:r>
          </w:p>
        </w:tc>
        <w:tc>
          <w:tcPr>
            <w:tcW w:w="861" w:type="dxa"/>
            <w:vMerge w:val="restart"/>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p>
        </w:tc>
        <w:tc>
          <w:tcPr>
            <w:tcW w:w="917" w:type="dxa"/>
            <w:vMerge w:val="restart"/>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p>
        </w:tc>
        <w:tc>
          <w:tcPr>
            <w:tcW w:w="993" w:type="dxa"/>
            <w:vMerge w:val="restart"/>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p>
        </w:tc>
        <w:tc>
          <w:tcPr>
            <w:tcW w:w="1049" w:type="dxa"/>
            <w:vMerge w:val="restart"/>
            <w:tcBorders>
              <w:top w:val="single" w:color="auto" w:sz="4" w:space="0"/>
              <w:left w:val="single" w:color="auto" w:sz="4" w:space="0"/>
              <w:bottom w:val="single" w:color="auto" w:sz="4" w:space="0"/>
            </w:tcBorders>
            <w:vAlign w:val="center"/>
          </w:tcPr>
          <w:p>
            <w:pPr>
              <w:spacing w:before="60" w:beforeLines="25" w:after="60" w:afterLines="25"/>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4" w:hRule="atLeast"/>
        </w:trPr>
        <w:tc>
          <w:tcPr>
            <w:tcW w:w="706" w:type="dxa"/>
            <w:vMerge w:val="continue"/>
            <w:tcBorders>
              <w:top w:val="nil"/>
              <w:bottom w:val="single" w:color="auto" w:sz="4" w:space="0"/>
              <w:right w:val="single" w:color="auto" w:sz="4" w:space="0"/>
            </w:tcBorders>
            <w:vAlign w:val="center"/>
          </w:tcPr>
          <w:p>
            <w:pPr>
              <w:widowControl/>
              <w:jc w:val="left"/>
              <w:rPr>
                <w:rFonts w:ascii="宋体" w:cs="Arial"/>
                <w:szCs w:val="21"/>
              </w:rPr>
            </w:pPr>
          </w:p>
        </w:tc>
        <w:tc>
          <w:tcPr>
            <w:tcW w:w="26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3970"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left"/>
              <w:rPr>
                <w:rFonts w:ascii="宋体" w:cs="Arial"/>
                <w:szCs w:val="21"/>
              </w:rPr>
            </w:pPr>
            <w:r>
              <w:rPr>
                <w:rFonts w:hint="eastAsia"/>
                <w:szCs w:val="21"/>
              </w:rPr>
              <w:t>质量计划和保障措施较合理</w:t>
            </w:r>
            <w:r>
              <w:rPr>
                <w:rFonts w:hint="eastAsia"/>
                <w:spacing w:val="-6"/>
                <w:szCs w:val="21"/>
              </w:rPr>
              <w:t>，但细节待完善。</w:t>
            </w:r>
          </w:p>
        </w:tc>
        <w:tc>
          <w:tcPr>
            <w:tcW w:w="85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right"/>
              <w:rPr>
                <w:rFonts w:ascii="宋体" w:cs="Arial"/>
                <w:szCs w:val="21"/>
              </w:rPr>
            </w:pPr>
            <w:r>
              <w:rPr>
                <w:rFonts w:hint="eastAsia" w:ascii="宋体" w:hAnsi="宋体"/>
                <w:szCs w:val="21"/>
              </w:rPr>
              <w:t>分</w:t>
            </w:r>
          </w:p>
        </w:tc>
        <w:tc>
          <w:tcPr>
            <w:tcW w:w="8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1049" w:type="dxa"/>
            <w:vMerge w:val="continue"/>
            <w:tcBorders>
              <w:top w:val="single" w:color="auto" w:sz="4" w:space="0"/>
              <w:left w:val="single" w:color="auto" w:sz="4" w:space="0"/>
              <w:bottom w:val="single" w:color="auto" w:sz="4" w:space="0"/>
            </w:tcBorders>
            <w:vAlign w:val="center"/>
          </w:tcPr>
          <w:p>
            <w:pPr>
              <w:widowControl/>
              <w:jc w:val="left"/>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8" w:hRule="atLeast"/>
        </w:trPr>
        <w:tc>
          <w:tcPr>
            <w:tcW w:w="706" w:type="dxa"/>
            <w:vMerge w:val="continue"/>
            <w:tcBorders>
              <w:top w:val="nil"/>
              <w:bottom w:val="single" w:color="auto" w:sz="4" w:space="0"/>
              <w:right w:val="single" w:color="auto" w:sz="4" w:space="0"/>
            </w:tcBorders>
            <w:vAlign w:val="center"/>
          </w:tcPr>
          <w:p>
            <w:pPr>
              <w:widowControl/>
              <w:jc w:val="left"/>
              <w:rPr>
                <w:rFonts w:ascii="宋体" w:cs="Arial"/>
                <w:szCs w:val="21"/>
              </w:rPr>
            </w:pPr>
          </w:p>
        </w:tc>
        <w:tc>
          <w:tcPr>
            <w:tcW w:w="26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3970"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left"/>
              <w:rPr>
                <w:rFonts w:ascii="宋体" w:cs="Arial"/>
                <w:szCs w:val="21"/>
              </w:rPr>
            </w:pPr>
            <w:r>
              <w:rPr>
                <w:rFonts w:hint="eastAsia"/>
                <w:szCs w:val="21"/>
              </w:rPr>
              <w:t>质量计划和保障措施一般。</w:t>
            </w:r>
          </w:p>
        </w:tc>
        <w:tc>
          <w:tcPr>
            <w:tcW w:w="85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right"/>
              <w:rPr>
                <w:rFonts w:ascii="宋体" w:cs="Arial"/>
                <w:szCs w:val="21"/>
              </w:rPr>
            </w:pPr>
            <w:r>
              <w:rPr>
                <w:rFonts w:hint="eastAsia" w:ascii="宋体" w:hAnsi="宋体"/>
                <w:szCs w:val="21"/>
              </w:rPr>
              <w:t>分</w:t>
            </w:r>
          </w:p>
        </w:tc>
        <w:tc>
          <w:tcPr>
            <w:tcW w:w="8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1049" w:type="dxa"/>
            <w:vMerge w:val="continue"/>
            <w:tcBorders>
              <w:top w:val="single" w:color="auto" w:sz="4" w:space="0"/>
              <w:left w:val="single" w:color="auto" w:sz="4" w:space="0"/>
              <w:bottom w:val="single" w:color="auto" w:sz="4" w:space="0"/>
            </w:tcBorders>
            <w:vAlign w:val="center"/>
          </w:tcPr>
          <w:p>
            <w:pPr>
              <w:widowControl/>
              <w:jc w:val="left"/>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5" w:hRule="atLeast"/>
        </w:trPr>
        <w:tc>
          <w:tcPr>
            <w:tcW w:w="706" w:type="dxa"/>
            <w:vMerge w:val="restart"/>
            <w:tcBorders>
              <w:top w:val="nil"/>
              <w:bottom w:val="single" w:color="auto" w:sz="4" w:space="0"/>
              <w:right w:val="single" w:color="auto" w:sz="4" w:space="0"/>
            </w:tcBorders>
            <w:vAlign w:val="center"/>
          </w:tcPr>
          <w:p>
            <w:pPr>
              <w:spacing w:before="60" w:beforeLines="25" w:after="60" w:afterLines="25"/>
              <w:jc w:val="center"/>
              <w:rPr>
                <w:rFonts w:ascii="宋体" w:cs="Arial"/>
                <w:szCs w:val="21"/>
              </w:rPr>
            </w:pPr>
            <w:r>
              <w:rPr>
                <w:rFonts w:ascii="宋体" w:hAnsi="宋体" w:cs="Arial"/>
                <w:szCs w:val="21"/>
              </w:rPr>
              <w:t>3</w:t>
            </w:r>
          </w:p>
        </w:tc>
        <w:tc>
          <w:tcPr>
            <w:tcW w:w="2691" w:type="dxa"/>
            <w:vMerge w:val="restart"/>
            <w:tcBorders>
              <w:top w:val="nil"/>
              <w:left w:val="single" w:color="auto" w:sz="4" w:space="0"/>
              <w:bottom w:val="single" w:color="auto" w:sz="4" w:space="0"/>
              <w:right w:val="single" w:color="auto" w:sz="4" w:space="0"/>
            </w:tcBorders>
            <w:vAlign w:val="center"/>
          </w:tcPr>
          <w:p>
            <w:pPr>
              <w:spacing w:before="60" w:beforeLines="25" w:after="60" w:afterLines="25"/>
              <w:jc w:val="left"/>
              <w:rPr>
                <w:rFonts w:ascii="宋体" w:cs="Arial"/>
                <w:szCs w:val="21"/>
              </w:rPr>
            </w:pPr>
            <w:r>
              <w:rPr>
                <w:rFonts w:hint="eastAsia"/>
                <w:szCs w:val="21"/>
              </w:rPr>
              <w:t>施工总体进度计划及保证措施</w:t>
            </w:r>
          </w:p>
        </w:tc>
        <w:tc>
          <w:tcPr>
            <w:tcW w:w="3970"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left"/>
              <w:rPr>
                <w:rFonts w:ascii="宋体" w:cs="Arial"/>
                <w:szCs w:val="21"/>
              </w:rPr>
            </w:pPr>
            <w:r>
              <w:rPr>
                <w:rFonts w:hint="eastAsia"/>
                <w:szCs w:val="21"/>
              </w:rPr>
              <w:t>计划科学、合理，满足</w:t>
            </w:r>
            <w:r>
              <w:rPr>
                <w:rFonts w:hint="eastAsia"/>
                <w:spacing w:val="-6"/>
                <w:szCs w:val="21"/>
              </w:rPr>
              <w:t>本招标工程的工期要求；</w:t>
            </w:r>
            <w:r>
              <w:rPr>
                <w:rFonts w:hint="eastAsia"/>
                <w:szCs w:val="21"/>
              </w:rPr>
              <w:t>保障措施科学、合理、可行，针对性强。</w:t>
            </w:r>
          </w:p>
        </w:tc>
        <w:tc>
          <w:tcPr>
            <w:tcW w:w="85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right"/>
              <w:rPr>
                <w:rFonts w:ascii="宋体" w:cs="Arial"/>
                <w:szCs w:val="21"/>
              </w:rPr>
            </w:pPr>
            <w:r>
              <w:rPr>
                <w:rFonts w:hint="eastAsia" w:ascii="宋体" w:hAnsi="宋体"/>
                <w:szCs w:val="21"/>
              </w:rPr>
              <w:t>分</w:t>
            </w:r>
          </w:p>
        </w:tc>
        <w:tc>
          <w:tcPr>
            <w:tcW w:w="861" w:type="dxa"/>
            <w:vMerge w:val="restart"/>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p>
        </w:tc>
        <w:tc>
          <w:tcPr>
            <w:tcW w:w="917" w:type="dxa"/>
            <w:vMerge w:val="restart"/>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p>
        </w:tc>
        <w:tc>
          <w:tcPr>
            <w:tcW w:w="993" w:type="dxa"/>
            <w:vMerge w:val="restart"/>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p>
        </w:tc>
        <w:tc>
          <w:tcPr>
            <w:tcW w:w="1049" w:type="dxa"/>
            <w:vMerge w:val="restart"/>
            <w:tcBorders>
              <w:top w:val="single" w:color="auto" w:sz="4" w:space="0"/>
              <w:left w:val="single" w:color="auto" w:sz="4" w:space="0"/>
              <w:bottom w:val="single" w:color="auto" w:sz="4" w:space="0"/>
            </w:tcBorders>
            <w:vAlign w:val="center"/>
          </w:tcPr>
          <w:p>
            <w:pPr>
              <w:spacing w:before="60" w:beforeLines="25" w:after="60" w:afterLines="25"/>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0" w:hRule="atLeast"/>
        </w:trPr>
        <w:tc>
          <w:tcPr>
            <w:tcW w:w="706" w:type="dxa"/>
            <w:vMerge w:val="continue"/>
            <w:tcBorders>
              <w:top w:val="nil"/>
              <w:bottom w:val="single" w:color="auto" w:sz="4" w:space="0"/>
              <w:right w:val="single" w:color="auto" w:sz="4" w:space="0"/>
            </w:tcBorders>
            <w:vAlign w:val="center"/>
          </w:tcPr>
          <w:p>
            <w:pPr>
              <w:widowControl/>
              <w:jc w:val="left"/>
              <w:rPr>
                <w:rFonts w:ascii="宋体" w:cs="Arial"/>
                <w:szCs w:val="21"/>
              </w:rPr>
            </w:pPr>
          </w:p>
        </w:tc>
        <w:tc>
          <w:tcPr>
            <w:tcW w:w="26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3970"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left"/>
              <w:rPr>
                <w:rFonts w:ascii="宋体" w:cs="Arial"/>
                <w:szCs w:val="21"/>
              </w:rPr>
            </w:pPr>
            <w:r>
              <w:rPr>
                <w:rFonts w:hint="eastAsia"/>
                <w:szCs w:val="21"/>
              </w:rPr>
              <w:t>计划较合理，保障措施基本可行</w:t>
            </w:r>
            <w:r>
              <w:rPr>
                <w:rFonts w:hint="eastAsia"/>
                <w:spacing w:val="-6"/>
                <w:szCs w:val="21"/>
              </w:rPr>
              <w:t>，但细节待完善。</w:t>
            </w:r>
          </w:p>
        </w:tc>
        <w:tc>
          <w:tcPr>
            <w:tcW w:w="85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right"/>
              <w:rPr>
                <w:rFonts w:ascii="宋体" w:cs="Arial"/>
                <w:szCs w:val="21"/>
              </w:rPr>
            </w:pPr>
            <w:r>
              <w:rPr>
                <w:rFonts w:hint="eastAsia" w:ascii="宋体" w:hAnsi="宋体"/>
                <w:szCs w:val="21"/>
              </w:rPr>
              <w:t>分</w:t>
            </w:r>
          </w:p>
        </w:tc>
        <w:tc>
          <w:tcPr>
            <w:tcW w:w="8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1049" w:type="dxa"/>
            <w:vMerge w:val="continue"/>
            <w:tcBorders>
              <w:top w:val="single" w:color="auto" w:sz="4" w:space="0"/>
              <w:left w:val="single" w:color="auto" w:sz="4" w:space="0"/>
              <w:bottom w:val="single" w:color="auto" w:sz="4" w:space="0"/>
            </w:tcBorders>
            <w:vAlign w:val="center"/>
          </w:tcPr>
          <w:p>
            <w:pPr>
              <w:widowControl/>
              <w:jc w:val="left"/>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5" w:hRule="atLeast"/>
        </w:trPr>
        <w:tc>
          <w:tcPr>
            <w:tcW w:w="706" w:type="dxa"/>
            <w:vMerge w:val="continue"/>
            <w:tcBorders>
              <w:top w:val="nil"/>
              <w:bottom w:val="single" w:color="auto" w:sz="4" w:space="0"/>
              <w:right w:val="single" w:color="auto" w:sz="4" w:space="0"/>
            </w:tcBorders>
            <w:vAlign w:val="center"/>
          </w:tcPr>
          <w:p>
            <w:pPr>
              <w:widowControl/>
              <w:jc w:val="left"/>
              <w:rPr>
                <w:rFonts w:ascii="宋体" w:cs="Arial"/>
                <w:szCs w:val="21"/>
              </w:rPr>
            </w:pPr>
          </w:p>
        </w:tc>
        <w:tc>
          <w:tcPr>
            <w:tcW w:w="26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3970"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left"/>
              <w:rPr>
                <w:rFonts w:ascii="宋体" w:cs="Arial"/>
                <w:szCs w:val="21"/>
              </w:rPr>
            </w:pPr>
            <w:r>
              <w:rPr>
                <w:rFonts w:hint="eastAsia"/>
                <w:szCs w:val="21"/>
              </w:rPr>
              <w:t>计划基本合理，保障措施一般。</w:t>
            </w:r>
          </w:p>
        </w:tc>
        <w:tc>
          <w:tcPr>
            <w:tcW w:w="85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right"/>
              <w:rPr>
                <w:rFonts w:ascii="宋体" w:cs="Arial"/>
                <w:szCs w:val="21"/>
              </w:rPr>
            </w:pPr>
            <w:r>
              <w:rPr>
                <w:rFonts w:hint="eastAsia" w:ascii="宋体" w:hAnsi="宋体"/>
                <w:szCs w:val="21"/>
              </w:rPr>
              <w:t>分</w:t>
            </w:r>
          </w:p>
        </w:tc>
        <w:tc>
          <w:tcPr>
            <w:tcW w:w="8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1049" w:type="dxa"/>
            <w:vMerge w:val="continue"/>
            <w:tcBorders>
              <w:top w:val="single" w:color="auto" w:sz="4" w:space="0"/>
              <w:left w:val="single" w:color="auto" w:sz="4" w:space="0"/>
              <w:bottom w:val="single" w:color="auto" w:sz="4" w:space="0"/>
            </w:tcBorders>
            <w:vAlign w:val="center"/>
          </w:tcPr>
          <w:p>
            <w:pPr>
              <w:widowControl/>
              <w:jc w:val="left"/>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5" w:hRule="atLeast"/>
        </w:trPr>
        <w:tc>
          <w:tcPr>
            <w:tcW w:w="706" w:type="dxa"/>
            <w:vMerge w:val="restart"/>
            <w:tcBorders>
              <w:top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r>
              <w:rPr>
                <w:rFonts w:ascii="宋体" w:hAnsi="宋体" w:cs="Arial"/>
                <w:szCs w:val="21"/>
              </w:rPr>
              <w:t>4</w:t>
            </w:r>
          </w:p>
        </w:tc>
        <w:tc>
          <w:tcPr>
            <w:tcW w:w="2691" w:type="dxa"/>
            <w:vMerge w:val="restart"/>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left"/>
              <w:rPr>
                <w:rFonts w:ascii="宋体" w:cs="Arial"/>
                <w:szCs w:val="21"/>
              </w:rPr>
            </w:pPr>
            <w:r>
              <w:rPr>
                <w:rFonts w:hint="eastAsia"/>
                <w:szCs w:val="21"/>
              </w:rPr>
              <w:t>安全和文明施工保障措施</w:t>
            </w:r>
          </w:p>
        </w:tc>
        <w:tc>
          <w:tcPr>
            <w:tcW w:w="3970"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left"/>
              <w:rPr>
                <w:rFonts w:ascii="宋体" w:cs="Arial"/>
                <w:szCs w:val="21"/>
              </w:rPr>
            </w:pPr>
            <w:r>
              <w:rPr>
                <w:rFonts w:hint="eastAsia"/>
                <w:szCs w:val="21"/>
              </w:rPr>
              <w:t>措施科学、合理、可靠，针对性强。</w:t>
            </w:r>
          </w:p>
        </w:tc>
        <w:tc>
          <w:tcPr>
            <w:tcW w:w="85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right"/>
              <w:rPr>
                <w:rFonts w:ascii="宋体" w:cs="Arial"/>
                <w:szCs w:val="21"/>
              </w:rPr>
            </w:pPr>
            <w:r>
              <w:rPr>
                <w:rFonts w:hint="eastAsia" w:ascii="宋体" w:hAnsi="宋体"/>
                <w:szCs w:val="21"/>
              </w:rPr>
              <w:t>分</w:t>
            </w:r>
          </w:p>
        </w:tc>
        <w:tc>
          <w:tcPr>
            <w:tcW w:w="861" w:type="dxa"/>
            <w:vMerge w:val="restart"/>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p>
        </w:tc>
        <w:tc>
          <w:tcPr>
            <w:tcW w:w="917" w:type="dxa"/>
            <w:vMerge w:val="restart"/>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p>
        </w:tc>
        <w:tc>
          <w:tcPr>
            <w:tcW w:w="993" w:type="dxa"/>
            <w:vMerge w:val="restart"/>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p>
        </w:tc>
        <w:tc>
          <w:tcPr>
            <w:tcW w:w="1049" w:type="dxa"/>
            <w:vMerge w:val="restart"/>
            <w:tcBorders>
              <w:top w:val="single" w:color="auto" w:sz="4" w:space="0"/>
              <w:left w:val="single" w:color="auto" w:sz="4" w:space="0"/>
              <w:bottom w:val="single" w:color="auto" w:sz="4" w:space="0"/>
            </w:tcBorders>
            <w:vAlign w:val="center"/>
          </w:tcPr>
          <w:p>
            <w:pPr>
              <w:spacing w:before="60" w:beforeLines="25" w:after="60" w:afterLines="25"/>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trPr>
        <w:tc>
          <w:tcPr>
            <w:tcW w:w="706" w:type="dxa"/>
            <w:vMerge w:val="continue"/>
            <w:tcBorders>
              <w:top w:val="single" w:color="auto" w:sz="4" w:space="0"/>
              <w:bottom w:val="single" w:color="auto" w:sz="4" w:space="0"/>
              <w:right w:val="single" w:color="auto" w:sz="4" w:space="0"/>
            </w:tcBorders>
            <w:vAlign w:val="center"/>
          </w:tcPr>
          <w:p>
            <w:pPr>
              <w:widowControl/>
              <w:jc w:val="left"/>
              <w:rPr>
                <w:rFonts w:ascii="宋体" w:cs="Arial"/>
                <w:szCs w:val="21"/>
              </w:rPr>
            </w:pPr>
          </w:p>
        </w:tc>
        <w:tc>
          <w:tcPr>
            <w:tcW w:w="26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3970"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left"/>
              <w:rPr>
                <w:rFonts w:ascii="宋体" w:cs="Arial"/>
                <w:szCs w:val="21"/>
              </w:rPr>
            </w:pPr>
            <w:r>
              <w:rPr>
                <w:rFonts w:hint="eastAsia"/>
                <w:szCs w:val="21"/>
              </w:rPr>
              <w:t>措施合理，针对性较强。</w:t>
            </w:r>
          </w:p>
        </w:tc>
        <w:tc>
          <w:tcPr>
            <w:tcW w:w="85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right"/>
              <w:rPr>
                <w:rFonts w:ascii="宋体" w:cs="Arial"/>
                <w:szCs w:val="21"/>
              </w:rPr>
            </w:pPr>
            <w:r>
              <w:rPr>
                <w:rFonts w:hint="eastAsia" w:ascii="宋体" w:hAnsi="宋体"/>
                <w:szCs w:val="21"/>
              </w:rPr>
              <w:t>分</w:t>
            </w:r>
          </w:p>
        </w:tc>
        <w:tc>
          <w:tcPr>
            <w:tcW w:w="8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1049" w:type="dxa"/>
            <w:vMerge w:val="continue"/>
            <w:tcBorders>
              <w:top w:val="single" w:color="auto" w:sz="4" w:space="0"/>
              <w:left w:val="single" w:color="auto" w:sz="4" w:space="0"/>
              <w:bottom w:val="single" w:color="auto" w:sz="4" w:space="0"/>
            </w:tcBorders>
            <w:vAlign w:val="center"/>
          </w:tcPr>
          <w:p>
            <w:pPr>
              <w:widowControl/>
              <w:jc w:val="left"/>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6" w:hRule="atLeast"/>
        </w:trPr>
        <w:tc>
          <w:tcPr>
            <w:tcW w:w="706" w:type="dxa"/>
            <w:vMerge w:val="continue"/>
            <w:tcBorders>
              <w:top w:val="single" w:color="auto" w:sz="4" w:space="0"/>
              <w:bottom w:val="single" w:color="auto" w:sz="4" w:space="0"/>
              <w:right w:val="single" w:color="auto" w:sz="4" w:space="0"/>
            </w:tcBorders>
            <w:vAlign w:val="center"/>
          </w:tcPr>
          <w:p>
            <w:pPr>
              <w:widowControl/>
              <w:jc w:val="left"/>
              <w:rPr>
                <w:rFonts w:ascii="宋体" w:cs="Arial"/>
                <w:szCs w:val="21"/>
              </w:rPr>
            </w:pPr>
          </w:p>
        </w:tc>
        <w:tc>
          <w:tcPr>
            <w:tcW w:w="26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3970"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left"/>
              <w:rPr>
                <w:rFonts w:ascii="宋体" w:cs="Arial"/>
                <w:szCs w:val="21"/>
              </w:rPr>
            </w:pPr>
            <w:r>
              <w:rPr>
                <w:rFonts w:hint="eastAsia"/>
                <w:szCs w:val="21"/>
              </w:rPr>
              <w:t>措施一般。</w:t>
            </w:r>
          </w:p>
        </w:tc>
        <w:tc>
          <w:tcPr>
            <w:tcW w:w="85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right"/>
              <w:rPr>
                <w:rFonts w:ascii="宋体" w:cs="Arial"/>
                <w:szCs w:val="21"/>
              </w:rPr>
            </w:pPr>
            <w:r>
              <w:rPr>
                <w:rFonts w:hint="eastAsia" w:ascii="宋体" w:hAnsi="宋体"/>
                <w:szCs w:val="21"/>
              </w:rPr>
              <w:t>分</w:t>
            </w:r>
          </w:p>
        </w:tc>
        <w:tc>
          <w:tcPr>
            <w:tcW w:w="8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1049" w:type="dxa"/>
            <w:vMerge w:val="continue"/>
            <w:tcBorders>
              <w:top w:val="single" w:color="auto" w:sz="4" w:space="0"/>
              <w:left w:val="single" w:color="auto" w:sz="4" w:space="0"/>
              <w:bottom w:val="single" w:color="auto" w:sz="4" w:space="0"/>
            </w:tcBorders>
            <w:vAlign w:val="center"/>
          </w:tcPr>
          <w:p>
            <w:pPr>
              <w:widowControl/>
              <w:jc w:val="left"/>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11" w:hRule="atLeast"/>
        </w:trPr>
        <w:tc>
          <w:tcPr>
            <w:tcW w:w="706" w:type="dxa"/>
            <w:vMerge w:val="restart"/>
            <w:tcBorders>
              <w:top w:val="single" w:color="auto" w:sz="4" w:space="0"/>
              <w:bottom w:val="single" w:color="auto" w:sz="4" w:space="0"/>
              <w:right w:val="single" w:color="auto" w:sz="4" w:space="0"/>
            </w:tcBorders>
            <w:vAlign w:val="center"/>
          </w:tcPr>
          <w:p>
            <w:pPr>
              <w:spacing w:before="60" w:beforeLines="25" w:after="60" w:afterLines="25"/>
              <w:jc w:val="center"/>
              <w:rPr>
                <w:rFonts w:ascii="宋体"/>
                <w:szCs w:val="21"/>
              </w:rPr>
            </w:pPr>
            <w:r>
              <w:rPr>
                <w:rFonts w:ascii="宋体" w:hAnsi="宋体"/>
                <w:szCs w:val="21"/>
              </w:rPr>
              <w:t>5</w:t>
            </w:r>
          </w:p>
        </w:tc>
        <w:tc>
          <w:tcPr>
            <w:tcW w:w="2691" w:type="dxa"/>
            <w:vMerge w:val="restart"/>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left"/>
              <w:rPr>
                <w:rFonts w:ascii="宋体"/>
                <w:szCs w:val="21"/>
              </w:rPr>
            </w:pPr>
            <w:r>
              <w:rPr>
                <w:rFonts w:hint="eastAsia"/>
                <w:szCs w:val="21"/>
              </w:rPr>
              <w:t>现场组织管理机构和劳动力计划及保障措施</w:t>
            </w:r>
          </w:p>
        </w:tc>
        <w:tc>
          <w:tcPr>
            <w:tcW w:w="3970"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rFonts w:ascii="宋体"/>
                <w:szCs w:val="21"/>
              </w:rPr>
            </w:pPr>
            <w:r>
              <w:rPr>
                <w:rFonts w:hint="eastAsia"/>
                <w:szCs w:val="21"/>
              </w:rPr>
              <w:t>组织机构设置合理，劳动力计划和施工队伍的选择能够满足本工程施工的劳动力需要，保障措施科学、合理、可靠、针对性强。</w:t>
            </w:r>
          </w:p>
        </w:tc>
        <w:tc>
          <w:tcPr>
            <w:tcW w:w="85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right"/>
              <w:rPr>
                <w:rFonts w:ascii="宋体" w:cs="Arial"/>
                <w:szCs w:val="21"/>
              </w:rPr>
            </w:pPr>
            <w:r>
              <w:rPr>
                <w:rFonts w:hint="eastAsia" w:ascii="宋体" w:hAnsi="宋体"/>
                <w:szCs w:val="21"/>
              </w:rPr>
              <w:t>分</w:t>
            </w:r>
          </w:p>
        </w:tc>
        <w:tc>
          <w:tcPr>
            <w:tcW w:w="861" w:type="dxa"/>
            <w:vMerge w:val="restart"/>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p>
        </w:tc>
        <w:tc>
          <w:tcPr>
            <w:tcW w:w="917" w:type="dxa"/>
            <w:vMerge w:val="restart"/>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p>
        </w:tc>
        <w:tc>
          <w:tcPr>
            <w:tcW w:w="993" w:type="dxa"/>
            <w:vMerge w:val="restart"/>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p>
        </w:tc>
        <w:tc>
          <w:tcPr>
            <w:tcW w:w="1049" w:type="dxa"/>
            <w:vMerge w:val="restart"/>
            <w:tcBorders>
              <w:top w:val="single" w:color="auto" w:sz="4" w:space="0"/>
              <w:left w:val="single" w:color="auto" w:sz="4" w:space="0"/>
              <w:bottom w:val="single" w:color="auto" w:sz="4" w:space="0"/>
            </w:tcBorders>
            <w:vAlign w:val="center"/>
          </w:tcPr>
          <w:p>
            <w:pPr>
              <w:spacing w:before="60" w:beforeLines="25" w:after="60" w:afterLines="25"/>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7" w:hRule="atLeast"/>
        </w:trPr>
        <w:tc>
          <w:tcPr>
            <w:tcW w:w="706" w:type="dxa"/>
            <w:vMerge w:val="continue"/>
            <w:tcBorders>
              <w:top w:val="single" w:color="auto" w:sz="4" w:space="0"/>
              <w:bottom w:val="single" w:color="auto" w:sz="4" w:space="0"/>
              <w:right w:val="single" w:color="auto" w:sz="4" w:space="0"/>
            </w:tcBorders>
            <w:vAlign w:val="center"/>
          </w:tcPr>
          <w:p>
            <w:pPr>
              <w:widowControl/>
              <w:jc w:val="left"/>
              <w:rPr>
                <w:rFonts w:ascii="宋体"/>
                <w:szCs w:val="21"/>
              </w:rPr>
            </w:pPr>
          </w:p>
        </w:tc>
        <w:tc>
          <w:tcPr>
            <w:tcW w:w="26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Cs w:val="21"/>
              </w:rPr>
            </w:pPr>
          </w:p>
        </w:tc>
        <w:tc>
          <w:tcPr>
            <w:tcW w:w="3970"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rFonts w:ascii="宋体"/>
                <w:szCs w:val="21"/>
              </w:rPr>
            </w:pPr>
            <w:r>
              <w:rPr>
                <w:rFonts w:hint="eastAsia"/>
                <w:szCs w:val="21"/>
              </w:rPr>
              <w:t>组织机构设置基本合理，劳动力计划和施工队伍的选择基本能满足本工程施工的劳动力需要，保障措施基本合理</w:t>
            </w:r>
            <w:r>
              <w:rPr>
                <w:rFonts w:hint="eastAsia"/>
                <w:spacing w:val="-6"/>
                <w:szCs w:val="21"/>
              </w:rPr>
              <w:t>，但细节待完善。</w:t>
            </w:r>
          </w:p>
        </w:tc>
        <w:tc>
          <w:tcPr>
            <w:tcW w:w="85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right"/>
              <w:rPr>
                <w:rFonts w:ascii="宋体" w:cs="Arial"/>
                <w:szCs w:val="21"/>
              </w:rPr>
            </w:pPr>
            <w:r>
              <w:rPr>
                <w:rFonts w:hint="eastAsia" w:ascii="宋体" w:hAnsi="宋体"/>
                <w:szCs w:val="21"/>
              </w:rPr>
              <w:t>分</w:t>
            </w:r>
          </w:p>
        </w:tc>
        <w:tc>
          <w:tcPr>
            <w:tcW w:w="8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1049" w:type="dxa"/>
            <w:vMerge w:val="continue"/>
            <w:tcBorders>
              <w:top w:val="single" w:color="auto" w:sz="4" w:space="0"/>
              <w:left w:val="single" w:color="auto" w:sz="4" w:space="0"/>
              <w:bottom w:val="single" w:color="auto" w:sz="4" w:space="0"/>
            </w:tcBorders>
            <w:vAlign w:val="center"/>
          </w:tcPr>
          <w:p>
            <w:pPr>
              <w:widowControl/>
              <w:jc w:val="left"/>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7" w:hRule="atLeast"/>
        </w:trPr>
        <w:tc>
          <w:tcPr>
            <w:tcW w:w="706" w:type="dxa"/>
            <w:vMerge w:val="continue"/>
            <w:tcBorders>
              <w:top w:val="single" w:color="auto" w:sz="4" w:space="0"/>
              <w:bottom w:val="single" w:color="auto" w:sz="4" w:space="0"/>
              <w:right w:val="single" w:color="auto" w:sz="4" w:space="0"/>
            </w:tcBorders>
            <w:vAlign w:val="center"/>
          </w:tcPr>
          <w:p>
            <w:pPr>
              <w:widowControl/>
              <w:jc w:val="left"/>
              <w:rPr>
                <w:rFonts w:ascii="宋体"/>
                <w:szCs w:val="21"/>
              </w:rPr>
            </w:pPr>
          </w:p>
        </w:tc>
        <w:tc>
          <w:tcPr>
            <w:tcW w:w="26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Cs w:val="21"/>
              </w:rPr>
            </w:pPr>
          </w:p>
        </w:tc>
        <w:tc>
          <w:tcPr>
            <w:tcW w:w="3970"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rFonts w:ascii="宋体"/>
                <w:szCs w:val="21"/>
              </w:rPr>
            </w:pPr>
            <w:r>
              <w:rPr>
                <w:rFonts w:hint="eastAsia"/>
                <w:szCs w:val="21"/>
              </w:rPr>
              <w:t>组织机构设置不合理，劳动力配置和施工队伍的选择一般，措施一般。</w:t>
            </w:r>
          </w:p>
        </w:tc>
        <w:tc>
          <w:tcPr>
            <w:tcW w:w="85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right"/>
              <w:rPr>
                <w:rFonts w:ascii="宋体" w:cs="Arial"/>
                <w:szCs w:val="21"/>
              </w:rPr>
            </w:pPr>
            <w:r>
              <w:rPr>
                <w:rFonts w:hint="eastAsia" w:ascii="宋体" w:hAnsi="宋体"/>
                <w:szCs w:val="21"/>
              </w:rPr>
              <w:t>分</w:t>
            </w:r>
          </w:p>
        </w:tc>
        <w:tc>
          <w:tcPr>
            <w:tcW w:w="8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1049" w:type="dxa"/>
            <w:vMerge w:val="continue"/>
            <w:tcBorders>
              <w:top w:val="single" w:color="auto" w:sz="4" w:space="0"/>
              <w:left w:val="single" w:color="auto" w:sz="4" w:space="0"/>
              <w:bottom w:val="single" w:color="auto" w:sz="4" w:space="0"/>
            </w:tcBorders>
            <w:vAlign w:val="center"/>
          </w:tcPr>
          <w:p>
            <w:pPr>
              <w:widowControl/>
              <w:jc w:val="left"/>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7" w:hRule="atLeast"/>
        </w:trPr>
        <w:tc>
          <w:tcPr>
            <w:tcW w:w="706" w:type="dxa"/>
            <w:vMerge w:val="restart"/>
            <w:tcBorders>
              <w:top w:val="single" w:color="auto" w:sz="4" w:space="0"/>
              <w:bottom w:val="single" w:color="auto" w:sz="4" w:space="0"/>
              <w:right w:val="single" w:color="auto" w:sz="4" w:space="0"/>
            </w:tcBorders>
            <w:vAlign w:val="center"/>
          </w:tcPr>
          <w:p>
            <w:pPr>
              <w:spacing w:before="60" w:beforeLines="25" w:after="60" w:afterLines="25"/>
              <w:jc w:val="center"/>
              <w:rPr>
                <w:rFonts w:ascii="宋体"/>
                <w:szCs w:val="21"/>
              </w:rPr>
            </w:pPr>
            <w:r>
              <w:rPr>
                <w:rFonts w:ascii="宋体" w:hAnsi="宋体"/>
                <w:szCs w:val="21"/>
              </w:rPr>
              <w:t>6</w:t>
            </w:r>
          </w:p>
        </w:tc>
        <w:tc>
          <w:tcPr>
            <w:tcW w:w="2691" w:type="dxa"/>
            <w:vMerge w:val="restart"/>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left"/>
              <w:rPr>
                <w:rFonts w:ascii="宋体"/>
                <w:szCs w:val="21"/>
              </w:rPr>
            </w:pPr>
            <w:r>
              <w:rPr>
                <w:rFonts w:hint="eastAsia"/>
                <w:kern w:val="0"/>
                <w:szCs w:val="21"/>
              </w:rPr>
              <w:t>投入施工机械设备配置</w:t>
            </w:r>
          </w:p>
        </w:tc>
        <w:tc>
          <w:tcPr>
            <w:tcW w:w="3970"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rFonts w:ascii="宋体"/>
                <w:szCs w:val="21"/>
              </w:rPr>
            </w:pPr>
            <w:r>
              <w:rPr>
                <w:rFonts w:hint="eastAsia"/>
                <w:kern w:val="0"/>
                <w:szCs w:val="21"/>
              </w:rPr>
              <w:t>拟投入的施工机械设备的数量满足工程需要，配置科学合理、环保性能好，有针对性。</w:t>
            </w:r>
          </w:p>
        </w:tc>
        <w:tc>
          <w:tcPr>
            <w:tcW w:w="85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right"/>
              <w:rPr>
                <w:rFonts w:ascii="宋体" w:cs="Arial"/>
                <w:szCs w:val="21"/>
              </w:rPr>
            </w:pPr>
            <w:r>
              <w:rPr>
                <w:rFonts w:hint="eastAsia" w:ascii="宋体" w:hAnsi="宋体"/>
                <w:szCs w:val="21"/>
              </w:rPr>
              <w:t>分</w:t>
            </w:r>
          </w:p>
        </w:tc>
        <w:tc>
          <w:tcPr>
            <w:tcW w:w="861" w:type="dxa"/>
            <w:vMerge w:val="restart"/>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p>
        </w:tc>
        <w:tc>
          <w:tcPr>
            <w:tcW w:w="917" w:type="dxa"/>
            <w:vMerge w:val="restart"/>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p>
        </w:tc>
        <w:tc>
          <w:tcPr>
            <w:tcW w:w="993" w:type="dxa"/>
            <w:vMerge w:val="restart"/>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p>
        </w:tc>
        <w:tc>
          <w:tcPr>
            <w:tcW w:w="1049" w:type="dxa"/>
            <w:vMerge w:val="restart"/>
            <w:tcBorders>
              <w:top w:val="single" w:color="auto" w:sz="4" w:space="0"/>
              <w:left w:val="single" w:color="auto" w:sz="4" w:space="0"/>
              <w:bottom w:val="single" w:color="auto" w:sz="4" w:space="0"/>
            </w:tcBorders>
            <w:vAlign w:val="center"/>
          </w:tcPr>
          <w:p>
            <w:pPr>
              <w:spacing w:before="60" w:beforeLines="25" w:after="60" w:afterLines="25"/>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7" w:hRule="atLeast"/>
        </w:trPr>
        <w:tc>
          <w:tcPr>
            <w:tcW w:w="706" w:type="dxa"/>
            <w:vMerge w:val="continue"/>
            <w:tcBorders>
              <w:top w:val="single" w:color="auto" w:sz="4" w:space="0"/>
              <w:bottom w:val="single" w:color="auto" w:sz="4" w:space="0"/>
              <w:right w:val="single" w:color="auto" w:sz="4" w:space="0"/>
            </w:tcBorders>
            <w:vAlign w:val="center"/>
          </w:tcPr>
          <w:p>
            <w:pPr>
              <w:widowControl/>
              <w:jc w:val="left"/>
              <w:rPr>
                <w:rFonts w:ascii="宋体"/>
                <w:szCs w:val="21"/>
              </w:rPr>
            </w:pPr>
          </w:p>
        </w:tc>
        <w:tc>
          <w:tcPr>
            <w:tcW w:w="26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Cs w:val="21"/>
              </w:rPr>
            </w:pPr>
          </w:p>
        </w:tc>
        <w:tc>
          <w:tcPr>
            <w:tcW w:w="3970"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rFonts w:ascii="宋体"/>
                <w:szCs w:val="21"/>
              </w:rPr>
            </w:pPr>
            <w:r>
              <w:rPr>
                <w:rFonts w:hint="eastAsia"/>
                <w:kern w:val="0"/>
                <w:szCs w:val="21"/>
              </w:rPr>
              <w:t>拟投入的施工机械设备的数量基本满足工程需要，科学合理、环保性能较好，针对性一般。</w:t>
            </w:r>
          </w:p>
        </w:tc>
        <w:tc>
          <w:tcPr>
            <w:tcW w:w="85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right"/>
              <w:rPr>
                <w:rFonts w:ascii="宋体" w:cs="Arial"/>
                <w:szCs w:val="21"/>
              </w:rPr>
            </w:pPr>
            <w:r>
              <w:rPr>
                <w:rFonts w:hint="eastAsia" w:ascii="宋体" w:hAnsi="宋体"/>
                <w:szCs w:val="21"/>
              </w:rPr>
              <w:t>分</w:t>
            </w:r>
          </w:p>
        </w:tc>
        <w:tc>
          <w:tcPr>
            <w:tcW w:w="8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1049" w:type="dxa"/>
            <w:vMerge w:val="continue"/>
            <w:tcBorders>
              <w:top w:val="single" w:color="auto" w:sz="4" w:space="0"/>
              <w:left w:val="single" w:color="auto" w:sz="4" w:space="0"/>
              <w:bottom w:val="single" w:color="auto" w:sz="4" w:space="0"/>
            </w:tcBorders>
            <w:vAlign w:val="center"/>
          </w:tcPr>
          <w:p>
            <w:pPr>
              <w:widowControl/>
              <w:jc w:val="left"/>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7" w:hRule="atLeast"/>
        </w:trPr>
        <w:tc>
          <w:tcPr>
            <w:tcW w:w="706" w:type="dxa"/>
            <w:vMerge w:val="continue"/>
            <w:tcBorders>
              <w:top w:val="single" w:color="auto" w:sz="4" w:space="0"/>
              <w:bottom w:val="single" w:color="auto" w:sz="4" w:space="0"/>
              <w:right w:val="single" w:color="auto" w:sz="4" w:space="0"/>
            </w:tcBorders>
            <w:vAlign w:val="center"/>
          </w:tcPr>
          <w:p>
            <w:pPr>
              <w:widowControl/>
              <w:jc w:val="left"/>
              <w:rPr>
                <w:rFonts w:ascii="宋体"/>
                <w:szCs w:val="21"/>
              </w:rPr>
            </w:pPr>
          </w:p>
        </w:tc>
        <w:tc>
          <w:tcPr>
            <w:tcW w:w="26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Cs w:val="21"/>
              </w:rPr>
            </w:pPr>
          </w:p>
        </w:tc>
        <w:tc>
          <w:tcPr>
            <w:tcW w:w="3970"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rFonts w:ascii="宋体"/>
                <w:szCs w:val="21"/>
              </w:rPr>
            </w:pPr>
            <w:r>
              <w:rPr>
                <w:rFonts w:hint="eastAsia"/>
                <w:kern w:val="0"/>
                <w:szCs w:val="21"/>
              </w:rPr>
              <w:t>拟投入的施工机械设备的数量不能满足工程需要。</w:t>
            </w:r>
          </w:p>
        </w:tc>
        <w:tc>
          <w:tcPr>
            <w:tcW w:w="85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right"/>
              <w:rPr>
                <w:rFonts w:ascii="宋体" w:cs="Arial"/>
                <w:szCs w:val="21"/>
              </w:rPr>
            </w:pPr>
            <w:r>
              <w:rPr>
                <w:rFonts w:hint="eastAsia" w:ascii="宋体" w:hAnsi="宋体"/>
                <w:szCs w:val="21"/>
              </w:rPr>
              <w:t>分</w:t>
            </w:r>
          </w:p>
        </w:tc>
        <w:tc>
          <w:tcPr>
            <w:tcW w:w="8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1049" w:type="dxa"/>
            <w:vMerge w:val="continue"/>
            <w:tcBorders>
              <w:top w:val="single" w:color="auto" w:sz="4" w:space="0"/>
              <w:left w:val="single" w:color="auto" w:sz="4" w:space="0"/>
              <w:bottom w:val="single" w:color="auto" w:sz="4" w:space="0"/>
            </w:tcBorders>
            <w:vAlign w:val="center"/>
          </w:tcPr>
          <w:p>
            <w:pPr>
              <w:widowControl/>
              <w:jc w:val="left"/>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7" w:hRule="atLeast"/>
        </w:trPr>
        <w:tc>
          <w:tcPr>
            <w:tcW w:w="706" w:type="dxa"/>
            <w:vMerge w:val="restart"/>
            <w:tcBorders>
              <w:top w:val="single" w:color="auto" w:sz="4" w:space="0"/>
              <w:bottom w:val="single" w:color="auto" w:sz="4" w:space="0"/>
              <w:right w:val="single" w:color="auto" w:sz="4" w:space="0"/>
            </w:tcBorders>
            <w:vAlign w:val="center"/>
          </w:tcPr>
          <w:p>
            <w:pPr>
              <w:spacing w:before="60" w:beforeLines="25" w:after="60" w:afterLines="25"/>
              <w:jc w:val="center"/>
              <w:rPr>
                <w:rFonts w:ascii="宋体"/>
                <w:szCs w:val="21"/>
              </w:rPr>
            </w:pPr>
            <w:r>
              <w:rPr>
                <w:rFonts w:ascii="宋体" w:hAnsi="宋体"/>
                <w:szCs w:val="21"/>
              </w:rPr>
              <w:t>7</w:t>
            </w:r>
          </w:p>
        </w:tc>
        <w:tc>
          <w:tcPr>
            <w:tcW w:w="2691" w:type="dxa"/>
            <w:vMerge w:val="restart"/>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left"/>
              <w:rPr>
                <w:rFonts w:ascii="宋体"/>
                <w:szCs w:val="21"/>
              </w:rPr>
            </w:pPr>
            <w:r>
              <w:rPr>
                <w:rFonts w:hint="eastAsia"/>
                <w:kern w:val="0"/>
                <w:szCs w:val="21"/>
              </w:rPr>
              <w:t>材料设备采购计划</w:t>
            </w:r>
          </w:p>
        </w:tc>
        <w:tc>
          <w:tcPr>
            <w:tcW w:w="3970"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left"/>
              <w:rPr>
                <w:rFonts w:ascii="宋体"/>
                <w:szCs w:val="21"/>
              </w:rPr>
            </w:pPr>
            <w:r>
              <w:rPr>
                <w:rFonts w:hint="eastAsia"/>
                <w:kern w:val="0"/>
                <w:szCs w:val="21"/>
              </w:rPr>
              <w:t>材料设备供应尤其是</w:t>
            </w:r>
            <w:r>
              <w:rPr>
                <w:rFonts w:hint="eastAsia"/>
                <w:spacing w:val="-6"/>
                <w:szCs w:val="21"/>
              </w:rPr>
              <w:t>苗木采购计划（包括苗木的来源、采购周期和采购质量的保证）满足本项工程要求，且切实可行。</w:t>
            </w:r>
          </w:p>
        </w:tc>
        <w:tc>
          <w:tcPr>
            <w:tcW w:w="85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right"/>
              <w:rPr>
                <w:rFonts w:ascii="宋体" w:cs="Arial"/>
                <w:szCs w:val="21"/>
              </w:rPr>
            </w:pPr>
            <w:r>
              <w:rPr>
                <w:rFonts w:hint="eastAsia" w:ascii="宋体" w:hAnsi="宋体"/>
                <w:szCs w:val="21"/>
              </w:rPr>
              <w:t>分</w:t>
            </w:r>
          </w:p>
        </w:tc>
        <w:tc>
          <w:tcPr>
            <w:tcW w:w="861" w:type="dxa"/>
            <w:vMerge w:val="restart"/>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p>
        </w:tc>
        <w:tc>
          <w:tcPr>
            <w:tcW w:w="917" w:type="dxa"/>
            <w:vMerge w:val="restart"/>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p>
        </w:tc>
        <w:tc>
          <w:tcPr>
            <w:tcW w:w="993" w:type="dxa"/>
            <w:vMerge w:val="restart"/>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p>
        </w:tc>
        <w:tc>
          <w:tcPr>
            <w:tcW w:w="1049" w:type="dxa"/>
            <w:vMerge w:val="restart"/>
            <w:tcBorders>
              <w:top w:val="single" w:color="auto" w:sz="4" w:space="0"/>
              <w:left w:val="single" w:color="auto" w:sz="4" w:space="0"/>
              <w:bottom w:val="single" w:color="auto" w:sz="4" w:space="0"/>
            </w:tcBorders>
            <w:vAlign w:val="center"/>
          </w:tcPr>
          <w:p>
            <w:pPr>
              <w:spacing w:before="60" w:beforeLines="25" w:after="60" w:afterLines="25"/>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7" w:hRule="atLeast"/>
        </w:trPr>
        <w:tc>
          <w:tcPr>
            <w:tcW w:w="706" w:type="dxa"/>
            <w:vMerge w:val="continue"/>
            <w:tcBorders>
              <w:top w:val="single" w:color="auto" w:sz="4" w:space="0"/>
              <w:bottom w:val="single" w:color="auto" w:sz="4" w:space="0"/>
              <w:right w:val="single" w:color="auto" w:sz="4" w:space="0"/>
            </w:tcBorders>
            <w:vAlign w:val="center"/>
          </w:tcPr>
          <w:p>
            <w:pPr>
              <w:widowControl/>
              <w:jc w:val="left"/>
              <w:rPr>
                <w:rFonts w:ascii="宋体"/>
                <w:szCs w:val="21"/>
              </w:rPr>
            </w:pPr>
          </w:p>
        </w:tc>
        <w:tc>
          <w:tcPr>
            <w:tcW w:w="26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Cs w:val="21"/>
              </w:rPr>
            </w:pPr>
          </w:p>
        </w:tc>
        <w:tc>
          <w:tcPr>
            <w:tcW w:w="3970"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left"/>
              <w:rPr>
                <w:rFonts w:ascii="宋体"/>
                <w:szCs w:val="21"/>
              </w:rPr>
            </w:pPr>
            <w:r>
              <w:rPr>
                <w:rFonts w:hint="eastAsia"/>
                <w:kern w:val="0"/>
                <w:szCs w:val="21"/>
              </w:rPr>
              <w:t>材料设备供应尤其是</w:t>
            </w:r>
            <w:r>
              <w:rPr>
                <w:rFonts w:hint="eastAsia"/>
                <w:spacing w:val="-6"/>
                <w:szCs w:val="21"/>
              </w:rPr>
              <w:t>苗木采购计划（包括苗木的来源、采购周期和采购质量的保证）基本满足本项工程要求，基本可行。</w:t>
            </w:r>
          </w:p>
        </w:tc>
        <w:tc>
          <w:tcPr>
            <w:tcW w:w="85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right"/>
              <w:rPr>
                <w:rFonts w:ascii="宋体" w:cs="Arial"/>
                <w:szCs w:val="21"/>
              </w:rPr>
            </w:pPr>
            <w:r>
              <w:rPr>
                <w:rFonts w:hint="eastAsia" w:ascii="宋体" w:hAnsi="宋体"/>
                <w:szCs w:val="21"/>
              </w:rPr>
              <w:t>分</w:t>
            </w:r>
          </w:p>
        </w:tc>
        <w:tc>
          <w:tcPr>
            <w:tcW w:w="8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1049" w:type="dxa"/>
            <w:vMerge w:val="continue"/>
            <w:tcBorders>
              <w:top w:val="single" w:color="auto" w:sz="4" w:space="0"/>
              <w:left w:val="single" w:color="auto" w:sz="4" w:space="0"/>
              <w:bottom w:val="single" w:color="auto" w:sz="4" w:space="0"/>
            </w:tcBorders>
            <w:vAlign w:val="center"/>
          </w:tcPr>
          <w:p>
            <w:pPr>
              <w:widowControl/>
              <w:jc w:val="left"/>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7" w:hRule="atLeast"/>
        </w:trPr>
        <w:tc>
          <w:tcPr>
            <w:tcW w:w="706" w:type="dxa"/>
            <w:vMerge w:val="continue"/>
            <w:tcBorders>
              <w:top w:val="single" w:color="auto" w:sz="4" w:space="0"/>
              <w:bottom w:val="single" w:color="auto" w:sz="4" w:space="0"/>
              <w:right w:val="single" w:color="auto" w:sz="4" w:space="0"/>
            </w:tcBorders>
            <w:vAlign w:val="center"/>
          </w:tcPr>
          <w:p>
            <w:pPr>
              <w:widowControl/>
              <w:jc w:val="left"/>
              <w:rPr>
                <w:rFonts w:ascii="宋体"/>
                <w:szCs w:val="21"/>
              </w:rPr>
            </w:pPr>
          </w:p>
        </w:tc>
        <w:tc>
          <w:tcPr>
            <w:tcW w:w="26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Cs w:val="21"/>
              </w:rPr>
            </w:pPr>
          </w:p>
        </w:tc>
        <w:tc>
          <w:tcPr>
            <w:tcW w:w="3970"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left"/>
              <w:rPr>
                <w:rFonts w:ascii="宋体"/>
                <w:szCs w:val="21"/>
              </w:rPr>
            </w:pPr>
            <w:r>
              <w:rPr>
                <w:rFonts w:hint="eastAsia"/>
                <w:kern w:val="0"/>
                <w:szCs w:val="21"/>
              </w:rPr>
              <w:t>材料设备供应</w:t>
            </w:r>
            <w:r>
              <w:rPr>
                <w:rFonts w:hint="eastAsia"/>
                <w:spacing w:val="-6"/>
                <w:szCs w:val="21"/>
              </w:rPr>
              <w:t>不能完全满足本项工程要求。</w:t>
            </w:r>
          </w:p>
        </w:tc>
        <w:tc>
          <w:tcPr>
            <w:tcW w:w="85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right"/>
              <w:rPr>
                <w:rFonts w:ascii="宋体" w:cs="Arial"/>
                <w:szCs w:val="21"/>
              </w:rPr>
            </w:pPr>
            <w:r>
              <w:rPr>
                <w:rFonts w:hint="eastAsia" w:ascii="宋体" w:hAnsi="宋体"/>
                <w:szCs w:val="21"/>
              </w:rPr>
              <w:t>分</w:t>
            </w:r>
          </w:p>
        </w:tc>
        <w:tc>
          <w:tcPr>
            <w:tcW w:w="8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1049" w:type="dxa"/>
            <w:vMerge w:val="continue"/>
            <w:tcBorders>
              <w:top w:val="single" w:color="auto" w:sz="4" w:space="0"/>
              <w:left w:val="single" w:color="auto" w:sz="4" w:space="0"/>
              <w:bottom w:val="single" w:color="auto" w:sz="4" w:space="0"/>
            </w:tcBorders>
            <w:vAlign w:val="center"/>
          </w:tcPr>
          <w:p>
            <w:pPr>
              <w:widowControl/>
              <w:jc w:val="left"/>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7" w:hRule="atLeast"/>
        </w:trPr>
        <w:tc>
          <w:tcPr>
            <w:tcW w:w="706" w:type="dxa"/>
            <w:vMerge w:val="restart"/>
            <w:tcBorders>
              <w:top w:val="single" w:color="auto" w:sz="4" w:space="0"/>
              <w:bottom w:val="single" w:color="auto" w:sz="4" w:space="0"/>
              <w:right w:val="single" w:color="auto" w:sz="4" w:space="0"/>
            </w:tcBorders>
            <w:vAlign w:val="center"/>
          </w:tcPr>
          <w:p>
            <w:pPr>
              <w:spacing w:before="60" w:beforeLines="25" w:after="60" w:afterLines="25"/>
              <w:jc w:val="center"/>
              <w:rPr>
                <w:rFonts w:ascii="宋体"/>
                <w:szCs w:val="21"/>
              </w:rPr>
            </w:pPr>
            <w:r>
              <w:rPr>
                <w:rFonts w:ascii="宋体" w:hAnsi="宋体"/>
                <w:szCs w:val="21"/>
              </w:rPr>
              <w:t>8</w:t>
            </w:r>
          </w:p>
        </w:tc>
        <w:tc>
          <w:tcPr>
            <w:tcW w:w="2691" w:type="dxa"/>
            <w:vMerge w:val="restart"/>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left"/>
              <w:rPr>
                <w:rFonts w:ascii="宋体"/>
                <w:szCs w:val="21"/>
              </w:rPr>
            </w:pPr>
            <w:r>
              <w:rPr>
                <w:rFonts w:hint="eastAsia"/>
                <w:szCs w:val="21"/>
              </w:rPr>
              <w:t>与发包人、设计人、监理人的配合、协调；紧急情况的处理措施和预案，抵抗风险的措施。</w:t>
            </w:r>
          </w:p>
        </w:tc>
        <w:tc>
          <w:tcPr>
            <w:tcW w:w="3970"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left"/>
              <w:rPr>
                <w:rFonts w:ascii="宋体"/>
                <w:szCs w:val="21"/>
              </w:rPr>
            </w:pPr>
            <w:r>
              <w:rPr>
                <w:rFonts w:hint="eastAsia"/>
                <w:spacing w:val="-6"/>
                <w:szCs w:val="21"/>
              </w:rPr>
              <w:t>配合、协调、服务方案考虑全面；措施完善、科学、合理，针对性强。</w:t>
            </w:r>
          </w:p>
        </w:tc>
        <w:tc>
          <w:tcPr>
            <w:tcW w:w="85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right"/>
              <w:rPr>
                <w:rFonts w:ascii="宋体" w:cs="Arial"/>
                <w:szCs w:val="21"/>
              </w:rPr>
            </w:pPr>
            <w:r>
              <w:rPr>
                <w:rFonts w:hint="eastAsia" w:ascii="宋体" w:hAnsi="宋体"/>
                <w:szCs w:val="21"/>
              </w:rPr>
              <w:t>分</w:t>
            </w:r>
          </w:p>
        </w:tc>
        <w:tc>
          <w:tcPr>
            <w:tcW w:w="861" w:type="dxa"/>
            <w:vMerge w:val="restart"/>
            <w:tcBorders>
              <w:top w:val="single" w:color="auto" w:sz="4" w:space="0"/>
              <w:left w:val="single" w:color="auto" w:sz="4" w:space="0"/>
              <w:right w:val="single" w:color="auto" w:sz="4" w:space="0"/>
            </w:tcBorders>
            <w:vAlign w:val="center"/>
          </w:tcPr>
          <w:p>
            <w:pPr>
              <w:spacing w:before="60" w:beforeLines="25" w:after="60" w:afterLines="25"/>
              <w:jc w:val="center"/>
              <w:rPr>
                <w:rFonts w:ascii="宋体" w:cs="Arial"/>
                <w:szCs w:val="21"/>
              </w:rPr>
            </w:pPr>
          </w:p>
        </w:tc>
        <w:tc>
          <w:tcPr>
            <w:tcW w:w="917" w:type="dxa"/>
            <w:vMerge w:val="restart"/>
            <w:tcBorders>
              <w:top w:val="single" w:color="auto" w:sz="4" w:space="0"/>
              <w:left w:val="single" w:color="auto" w:sz="4" w:space="0"/>
              <w:right w:val="single" w:color="auto" w:sz="4" w:space="0"/>
            </w:tcBorders>
            <w:vAlign w:val="center"/>
          </w:tcPr>
          <w:p>
            <w:pPr>
              <w:spacing w:before="60" w:beforeLines="25" w:after="60" w:afterLines="25"/>
              <w:jc w:val="center"/>
              <w:rPr>
                <w:rFonts w:ascii="宋体" w:cs="Arial"/>
                <w:szCs w:val="21"/>
              </w:rPr>
            </w:pPr>
          </w:p>
        </w:tc>
        <w:tc>
          <w:tcPr>
            <w:tcW w:w="708" w:type="dxa"/>
            <w:vMerge w:val="restart"/>
            <w:tcBorders>
              <w:top w:val="single" w:color="auto" w:sz="4" w:space="0"/>
              <w:left w:val="single" w:color="auto" w:sz="4" w:space="0"/>
              <w:right w:val="single" w:color="auto" w:sz="4" w:space="0"/>
            </w:tcBorders>
            <w:vAlign w:val="center"/>
          </w:tcPr>
          <w:p>
            <w:pPr>
              <w:spacing w:before="60" w:beforeLines="25" w:after="60" w:afterLines="25"/>
              <w:jc w:val="center"/>
              <w:rPr>
                <w:rFonts w:ascii="宋体" w:cs="Arial"/>
                <w:szCs w:val="21"/>
              </w:rPr>
            </w:pPr>
          </w:p>
        </w:tc>
        <w:tc>
          <w:tcPr>
            <w:tcW w:w="993" w:type="dxa"/>
            <w:vMerge w:val="restart"/>
            <w:tcBorders>
              <w:top w:val="single" w:color="auto" w:sz="4" w:space="0"/>
              <w:left w:val="single" w:color="auto" w:sz="4" w:space="0"/>
              <w:right w:val="single" w:color="auto" w:sz="4" w:space="0"/>
            </w:tcBorders>
            <w:vAlign w:val="center"/>
          </w:tcPr>
          <w:p>
            <w:pPr>
              <w:spacing w:before="60" w:beforeLines="25" w:after="60" w:afterLines="25"/>
              <w:jc w:val="center"/>
              <w:rPr>
                <w:rFonts w:ascii="宋体" w:cs="Arial"/>
                <w:szCs w:val="21"/>
              </w:rPr>
            </w:pPr>
          </w:p>
        </w:tc>
        <w:tc>
          <w:tcPr>
            <w:tcW w:w="1049" w:type="dxa"/>
            <w:vMerge w:val="restart"/>
            <w:tcBorders>
              <w:top w:val="single" w:color="auto" w:sz="4" w:space="0"/>
              <w:left w:val="single" w:color="auto" w:sz="4" w:space="0"/>
            </w:tcBorders>
            <w:vAlign w:val="center"/>
          </w:tcPr>
          <w:p>
            <w:pPr>
              <w:spacing w:before="60" w:beforeLines="25" w:after="60" w:afterLines="25"/>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7" w:hRule="atLeast"/>
        </w:trPr>
        <w:tc>
          <w:tcPr>
            <w:tcW w:w="706" w:type="dxa"/>
            <w:vMerge w:val="continue"/>
            <w:tcBorders>
              <w:top w:val="single" w:color="auto" w:sz="4" w:space="0"/>
              <w:bottom w:val="single" w:color="auto" w:sz="4" w:space="0"/>
              <w:right w:val="single" w:color="auto" w:sz="4" w:space="0"/>
            </w:tcBorders>
            <w:vAlign w:val="center"/>
          </w:tcPr>
          <w:p>
            <w:pPr>
              <w:widowControl/>
              <w:jc w:val="left"/>
              <w:rPr>
                <w:rFonts w:ascii="宋体"/>
                <w:szCs w:val="21"/>
              </w:rPr>
            </w:pPr>
          </w:p>
        </w:tc>
        <w:tc>
          <w:tcPr>
            <w:tcW w:w="26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Cs w:val="21"/>
              </w:rPr>
            </w:pPr>
          </w:p>
        </w:tc>
        <w:tc>
          <w:tcPr>
            <w:tcW w:w="3970"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left"/>
              <w:rPr>
                <w:rFonts w:ascii="宋体"/>
                <w:szCs w:val="21"/>
              </w:rPr>
            </w:pPr>
            <w:r>
              <w:rPr>
                <w:rFonts w:hint="eastAsia"/>
                <w:spacing w:val="-6"/>
                <w:szCs w:val="21"/>
              </w:rPr>
              <w:t>配合、协调、服务方案较全面；措施基本合理，但细节待完善。</w:t>
            </w:r>
          </w:p>
        </w:tc>
        <w:tc>
          <w:tcPr>
            <w:tcW w:w="85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right"/>
              <w:rPr>
                <w:rFonts w:ascii="宋体" w:cs="Arial"/>
                <w:szCs w:val="21"/>
              </w:rPr>
            </w:pPr>
            <w:r>
              <w:rPr>
                <w:rFonts w:hint="eastAsia" w:ascii="宋体" w:hAnsi="宋体"/>
                <w:szCs w:val="21"/>
              </w:rPr>
              <w:t>分</w:t>
            </w:r>
          </w:p>
        </w:tc>
        <w:tc>
          <w:tcPr>
            <w:tcW w:w="861" w:type="dxa"/>
            <w:vMerge w:val="continue"/>
            <w:tcBorders>
              <w:left w:val="single" w:color="auto" w:sz="4" w:space="0"/>
              <w:right w:val="single" w:color="auto" w:sz="4" w:space="0"/>
            </w:tcBorders>
            <w:vAlign w:val="center"/>
          </w:tcPr>
          <w:p>
            <w:pPr>
              <w:spacing w:before="60" w:beforeLines="25" w:after="60" w:afterLines="25"/>
              <w:jc w:val="center"/>
              <w:rPr>
                <w:rFonts w:ascii="宋体" w:cs="Arial"/>
                <w:szCs w:val="21"/>
              </w:rPr>
            </w:pPr>
          </w:p>
        </w:tc>
        <w:tc>
          <w:tcPr>
            <w:tcW w:w="917" w:type="dxa"/>
            <w:vMerge w:val="continue"/>
            <w:tcBorders>
              <w:left w:val="single" w:color="auto" w:sz="4" w:space="0"/>
              <w:right w:val="single" w:color="auto" w:sz="4" w:space="0"/>
            </w:tcBorders>
            <w:vAlign w:val="center"/>
          </w:tcPr>
          <w:p>
            <w:pPr>
              <w:spacing w:before="60" w:beforeLines="25" w:after="60" w:afterLines="25"/>
              <w:jc w:val="center"/>
              <w:rPr>
                <w:rFonts w:ascii="宋体" w:cs="Arial"/>
                <w:szCs w:val="21"/>
              </w:rPr>
            </w:pPr>
          </w:p>
        </w:tc>
        <w:tc>
          <w:tcPr>
            <w:tcW w:w="708" w:type="dxa"/>
            <w:vMerge w:val="continue"/>
            <w:tcBorders>
              <w:left w:val="single" w:color="auto" w:sz="4" w:space="0"/>
              <w:right w:val="single" w:color="auto" w:sz="4" w:space="0"/>
            </w:tcBorders>
            <w:vAlign w:val="center"/>
          </w:tcPr>
          <w:p>
            <w:pPr>
              <w:spacing w:before="60" w:beforeLines="25" w:after="60" w:afterLines="25"/>
              <w:jc w:val="center"/>
              <w:rPr>
                <w:rFonts w:ascii="宋体" w:cs="Arial"/>
                <w:szCs w:val="21"/>
              </w:rPr>
            </w:pPr>
          </w:p>
        </w:tc>
        <w:tc>
          <w:tcPr>
            <w:tcW w:w="993" w:type="dxa"/>
            <w:vMerge w:val="continue"/>
            <w:tcBorders>
              <w:left w:val="single" w:color="auto" w:sz="4" w:space="0"/>
              <w:right w:val="single" w:color="auto" w:sz="4" w:space="0"/>
            </w:tcBorders>
            <w:vAlign w:val="center"/>
          </w:tcPr>
          <w:p>
            <w:pPr>
              <w:spacing w:before="60" w:beforeLines="25" w:after="60" w:afterLines="25"/>
              <w:jc w:val="center"/>
              <w:rPr>
                <w:rFonts w:ascii="宋体" w:cs="Arial"/>
                <w:szCs w:val="21"/>
              </w:rPr>
            </w:pPr>
          </w:p>
        </w:tc>
        <w:tc>
          <w:tcPr>
            <w:tcW w:w="1049" w:type="dxa"/>
            <w:vMerge w:val="continue"/>
            <w:tcBorders>
              <w:left w:val="single" w:color="auto" w:sz="4" w:space="0"/>
            </w:tcBorders>
            <w:vAlign w:val="center"/>
          </w:tcPr>
          <w:p>
            <w:pPr>
              <w:spacing w:before="60" w:beforeLines="25" w:after="60" w:afterLines="25"/>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6" w:hRule="atLeast"/>
        </w:trPr>
        <w:tc>
          <w:tcPr>
            <w:tcW w:w="706" w:type="dxa"/>
            <w:vMerge w:val="continue"/>
            <w:tcBorders>
              <w:top w:val="single" w:color="auto" w:sz="4" w:space="0"/>
              <w:bottom w:val="single" w:color="auto" w:sz="4" w:space="0"/>
              <w:right w:val="single" w:color="auto" w:sz="4" w:space="0"/>
            </w:tcBorders>
            <w:vAlign w:val="center"/>
          </w:tcPr>
          <w:p>
            <w:pPr>
              <w:widowControl/>
              <w:jc w:val="left"/>
              <w:rPr>
                <w:rFonts w:ascii="宋体"/>
                <w:szCs w:val="21"/>
              </w:rPr>
            </w:pPr>
          </w:p>
        </w:tc>
        <w:tc>
          <w:tcPr>
            <w:tcW w:w="26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Cs w:val="21"/>
              </w:rPr>
            </w:pPr>
          </w:p>
        </w:tc>
        <w:tc>
          <w:tcPr>
            <w:tcW w:w="3970"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szCs w:val="21"/>
              </w:rPr>
            </w:pPr>
            <w:r>
              <w:rPr>
                <w:rFonts w:hint="eastAsia"/>
                <w:spacing w:val="-6"/>
                <w:szCs w:val="21"/>
              </w:rPr>
              <w:t>配合、协调、服务方案一般，措施一般。</w:t>
            </w:r>
          </w:p>
        </w:tc>
        <w:tc>
          <w:tcPr>
            <w:tcW w:w="85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right"/>
              <w:rPr>
                <w:rFonts w:ascii="宋体" w:cs="Arial"/>
                <w:szCs w:val="21"/>
              </w:rPr>
            </w:pPr>
            <w:r>
              <w:rPr>
                <w:rFonts w:hint="eastAsia" w:ascii="宋体" w:hAnsi="宋体"/>
                <w:szCs w:val="21"/>
              </w:rPr>
              <w:t>分</w:t>
            </w:r>
          </w:p>
        </w:tc>
        <w:tc>
          <w:tcPr>
            <w:tcW w:w="861" w:type="dxa"/>
            <w:vMerge w:val="continue"/>
            <w:tcBorders>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p>
        </w:tc>
        <w:tc>
          <w:tcPr>
            <w:tcW w:w="917" w:type="dxa"/>
            <w:vMerge w:val="continue"/>
            <w:tcBorders>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p>
        </w:tc>
        <w:tc>
          <w:tcPr>
            <w:tcW w:w="708" w:type="dxa"/>
            <w:vMerge w:val="continue"/>
            <w:tcBorders>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p>
        </w:tc>
        <w:tc>
          <w:tcPr>
            <w:tcW w:w="993" w:type="dxa"/>
            <w:vMerge w:val="continue"/>
            <w:tcBorders>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p>
        </w:tc>
        <w:tc>
          <w:tcPr>
            <w:tcW w:w="1049" w:type="dxa"/>
            <w:vMerge w:val="continue"/>
            <w:tcBorders>
              <w:left w:val="single" w:color="auto" w:sz="4" w:space="0"/>
              <w:bottom w:val="single" w:color="auto" w:sz="4" w:space="0"/>
            </w:tcBorders>
            <w:vAlign w:val="center"/>
          </w:tcPr>
          <w:p>
            <w:pPr>
              <w:spacing w:before="60" w:beforeLines="25" w:after="60" w:afterLines="25"/>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7" w:hRule="atLeast"/>
        </w:trPr>
        <w:tc>
          <w:tcPr>
            <w:tcW w:w="706" w:type="dxa"/>
            <w:vMerge w:val="restart"/>
            <w:tcBorders>
              <w:top w:val="single" w:color="auto" w:sz="4" w:space="0"/>
              <w:bottom w:val="single" w:color="auto" w:sz="4" w:space="0"/>
              <w:right w:val="single" w:color="auto" w:sz="4" w:space="0"/>
            </w:tcBorders>
            <w:vAlign w:val="center"/>
          </w:tcPr>
          <w:p>
            <w:pPr>
              <w:spacing w:before="60" w:beforeLines="25" w:after="60" w:afterLines="25"/>
              <w:jc w:val="center"/>
              <w:rPr>
                <w:rFonts w:ascii="宋体"/>
                <w:szCs w:val="21"/>
              </w:rPr>
            </w:pPr>
            <w:r>
              <w:rPr>
                <w:rFonts w:ascii="宋体" w:hAnsi="宋体"/>
                <w:szCs w:val="21"/>
              </w:rPr>
              <w:t>9</w:t>
            </w:r>
          </w:p>
        </w:tc>
        <w:tc>
          <w:tcPr>
            <w:tcW w:w="2691" w:type="dxa"/>
            <w:vMerge w:val="restart"/>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left"/>
              <w:rPr>
                <w:rFonts w:ascii="宋体"/>
                <w:szCs w:val="21"/>
              </w:rPr>
            </w:pPr>
            <w:r>
              <w:rPr>
                <w:rFonts w:hint="eastAsia"/>
                <w:szCs w:val="21"/>
              </w:rPr>
              <w:t>工程保修和养护管理的措施</w:t>
            </w:r>
          </w:p>
        </w:tc>
        <w:tc>
          <w:tcPr>
            <w:tcW w:w="3970"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rFonts w:ascii="宋体"/>
                <w:szCs w:val="21"/>
              </w:rPr>
            </w:pPr>
            <w:r>
              <w:rPr>
                <w:rFonts w:hint="eastAsia"/>
                <w:spacing w:val="-6"/>
                <w:szCs w:val="21"/>
              </w:rPr>
              <w:t>措施科学、合理、可靠，针对性强。</w:t>
            </w:r>
          </w:p>
        </w:tc>
        <w:tc>
          <w:tcPr>
            <w:tcW w:w="85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right"/>
              <w:rPr>
                <w:rFonts w:ascii="宋体" w:cs="Arial"/>
                <w:szCs w:val="21"/>
              </w:rPr>
            </w:pPr>
            <w:r>
              <w:rPr>
                <w:rFonts w:hint="eastAsia" w:ascii="宋体" w:hAnsi="宋体"/>
                <w:szCs w:val="21"/>
              </w:rPr>
              <w:t>分</w:t>
            </w:r>
          </w:p>
        </w:tc>
        <w:tc>
          <w:tcPr>
            <w:tcW w:w="861" w:type="dxa"/>
            <w:vMerge w:val="restart"/>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p>
        </w:tc>
        <w:tc>
          <w:tcPr>
            <w:tcW w:w="917" w:type="dxa"/>
            <w:vMerge w:val="restart"/>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p>
        </w:tc>
        <w:tc>
          <w:tcPr>
            <w:tcW w:w="993" w:type="dxa"/>
            <w:vMerge w:val="restart"/>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p>
        </w:tc>
        <w:tc>
          <w:tcPr>
            <w:tcW w:w="1049" w:type="dxa"/>
            <w:vMerge w:val="restart"/>
            <w:tcBorders>
              <w:top w:val="single" w:color="auto" w:sz="4" w:space="0"/>
              <w:left w:val="single" w:color="auto" w:sz="4" w:space="0"/>
              <w:bottom w:val="single" w:color="auto" w:sz="4" w:space="0"/>
            </w:tcBorders>
            <w:vAlign w:val="center"/>
          </w:tcPr>
          <w:p>
            <w:pPr>
              <w:spacing w:before="60" w:beforeLines="25" w:after="60" w:afterLines="25"/>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7" w:hRule="atLeast"/>
        </w:trPr>
        <w:tc>
          <w:tcPr>
            <w:tcW w:w="706" w:type="dxa"/>
            <w:vMerge w:val="continue"/>
            <w:tcBorders>
              <w:top w:val="single" w:color="auto" w:sz="4" w:space="0"/>
              <w:bottom w:val="single" w:color="auto" w:sz="4" w:space="0"/>
              <w:right w:val="single" w:color="auto" w:sz="4" w:space="0"/>
            </w:tcBorders>
            <w:vAlign w:val="center"/>
          </w:tcPr>
          <w:p>
            <w:pPr>
              <w:widowControl/>
              <w:jc w:val="left"/>
              <w:rPr>
                <w:rFonts w:ascii="宋体"/>
                <w:szCs w:val="21"/>
              </w:rPr>
            </w:pPr>
          </w:p>
        </w:tc>
        <w:tc>
          <w:tcPr>
            <w:tcW w:w="26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Cs w:val="21"/>
              </w:rPr>
            </w:pPr>
          </w:p>
        </w:tc>
        <w:tc>
          <w:tcPr>
            <w:tcW w:w="3970"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rFonts w:ascii="宋体"/>
                <w:szCs w:val="21"/>
              </w:rPr>
            </w:pPr>
            <w:r>
              <w:rPr>
                <w:rFonts w:hint="eastAsia"/>
                <w:spacing w:val="-6"/>
                <w:szCs w:val="21"/>
              </w:rPr>
              <w:t>措施合理，但细节待完善。</w:t>
            </w:r>
          </w:p>
        </w:tc>
        <w:tc>
          <w:tcPr>
            <w:tcW w:w="85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right"/>
              <w:rPr>
                <w:rFonts w:ascii="宋体" w:cs="Arial"/>
                <w:szCs w:val="21"/>
              </w:rPr>
            </w:pPr>
            <w:r>
              <w:rPr>
                <w:rFonts w:hint="eastAsia" w:ascii="宋体" w:hAnsi="宋体"/>
                <w:szCs w:val="21"/>
              </w:rPr>
              <w:t>分</w:t>
            </w:r>
          </w:p>
        </w:tc>
        <w:tc>
          <w:tcPr>
            <w:tcW w:w="8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1049" w:type="dxa"/>
            <w:vMerge w:val="continue"/>
            <w:tcBorders>
              <w:top w:val="single" w:color="auto" w:sz="4" w:space="0"/>
              <w:left w:val="single" w:color="auto" w:sz="4" w:space="0"/>
              <w:bottom w:val="single" w:color="auto" w:sz="4" w:space="0"/>
            </w:tcBorders>
            <w:vAlign w:val="center"/>
          </w:tcPr>
          <w:p>
            <w:pPr>
              <w:widowControl/>
              <w:jc w:val="left"/>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7" w:hRule="atLeast"/>
        </w:trPr>
        <w:tc>
          <w:tcPr>
            <w:tcW w:w="706" w:type="dxa"/>
            <w:vMerge w:val="continue"/>
            <w:tcBorders>
              <w:top w:val="single" w:color="auto" w:sz="4" w:space="0"/>
              <w:bottom w:val="single" w:color="auto" w:sz="4" w:space="0"/>
              <w:right w:val="single" w:color="auto" w:sz="4" w:space="0"/>
            </w:tcBorders>
            <w:vAlign w:val="center"/>
          </w:tcPr>
          <w:p>
            <w:pPr>
              <w:widowControl/>
              <w:jc w:val="left"/>
              <w:rPr>
                <w:rFonts w:ascii="宋体"/>
                <w:szCs w:val="21"/>
              </w:rPr>
            </w:pPr>
          </w:p>
        </w:tc>
        <w:tc>
          <w:tcPr>
            <w:tcW w:w="26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Cs w:val="21"/>
              </w:rPr>
            </w:pPr>
          </w:p>
        </w:tc>
        <w:tc>
          <w:tcPr>
            <w:tcW w:w="3970"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rFonts w:ascii="宋体"/>
                <w:szCs w:val="21"/>
              </w:rPr>
            </w:pPr>
            <w:r>
              <w:rPr>
                <w:rFonts w:hint="eastAsia"/>
                <w:spacing w:val="-6"/>
                <w:szCs w:val="21"/>
              </w:rPr>
              <w:t>措施一般。</w:t>
            </w:r>
          </w:p>
        </w:tc>
        <w:tc>
          <w:tcPr>
            <w:tcW w:w="85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right"/>
              <w:rPr>
                <w:rFonts w:ascii="宋体" w:cs="Arial"/>
                <w:szCs w:val="21"/>
              </w:rPr>
            </w:pPr>
            <w:r>
              <w:rPr>
                <w:rFonts w:hint="eastAsia" w:ascii="宋体" w:hAnsi="宋体"/>
                <w:szCs w:val="21"/>
              </w:rPr>
              <w:t>分</w:t>
            </w:r>
          </w:p>
        </w:tc>
        <w:tc>
          <w:tcPr>
            <w:tcW w:w="8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szCs w:val="21"/>
              </w:rPr>
            </w:pPr>
          </w:p>
        </w:tc>
        <w:tc>
          <w:tcPr>
            <w:tcW w:w="1049" w:type="dxa"/>
            <w:vMerge w:val="continue"/>
            <w:tcBorders>
              <w:top w:val="single" w:color="auto" w:sz="4" w:space="0"/>
              <w:left w:val="single" w:color="auto" w:sz="4" w:space="0"/>
              <w:bottom w:val="single" w:color="auto" w:sz="4" w:space="0"/>
            </w:tcBorders>
            <w:vAlign w:val="center"/>
          </w:tcPr>
          <w:p>
            <w:pPr>
              <w:widowControl/>
              <w:jc w:val="left"/>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7" w:hRule="atLeast"/>
        </w:trPr>
        <w:tc>
          <w:tcPr>
            <w:tcW w:w="706" w:type="dxa"/>
            <w:vMerge w:val="restart"/>
            <w:tcBorders>
              <w:top w:val="single" w:color="auto" w:sz="4" w:space="0"/>
              <w:bottom w:val="single" w:color="auto" w:sz="4" w:space="0"/>
              <w:right w:val="single" w:color="auto" w:sz="4" w:space="0"/>
            </w:tcBorders>
            <w:vAlign w:val="center"/>
          </w:tcPr>
          <w:p>
            <w:pPr>
              <w:spacing w:before="60" w:beforeLines="25" w:after="60" w:afterLines="25"/>
              <w:jc w:val="center"/>
              <w:rPr>
                <w:rFonts w:ascii="宋体"/>
                <w:szCs w:val="21"/>
              </w:rPr>
            </w:pPr>
            <w:r>
              <w:rPr>
                <w:rFonts w:ascii="宋体" w:hAnsi="宋体"/>
                <w:szCs w:val="21"/>
              </w:rPr>
              <w:t>10</w:t>
            </w:r>
          </w:p>
        </w:tc>
        <w:tc>
          <w:tcPr>
            <w:tcW w:w="2691" w:type="dxa"/>
            <w:vMerge w:val="restart"/>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left"/>
              <w:rPr>
                <w:rFonts w:ascii="宋体"/>
                <w:szCs w:val="21"/>
              </w:rPr>
            </w:pPr>
            <w:r>
              <w:rPr>
                <w:rFonts w:hint="eastAsia"/>
                <w:szCs w:val="21"/>
              </w:rPr>
              <w:t>施工扬尘污染管控措施、</w:t>
            </w:r>
            <w:r>
              <w:rPr>
                <w:rFonts w:hint="eastAsia"/>
                <w:spacing w:val="-6"/>
                <w:szCs w:val="21"/>
              </w:rPr>
              <w:t>根据空气情况而制定的应急保障措施、</w:t>
            </w:r>
            <w:r>
              <w:rPr>
                <w:rFonts w:hint="eastAsia" w:hAnsi="宋体"/>
                <w:szCs w:val="21"/>
              </w:rPr>
              <w:t>施工企业渣土运输车辆管理、园林绿化废弃物禁烧的管控措施、</w:t>
            </w:r>
            <w:r>
              <w:rPr>
                <w:rFonts w:hint="eastAsia"/>
                <w:spacing w:val="-6"/>
                <w:szCs w:val="21"/>
              </w:rPr>
              <w:t>禁用区内禁止使用高排放非道路移动机械</w:t>
            </w:r>
          </w:p>
        </w:tc>
        <w:tc>
          <w:tcPr>
            <w:tcW w:w="3970"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rFonts w:ascii="宋体"/>
                <w:szCs w:val="21"/>
              </w:rPr>
            </w:pPr>
            <w:r>
              <w:rPr>
                <w:rFonts w:hint="eastAsia"/>
                <w:spacing w:val="-6"/>
                <w:szCs w:val="21"/>
              </w:rPr>
              <w:t>措施科学、合理、可靠，针对性强。</w:t>
            </w:r>
          </w:p>
        </w:tc>
        <w:tc>
          <w:tcPr>
            <w:tcW w:w="85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right"/>
              <w:rPr>
                <w:rFonts w:ascii="宋体" w:cs="Arial"/>
                <w:szCs w:val="21"/>
              </w:rPr>
            </w:pPr>
            <w:r>
              <w:rPr>
                <w:rFonts w:hint="eastAsia" w:ascii="宋体" w:hAnsi="宋体"/>
                <w:szCs w:val="21"/>
              </w:rPr>
              <w:t>分</w:t>
            </w:r>
          </w:p>
        </w:tc>
        <w:tc>
          <w:tcPr>
            <w:tcW w:w="861" w:type="dxa"/>
            <w:vMerge w:val="restart"/>
            <w:tcBorders>
              <w:top w:val="single" w:color="auto" w:sz="4" w:space="0"/>
              <w:left w:val="single" w:color="auto" w:sz="4" w:space="0"/>
              <w:right w:val="single" w:color="auto" w:sz="4" w:space="0"/>
            </w:tcBorders>
            <w:vAlign w:val="center"/>
          </w:tcPr>
          <w:p>
            <w:pPr>
              <w:spacing w:before="60" w:beforeLines="25" w:after="60" w:afterLines="25"/>
              <w:jc w:val="center"/>
              <w:rPr>
                <w:rFonts w:ascii="宋体" w:cs="Arial"/>
                <w:szCs w:val="21"/>
              </w:rPr>
            </w:pPr>
          </w:p>
        </w:tc>
        <w:tc>
          <w:tcPr>
            <w:tcW w:w="917" w:type="dxa"/>
            <w:vMerge w:val="restart"/>
            <w:tcBorders>
              <w:top w:val="single" w:color="auto" w:sz="4" w:space="0"/>
              <w:left w:val="single" w:color="auto" w:sz="4" w:space="0"/>
              <w:right w:val="single" w:color="auto" w:sz="4" w:space="0"/>
            </w:tcBorders>
            <w:vAlign w:val="center"/>
          </w:tcPr>
          <w:p>
            <w:pPr>
              <w:spacing w:before="60" w:beforeLines="25" w:after="60" w:afterLines="25"/>
              <w:jc w:val="center"/>
              <w:rPr>
                <w:rFonts w:ascii="宋体" w:cs="Arial"/>
                <w:szCs w:val="21"/>
              </w:rPr>
            </w:pPr>
          </w:p>
        </w:tc>
        <w:tc>
          <w:tcPr>
            <w:tcW w:w="708" w:type="dxa"/>
            <w:vMerge w:val="restart"/>
            <w:tcBorders>
              <w:top w:val="single" w:color="auto" w:sz="4" w:space="0"/>
              <w:left w:val="single" w:color="auto" w:sz="4" w:space="0"/>
              <w:right w:val="single" w:color="auto" w:sz="4" w:space="0"/>
            </w:tcBorders>
            <w:vAlign w:val="center"/>
          </w:tcPr>
          <w:p>
            <w:pPr>
              <w:spacing w:before="60" w:beforeLines="25" w:after="60" w:afterLines="25"/>
              <w:jc w:val="center"/>
              <w:rPr>
                <w:rFonts w:ascii="宋体" w:cs="Arial"/>
                <w:szCs w:val="21"/>
              </w:rPr>
            </w:pPr>
          </w:p>
        </w:tc>
        <w:tc>
          <w:tcPr>
            <w:tcW w:w="993" w:type="dxa"/>
            <w:vMerge w:val="restart"/>
            <w:tcBorders>
              <w:top w:val="single" w:color="auto" w:sz="4" w:space="0"/>
              <w:left w:val="single" w:color="auto" w:sz="4" w:space="0"/>
              <w:right w:val="single" w:color="auto" w:sz="4" w:space="0"/>
            </w:tcBorders>
            <w:vAlign w:val="center"/>
          </w:tcPr>
          <w:p>
            <w:pPr>
              <w:spacing w:before="60" w:beforeLines="25" w:after="60" w:afterLines="25"/>
              <w:jc w:val="center"/>
              <w:rPr>
                <w:rFonts w:ascii="宋体" w:cs="Arial"/>
                <w:szCs w:val="21"/>
              </w:rPr>
            </w:pPr>
          </w:p>
        </w:tc>
        <w:tc>
          <w:tcPr>
            <w:tcW w:w="1049" w:type="dxa"/>
            <w:vMerge w:val="restart"/>
            <w:tcBorders>
              <w:top w:val="single" w:color="auto" w:sz="4" w:space="0"/>
              <w:left w:val="single" w:color="auto" w:sz="4" w:space="0"/>
            </w:tcBorders>
            <w:vAlign w:val="center"/>
          </w:tcPr>
          <w:p>
            <w:pPr>
              <w:spacing w:before="60" w:beforeLines="25" w:after="60" w:afterLines="25"/>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7" w:hRule="atLeast"/>
        </w:trPr>
        <w:tc>
          <w:tcPr>
            <w:tcW w:w="706" w:type="dxa"/>
            <w:vMerge w:val="continue"/>
            <w:tcBorders>
              <w:top w:val="single" w:color="auto" w:sz="4" w:space="0"/>
              <w:bottom w:val="single" w:color="auto" w:sz="4" w:space="0"/>
              <w:right w:val="single" w:color="auto" w:sz="4" w:space="0"/>
            </w:tcBorders>
            <w:vAlign w:val="center"/>
          </w:tcPr>
          <w:p>
            <w:pPr>
              <w:widowControl/>
              <w:jc w:val="left"/>
              <w:rPr>
                <w:rFonts w:ascii="宋体"/>
                <w:szCs w:val="21"/>
              </w:rPr>
            </w:pPr>
          </w:p>
        </w:tc>
        <w:tc>
          <w:tcPr>
            <w:tcW w:w="26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Cs w:val="21"/>
              </w:rPr>
            </w:pPr>
          </w:p>
        </w:tc>
        <w:tc>
          <w:tcPr>
            <w:tcW w:w="3970"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rFonts w:ascii="宋体"/>
                <w:szCs w:val="21"/>
              </w:rPr>
            </w:pPr>
            <w:r>
              <w:rPr>
                <w:rFonts w:hint="eastAsia"/>
                <w:spacing w:val="-6"/>
                <w:szCs w:val="21"/>
              </w:rPr>
              <w:t>措施合理，但细节待完善。</w:t>
            </w:r>
          </w:p>
        </w:tc>
        <w:tc>
          <w:tcPr>
            <w:tcW w:w="85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right"/>
              <w:rPr>
                <w:rFonts w:ascii="宋体" w:cs="Arial"/>
                <w:szCs w:val="21"/>
              </w:rPr>
            </w:pPr>
            <w:r>
              <w:rPr>
                <w:rFonts w:hint="eastAsia" w:ascii="宋体" w:hAnsi="宋体"/>
                <w:szCs w:val="21"/>
              </w:rPr>
              <w:t>分</w:t>
            </w:r>
          </w:p>
        </w:tc>
        <w:tc>
          <w:tcPr>
            <w:tcW w:w="861" w:type="dxa"/>
            <w:vMerge w:val="continue"/>
            <w:tcBorders>
              <w:left w:val="single" w:color="auto" w:sz="4" w:space="0"/>
              <w:right w:val="single" w:color="auto" w:sz="4" w:space="0"/>
            </w:tcBorders>
            <w:vAlign w:val="center"/>
          </w:tcPr>
          <w:p>
            <w:pPr>
              <w:spacing w:before="60" w:beforeLines="25" w:after="60" w:afterLines="25"/>
              <w:jc w:val="center"/>
              <w:rPr>
                <w:rFonts w:ascii="宋体" w:cs="Arial"/>
                <w:szCs w:val="21"/>
              </w:rPr>
            </w:pPr>
          </w:p>
        </w:tc>
        <w:tc>
          <w:tcPr>
            <w:tcW w:w="917" w:type="dxa"/>
            <w:vMerge w:val="continue"/>
            <w:tcBorders>
              <w:left w:val="single" w:color="auto" w:sz="4" w:space="0"/>
              <w:right w:val="single" w:color="auto" w:sz="4" w:space="0"/>
            </w:tcBorders>
            <w:vAlign w:val="center"/>
          </w:tcPr>
          <w:p>
            <w:pPr>
              <w:spacing w:before="60" w:beforeLines="25" w:after="60" w:afterLines="25"/>
              <w:jc w:val="center"/>
              <w:rPr>
                <w:rFonts w:ascii="宋体" w:cs="Arial"/>
                <w:szCs w:val="21"/>
              </w:rPr>
            </w:pPr>
          </w:p>
        </w:tc>
        <w:tc>
          <w:tcPr>
            <w:tcW w:w="708" w:type="dxa"/>
            <w:vMerge w:val="continue"/>
            <w:tcBorders>
              <w:left w:val="single" w:color="auto" w:sz="4" w:space="0"/>
              <w:right w:val="single" w:color="auto" w:sz="4" w:space="0"/>
            </w:tcBorders>
            <w:vAlign w:val="center"/>
          </w:tcPr>
          <w:p>
            <w:pPr>
              <w:spacing w:before="60" w:beforeLines="25" w:after="60" w:afterLines="25"/>
              <w:jc w:val="center"/>
              <w:rPr>
                <w:rFonts w:ascii="宋体" w:cs="Arial"/>
                <w:szCs w:val="21"/>
              </w:rPr>
            </w:pPr>
          </w:p>
        </w:tc>
        <w:tc>
          <w:tcPr>
            <w:tcW w:w="993" w:type="dxa"/>
            <w:vMerge w:val="continue"/>
            <w:tcBorders>
              <w:left w:val="single" w:color="auto" w:sz="4" w:space="0"/>
              <w:right w:val="single" w:color="auto" w:sz="4" w:space="0"/>
            </w:tcBorders>
            <w:vAlign w:val="center"/>
          </w:tcPr>
          <w:p>
            <w:pPr>
              <w:spacing w:before="60" w:beforeLines="25" w:after="60" w:afterLines="25"/>
              <w:jc w:val="center"/>
              <w:rPr>
                <w:rFonts w:ascii="宋体" w:cs="Arial"/>
                <w:szCs w:val="21"/>
              </w:rPr>
            </w:pPr>
          </w:p>
        </w:tc>
        <w:tc>
          <w:tcPr>
            <w:tcW w:w="1049" w:type="dxa"/>
            <w:vMerge w:val="continue"/>
            <w:tcBorders>
              <w:left w:val="single" w:color="auto" w:sz="4" w:space="0"/>
            </w:tcBorders>
            <w:vAlign w:val="center"/>
          </w:tcPr>
          <w:p>
            <w:pPr>
              <w:spacing w:before="60" w:beforeLines="25" w:after="60" w:afterLines="25"/>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7" w:hRule="atLeast"/>
        </w:trPr>
        <w:tc>
          <w:tcPr>
            <w:tcW w:w="706" w:type="dxa"/>
            <w:vMerge w:val="continue"/>
            <w:tcBorders>
              <w:top w:val="single" w:color="auto" w:sz="4" w:space="0"/>
              <w:bottom w:val="single" w:color="auto" w:sz="4" w:space="0"/>
              <w:right w:val="single" w:color="auto" w:sz="4" w:space="0"/>
            </w:tcBorders>
            <w:vAlign w:val="center"/>
          </w:tcPr>
          <w:p>
            <w:pPr>
              <w:widowControl/>
              <w:jc w:val="left"/>
              <w:rPr>
                <w:rFonts w:ascii="宋体"/>
                <w:szCs w:val="21"/>
              </w:rPr>
            </w:pPr>
          </w:p>
        </w:tc>
        <w:tc>
          <w:tcPr>
            <w:tcW w:w="26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Cs w:val="21"/>
              </w:rPr>
            </w:pPr>
          </w:p>
        </w:tc>
        <w:tc>
          <w:tcPr>
            <w:tcW w:w="3970"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rFonts w:ascii="宋体"/>
                <w:szCs w:val="21"/>
              </w:rPr>
            </w:pPr>
            <w:r>
              <w:rPr>
                <w:rFonts w:hint="eastAsia"/>
                <w:spacing w:val="-6"/>
                <w:szCs w:val="21"/>
              </w:rPr>
              <w:t>措施一般。</w:t>
            </w:r>
          </w:p>
        </w:tc>
        <w:tc>
          <w:tcPr>
            <w:tcW w:w="85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right"/>
              <w:rPr>
                <w:rFonts w:ascii="宋体" w:cs="Arial"/>
                <w:szCs w:val="21"/>
              </w:rPr>
            </w:pPr>
            <w:r>
              <w:rPr>
                <w:rFonts w:hint="eastAsia" w:ascii="宋体" w:hAnsi="宋体"/>
                <w:szCs w:val="21"/>
              </w:rPr>
              <w:t>分</w:t>
            </w:r>
          </w:p>
        </w:tc>
        <w:tc>
          <w:tcPr>
            <w:tcW w:w="861" w:type="dxa"/>
            <w:vMerge w:val="continue"/>
            <w:tcBorders>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p>
        </w:tc>
        <w:tc>
          <w:tcPr>
            <w:tcW w:w="917" w:type="dxa"/>
            <w:vMerge w:val="continue"/>
            <w:tcBorders>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p>
        </w:tc>
        <w:tc>
          <w:tcPr>
            <w:tcW w:w="708" w:type="dxa"/>
            <w:vMerge w:val="continue"/>
            <w:tcBorders>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p>
        </w:tc>
        <w:tc>
          <w:tcPr>
            <w:tcW w:w="993" w:type="dxa"/>
            <w:vMerge w:val="continue"/>
            <w:tcBorders>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p>
        </w:tc>
        <w:tc>
          <w:tcPr>
            <w:tcW w:w="1049" w:type="dxa"/>
            <w:vMerge w:val="continue"/>
            <w:tcBorders>
              <w:left w:val="single" w:color="auto" w:sz="4" w:space="0"/>
              <w:bottom w:val="single" w:color="auto" w:sz="4" w:space="0"/>
            </w:tcBorders>
            <w:vAlign w:val="center"/>
          </w:tcPr>
          <w:p>
            <w:pPr>
              <w:spacing w:before="60" w:beforeLines="25" w:after="60" w:afterLines="25"/>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7" w:hRule="atLeast"/>
        </w:trPr>
        <w:tc>
          <w:tcPr>
            <w:tcW w:w="706" w:type="dxa"/>
            <w:vMerge w:val="restart"/>
            <w:tcBorders>
              <w:top w:val="single" w:color="auto" w:sz="4" w:space="0"/>
              <w:bottom w:val="single" w:color="auto" w:sz="4" w:space="0"/>
              <w:right w:val="single" w:color="auto" w:sz="4" w:space="0"/>
            </w:tcBorders>
            <w:vAlign w:val="center"/>
          </w:tcPr>
          <w:p>
            <w:pPr>
              <w:spacing w:before="60" w:beforeLines="25" w:after="60" w:afterLines="25"/>
              <w:jc w:val="center"/>
              <w:rPr>
                <w:rFonts w:ascii="宋体"/>
                <w:szCs w:val="21"/>
              </w:rPr>
            </w:pPr>
            <w:r>
              <w:rPr>
                <w:rFonts w:ascii="宋体" w:hAnsi="宋体"/>
                <w:szCs w:val="21"/>
              </w:rPr>
              <w:t>11</w:t>
            </w:r>
          </w:p>
        </w:tc>
        <w:tc>
          <w:tcPr>
            <w:tcW w:w="2691" w:type="dxa"/>
            <w:vMerge w:val="restart"/>
            <w:tcBorders>
              <w:top w:val="single" w:color="auto" w:sz="4" w:space="0"/>
              <w:left w:val="single" w:color="auto" w:sz="4" w:space="0"/>
              <w:bottom w:val="single" w:color="auto" w:sz="4" w:space="0"/>
              <w:right w:val="single" w:color="auto" w:sz="4" w:space="0"/>
            </w:tcBorders>
            <w:vAlign w:val="center"/>
          </w:tcPr>
          <w:p>
            <w:pPr>
              <w:snapToGrid w:val="0"/>
              <w:jc w:val="left"/>
              <w:rPr>
                <w:szCs w:val="21"/>
              </w:rPr>
            </w:pPr>
            <w:r>
              <w:rPr>
                <w:rFonts w:hint="eastAsia"/>
                <w:szCs w:val="21"/>
              </w:rPr>
              <w:t>施工现场总平面布置</w:t>
            </w:r>
          </w:p>
        </w:tc>
        <w:tc>
          <w:tcPr>
            <w:tcW w:w="3970"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rFonts w:ascii="宋体"/>
                <w:szCs w:val="21"/>
              </w:rPr>
            </w:pPr>
            <w:r>
              <w:rPr>
                <w:rFonts w:hint="eastAsia"/>
                <w:spacing w:val="-6"/>
                <w:szCs w:val="21"/>
              </w:rPr>
              <w:t>布置科学、合理、有序。</w:t>
            </w:r>
          </w:p>
        </w:tc>
        <w:tc>
          <w:tcPr>
            <w:tcW w:w="85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right"/>
              <w:rPr>
                <w:rFonts w:ascii="宋体" w:cs="Arial"/>
                <w:szCs w:val="21"/>
              </w:rPr>
            </w:pPr>
            <w:r>
              <w:rPr>
                <w:rFonts w:hint="eastAsia" w:ascii="宋体" w:hAnsi="宋体"/>
                <w:szCs w:val="21"/>
              </w:rPr>
              <w:t>分</w:t>
            </w:r>
          </w:p>
        </w:tc>
        <w:tc>
          <w:tcPr>
            <w:tcW w:w="861" w:type="dxa"/>
            <w:vMerge w:val="restart"/>
            <w:tcBorders>
              <w:top w:val="single" w:color="auto" w:sz="4" w:space="0"/>
              <w:left w:val="single" w:color="auto" w:sz="4" w:space="0"/>
              <w:right w:val="single" w:color="auto" w:sz="4" w:space="0"/>
            </w:tcBorders>
            <w:vAlign w:val="center"/>
          </w:tcPr>
          <w:p>
            <w:pPr>
              <w:spacing w:before="60" w:beforeLines="25" w:after="60" w:afterLines="25"/>
              <w:jc w:val="center"/>
              <w:rPr>
                <w:rFonts w:ascii="宋体" w:cs="Arial"/>
                <w:szCs w:val="21"/>
              </w:rPr>
            </w:pPr>
          </w:p>
        </w:tc>
        <w:tc>
          <w:tcPr>
            <w:tcW w:w="917" w:type="dxa"/>
            <w:vMerge w:val="restart"/>
            <w:tcBorders>
              <w:top w:val="single" w:color="auto" w:sz="4" w:space="0"/>
              <w:left w:val="single" w:color="auto" w:sz="4" w:space="0"/>
              <w:right w:val="single" w:color="auto" w:sz="4" w:space="0"/>
            </w:tcBorders>
            <w:vAlign w:val="center"/>
          </w:tcPr>
          <w:p>
            <w:pPr>
              <w:spacing w:before="60" w:beforeLines="25" w:after="60" w:afterLines="25"/>
              <w:jc w:val="center"/>
              <w:rPr>
                <w:rFonts w:ascii="宋体" w:cs="Arial"/>
                <w:szCs w:val="21"/>
              </w:rPr>
            </w:pPr>
          </w:p>
        </w:tc>
        <w:tc>
          <w:tcPr>
            <w:tcW w:w="708" w:type="dxa"/>
            <w:vMerge w:val="restart"/>
            <w:tcBorders>
              <w:top w:val="single" w:color="auto" w:sz="4" w:space="0"/>
              <w:left w:val="single" w:color="auto" w:sz="4" w:space="0"/>
              <w:right w:val="single" w:color="auto" w:sz="4" w:space="0"/>
            </w:tcBorders>
            <w:vAlign w:val="center"/>
          </w:tcPr>
          <w:p>
            <w:pPr>
              <w:spacing w:before="60" w:beforeLines="25" w:after="60" w:afterLines="25"/>
              <w:jc w:val="center"/>
              <w:rPr>
                <w:rFonts w:ascii="宋体" w:cs="Arial"/>
                <w:szCs w:val="21"/>
              </w:rPr>
            </w:pPr>
          </w:p>
        </w:tc>
        <w:tc>
          <w:tcPr>
            <w:tcW w:w="993" w:type="dxa"/>
            <w:vMerge w:val="restart"/>
            <w:tcBorders>
              <w:top w:val="single" w:color="auto" w:sz="4" w:space="0"/>
              <w:left w:val="single" w:color="auto" w:sz="4" w:space="0"/>
              <w:right w:val="single" w:color="auto" w:sz="4" w:space="0"/>
            </w:tcBorders>
            <w:vAlign w:val="center"/>
          </w:tcPr>
          <w:p>
            <w:pPr>
              <w:spacing w:before="60" w:beforeLines="25" w:after="60" w:afterLines="25"/>
              <w:jc w:val="center"/>
              <w:rPr>
                <w:rFonts w:ascii="宋体" w:cs="Arial"/>
                <w:szCs w:val="21"/>
              </w:rPr>
            </w:pPr>
          </w:p>
        </w:tc>
        <w:tc>
          <w:tcPr>
            <w:tcW w:w="1049" w:type="dxa"/>
            <w:vMerge w:val="restart"/>
            <w:tcBorders>
              <w:top w:val="single" w:color="auto" w:sz="4" w:space="0"/>
              <w:left w:val="single" w:color="auto" w:sz="4" w:space="0"/>
            </w:tcBorders>
            <w:vAlign w:val="center"/>
          </w:tcPr>
          <w:p>
            <w:pPr>
              <w:spacing w:before="60" w:beforeLines="25" w:after="60" w:afterLines="25"/>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7" w:hRule="atLeast"/>
        </w:trPr>
        <w:tc>
          <w:tcPr>
            <w:tcW w:w="706" w:type="dxa"/>
            <w:vMerge w:val="continue"/>
            <w:tcBorders>
              <w:top w:val="single" w:color="auto" w:sz="4" w:space="0"/>
              <w:bottom w:val="single" w:color="auto" w:sz="4" w:space="0"/>
              <w:right w:val="single" w:color="auto" w:sz="4" w:space="0"/>
            </w:tcBorders>
            <w:vAlign w:val="center"/>
          </w:tcPr>
          <w:p>
            <w:pPr>
              <w:widowControl/>
              <w:jc w:val="left"/>
              <w:rPr>
                <w:rFonts w:ascii="宋体"/>
                <w:szCs w:val="21"/>
              </w:rPr>
            </w:pPr>
          </w:p>
        </w:tc>
        <w:tc>
          <w:tcPr>
            <w:tcW w:w="26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3970"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rFonts w:ascii="宋体"/>
                <w:szCs w:val="21"/>
              </w:rPr>
            </w:pPr>
            <w:r>
              <w:rPr>
                <w:rFonts w:hint="eastAsia"/>
                <w:spacing w:val="-6"/>
                <w:szCs w:val="21"/>
              </w:rPr>
              <w:t>布置较合理。</w:t>
            </w:r>
          </w:p>
        </w:tc>
        <w:tc>
          <w:tcPr>
            <w:tcW w:w="85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right"/>
              <w:rPr>
                <w:rFonts w:ascii="宋体" w:cs="Arial"/>
                <w:szCs w:val="21"/>
              </w:rPr>
            </w:pPr>
            <w:r>
              <w:rPr>
                <w:rFonts w:hint="eastAsia" w:ascii="宋体" w:hAnsi="宋体"/>
                <w:szCs w:val="21"/>
              </w:rPr>
              <w:t>分</w:t>
            </w:r>
          </w:p>
        </w:tc>
        <w:tc>
          <w:tcPr>
            <w:tcW w:w="861" w:type="dxa"/>
            <w:vMerge w:val="continue"/>
            <w:tcBorders>
              <w:left w:val="single" w:color="auto" w:sz="4" w:space="0"/>
              <w:right w:val="single" w:color="auto" w:sz="4" w:space="0"/>
            </w:tcBorders>
            <w:vAlign w:val="center"/>
          </w:tcPr>
          <w:p>
            <w:pPr>
              <w:spacing w:before="60" w:beforeLines="25" w:after="60" w:afterLines="25"/>
              <w:jc w:val="center"/>
              <w:rPr>
                <w:rFonts w:ascii="宋体" w:cs="Arial"/>
                <w:szCs w:val="21"/>
              </w:rPr>
            </w:pPr>
          </w:p>
        </w:tc>
        <w:tc>
          <w:tcPr>
            <w:tcW w:w="917" w:type="dxa"/>
            <w:vMerge w:val="continue"/>
            <w:tcBorders>
              <w:left w:val="single" w:color="auto" w:sz="4" w:space="0"/>
              <w:right w:val="single" w:color="auto" w:sz="4" w:space="0"/>
            </w:tcBorders>
            <w:vAlign w:val="center"/>
          </w:tcPr>
          <w:p>
            <w:pPr>
              <w:spacing w:before="60" w:beforeLines="25" w:after="60" w:afterLines="25"/>
              <w:jc w:val="center"/>
              <w:rPr>
                <w:rFonts w:ascii="宋体" w:cs="Arial"/>
                <w:szCs w:val="21"/>
              </w:rPr>
            </w:pPr>
          </w:p>
        </w:tc>
        <w:tc>
          <w:tcPr>
            <w:tcW w:w="708" w:type="dxa"/>
            <w:vMerge w:val="continue"/>
            <w:tcBorders>
              <w:left w:val="single" w:color="auto" w:sz="4" w:space="0"/>
              <w:right w:val="single" w:color="auto" w:sz="4" w:space="0"/>
            </w:tcBorders>
            <w:vAlign w:val="center"/>
          </w:tcPr>
          <w:p>
            <w:pPr>
              <w:spacing w:before="60" w:beforeLines="25" w:after="60" w:afterLines="25"/>
              <w:jc w:val="center"/>
              <w:rPr>
                <w:rFonts w:ascii="宋体" w:cs="Arial"/>
                <w:szCs w:val="21"/>
              </w:rPr>
            </w:pPr>
          </w:p>
        </w:tc>
        <w:tc>
          <w:tcPr>
            <w:tcW w:w="993" w:type="dxa"/>
            <w:vMerge w:val="continue"/>
            <w:tcBorders>
              <w:left w:val="single" w:color="auto" w:sz="4" w:space="0"/>
              <w:right w:val="single" w:color="auto" w:sz="4" w:space="0"/>
            </w:tcBorders>
            <w:vAlign w:val="center"/>
          </w:tcPr>
          <w:p>
            <w:pPr>
              <w:spacing w:before="60" w:beforeLines="25" w:after="60" w:afterLines="25"/>
              <w:jc w:val="center"/>
              <w:rPr>
                <w:rFonts w:ascii="宋体" w:cs="Arial"/>
                <w:szCs w:val="21"/>
              </w:rPr>
            </w:pPr>
          </w:p>
        </w:tc>
        <w:tc>
          <w:tcPr>
            <w:tcW w:w="1049" w:type="dxa"/>
            <w:vMerge w:val="continue"/>
            <w:tcBorders>
              <w:left w:val="single" w:color="auto" w:sz="4" w:space="0"/>
            </w:tcBorders>
            <w:vAlign w:val="center"/>
          </w:tcPr>
          <w:p>
            <w:pPr>
              <w:spacing w:before="60" w:beforeLines="25" w:after="60" w:afterLines="25"/>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7" w:hRule="atLeast"/>
        </w:trPr>
        <w:tc>
          <w:tcPr>
            <w:tcW w:w="706" w:type="dxa"/>
            <w:vMerge w:val="continue"/>
            <w:tcBorders>
              <w:top w:val="single" w:color="auto" w:sz="4" w:space="0"/>
              <w:bottom w:val="single" w:color="auto" w:sz="4" w:space="0"/>
              <w:right w:val="single" w:color="auto" w:sz="4" w:space="0"/>
            </w:tcBorders>
            <w:vAlign w:val="center"/>
          </w:tcPr>
          <w:p>
            <w:pPr>
              <w:widowControl/>
              <w:jc w:val="left"/>
              <w:rPr>
                <w:rFonts w:ascii="宋体"/>
                <w:szCs w:val="21"/>
              </w:rPr>
            </w:pPr>
          </w:p>
        </w:tc>
        <w:tc>
          <w:tcPr>
            <w:tcW w:w="26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3970"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rFonts w:ascii="宋体"/>
                <w:szCs w:val="21"/>
              </w:rPr>
            </w:pPr>
            <w:r>
              <w:rPr>
                <w:rFonts w:hint="eastAsia"/>
                <w:spacing w:val="-6"/>
                <w:szCs w:val="21"/>
              </w:rPr>
              <w:t>布置较差。</w:t>
            </w:r>
          </w:p>
        </w:tc>
        <w:tc>
          <w:tcPr>
            <w:tcW w:w="85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right"/>
              <w:rPr>
                <w:rFonts w:ascii="宋体" w:cs="Arial"/>
                <w:szCs w:val="21"/>
              </w:rPr>
            </w:pPr>
            <w:r>
              <w:rPr>
                <w:rFonts w:hint="eastAsia" w:ascii="宋体" w:hAnsi="宋体"/>
                <w:szCs w:val="21"/>
              </w:rPr>
              <w:t>分</w:t>
            </w:r>
          </w:p>
        </w:tc>
        <w:tc>
          <w:tcPr>
            <w:tcW w:w="861" w:type="dxa"/>
            <w:vMerge w:val="continue"/>
            <w:tcBorders>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p>
        </w:tc>
        <w:tc>
          <w:tcPr>
            <w:tcW w:w="917" w:type="dxa"/>
            <w:vMerge w:val="continue"/>
            <w:tcBorders>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p>
        </w:tc>
        <w:tc>
          <w:tcPr>
            <w:tcW w:w="708" w:type="dxa"/>
            <w:vMerge w:val="continue"/>
            <w:tcBorders>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p>
        </w:tc>
        <w:tc>
          <w:tcPr>
            <w:tcW w:w="993" w:type="dxa"/>
            <w:vMerge w:val="continue"/>
            <w:tcBorders>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p>
        </w:tc>
        <w:tc>
          <w:tcPr>
            <w:tcW w:w="1049" w:type="dxa"/>
            <w:vMerge w:val="continue"/>
            <w:tcBorders>
              <w:left w:val="single" w:color="auto" w:sz="4" w:space="0"/>
              <w:bottom w:val="single" w:color="auto" w:sz="4" w:space="0"/>
            </w:tcBorders>
            <w:vAlign w:val="center"/>
          </w:tcPr>
          <w:p>
            <w:pPr>
              <w:spacing w:before="60" w:beforeLines="25" w:after="60" w:afterLines="25"/>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7" w:hRule="atLeast"/>
        </w:trPr>
        <w:tc>
          <w:tcPr>
            <w:tcW w:w="706" w:type="dxa"/>
            <w:tcBorders>
              <w:top w:val="single" w:color="auto" w:sz="4" w:space="0"/>
              <w:bottom w:val="single" w:color="auto" w:sz="4" w:space="0"/>
              <w:right w:val="single" w:color="auto" w:sz="4" w:space="0"/>
            </w:tcBorders>
            <w:vAlign w:val="center"/>
          </w:tcPr>
          <w:p>
            <w:pPr>
              <w:spacing w:before="60" w:beforeLines="25" w:after="60" w:afterLines="25"/>
              <w:jc w:val="center"/>
              <w:rPr>
                <w:rFonts w:ascii="宋体" w:hAnsi="宋体"/>
                <w:szCs w:val="21"/>
              </w:rPr>
            </w:pPr>
            <w:r>
              <w:rPr>
                <w:rFonts w:hint="eastAsia" w:ascii="宋体" w:hAnsi="宋体"/>
                <w:szCs w:val="21"/>
              </w:rPr>
              <w:t>12</w:t>
            </w:r>
          </w:p>
        </w:tc>
        <w:tc>
          <w:tcPr>
            <w:tcW w:w="2691"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left"/>
              <w:rPr>
                <w:rFonts w:ascii="宋体" w:hAnsi="宋体"/>
                <w:szCs w:val="21"/>
              </w:rPr>
            </w:pPr>
            <w:r>
              <w:rPr>
                <w:rFonts w:hint="eastAsia"/>
              </w:rPr>
              <w:t>施工组织设计总篇幅超过规定篇幅的(适用于采取限制性评审方式)</w:t>
            </w:r>
          </w:p>
        </w:tc>
        <w:tc>
          <w:tcPr>
            <w:tcW w:w="3970" w:type="dxa"/>
            <w:tcBorders>
              <w:top w:val="single" w:color="auto" w:sz="4" w:space="0"/>
              <w:left w:val="single" w:color="auto" w:sz="4" w:space="0"/>
              <w:bottom w:val="single" w:color="auto" w:sz="4" w:space="0"/>
              <w:right w:val="single" w:color="auto" w:sz="4" w:space="0"/>
            </w:tcBorders>
          </w:tcPr>
          <w:p>
            <w:r>
              <w:rPr>
                <w:rFonts w:hint="eastAsia"/>
              </w:rPr>
              <w:t>施工组织设计总篇幅不应超过100页</w:t>
            </w:r>
          </w:p>
          <w:p>
            <w:pPr>
              <w:spacing w:before="60" w:beforeLines="25" w:after="60" w:afterLines="25"/>
              <w:jc w:val="left"/>
              <w:rPr>
                <w:rFonts w:ascii="宋体"/>
                <w:szCs w:val="21"/>
              </w:rPr>
            </w:pPr>
            <w:r>
              <w:rPr>
                <w:rFonts w:hint="eastAsia"/>
              </w:rPr>
              <w:t>每超过10页扣减1分，最高扣减分不得超过10分，不足10页以10页计。</w:t>
            </w:r>
          </w:p>
        </w:tc>
        <w:tc>
          <w:tcPr>
            <w:tcW w:w="85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right"/>
              <w:rPr>
                <w:rFonts w:ascii="宋体" w:cs="Arial"/>
                <w:szCs w:val="21"/>
              </w:rPr>
            </w:pPr>
            <w:r>
              <w:rPr>
                <w:rFonts w:hint="eastAsia" w:ascii="宋体" w:hAnsi="宋体"/>
                <w:szCs w:val="21"/>
              </w:rPr>
              <w:t>分</w:t>
            </w:r>
          </w:p>
        </w:tc>
        <w:tc>
          <w:tcPr>
            <w:tcW w:w="861"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p>
        </w:tc>
        <w:tc>
          <w:tcPr>
            <w:tcW w:w="1049" w:type="dxa"/>
            <w:tcBorders>
              <w:top w:val="single" w:color="auto" w:sz="4" w:space="0"/>
              <w:left w:val="single" w:color="auto" w:sz="4" w:space="0"/>
              <w:bottom w:val="single" w:color="auto" w:sz="4" w:space="0"/>
            </w:tcBorders>
            <w:vAlign w:val="center"/>
          </w:tcPr>
          <w:p>
            <w:pPr>
              <w:spacing w:before="60" w:beforeLines="25" w:after="60" w:afterLines="25"/>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7" w:hRule="atLeast"/>
        </w:trPr>
        <w:tc>
          <w:tcPr>
            <w:tcW w:w="706" w:type="dxa"/>
            <w:tcBorders>
              <w:top w:val="single" w:color="auto" w:sz="4" w:space="0"/>
              <w:bottom w:val="single" w:color="auto" w:sz="4" w:space="0"/>
              <w:right w:val="single" w:color="auto" w:sz="4" w:space="0"/>
            </w:tcBorders>
          </w:tcPr>
          <w:p>
            <w:pPr>
              <w:spacing w:before="60" w:beforeLines="25" w:after="60" w:afterLines="25"/>
              <w:jc w:val="center"/>
              <w:rPr>
                <w:rFonts w:ascii="宋体"/>
                <w:szCs w:val="21"/>
              </w:rPr>
            </w:pPr>
            <w:r>
              <w:rPr>
                <w:rFonts w:ascii="宋体" w:hAnsi="宋体"/>
                <w:szCs w:val="21"/>
              </w:rPr>
              <w:t>1</w:t>
            </w:r>
            <w:r>
              <w:rPr>
                <w:rFonts w:hint="eastAsia" w:ascii="宋体" w:hAnsi="宋体"/>
                <w:szCs w:val="21"/>
              </w:rPr>
              <w:t>3</w:t>
            </w:r>
          </w:p>
        </w:tc>
        <w:tc>
          <w:tcPr>
            <w:tcW w:w="2691" w:type="dxa"/>
            <w:tcBorders>
              <w:top w:val="single" w:color="auto" w:sz="4" w:space="0"/>
              <w:left w:val="single" w:color="auto" w:sz="4" w:space="0"/>
              <w:bottom w:val="single" w:color="auto" w:sz="4" w:space="0"/>
              <w:right w:val="single" w:color="auto" w:sz="4" w:space="0"/>
            </w:tcBorders>
          </w:tcPr>
          <w:p>
            <w:pPr>
              <w:spacing w:before="60" w:beforeLines="25" w:after="60" w:afterLines="25"/>
              <w:jc w:val="left"/>
              <w:rPr>
                <w:rFonts w:ascii="宋体"/>
                <w:szCs w:val="21"/>
              </w:rPr>
            </w:pPr>
            <w:r>
              <w:rPr>
                <w:rFonts w:hint="eastAsia" w:ascii="宋体"/>
                <w:szCs w:val="21"/>
              </w:rPr>
              <w:t>……</w:t>
            </w:r>
          </w:p>
        </w:tc>
        <w:tc>
          <w:tcPr>
            <w:tcW w:w="3970"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rPr>
                <w:rFonts w:ascii="宋体"/>
                <w:szCs w:val="21"/>
              </w:rPr>
            </w:pPr>
          </w:p>
        </w:tc>
        <w:tc>
          <w:tcPr>
            <w:tcW w:w="85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p>
        </w:tc>
        <w:tc>
          <w:tcPr>
            <w:tcW w:w="861"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p>
        </w:tc>
        <w:tc>
          <w:tcPr>
            <w:tcW w:w="1049" w:type="dxa"/>
            <w:tcBorders>
              <w:top w:val="single" w:color="auto" w:sz="4" w:space="0"/>
              <w:left w:val="single" w:color="auto" w:sz="4" w:space="0"/>
              <w:bottom w:val="single" w:color="auto" w:sz="4" w:space="0"/>
            </w:tcBorders>
            <w:vAlign w:val="center"/>
          </w:tcPr>
          <w:p>
            <w:pPr>
              <w:spacing w:before="60" w:beforeLines="25" w:after="60" w:afterLines="25"/>
              <w:jc w:val="center"/>
              <w:rPr>
                <w:rFonts w:ascii="宋体"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7" w:hRule="atLeast"/>
        </w:trPr>
        <w:tc>
          <w:tcPr>
            <w:tcW w:w="8224" w:type="dxa"/>
            <w:gridSpan w:val="4"/>
            <w:tcBorders>
              <w:top w:val="single" w:color="auto" w:sz="4" w:space="0"/>
              <w:bottom w:val="single" w:color="auto" w:sz="4" w:space="0"/>
              <w:right w:val="single" w:color="auto" w:sz="4" w:space="0"/>
            </w:tcBorders>
          </w:tcPr>
          <w:p>
            <w:pPr>
              <w:spacing w:before="60" w:beforeLines="25" w:after="60" w:afterLines="25"/>
              <w:jc w:val="center"/>
              <w:rPr>
                <w:rFonts w:ascii="宋体" w:cs="Arial"/>
                <w:szCs w:val="21"/>
              </w:rPr>
            </w:pPr>
            <w:r>
              <w:rPr>
                <w:rFonts w:hint="eastAsia" w:ascii="宋体" w:hAnsi="宋体" w:cs="Arial"/>
                <w:szCs w:val="21"/>
              </w:rPr>
              <w:t>施工组织设计评分合计</w:t>
            </w:r>
          </w:p>
        </w:tc>
        <w:tc>
          <w:tcPr>
            <w:tcW w:w="861"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rFonts w:ascii="宋体" w:cs="Arial"/>
                <w:szCs w:val="21"/>
              </w:rPr>
            </w:pPr>
          </w:p>
        </w:tc>
        <w:tc>
          <w:tcPr>
            <w:tcW w:w="1049" w:type="dxa"/>
            <w:tcBorders>
              <w:top w:val="single" w:color="auto" w:sz="4" w:space="0"/>
              <w:left w:val="single" w:color="auto" w:sz="4" w:space="0"/>
              <w:bottom w:val="single" w:color="auto" w:sz="4" w:space="0"/>
            </w:tcBorders>
            <w:vAlign w:val="center"/>
          </w:tcPr>
          <w:p>
            <w:pPr>
              <w:spacing w:before="60" w:beforeLines="25" w:after="60" w:afterLines="25"/>
              <w:jc w:val="center"/>
              <w:rPr>
                <w:rFonts w:ascii="宋体" w:cs="Arial"/>
                <w:szCs w:val="21"/>
              </w:rPr>
            </w:pPr>
          </w:p>
        </w:tc>
      </w:tr>
    </w:tbl>
    <w:p>
      <w:pPr>
        <w:tabs>
          <w:tab w:val="left" w:pos="4680"/>
        </w:tabs>
        <w:spacing w:after="120" w:afterLines="50"/>
        <w:rPr>
          <w:rFonts w:ascii="宋体" w:cs="Arial"/>
        </w:rPr>
      </w:pPr>
    </w:p>
    <w:p>
      <w:pPr>
        <w:pStyle w:val="4"/>
        <w:ind w:firstLine="0"/>
        <w:rPr>
          <w:rFonts w:ascii="宋体" w:cs="Arial"/>
          <w:kern w:val="2"/>
          <w:sz w:val="24"/>
          <w:szCs w:val="24"/>
        </w:rPr>
      </w:pPr>
      <w:r>
        <w:rPr>
          <w:rFonts w:hint="eastAsia"/>
          <w:kern w:val="2"/>
          <w:sz w:val="24"/>
          <w:szCs w:val="24"/>
        </w:rPr>
        <w:t>评标委员会成员</w:t>
      </w:r>
      <w:r>
        <w:rPr>
          <w:rFonts w:hint="eastAsia" w:ascii="宋体" w:hAnsi="宋体" w:cs="Arial"/>
          <w:sz w:val="24"/>
          <w:szCs w:val="24"/>
          <w:u w:val="single"/>
        </w:rPr>
        <w:t>（手写签名）</w:t>
      </w:r>
      <w:r>
        <w:rPr>
          <w:rFonts w:ascii="宋体" w:hAnsi="宋体" w:cs="Arial"/>
          <w:sz w:val="24"/>
          <w:szCs w:val="24"/>
          <w:u w:val="single"/>
        </w:rPr>
        <w:t xml:space="preserve">      </w:t>
      </w:r>
      <w:r>
        <w:rPr>
          <w:rFonts w:ascii="宋体" w:hAnsi="宋体" w:cs="Arial"/>
          <w:sz w:val="24"/>
          <w:u w:val="single"/>
        </w:rPr>
        <w:t xml:space="preserve">  </w:t>
      </w:r>
      <w:r>
        <w:t xml:space="preserve">                                                         </w:t>
      </w:r>
      <w:r>
        <w:rPr>
          <w:rFonts w:hint="eastAsia"/>
          <w:kern w:val="2"/>
          <w:sz w:val="24"/>
          <w:szCs w:val="24"/>
        </w:rPr>
        <w:t>日</w:t>
      </w:r>
      <w:r>
        <w:rPr>
          <w:kern w:val="2"/>
          <w:sz w:val="24"/>
          <w:szCs w:val="24"/>
        </w:rPr>
        <w:t xml:space="preserve">  </w:t>
      </w:r>
      <w:r>
        <w:rPr>
          <w:rFonts w:hint="eastAsia"/>
          <w:kern w:val="2"/>
          <w:sz w:val="24"/>
          <w:szCs w:val="24"/>
        </w:rPr>
        <w:t>期：</w:t>
      </w:r>
      <w:r>
        <w:rPr>
          <w:kern w:val="2"/>
          <w:sz w:val="24"/>
          <w:szCs w:val="24"/>
        </w:rPr>
        <w:t xml:space="preserve">      </w:t>
      </w:r>
      <w:r>
        <w:rPr>
          <w:rFonts w:hint="eastAsia"/>
          <w:kern w:val="2"/>
          <w:sz w:val="24"/>
          <w:szCs w:val="24"/>
        </w:rPr>
        <w:t>年</w:t>
      </w:r>
      <w:r>
        <w:rPr>
          <w:kern w:val="2"/>
          <w:sz w:val="24"/>
          <w:szCs w:val="24"/>
        </w:rPr>
        <w:t xml:space="preserve">   </w:t>
      </w:r>
      <w:r>
        <w:rPr>
          <w:rFonts w:hint="eastAsia"/>
          <w:kern w:val="2"/>
          <w:sz w:val="24"/>
          <w:szCs w:val="24"/>
        </w:rPr>
        <w:t>月</w:t>
      </w:r>
      <w:r>
        <w:rPr>
          <w:kern w:val="2"/>
          <w:sz w:val="24"/>
          <w:szCs w:val="24"/>
        </w:rPr>
        <w:t xml:space="preserve">   </w:t>
      </w:r>
      <w:r>
        <w:rPr>
          <w:rFonts w:hint="eastAsia"/>
          <w:kern w:val="2"/>
          <w:sz w:val="24"/>
          <w:szCs w:val="24"/>
        </w:rPr>
        <w:t>日</w:t>
      </w:r>
    </w:p>
    <w:p>
      <w:pPr>
        <w:rPr>
          <w:b/>
          <w:kern w:val="0"/>
          <w:sz w:val="32"/>
          <w:szCs w:val="20"/>
        </w:rPr>
      </w:pPr>
    </w:p>
    <w:bookmarkEnd w:id="175"/>
    <w:bookmarkEnd w:id="176"/>
    <w:bookmarkEnd w:id="177"/>
    <w:bookmarkEnd w:id="178"/>
    <w:p>
      <w:pPr>
        <w:snapToGrid w:val="0"/>
        <w:rPr>
          <w:rFonts w:ascii="Arial" w:hAnsi="Arial" w:cs="Arial"/>
          <w:bCs/>
          <w:szCs w:val="21"/>
        </w:rPr>
        <w:sectPr>
          <w:pgSz w:w="16838" w:h="11906" w:orient="landscape"/>
          <w:pgMar w:top="1644" w:right="1361" w:bottom="1644" w:left="1418" w:header="851" w:footer="992" w:gutter="0"/>
          <w:cols w:space="720" w:num="1"/>
          <w:docGrid w:linePitch="312" w:charSpace="0"/>
        </w:sectPr>
      </w:pPr>
      <w:r>
        <w:rPr>
          <w:rFonts w:hint="eastAsia" w:ascii="Arial" w:hAnsi="Arial" w:cs="Arial"/>
          <w:bCs/>
          <w:szCs w:val="21"/>
        </w:rPr>
        <w:t>备注：得分合计保留两位小数。</w:t>
      </w:r>
    </w:p>
    <w:p>
      <w:pPr>
        <w:pStyle w:val="5"/>
        <w:tabs>
          <w:tab w:val="left" w:pos="0"/>
        </w:tabs>
        <w:spacing w:before="0" w:after="0"/>
        <w:jc w:val="both"/>
        <w:rPr>
          <w:rFonts w:ascii="宋体"/>
          <w:sz w:val="28"/>
          <w:szCs w:val="24"/>
        </w:rPr>
      </w:pPr>
      <w:bookmarkStart w:id="199" w:name="_Toc396818222"/>
      <w:bookmarkStart w:id="200" w:name="_Toc419547912"/>
      <w:bookmarkStart w:id="201" w:name="_Toc381265939"/>
      <w:bookmarkStart w:id="202" w:name="_Toc470011322"/>
      <w:bookmarkStart w:id="203" w:name="_Toc419547366"/>
      <w:bookmarkStart w:id="204" w:name="_Toc455409844"/>
      <w:r>
        <w:rPr>
          <w:rFonts w:hint="eastAsia" w:ascii="宋体" w:hAnsi="宋体"/>
          <w:sz w:val="28"/>
          <w:szCs w:val="24"/>
        </w:rPr>
        <w:t>附表</w:t>
      </w:r>
      <w:r>
        <w:rPr>
          <w:rFonts w:ascii="宋体" w:hAnsi="宋体"/>
          <w:sz w:val="28"/>
          <w:szCs w:val="24"/>
        </w:rPr>
        <w:t>-8</w:t>
      </w:r>
      <w:r>
        <w:rPr>
          <w:rFonts w:hint="eastAsia" w:ascii="宋体" w:hAnsi="宋体"/>
          <w:sz w:val="28"/>
          <w:szCs w:val="24"/>
        </w:rPr>
        <w:t>：施工组织设计（暗标）评分汇总表</w:t>
      </w:r>
      <w:bookmarkEnd w:id="199"/>
      <w:bookmarkEnd w:id="200"/>
      <w:bookmarkEnd w:id="201"/>
      <w:bookmarkEnd w:id="202"/>
      <w:bookmarkEnd w:id="203"/>
      <w:bookmarkEnd w:id="204"/>
    </w:p>
    <w:p>
      <w:pPr>
        <w:snapToGrid w:val="0"/>
        <w:rPr>
          <w:b/>
          <w:bCs/>
          <w:sz w:val="24"/>
        </w:rPr>
      </w:pP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456"/>
        <w:gridCol w:w="1418"/>
        <w:gridCol w:w="1418"/>
        <w:gridCol w:w="1418"/>
        <w:gridCol w:w="1418"/>
        <w:gridCol w:w="1418"/>
        <w:gridCol w:w="1255"/>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27" w:type="dxa"/>
            <w:vMerge w:val="restart"/>
            <w:vAlign w:val="center"/>
          </w:tcPr>
          <w:p>
            <w:pPr>
              <w:snapToGrid w:val="0"/>
              <w:jc w:val="center"/>
              <w:rPr>
                <w:b/>
                <w:bCs/>
                <w:sz w:val="24"/>
              </w:rPr>
            </w:pPr>
            <w:r>
              <w:rPr>
                <w:rFonts w:hint="eastAsia"/>
                <w:b/>
                <w:bCs/>
                <w:sz w:val="24"/>
              </w:rPr>
              <w:t>序号</w:t>
            </w:r>
          </w:p>
        </w:tc>
        <w:tc>
          <w:tcPr>
            <w:tcW w:w="1456" w:type="dxa"/>
            <w:vMerge w:val="restart"/>
            <w:vAlign w:val="center"/>
          </w:tcPr>
          <w:p>
            <w:pPr>
              <w:snapToGrid w:val="0"/>
              <w:jc w:val="center"/>
              <w:rPr>
                <w:b/>
                <w:bCs/>
                <w:sz w:val="24"/>
              </w:rPr>
            </w:pPr>
            <w:r>
              <w:rPr>
                <w:rFonts w:hint="eastAsia"/>
                <w:b/>
                <w:bCs/>
                <w:kern w:val="0"/>
                <w:sz w:val="24"/>
              </w:rPr>
              <w:t>暗标编号</w:t>
            </w:r>
          </w:p>
        </w:tc>
        <w:tc>
          <w:tcPr>
            <w:tcW w:w="7090" w:type="dxa"/>
            <w:gridSpan w:val="5"/>
            <w:vAlign w:val="center"/>
          </w:tcPr>
          <w:p>
            <w:pPr>
              <w:snapToGrid w:val="0"/>
              <w:jc w:val="center"/>
              <w:rPr>
                <w:b/>
                <w:bCs/>
                <w:sz w:val="24"/>
              </w:rPr>
            </w:pPr>
            <w:r>
              <w:rPr>
                <w:rFonts w:hint="eastAsia"/>
                <w:b/>
                <w:bCs/>
                <w:kern w:val="0"/>
                <w:sz w:val="24"/>
              </w:rPr>
              <w:t>评</w:t>
            </w:r>
            <w:r>
              <w:rPr>
                <w:b/>
                <w:bCs/>
                <w:kern w:val="0"/>
                <w:sz w:val="24"/>
              </w:rPr>
              <w:t xml:space="preserve"> </w:t>
            </w:r>
            <w:r>
              <w:rPr>
                <w:rFonts w:hint="eastAsia"/>
                <w:b/>
                <w:bCs/>
                <w:kern w:val="0"/>
                <w:sz w:val="24"/>
              </w:rPr>
              <w:t>委</w:t>
            </w:r>
            <w:r>
              <w:rPr>
                <w:b/>
                <w:bCs/>
                <w:kern w:val="0"/>
                <w:sz w:val="24"/>
              </w:rPr>
              <w:t xml:space="preserve"> </w:t>
            </w:r>
            <w:r>
              <w:rPr>
                <w:rFonts w:hint="eastAsia"/>
                <w:b/>
                <w:bCs/>
                <w:kern w:val="0"/>
                <w:sz w:val="24"/>
              </w:rPr>
              <w:t>评</w:t>
            </w:r>
            <w:r>
              <w:rPr>
                <w:b/>
                <w:bCs/>
                <w:kern w:val="0"/>
                <w:sz w:val="24"/>
              </w:rPr>
              <w:t xml:space="preserve"> </w:t>
            </w:r>
            <w:r>
              <w:rPr>
                <w:rFonts w:hint="eastAsia"/>
                <w:b/>
                <w:bCs/>
                <w:kern w:val="0"/>
                <w:sz w:val="24"/>
              </w:rPr>
              <w:t>分</w:t>
            </w:r>
          </w:p>
        </w:tc>
        <w:tc>
          <w:tcPr>
            <w:tcW w:w="1255" w:type="dxa"/>
            <w:vMerge w:val="restart"/>
            <w:vAlign w:val="center"/>
          </w:tcPr>
          <w:p>
            <w:pPr>
              <w:snapToGrid w:val="0"/>
              <w:jc w:val="center"/>
              <w:rPr>
                <w:b/>
                <w:bCs/>
                <w:sz w:val="24"/>
              </w:rPr>
            </w:pPr>
            <w:r>
              <w:rPr>
                <w:rFonts w:hint="eastAsia"/>
                <w:b/>
                <w:sz w:val="24"/>
                <w:szCs w:val="30"/>
              </w:rPr>
              <w:t>得分合计</w:t>
            </w:r>
          </w:p>
        </w:tc>
        <w:tc>
          <w:tcPr>
            <w:tcW w:w="1115" w:type="dxa"/>
            <w:vMerge w:val="restart"/>
            <w:vAlign w:val="center"/>
          </w:tcPr>
          <w:p>
            <w:pPr>
              <w:snapToGrid w:val="0"/>
              <w:jc w:val="center"/>
              <w:rPr>
                <w:b/>
                <w:sz w:val="24"/>
                <w:szCs w:val="30"/>
              </w:rPr>
            </w:pPr>
            <w:r>
              <w:rPr>
                <w:rFonts w:hint="eastAsia"/>
                <w:b/>
                <w:sz w:val="24"/>
                <w:szCs w:val="30"/>
              </w:rPr>
              <w:t>平均</w:t>
            </w:r>
          </w:p>
          <w:p>
            <w:pPr>
              <w:snapToGrid w:val="0"/>
              <w:jc w:val="center"/>
              <w:rPr>
                <w:b/>
                <w:bCs/>
                <w:sz w:val="24"/>
              </w:rPr>
            </w:pPr>
            <w:r>
              <w:rPr>
                <w:rFonts w:hint="eastAsia"/>
                <w:b/>
                <w:sz w:val="24"/>
                <w:szCs w:val="3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vMerge w:val="continue"/>
          </w:tcPr>
          <w:p>
            <w:pPr>
              <w:snapToGrid w:val="0"/>
              <w:rPr>
                <w:b/>
                <w:bCs/>
                <w:sz w:val="24"/>
              </w:rPr>
            </w:pPr>
          </w:p>
        </w:tc>
        <w:tc>
          <w:tcPr>
            <w:tcW w:w="1456" w:type="dxa"/>
            <w:vMerge w:val="continue"/>
          </w:tcPr>
          <w:p>
            <w:pPr>
              <w:snapToGrid w:val="0"/>
              <w:rPr>
                <w:b/>
                <w:bCs/>
                <w:sz w:val="24"/>
              </w:rPr>
            </w:pPr>
          </w:p>
        </w:tc>
        <w:tc>
          <w:tcPr>
            <w:tcW w:w="1418" w:type="dxa"/>
          </w:tcPr>
          <w:p>
            <w:pPr>
              <w:snapToGrid w:val="0"/>
              <w:spacing w:before="120" w:beforeLines="50"/>
              <w:rPr>
                <w:b/>
                <w:bCs/>
                <w:sz w:val="24"/>
              </w:rPr>
            </w:pPr>
          </w:p>
        </w:tc>
        <w:tc>
          <w:tcPr>
            <w:tcW w:w="1418" w:type="dxa"/>
            <w:vAlign w:val="center"/>
          </w:tcPr>
          <w:p>
            <w:pPr>
              <w:snapToGrid w:val="0"/>
              <w:spacing w:before="120" w:beforeLines="50"/>
              <w:rPr>
                <w:b/>
                <w:bCs/>
                <w:sz w:val="24"/>
              </w:rPr>
            </w:pPr>
          </w:p>
        </w:tc>
        <w:tc>
          <w:tcPr>
            <w:tcW w:w="1418" w:type="dxa"/>
            <w:vAlign w:val="center"/>
          </w:tcPr>
          <w:p>
            <w:pPr>
              <w:snapToGrid w:val="0"/>
              <w:spacing w:before="120" w:beforeLines="50"/>
              <w:rPr>
                <w:b/>
                <w:bCs/>
                <w:sz w:val="24"/>
              </w:rPr>
            </w:pPr>
          </w:p>
        </w:tc>
        <w:tc>
          <w:tcPr>
            <w:tcW w:w="1418" w:type="dxa"/>
          </w:tcPr>
          <w:p>
            <w:pPr>
              <w:snapToGrid w:val="0"/>
              <w:spacing w:before="120" w:beforeLines="50"/>
              <w:rPr>
                <w:b/>
                <w:bCs/>
                <w:sz w:val="24"/>
              </w:rPr>
            </w:pPr>
          </w:p>
        </w:tc>
        <w:tc>
          <w:tcPr>
            <w:tcW w:w="1418" w:type="dxa"/>
          </w:tcPr>
          <w:p>
            <w:pPr>
              <w:snapToGrid w:val="0"/>
              <w:spacing w:before="120" w:beforeLines="50"/>
              <w:rPr>
                <w:b/>
                <w:bCs/>
                <w:sz w:val="24"/>
              </w:rPr>
            </w:pPr>
          </w:p>
        </w:tc>
        <w:tc>
          <w:tcPr>
            <w:tcW w:w="1255" w:type="dxa"/>
            <w:vMerge w:val="continue"/>
          </w:tcPr>
          <w:p>
            <w:pPr>
              <w:snapToGrid w:val="0"/>
              <w:rPr>
                <w:b/>
                <w:bCs/>
                <w:sz w:val="24"/>
              </w:rPr>
            </w:pPr>
          </w:p>
        </w:tc>
        <w:tc>
          <w:tcPr>
            <w:tcW w:w="1115" w:type="dxa"/>
            <w:vMerge w:val="continue"/>
          </w:tcPr>
          <w:p>
            <w:pPr>
              <w:snapToGrid w:val="0"/>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pPr>
              <w:snapToGrid w:val="0"/>
              <w:rPr>
                <w:b/>
                <w:bCs/>
                <w:sz w:val="24"/>
              </w:rPr>
            </w:pPr>
          </w:p>
        </w:tc>
        <w:tc>
          <w:tcPr>
            <w:tcW w:w="1456" w:type="dxa"/>
          </w:tcPr>
          <w:p>
            <w:pPr>
              <w:snapToGrid w:val="0"/>
              <w:rPr>
                <w:b/>
                <w:bCs/>
                <w:sz w:val="24"/>
              </w:rPr>
            </w:pPr>
          </w:p>
        </w:tc>
        <w:tc>
          <w:tcPr>
            <w:tcW w:w="1418" w:type="dxa"/>
          </w:tcPr>
          <w:p>
            <w:pPr>
              <w:snapToGrid w:val="0"/>
              <w:spacing w:before="120" w:beforeLines="50"/>
              <w:rPr>
                <w:b/>
                <w:bCs/>
                <w:sz w:val="24"/>
              </w:rPr>
            </w:pPr>
          </w:p>
        </w:tc>
        <w:tc>
          <w:tcPr>
            <w:tcW w:w="1418" w:type="dxa"/>
          </w:tcPr>
          <w:p>
            <w:pPr>
              <w:snapToGrid w:val="0"/>
              <w:spacing w:before="120" w:beforeLines="50"/>
              <w:rPr>
                <w:b/>
                <w:bCs/>
                <w:sz w:val="24"/>
              </w:rPr>
            </w:pPr>
          </w:p>
        </w:tc>
        <w:tc>
          <w:tcPr>
            <w:tcW w:w="1418" w:type="dxa"/>
          </w:tcPr>
          <w:p>
            <w:pPr>
              <w:snapToGrid w:val="0"/>
              <w:spacing w:before="120" w:beforeLines="50"/>
              <w:rPr>
                <w:b/>
                <w:bCs/>
                <w:sz w:val="24"/>
              </w:rPr>
            </w:pPr>
          </w:p>
        </w:tc>
        <w:tc>
          <w:tcPr>
            <w:tcW w:w="1418" w:type="dxa"/>
          </w:tcPr>
          <w:p>
            <w:pPr>
              <w:snapToGrid w:val="0"/>
              <w:spacing w:before="120" w:beforeLines="50"/>
              <w:rPr>
                <w:b/>
                <w:bCs/>
                <w:sz w:val="24"/>
              </w:rPr>
            </w:pPr>
          </w:p>
        </w:tc>
        <w:tc>
          <w:tcPr>
            <w:tcW w:w="1418" w:type="dxa"/>
          </w:tcPr>
          <w:p>
            <w:pPr>
              <w:snapToGrid w:val="0"/>
              <w:spacing w:before="120" w:beforeLines="50"/>
              <w:rPr>
                <w:b/>
                <w:bCs/>
                <w:sz w:val="24"/>
              </w:rPr>
            </w:pPr>
          </w:p>
        </w:tc>
        <w:tc>
          <w:tcPr>
            <w:tcW w:w="1255" w:type="dxa"/>
          </w:tcPr>
          <w:p>
            <w:pPr>
              <w:snapToGrid w:val="0"/>
              <w:rPr>
                <w:b/>
                <w:bCs/>
                <w:sz w:val="24"/>
              </w:rPr>
            </w:pPr>
          </w:p>
        </w:tc>
        <w:tc>
          <w:tcPr>
            <w:tcW w:w="1115" w:type="dxa"/>
          </w:tcPr>
          <w:p>
            <w:pPr>
              <w:snapToGrid w:val="0"/>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pPr>
              <w:snapToGrid w:val="0"/>
              <w:rPr>
                <w:b/>
                <w:bCs/>
                <w:sz w:val="24"/>
              </w:rPr>
            </w:pPr>
          </w:p>
        </w:tc>
        <w:tc>
          <w:tcPr>
            <w:tcW w:w="1456" w:type="dxa"/>
          </w:tcPr>
          <w:p>
            <w:pPr>
              <w:snapToGrid w:val="0"/>
              <w:rPr>
                <w:b/>
                <w:bCs/>
                <w:sz w:val="24"/>
              </w:rPr>
            </w:pPr>
          </w:p>
        </w:tc>
        <w:tc>
          <w:tcPr>
            <w:tcW w:w="1418" w:type="dxa"/>
          </w:tcPr>
          <w:p>
            <w:pPr>
              <w:snapToGrid w:val="0"/>
              <w:spacing w:before="120" w:beforeLines="50"/>
              <w:rPr>
                <w:b/>
                <w:bCs/>
                <w:sz w:val="24"/>
              </w:rPr>
            </w:pPr>
          </w:p>
        </w:tc>
        <w:tc>
          <w:tcPr>
            <w:tcW w:w="1418" w:type="dxa"/>
          </w:tcPr>
          <w:p>
            <w:pPr>
              <w:snapToGrid w:val="0"/>
              <w:spacing w:before="120" w:beforeLines="50"/>
              <w:rPr>
                <w:b/>
                <w:bCs/>
                <w:sz w:val="24"/>
              </w:rPr>
            </w:pPr>
          </w:p>
        </w:tc>
        <w:tc>
          <w:tcPr>
            <w:tcW w:w="1418" w:type="dxa"/>
          </w:tcPr>
          <w:p>
            <w:pPr>
              <w:snapToGrid w:val="0"/>
              <w:spacing w:before="120" w:beforeLines="50"/>
              <w:rPr>
                <w:b/>
                <w:bCs/>
                <w:sz w:val="24"/>
              </w:rPr>
            </w:pPr>
          </w:p>
        </w:tc>
        <w:tc>
          <w:tcPr>
            <w:tcW w:w="1418" w:type="dxa"/>
          </w:tcPr>
          <w:p>
            <w:pPr>
              <w:snapToGrid w:val="0"/>
              <w:spacing w:before="120" w:beforeLines="50"/>
              <w:rPr>
                <w:b/>
                <w:bCs/>
                <w:sz w:val="24"/>
              </w:rPr>
            </w:pPr>
          </w:p>
        </w:tc>
        <w:tc>
          <w:tcPr>
            <w:tcW w:w="1418" w:type="dxa"/>
          </w:tcPr>
          <w:p>
            <w:pPr>
              <w:snapToGrid w:val="0"/>
              <w:spacing w:before="120" w:beforeLines="50"/>
              <w:rPr>
                <w:b/>
                <w:bCs/>
                <w:sz w:val="24"/>
              </w:rPr>
            </w:pPr>
          </w:p>
        </w:tc>
        <w:tc>
          <w:tcPr>
            <w:tcW w:w="1255" w:type="dxa"/>
          </w:tcPr>
          <w:p>
            <w:pPr>
              <w:snapToGrid w:val="0"/>
              <w:rPr>
                <w:b/>
                <w:bCs/>
                <w:sz w:val="24"/>
              </w:rPr>
            </w:pPr>
          </w:p>
        </w:tc>
        <w:tc>
          <w:tcPr>
            <w:tcW w:w="1115" w:type="dxa"/>
          </w:tcPr>
          <w:p>
            <w:pPr>
              <w:snapToGrid w:val="0"/>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pPr>
              <w:snapToGrid w:val="0"/>
              <w:rPr>
                <w:b/>
                <w:bCs/>
                <w:sz w:val="24"/>
              </w:rPr>
            </w:pPr>
          </w:p>
        </w:tc>
        <w:tc>
          <w:tcPr>
            <w:tcW w:w="1456" w:type="dxa"/>
          </w:tcPr>
          <w:p>
            <w:pPr>
              <w:snapToGrid w:val="0"/>
              <w:rPr>
                <w:b/>
                <w:bCs/>
                <w:sz w:val="24"/>
              </w:rPr>
            </w:pPr>
          </w:p>
        </w:tc>
        <w:tc>
          <w:tcPr>
            <w:tcW w:w="1418" w:type="dxa"/>
          </w:tcPr>
          <w:p>
            <w:pPr>
              <w:snapToGrid w:val="0"/>
              <w:spacing w:before="120" w:beforeLines="50"/>
              <w:rPr>
                <w:b/>
                <w:bCs/>
                <w:sz w:val="24"/>
              </w:rPr>
            </w:pPr>
          </w:p>
        </w:tc>
        <w:tc>
          <w:tcPr>
            <w:tcW w:w="1418" w:type="dxa"/>
          </w:tcPr>
          <w:p>
            <w:pPr>
              <w:snapToGrid w:val="0"/>
              <w:spacing w:before="120" w:beforeLines="50"/>
              <w:rPr>
                <w:b/>
                <w:bCs/>
                <w:sz w:val="24"/>
              </w:rPr>
            </w:pPr>
          </w:p>
        </w:tc>
        <w:tc>
          <w:tcPr>
            <w:tcW w:w="1418" w:type="dxa"/>
          </w:tcPr>
          <w:p>
            <w:pPr>
              <w:snapToGrid w:val="0"/>
              <w:spacing w:before="120" w:beforeLines="50"/>
              <w:rPr>
                <w:b/>
                <w:bCs/>
                <w:sz w:val="24"/>
              </w:rPr>
            </w:pPr>
          </w:p>
        </w:tc>
        <w:tc>
          <w:tcPr>
            <w:tcW w:w="1418" w:type="dxa"/>
          </w:tcPr>
          <w:p>
            <w:pPr>
              <w:snapToGrid w:val="0"/>
              <w:spacing w:before="120" w:beforeLines="50"/>
              <w:rPr>
                <w:b/>
                <w:bCs/>
                <w:sz w:val="24"/>
              </w:rPr>
            </w:pPr>
          </w:p>
        </w:tc>
        <w:tc>
          <w:tcPr>
            <w:tcW w:w="1418" w:type="dxa"/>
          </w:tcPr>
          <w:p>
            <w:pPr>
              <w:snapToGrid w:val="0"/>
              <w:spacing w:before="120" w:beforeLines="50"/>
              <w:rPr>
                <w:b/>
                <w:bCs/>
                <w:sz w:val="24"/>
              </w:rPr>
            </w:pPr>
          </w:p>
        </w:tc>
        <w:tc>
          <w:tcPr>
            <w:tcW w:w="1255" w:type="dxa"/>
          </w:tcPr>
          <w:p>
            <w:pPr>
              <w:snapToGrid w:val="0"/>
              <w:rPr>
                <w:b/>
                <w:bCs/>
                <w:sz w:val="24"/>
              </w:rPr>
            </w:pPr>
          </w:p>
        </w:tc>
        <w:tc>
          <w:tcPr>
            <w:tcW w:w="1115" w:type="dxa"/>
          </w:tcPr>
          <w:p>
            <w:pPr>
              <w:snapToGrid w:val="0"/>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pPr>
              <w:snapToGrid w:val="0"/>
              <w:rPr>
                <w:b/>
                <w:bCs/>
                <w:sz w:val="24"/>
              </w:rPr>
            </w:pPr>
          </w:p>
        </w:tc>
        <w:tc>
          <w:tcPr>
            <w:tcW w:w="1456" w:type="dxa"/>
          </w:tcPr>
          <w:p>
            <w:pPr>
              <w:snapToGrid w:val="0"/>
              <w:rPr>
                <w:b/>
                <w:bCs/>
                <w:sz w:val="24"/>
              </w:rPr>
            </w:pPr>
          </w:p>
        </w:tc>
        <w:tc>
          <w:tcPr>
            <w:tcW w:w="1418" w:type="dxa"/>
          </w:tcPr>
          <w:p>
            <w:pPr>
              <w:snapToGrid w:val="0"/>
              <w:spacing w:before="120" w:beforeLines="50"/>
              <w:rPr>
                <w:b/>
                <w:bCs/>
                <w:sz w:val="24"/>
              </w:rPr>
            </w:pPr>
          </w:p>
        </w:tc>
        <w:tc>
          <w:tcPr>
            <w:tcW w:w="1418" w:type="dxa"/>
          </w:tcPr>
          <w:p>
            <w:pPr>
              <w:snapToGrid w:val="0"/>
              <w:spacing w:before="120" w:beforeLines="50"/>
              <w:rPr>
                <w:b/>
                <w:bCs/>
                <w:sz w:val="24"/>
              </w:rPr>
            </w:pPr>
          </w:p>
        </w:tc>
        <w:tc>
          <w:tcPr>
            <w:tcW w:w="1418" w:type="dxa"/>
          </w:tcPr>
          <w:p>
            <w:pPr>
              <w:snapToGrid w:val="0"/>
              <w:spacing w:before="120" w:beforeLines="50"/>
              <w:rPr>
                <w:b/>
                <w:bCs/>
                <w:sz w:val="24"/>
              </w:rPr>
            </w:pPr>
          </w:p>
        </w:tc>
        <w:tc>
          <w:tcPr>
            <w:tcW w:w="1418" w:type="dxa"/>
          </w:tcPr>
          <w:p>
            <w:pPr>
              <w:snapToGrid w:val="0"/>
              <w:spacing w:before="120" w:beforeLines="50"/>
              <w:rPr>
                <w:b/>
                <w:bCs/>
                <w:sz w:val="24"/>
              </w:rPr>
            </w:pPr>
          </w:p>
        </w:tc>
        <w:tc>
          <w:tcPr>
            <w:tcW w:w="1418" w:type="dxa"/>
          </w:tcPr>
          <w:p>
            <w:pPr>
              <w:snapToGrid w:val="0"/>
              <w:spacing w:before="120" w:beforeLines="50"/>
              <w:rPr>
                <w:b/>
                <w:bCs/>
                <w:sz w:val="24"/>
              </w:rPr>
            </w:pPr>
          </w:p>
        </w:tc>
        <w:tc>
          <w:tcPr>
            <w:tcW w:w="1255" w:type="dxa"/>
          </w:tcPr>
          <w:p>
            <w:pPr>
              <w:snapToGrid w:val="0"/>
              <w:rPr>
                <w:b/>
                <w:bCs/>
                <w:sz w:val="24"/>
              </w:rPr>
            </w:pPr>
          </w:p>
        </w:tc>
        <w:tc>
          <w:tcPr>
            <w:tcW w:w="1115" w:type="dxa"/>
          </w:tcPr>
          <w:p>
            <w:pPr>
              <w:snapToGrid w:val="0"/>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pPr>
              <w:snapToGrid w:val="0"/>
              <w:rPr>
                <w:b/>
                <w:bCs/>
                <w:sz w:val="24"/>
              </w:rPr>
            </w:pPr>
          </w:p>
        </w:tc>
        <w:tc>
          <w:tcPr>
            <w:tcW w:w="1456" w:type="dxa"/>
          </w:tcPr>
          <w:p>
            <w:pPr>
              <w:snapToGrid w:val="0"/>
              <w:rPr>
                <w:b/>
                <w:bCs/>
                <w:sz w:val="24"/>
              </w:rPr>
            </w:pPr>
          </w:p>
        </w:tc>
        <w:tc>
          <w:tcPr>
            <w:tcW w:w="1418" w:type="dxa"/>
          </w:tcPr>
          <w:p>
            <w:pPr>
              <w:snapToGrid w:val="0"/>
              <w:spacing w:before="120" w:beforeLines="50"/>
              <w:rPr>
                <w:b/>
                <w:bCs/>
                <w:sz w:val="24"/>
              </w:rPr>
            </w:pPr>
          </w:p>
        </w:tc>
        <w:tc>
          <w:tcPr>
            <w:tcW w:w="1418" w:type="dxa"/>
          </w:tcPr>
          <w:p>
            <w:pPr>
              <w:snapToGrid w:val="0"/>
              <w:spacing w:before="120" w:beforeLines="50"/>
              <w:rPr>
                <w:b/>
                <w:bCs/>
                <w:sz w:val="24"/>
              </w:rPr>
            </w:pPr>
          </w:p>
        </w:tc>
        <w:tc>
          <w:tcPr>
            <w:tcW w:w="1418" w:type="dxa"/>
          </w:tcPr>
          <w:p>
            <w:pPr>
              <w:snapToGrid w:val="0"/>
              <w:spacing w:before="120" w:beforeLines="50"/>
              <w:rPr>
                <w:b/>
                <w:bCs/>
                <w:sz w:val="24"/>
              </w:rPr>
            </w:pPr>
          </w:p>
        </w:tc>
        <w:tc>
          <w:tcPr>
            <w:tcW w:w="1418" w:type="dxa"/>
          </w:tcPr>
          <w:p>
            <w:pPr>
              <w:snapToGrid w:val="0"/>
              <w:spacing w:before="120" w:beforeLines="50"/>
              <w:rPr>
                <w:b/>
                <w:bCs/>
                <w:sz w:val="24"/>
              </w:rPr>
            </w:pPr>
          </w:p>
        </w:tc>
        <w:tc>
          <w:tcPr>
            <w:tcW w:w="1418" w:type="dxa"/>
          </w:tcPr>
          <w:p>
            <w:pPr>
              <w:snapToGrid w:val="0"/>
              <w:spacing w:before="120" w:beforeLines="50"/>
              <w:rPr>
                <w:b/>
                <w:bCs/>
                <w:sz w:val="24"/>
              </w:rPr>
            </w:pPr>
          </w:p>
        </w:tc>
        <w:tc>
          <w:tcPr>
            <w:tcW w:w="1255" w:type="dxa"/>
          </w:tcPr>
          <w:p>
            <w:pPr>
              <w:snapToGrid w:val="0"/>
              <w:rPr>
                <w:b/>
                <w:bCs/>
                <w:sz w:val="24"/>
              </w:rPr>
            </w:pPr>
          </w:p>
        </w:tc>
        <w:tc>
          <w:tcPr>
            <w:tcW w:w="1115" w:type="dxa"/>
          </w:tcPr>
          <w:p>
            <w:pPr>
              <w:snapToGrid w:val="0"/>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pPr>
              <w:snapToGrid w:val="0"/>
              <w:rPr>
                <w:b/>
                <w:bCs/>
                <w:sz w:val="24"/>
              </w:rPr>
            </w:pPr>
          </w:p>
        </w:tc>
        <w:tc>
          <w:tcPr>
            <w:tcW w:w="1456" w:type="dxa"/>
          </w:tcPr>
          <w:p>
            <w:pPr>
              <w:snapToGrid w:val="0"/>
              <w:rPr>
                <w:b/>
                <w:bCs/>
                <w:sz w:val="24"/>
              </w:rPr>
            </w:pPr>
          </w:p>
        </w:tc>
        <w:tc>
          <w:tcPr>
            <w:tcW w:w="1418" w:type="dxa"/>
          </w:tcPr>
          <w:p>
            <w:pPr>
              <w:snapToGrid w:val="0"/>
              <w:spacing w:before="120" w:beforeLines="50"/>
              <w:rPr>
                <w:b/>
                <w:bCs/>
                <w:sz w:val="24"/>
              </w:rPr>
            </w:pPr>
          </w:p>
        </w:tc>
        <w:tc>
          <w:tcPr>
            <w:tcW w:w="1418" w:type="dxa"/>
          </w:tcPr>
          <w:p>
            <w:pPr>
              <w:snapToGrid w:val="0"/>
              <w:spacing w:before="120" w:beforeLines="50"/>
              <w:rPr>
                <w:b/>
                <w:bCs/>
                <w:sz w:val="24"/>
              </w:rPr>
            </w:pPr>
          </w:p>
        </w:tc>
        <w:tc>
          <w:tcPr>
            <w:tcW w:w="1418" w:type="dxa"/>
          </w:tcPr>
          <w:p>
            <w:pPr>
              <w:snapToGrid w:val="0"/>
              <w:spacing w:before="120" w:beforeLines="50"/>
              <w:rPr>
                <w:b/>
                <w:bCs/>
                <w:sz w:val="24"/>
              </w:rPr>
            </w:pPr>
          </w:p>
        </w:tc>
        <w:tc>
          <w:tcPr>
            <w:tcW w:w="1418" w:type="dxa"/>
          </w:tcPr>
          <w:p>
            <w:pPr>
              <w:snapToGrid w:val="0"/>
              <w:spacing w:before="120" w:beforeLines="50"/>
              <w:rPr>
                <w:b/>
                <w:bCs/>
                <w:sz w:val="24"/>
              </w:rPr>
            </w:pPr>
          </w:p>
        </w:tc>
        <w:tc>
          <w:tcPr>
            <w:tcW w:w="1418" w:type="dxa"/>
          </w:tcPr>
          <w:p>
            <w:pPr>
              <w:snapToGrid w:val="0"/>
              <w:spacing w:before="120" w:beforeLines="50"/>
              <w:rPr>
                <w:b/>
                <w:bCs/>
                <w:sz w:val="24"/>
              </w:rPr>
            </w:pPr>
          </w:p>
        </w:tc>
        <w:tc>
          <w:tcPr>
            <w:tcW w:w="1255" w:type="dxa"/>
          </w:tcPr>
          <w:p>
            <w:pPr>
              <w:snapToGrid w:val="0"/>
              <w:rPr>
                <w:b/>
                <w:bCs/>
                <w:sz w:val="24"/>
              </w:rPr>
            </w:pPr>
          </w:p>
        </w:tc>
        <w:tc>
          <w:tcPr>
            <w:tcW w:w="1115" w:type="dxa"/>
          </w:tcPr>
          <w:p>
            <w:pPr>
              <w:snapToGrid w:val="0"/>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pPr>
              <w:snapToGrid w:val="0"/>
              <w:rPr>
                <w:b/>
                <w:bCs/>
                <w:sz w:val="24"/>
              </w:rPr>
            </w:pPr>
          </w:p>
        </w:tc>
        <w:tc>
          <w:tcPr>
            <w:tcW w:w="1456" w:type="dxa"/>
          </w:tcPr>
          <w:p>
            <w:pPr>
              <w:snapToGrid w:val="0"/>
              <w:rPr>
                <w:b/>
                <w:bCs/>
                <w:sz w:val="24"/>
              </w:rPr>
            </w:pPr>
          </w:p>
        </w:tc>
        <w:tc>
          <w:tcPr>
            <w:tcW w:w="1418" w:type="dxa"/>
          </w:tcPr>
          <w:p>
            <w:pPr>
              <w:snapToGrid w:val="0"/>
              <w:spacing w:before="120" w:beforeLines="50"/>
              <w:rPr>
                <w:b/>
                <w:bCs/>
                <w:sz w:val="24"/>
              </w:rPr>
            </w:pPr>
          </w:p>
        </w:tc>
        <w:tc>
          <w:tcPr>
            <w:tcW w:w="1418" w:type="dxa"/>
          </w:tcPr>
          <w:p>
            <w:pPr>
              <w:snapToGrid w:val="0"/>
              <w:spacing w:before="120" w:beforeLines="50"/>
              <w:rPr>
                <w:b/>
                <w:bCs/>
                <w:sz w:val="24"/>
              </w:rPr>
            </w:pPr>
          </w:p>
        </w:tc>
        <w:tc>
          <w:tcPr>
            <w:tcW w:w="1418" w:type="dxa"/>
          </w:tcPr>
          <w:p>
            <w:pPr>
              <w:snapToGrid w:val="0"/>
              <w:spacing w:before="120" w:beforeLines="50"/>
              <w:rPr>
                <w:b/>
                <w:bCs/>
                <w:sz w:val="24"/>
              </w:rPr>
            </w:pPr>
          </w:p>
        </w:tc>
        <w:tc>
          <w:tcPr>
            <w:tcW w:w="1418" w:type="dxa"/>
          </w:tcPr>
          <w:p>
            <w:pPr>
              <w:snapToGrid w:val="0"/>
              <w:spacing w:before="120" w:beforeLines="50"/>
              <w:rPr>
                <w:b/>
                <w:bCs/>
                <w:sz w:val="24"/>
              </w:rPr>
            </w:pPr>
          </w:p>
        </w:tc>
        <w:tc>
          <w:tcPr>
            <w:tcW w:w="1418" w:type="dxa"/>
          </w:tcPr>
          <w:p>
            <w:pPr>
              <w:snapToGrid w:val="0"/>
              <w:spacing w:before="120" w:beforeLines="50"/>
              <w:rPr>
                <w:b/>
                <w:bCs/>
                <w:sz w:val="24"/>
              </w:rPr>
            </w:pPr>
          </w:p>
        </w:tc>
        <w:tc>
          <w:tcPr>
            <w:tcW w:w="1255" w:type="dxa"/>
          </w:tcPr>
          <w:p>
            <w:pPr>
              <w:snapToGrid w:val="0"/>
              <w:rPr>
                <w:b/>
                <w:bCs/>
                <w:sz w:val="24"/>
              </w:rPr>
            </w:pPr>
          </w:p>
        </w:tc>
        <w:tc>
          <w:tcPr>
            <w:tcW w:w="1115" w:type="dxa"/>
          </w:tcPr>
          <w:p>
            <w:pPr>
              <w:snapToGrid w:val="0"/>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Pr>
          <w:p>
            <w:pPr>
              <w:snapToGrid w:val="0"/>
              <w:rPr>
                <w:b/>
                <w:bCs/>
                <w:sz w:val="24"/>
              </w:rPr>
            </w:pPr>
          </w:p>
        </w:tc>
        <w:tc>
          <w:tcPr>
            <w:tcW w:w="1456" w:type="dxa"/>
          </w:tcPr>
          <w:p>
            <w:pPr>
              <w:snapToGrid w:val="0"/>
              <w:rPr>
                <w:b/>
                <w:bCs/>
                <w:sz w:val="24"/>
              </w:rPr>
            </w:pPr>
          </w:p>
        </w:tc>
        <w:tc>
          <w:tcPr>
            <w:tcW w:w="1418" w:type="dxa"/>
          </w:tcPr>
          <w:p>
            <w:pPr>
              <w:snapToGrid w:val="0"/>
              <w:spacing w:before="120" w:beforeLines="50"/>
              <w:rPr>
                <w:b/>
                <w:bCs/>
                <w:sz w:val="24"/>
              </w:rPr>
            </w:pPr>
          </w:p>
        </w:tc>
        <w:tc>
          <w:tcPr>
            <w:tcW w:w="1418" w:type="dxa"/>
          </w:tcPr>
          <w:p>
            <w:pPr>
              <w:snapToGrid w:val="0"/>
              <w:spacing w:before="120" w:beforeLines="50"/>
              <w:rPr>
                <w:b/>
                <w:bCs/>
                <w:sz w:val="24"/>
              </w:rPr>
            </w:pPr>
          </w:p>
        </w:tc>
        <w:tc>
          <w:tcPr>
            <w:tcW w:w="1418" w:type="dxa"/>
          </w:tcPr>
          <w:p>
            <w:pPr>
              <w:snapToGrid w:val="0"/>
              <w:spacing w:before="120" w:beforeLines="50"/>
              <w:rPr>
                <w:b/>
                <w:bCs/>
                <w:sz w:val="24"/>
              </w:rPr>
            </w:pPr>
          </w:p>
        </w:tc>
        <w:tc>
          <w:tcPr>
            <w:tcW w:w="1418" w:type="dxa"/>
          </w:tcPr>
          <w:p>
            <w:pPr>
              <w:snapToGrid w:val="0"/>
              <w:spacing w:before="120" w:beforeLines="50"/>
              <w:rPr>
                <w:b/>
                <w:bCs/>
                <w:sz w:val="24"/>
              </w:rPr>
            </w:pPr>
          </w:p>
        </w:tc>
        <w:tc>
          <w:tcPr>
            <w:tcW w:w="1418" w:type="dxa"/>
          </w:tcPr>
          <w:p>
            <w:pPr>
              <w:snapToGrid w:val="0"/>
              <w:spacing w:before="120" w:beforeLines="50"/>
              <w:rPr>
                <w:b/>
                <w:bCs/>
                <w:sz w:val="24"/>
              </w:rPr>
            </w:pPr>
          </w:p>
        </w:tc>
        <w:tc>
          <w:tcPr>
            <w:tcW w:w="1255" w:type="dxa"/>
          </w:tcPr>
          <w:p>
            <w:pPr>
              <w:snapToGrid w:val="0"/>
              <w:rPr>
                <w:b/>
                <w:bCs/>
                <w:sz w:val="24"/>
              </w:rPr>
            </w:pPr>
          </w:p>
        </w:tc>
        <w:tc>
          <w:tcPr>
            <w:tcW w:w="1115" w:type="dxa"/>
          </w:tcPr>
          <w:p>
            <w:pPr>
              <w:snapToGrid w:val="0"/>
              <w:rPr>
                <w:b/>
                <w:bCs/>
                <w:sz w:val="24"/>
              </w:rPr>
            </w:pPr>
          </w:p>
        </w:tc>
      </w:tr>
    </w:tbl>
    <w:p>
      <w:pPr>
        <w:snapToGrid w:val="0"/>
        <w:spacing w:before="120" w:beforeLines="50"/>
        <w:rPr>
          <w:kern w:val="0"/>
          <w:sz w:val="24"/>
        </w:rPr>
      </w:pPr>
      <w:r>
        <w:rPr>
          <w:rFonts w:hint="eastAsia"/>
          <w:b/>
          <w:kern w:val="0"/>
          <w:sz w:val="24"/>
        </w:rPr>
        <w:t>说明</w:t>
      </w:r>
      <w:r>
        <w:rPr>
          <w:rFonts w:hint="eastAsia"/>
          <w:kern w:val="0"/>
          <w:sz w:val="24"/>
        </w:rPr>
        <w:t>：表中得分合计为全体评委评分的合计数，平均得分为全体评委评分的算术平均值，得分合计保留两位小数。</w:t>
      </w:r>
    </w:p>
    <w:p>
      <w:pPr>
        <w:snapToGrid w:val="0"/>
        <w:rPr>
          <w:kern w:val="0"/>
          <w:sz w:val="24"/>
        </w:rPr>
      </w:pPr>
    </w:p>
    <w:p>
      <w:pPr>
        <w:tabs>
          <w:tab w:val="left" w:pos="12256"/>
        </w:tabs>
        <w:snapToGrid w:val="0"/>
        <w:rPr>
          <w:kern w:val="0"/>
          <w:sz w:val="24"/>
        </w:rPr>
      </w:pPr>
    </w:p>
    <w:p>
      <w:pPr>
        <w:tabs>
          <w:tab w:val="left" w:pos="11156"/>
        </w:tabs>
        <w:snapToGrid w:val="0"/>
        <w:rPr>
          <w:kern w:val="0"/>
          <w:sz w:val="24"/>
        </w:rPr>
      </w:pPr>
      <w:r>
        <w:rPr>
          <w:rFonts w:hint="eastAsia"/>
          <w:kern w:val="0"/>
          <w:sz w:val="24"/>
        </w:rPr>
        <w:t>评标委员会全体成员</w:t>
      </w:r>
      <w:r>
        <w:rPr>
          <w:rFonts w:hint="eastAsia" w:ascii="宋体" w:hAnsi="宋体" w:cs="Arial"/>
          <w:sz w:val="24"/>
          <w:u w:val="single"/>
        </w:rPr>
        <w:t>（手写签名）</w:t>
      </w:r>
      <w:r>
        <w:rPr>
          <w:rFonts w:ascii="宋体" w:hAnsi="宋体" w:cs="Arial"/>
          <w:sz w:val="24"/>
          <w:u w:val="single"/>
        </w:rPr>
        <w:t xml:space="preserve">        </w:t>
      </w:r>
      <w:r>
        <w:rPr>
          <w:kern w:val="0"/>
          <w:sz w:val="24"/>
        </w:rPr>
        <w:t xml:space="preserve">                                                    </w:t>
      </w:r>
      <w:r>
        <w:rPr>
          <w:rFonts w:hint="eastAsia"/>
          <w:kern w:val="0"/>
          <w:sz w:val="24"/>
        </w:rPr>
        <w:t>日期</w:t>
      </w:r>
      <w:r>
        <w:rPr>
          <w:kern w:val="0"/>
          <w:sz w:val="24"/>
        </w:rPr>
        <w:t xml:space="preserve">:    </w:t>
      </w:r>
      <w:r>
        <w:rPr>
          <w:rFonts w:hint="eastAsia"/>
          <w:kern w:val="0"/>
          <w:sz w:val="24"/>
        </w:rPr>
        <w:t>年</w:t>
      </w:r>
      <w:r>
        <w:rPr>
          <w:kern w:val="0"/>
          <w:sz w:val="24"/>
        </w:rPr>
        <w:t xml:space="preserve">   </w:t>
      </w:r>
      <w:r>
        <w:rPr>
          <w:rFonts w:hint="eastAsia"/>
          <w:kern w:val="0"/>
          <w:sz w:val="24"/>
        </w:rPr>
        <w:t>月</w:t>
      </w:r>
      <w:r>
        <w:rPr>
          <w:kern w:val="0"/>
          <w:sz w:val="24"/>
        </w:rPr>
        <w:t xml:space="preserve">   </w:t>
      </w:r>
      <w:r>
        <w:rPr>
          <w:rFonts w:hint="eastAsia"/>
          <w:kern w:val="0"/>
          <w:sz w:val="24"/>
        </w:rPr>
        <w:t>日</w:t>
      </w:r>
    </w:p>
    <w:p>
      <w:pPr>
        <w:tabs>
          <w:tab w:val="left" w:pos="11156"/>
        </w:tabs>
        <w:snapToGrid w:val="0"/>
        <w:rPr>
          <w:bCs/>
          <w:sz w:val="24"/>
        </w:rPr>
        <w:sectPr>
          <w:pgSz w:w="16838" w:h="11906" w:orient="landscape"/>
          <w:pgMar w:top="1644" w:right="1361" w:bottom="1644" w:left="1418" w:header="851" w:footer="992" w:gutter="0"/>
          <w:cols w:space="425" w:num="1"/>
          <w:docGrid w:linePitch="312" w:charSpace="0"/>
        </w:sectPr>
      </w:pPr>
    </w:p>
    <w:p>
      <w:pPr>
        <w:pStyle w:val="5"/>
        <w:tabs>
          <w:tab w:val="left" w:pos="10"/>
        </w:tabs>
        <w:spacing w:before="0" w:after="0"/>
        <w:jc w:val="both"/>
        <w:rPr>
          <w:rFonts w:ascii="宋体"/>
          <w:sz w:val="28"/>
          <w:szCs w:val="24"/>
        </w:rPr>
      </w:pPr>
      <w:bookmarkStart w:id="205" w:name="_Toc470011324"/>
      <w:bookmarkStart w:id="206" w:name="_Toc368157341"/>
      <w:bookmarkStart w:id="207" w:name="_Toc455409846"/>
      <w:r>
        <w:rPr>
          <w:rFonts w:hint="eastAsia" w:ascii="宋体" w:hAnsi="宋体"/>
          <w:sz w:val="28"/>
          <w:szCs w:val="24"/>
        </w:rPr>
        <w:t>附表</w:t>
      </w:r>
      <w:r>
        <w:rPr>
          <w:rFonts w:ascii="宋体"/>
          <w:sz w:val="28"/>
          <w:szCs w:val="24"/>
        </w:rPr>
        <w:t>-</w:t>
      </w:r>
      <w:r>
        <w:rPr>
          <w:rFonts w:hint="eastAsia" w:ascii="宋体" w:hAnsi="宋体"/>
          <w:sz w:val="28"/>
          <w:szCs w:val="24"/>
        </w:rPr>
        <w:t>9：企业实力和管理机构评审记录表</w:t>
      </w:r>
      <w:bookmarkEnd w:id="205"/>
      <w:bookmarkEnd w:id="206"/>
      <w:bookmarkEnd w:id="207"/>
    </w:p>
    <w:p>
      <w:pPr>
        <w:jc w:val="center"/>
        <w:rPr>
          <w:rFonts w:ascii="黑体" w:hAnsi="黑体" w:eastAsia="黑体"/>
          <w:bCs/>
          <w:szCs w:val="21"/>
        </w:rPr>
      </w:pPr>
      <w:r>
        <w:rPr>
          <w:rFonts w:hint="eastAsia" w:ascii="黑体" w:hAnsi="黑体" w:eastAsia="黑体"/>
          <w:bCs/>
          <w:kern w:val="0"/>
          <w:sz w:val="28"/>
          <w:szCs w:val="28"/>
        </w:rPr>
        <w:t>企业实力和管理机构评审记录表</w:t>
      </w:r>
    </w:p>
    <w:p>
      <w:pPr>
        <w:rPr>
          <w:bCs/>
          <w:szCs w:val="21"/>
        </w:rPr>
      </w:pPr>
      <w:r>
        <w:rPr>
          <w:rFonts w:hint="eastAsia" w:hAnsi="宋体"/>
          <w:bCs/>
          <w:szCs w:val="21"/>
        </w:rPr>
        <w:t>工程名称：</w:t>
      </w:r>
      <w:r>
        <w:rPr>
          <w:bCs/>
          <w:szCs w:val="21"/>
          <w:u w:val="single"/>
        </w:rPr>
        <w:t xml:space="preserve">                  </w:t>
      </w:r>
    </w:p>
    <w:tbl>
      <w:tblPr>
        <w:tblStyle w:val="49"/>
        <w:tblW w:w="1389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7"/>
        <w:gridCol w:w="2546"/>
        <w:gridCol w:w="3967"/>
        <w:gridCol w:w="773"/>
        <w:gridCol w:w="932"/>
        <w:gridCol w:w="851"/>
        <w:gridCol w:w="851"/>
        <w:gridCol w:w="851"/>
        <w:gridCol w:w="852"/>
        <w:gridCol w:w="851"/>
        <w:gridCol w:w="8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tblHeader/>
        </w:trPr>
        <w:tc>
          <w:tcPr>
            <w:tcW w:w="567" w:type="dxa"/>
            <w:vMerge w:val="restart"/>
            <w:tcBorders>
              <w:top w:val="single" w:color="auto" w:sz="4" w:space="0"/>
              <w:bottom w:val="single" w:color="auto" w:sz="4" w:space="0"/>
              <w:right w:val="single" w:color="auto" w:sz="4" w:space="0"/>
            </w:tcBorders>
            <w:vAlign w:val="center"/>
          </w:tcPr>
          <w:p>
            <w:pPr>
              <w:spacing w:before="60" w:beforeLines="25" w:after="60" w:afterLines="25"/>
              <w:jc w:val="center"/>
              <w:rPr>
                <w:szCs w:val="21"/>
              </w:rPr>
            </w:pPr>
            <w:r>
              <w:rPr>
                <w:rFonts w:hint="eastAsia" w:hAnsi="宋体"/>
                <w:szCs w:val="21"/>
              </w:rPr>
              <w:t>序号</w:t>
            </w:r>
          </w:p>
        </w:tc>
        <w:tc>
          <w:tcPr>
            <w:tcW w:w="2546" w:type="dxa"/>
            <w:vMerge w:val="restart"/>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szCs w:val="21"/>
              </w:rPr>
            </w:pPr>
            <w:r>
              <w:rPr>
                <w:rFonts w:hint="eastAsia" w:hAnsi="宋体"/>
                <w:szCs w:val="21"/>
              </w:rPr>
              <w:t>评分工程</w:t>
            </w:r>
          </w:p>
        </w:tc>
        <w:tc>
          <w:tcPr>
            <w:tcW w:w="4740" w:type="dxa"/>
            <w:gridSpan w:val="2"/>
            <w:vMerge w:val="restart"/>
            <w:tcBorders>
              <w:top w:val="single" w:color="auto" w:sz="4" w:space="0"/>
              <w:left w:val="single" w:color="auto" w:sz="4" w:space="0"/>
              <w:bottom w:val="single" w:color="auto" w:sz="4" w:space="0"/>
            </w:tcBorders>
            <w:vAlign w:val="center"/>
          </w:tcPr>
          <w:p>
            <w:pPr>
              <w:spacing w:before="60" w:beforeLines="25" w:after="60" w:afterLines="25"/>
              <w:jc w:val="center"/>
              <w:rPr>
                <w:szCs w:val="21"/>
              </w:rPr>
            </w:pPr>
            <w:r>
              <w:rPr>
                <w:rFonts w:hint="eastAsia" w:hAnsi="宋体"/>
                <w:szCs w:val="21"/>
              </w:rPr>
              <w:t>评分标准</w:t>
            </w:r>
          </w:p>
        </w:tc>
        <w:tc>
          <w:tcPr>
            <w:tcW w:w="932" w:type="dxa"/>
            <w:vMerge w:val="restart"/>
            <w:tcBorders>
              <w:top w:val="single" w:color="auto" w:sz="4" w:space="0"/>
              <w:left w:val="single" w:color="auto" w:sz="4" w:space="0"/>
            </w:tcBorders>
            <w:vAlign w:val="center"/>
          </w:tcPr>
          <w:p>
            <w:pPr>
              <w:widowControl/>
              <w:jc w:val="center"/>
              <w:rPr>
                <w:szCs w:val="21"/>
              </w:rPr>
            </w:pPr>
            <w:r>
              <w:rPr>
                <w:rFonts w:hint="eastAsia"/>
                <w:szCs w:val="21"/>
              </w:rPr>
              <w:t>标准分</w:t>
            </w:r>
          </w:p>
        </w:tc>
        <w:tc>
          <w:tcPr>
            <w:tcW w:w="5107" w:type="dxa"/>
            <w:gridSpan w:val="6"/>
            <w:tcBorders>
              <w:top w:val="single" w:color="auto" w:sz="4" w:space="0"/>
              <w:left w:val="single" w:color="auto" w:sz="4" w:space="0"/>
              <w:bottom w:val="single" w:color="auto" w:sz="4" w:space="0"/>
            </w:tcBorders>
            <w:vAlign w:val="center"/>
          </w:tcPr>
          <w:p>
            <w:pPr>
              <w:autoSpaceDE w:val="0"/>
              <w:autoSpaceDN w:val="0"/>
              <w:adjustRightInd w:val="0"/>
              <w:jc w:val="center"/>
              <w:rPr>
                <w:rFonts w:ascii="黑体" w:hAnsi="黑体" w:eastAsia="黑体" w:cs="Arial"/>
                <w:bCs/>
                <w:sz w:val="28"/>
                <w:szCs w:val="28"/>
              </w:rPr>
            </w:pPr>
            <w:r>
              <w:rPr>
                <w:rFonts w:hint="eastAsia" w:ascii="宋体" w:hAnsi="宋体" w:cs="宋体"/>
                <w:kern w:val="0"/>
                <w:szCs w:val="21"/>
              </w:rPr>
              <w:t>投标人名称及评审得分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1" w:hRule="atLeast"/>
          <w:tblHeader/>
        </w:trPr>
        <w:tc>
          <w:tcPr>
            <w:tcW w:w="567" w:type="dxa"/>
            <w:vMerge w:val="continue"/>
            <w:tcBorders>
              <w:top w:val="single" w:color="auto" w:sz="4" w:space="0"/>
              <w:bottom w:val="single" w:color="auto" w:sz="4" w:space="0"/>
              <w:right w:val="single" w:color="auto" w:sz="4" w:space="0"/>
            </w:tcBorders>
            <w:vAlign w:val="center"/>
          </w:tcPr>
          <w:p>
            <w:pPr>
              <w:spacing w:before="60" w:beforeLines="25" w:after="60" w:afterLines="25"/>
              <w:jc w:val="center"/>
              <w:rPr>
                <w:szCs w:val="21"/>
              </w:rPr>
            </w:pPr>
          </w:p>
        </w:tc>
        <w:tc>
          <w:tcPr>
            <w:tcW w:w="2546" w:type="dxa"/>
            <w:vMerge w:val="continue"/>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szCs w:val="21"/>
              </w:rPr>
            </w:pPr>
          </w:p>
        </w:tc>
        <w:tc>
          <w:tcPr>
            <w:tcW w:w="4740" w:type="dxa"/>
            <w:gridSpan w:val="2"/>
            <w:vMerge w:val="continue"/>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center"/>
              <w:rPr>
                <w:szCs w:val="21"/>
              </w:rPr>
            </w:pPr>
          </w:p>
        </w:tc>
        <w:tc>
          <w:tcPr>
            <w:tcW w:w="932" w:type="dxa"/>
            <w:vMerge w:val="continue"/>
            <w:tcBorders>
              <w:left w:val="single" w:color="auto" w:sz="4" w:space="0"/>
              <w:bottom w:val="single" w:color="auto" w:sz="4" w:space="0"/>
              <w:right w:val="single" w:color="auto" w:sz="4" w:space="0"/>
            </w:tcBorders>
          </w:tcPr>
          <w:p>
            <w:pPr>
              <w:spacing w:before="60" w:beforeLines="25" w:after="60" w:afterLines="25"/>
              <w:jc w:val="center"/>
              <w:rPr>
                <w:szCs w:val="21"/>
              </w:rPr>
            </w:pPr>
          </w:p>
        </w:tc>
        <w:tc>
          <w:tcPr>
            <w:tcW w:w="851"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szCs w:val="21"/>
              </w:rPr>
            </w:pPr>
          </w:p>
        </w:tc>
        <w:tc>
          <w:tcPr>
            <w:tcW w:w="851"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szCs w:val="21"/>
              </w:rPr>
            </w:pPr>
          </w:p>
        </w:tc>
        <w:tc>
          <w:tcPr>
            <w:tcW w:w="851"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szCs w:val="21"/>
              </w:rPr>
            </w:pPr>
          </w:p>
        </w:tc>
        <w:tc>
          <w:tcPr>
            <w:tcW w:w="85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szCs w:val="21"/>
              </w:rPr>
            </w:pPr>
          </w:p>
        </w:tc>
        <w:tc>
          <w:tcPr>
            <w:tcW w:w="851"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szCs w:val="21"/>
              </w:rPr>
            </w:pPr>
          </w:p>
        </w:tc>
        <w:tc>
          <w:tcPr>
            <w:tcW w:w="851" w:type="dxa"/>
            <w:tcBorders>
              <w:top w:val="single" w:color="auto" w:sz="4" w:space="0"/>
              <w:left w:val="single" w:color="auto" w:sz="4" w:space="0"/>
              <w:bottom w:val="single" w:color="auto" w:sz="4" w:space="0"/>
            </w:tcBorders>
          </w:tcPr>
          <w:p>
            <w:pPr>
              <w:spacing w:before="60" w:beforeLines="25" w:after="60" w:afterLines="25"/>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3" w:hRule="exact"/>
        </w:trPr>
        <w:tc>
          <w:tcPr>
            <w:tcW w:w="567" w:type="dxa"/>
            <w:vMerge w:val="restart"/>
            <w:tcBorders>
              <w:top w:val="single" w:color="auto" w:sz="4" w:space="0"/>
              <w:right w:val="single" w:color="auto" w:sz="4" w:space="0"/>
            </w:tcBorders>
            <w:vAlign w:val="center"/>
          </w:tcPr>
          <w:p>
            <w:pPr>
              <w:spacing w:before="60" w:beforeLines="25" w:after="60" w:afterLines="25"/>
              <w:jc w:val="center"/>
              <w:rPr>
                <w:rFonts w:ascii="宋体" w:hAnsi="宋体"/>
                <w:szCs w:val="21"/>
              </w:rPr>
            </w:pPr>
            <w:r>
              <w:rPr>
                <w:rFonts w:ascii="宋体" w:hAnsi="宋体"/>
                <w:szCs w:val="21"/>
              </w:rPr>
              <w:t>1</w:t>
            </w:r>
          </w:p>
        </w:tc>
        <w:tc>
          <w:tcPr>
            <w:tcW w:w="2546" w:type="dxa"/>
            <w:vMerge w:val="restart"/>
            <w:tcBorders>
              <w:top w:val="single" w:color="auto" w:sz="4" w:space="0"/>
              <w:left w:val="single" w:color="auto" w:sz="4" w:space="0"/>
              <w:right w:val="single" w:color="auto" w:sz="4" w:space="0"/>
            </w:tcBorders>
            <w:vAlign w:val="center"/>
          </w:tcPr>
          <w:p>
            <w:pPr>
              <w:spacing w:before="60" w:beforeLines="25" w:after="60" w:afterLines="25"/>
              <w:jc w:val="left"/>
              <w:rPr>
                <w:rFonts w:ascii="宋体"/>
                <w:szCs w:val="21"/>
              </w:rPr>
            </w:pPr>
            <w:r>
              <w:rPr>
                <w:rFonts w:hint="eastAsia" w:ascii="宋体" w:hAnsi="宋体"/>
                <w:szCs w:val="21"/>
              </w:rPr>
              <w:t>项目负责人的任职资格和资历</w:t>
            </w:r>
          </w:p>
        </w:tc>
        <w:tc>
          <w:tcPr>
            <w:tcW w:w="396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szCs w:val="21"/>
              </w:rPr>
            </w:pPr>
            <w:r>
              <w:rPr>
                <w:rFonts w:hint="eastAsia" w:ascii="宋体" w:hAnsi="宋体"/>
                <w:szCs w:val="21"/>
              </w:rPr>
              <w:t>学历</w:t>
            </w:r>
            <w:r>
              <w:rPr>
                <w:rFonts w:ascii="宋体" w:hAnsi="宋体"/>
                <w:szCs w:val="21"/>
              </w:rPr>
              <w:t xml:space="preserve"> </w:t>
            </w:r>
          </w:p>
        </w:tc>
        <w:tc>
          <w:tcPr>
            <w:tcW w:w="773" w:type="dxa"/>
            <w:tcBorders>
              <w:top w:val="single" w:color="auto" w:sz="4" w:space="0"/>
              <w:left w:val="single" w:color="auto" w:sz="4" w:space="0"/>
              <w:bottom w:val="single" w:color="auto" w:sz="4" w:space="0"/>
              <w:right w:val="single" w:color="auto" w:sz="4" w:space="0"/>
            </w:tcBorders>
          </w:tcPr>
          <w:p>
            <w:pPr>
              <w:spacing w:before="60" w:beforeLines="25" w:after="60" w:afterLines="25"/>
              <w:jc w:val="right"/>
              <w:rPr>
                <w:rFonts w:ascii="宋体"/>
                <w:szCs w:val="21"/>
              </w:rPr>
            </w:pPr>
            <w:r>
              <w:rPr>
                <w:rFonts w:hint="eastAsia" w:ascii="宋体" w:hAnsi="宋体"/>
                <w:szCs w:val="21"/>
              </w:rPr>
              <w:t>分</w:t>
            </w:r>
          </w:p>
        </w:tc>
        <w:tc>
          <w:tcPr>
            <w:tcW w:w="932" w:type="dxa"/>
            <w:vMerge w:val="restart"/>
            <w:tcBorders>
              <w:top w:val="single" w:color="auto" w:sz="4" w:space="0"/>
              <w:left w:val="single" w:color="auto" w:sz="4" w:space="0"/>
              <w:right w:val="single" w:color="auto" w:sz="4" w:space="0"/>
            </w:tcBorders>
          </w:tcPr>
          <w:p>
            <w:pPr>
              <w:spacing w:before="60" w:beforeLines="25" w:after="60" w:afterLines="25"/>
              <w:jc w:val="center"/>
              <w:rPr>
                <w:rFonts w:ascii="宋体"/>
                <w:szCs w:val="21"/>
              </w:rPr>
            </w:pPr>
          </w:p>
        </w:tc>
        <w:tc>
          <w:tcPr>
            <w:tcW w:w="851" w:type="dxa"/>
            <w:vMerge w:val="restart"/>
            <w:tcBorders>
              <w:top w:val="single" w:color="auto" w:sz="4" w:space="0"/>
              <w:left w:val="single" w:color="auto" w:sz="4" w:space="0"/>
              <w:right w:val="single" w:color="auto" w:sz="4" w:space="0"/>
            </w:tcBorders>
          </w:tcPr>
          <w:p>
            <w:pPr>
              <w:spacing w:before="60" w:beforeLines="25" w:after="60" w:afterLines="25"/>
              <w:jc w:val="center"/>
              <w:rPr>
                <w:rFonts w:ascii="宋体"/>
                <w:szCs w:val="21"/>
              </w:rPr>
            </w:pPr>
          </w:p>
        </w:tc>
        <w:tc>
          <w:tcPr>
            <w:tcW w:w="851" w:type="dxa"/>
            <w:vMerge w:val="restart"/>
            <w:tcBorders>
              <w:top w:val="single" w:color="auto" w:sz="4" w:space="0"/>
              <w:left w:val="single" w:color="auto" w:sz="4" w:space="0"/>
              <w:right w:val="single" w:color="auto" w:sz="4" w:space="0"/>
            </w:tcBorders>
          </w:tcPr>
          <w:p>
            <w:pPr>
              <w:spacing w:before="60" w:beforeLines="25" w:after="60" w:afterLines="25"/>
              <w:jc w:val="center"/>
              <w:rPr>
                <w:rFonts w:ascii="宋体"/>
                <w:szCs w:val="21"/>
              </w:rPr>
            </w:pPr>
          </w:p>
        </w:tc>
        <w:tc>
          <w:tcPr>
            <w:tcW w:w="851" w:type="dxa"/>
            <w:vMerge w:val="restart"/>
            <w:tcBorders>
              <w:top w:val="single" w:color="auto" w:sz="4" w:space="0"/>
              <w:left w:val="single" w:color="auto" w:sz="4" w:space="0"/>
              <w:right w:val="single" w:color="auto" w:sz="4" w:space="0"/>
            </w:tcBorders>
          </w:tcPr>
          <w:p>
            <w:pPr>
              <w:spacing w:before="60" w:beforeLines="25" w:after="60" w:afterLines="25"/>
              <w:jc w:val="center"/>
              <w:rPr>
                <w:rFonts w:ascii="宋体"/>
                <w:szCs w:val="21"/>
              </w:rPr>
            </w:pPr>
          </w:p>
        </w:tc>
        <w:tc>
          <w:tcPr>
            <w:tcW w:w="852" w:type="dxa"/>
            <w:vMerge w:val="restart"/>
            <w:tcBorders>
              <w:top w:val="single" w:color="auto" w:sz="4" w:space="0"/>
              <w:left w:val="single" w:color="auto" w:sz="4" w:space="0"/>
              <w:right w:val="single" w:color="auto" w:sz="4" w:space="0"/>
            </w:tcBorders>
          </w:tcPr>
          <w:p>
            <w:pPr>
              <w:spacing w:before="60" w:beforeLines="25" w:after="60" w:afterLines="25"/>
              <w:jc w:val="center"/>
              <w:rPr>
                <w:rFonts w:ascii="宋体"/>
                <w:szCs w:val="21"/>
              </w:rPr>
            </w:pPr>
          </w:p>
        </w:tc>
        <w:tc>
          <w:tcPr>
            <w:tcW w:w="851" w:type="dxa"/>
            <w:vMerge w:val="restart"/>
            <w:tcBorders>
              <w:top w:val="single" w:color="auto" w:sz="4" w:space="0"/>
              <w:left w:val="single" w:color="auto" w:sz="4" w:space="0"/>
              <w:right w:val="single" w:color="auto" w:sz="4" w:space="0"/>
            </w:tcBorders>
          </w:tcPr>
          <w:p>
            <w:pPr>
              <w:spacing w:before="60" w:beforeLines="25" w:after="60" w:afterLines="25"/>
              <w:jc w:val="center"/>
              <w:rPr>
                <w:rFonts w:ascii="宋体"/>
                <w:szCs w:val="21"/>
              </w:rPr>
            </w:pPr>
          </w:p>
        </w:tc>
        <w:tc>
          <w:tcPr>
            <w:tcW w:w="851" w:type="dxa"/>
            <w:vMerge w:val="restart"/>
            <w:tcBorders>
              <w:top w:val="single" w:color="auto" w:sz="4" w:space="0"/>
              <w:left w:val="single" w:color="auto" w:sz="4" w:space="0"/>
            </w:tcBorders>
          </w:tcPr>
          <w:p>
            <w:pPr>
              <w:spacing w:before="60" w:beforeLines="25" w:after="60" w:afterLines="25"/>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exact"/>
        </w:trPr>
        <w:tc>
          <w:tcPr>
            <w:tcW w:w="567" w:type="dxa"/>
            <w:vMerge w:val="continue"/>
            <w:tcBorders>
              <w:right w:val="single" w:color="auto" w:sz="4" w:space="0"/>
            </w:tcBorders>
            <w:vAlign w:val="center"/>
          </w:tcPr>
          <w:p>
            <w:pPr>
              <w:spacing w:before="60" w:beforeLines="25" w:after="60" w:afterLines="25"/>
              <w:jc w:val="center"/>
              <w:rPr>
                <w:rFonts w:ascii="宋体"/>
                <w:szCs w:val="21"/>
              </w:rPr>
            </w:pPr>
          </w:p>
        </w:tc>
        <w:tc>
          <w:tcPr>
            <w:tcW w:w="2546" w:type="dxa"/>
            <w:vMerge w:val="continue"/>
            <w:tcBorders>
              <w:left w:val="single" w:color="auto" w:sz="4" w:space="0"/>
              <w:right w:val="single" w:color="auto" w:sz="4" w:space="0"/>
            </w:tcBorders>
            <w:vAlign w:val="center"/>
          </w:tcPr>
          <w:p>
            <w:pPr>
              <w:spacing w:before="60" w:beforeLines="25" w:after="60" w:afterLines="25"/>
              <w:jc w:val="left"/>
              <w:rPr>
                <w:rFonts w:ascii="宋体"/>
                <w:szCs w:val="21"/>
              </w:rPr>
            </w:pPr>
          </w:p>
        </w:tc>
        <w:tc>
          <w:tcPr>
            <w:tcW w:w="3967" w:type="dxa"/>
            <w:tcBorders>
              <w:top w:val="single" w:color="auto" w:sz="4" w:space="0"/>
              <w:left w:val="single" w:color="auto" w:sz="4" w:space="0"/>
              <w:bottom w:val="single" w:color="auto" w:sz="4" w:space="0"/>
              <w:right w:val="single" w:color="auto" w:sz="4" w:space="0"/>
            </w:tcBorders>
            <w:vAlign w:val="center"/>
          </w:tcPr>
          <w:p>
            <w:pPr>
              <w:pStyle w:val="28"/>
              <w:snapToGrid w:val="0"/>
              <w:rPr>
                <w:rFonts w:hAnsi="宋体" w:cs="Courier New"/>
                <w:szCs w:val="21"/>
              </w:rPr>
            </w:pPr>
            <w:r>
              <w:rPr>
                <w:rFonts w:hint="eastAsia" w:hAnsi="宋体" w:cs="Courier New"/>
                <w:szCs w:val="21"/>
              </w:rPr>
              <w:t>职称</w:t>
            </w:r>
            <w:r>
              <w:rPr>
                <w:rFonts w:hAnsi="宋体" w:cs="Courier New"/>
                <w:szCs w:val="21"/>
              </w:rPr>
              <w:t xml:space="preserve"> </w:t>
            </w:r>
          </w:p>
        </w:tc>
        <w:tc>
          <w:tcPr>
            <w:tcW w:w="773" w:type="dxa"/>
            <w:tcBorders>
              <w:top w:val="single" w:color="auto" w:sz="4" w:space="0"/>
              <w:left w:val="single" w:color="auto" w:sz="4" w:space="0"/>
              <w:bottom w:val="single" w:color="auto" w:sz="4" w:space="0"/>
              <w:right w:val="single" w:color="auto" w:sz="4" w:space="0"/>
            </w:tcBorders>
            <w:vAlign w:val="center"/>
          </w:tcPr>
          <w:p>
            <w:pPr>
              <w:jc w:val="right"/>
            </w:pPr>
            <w:r>
              <w:rPr>
                <w:rFonts w:hint="eastAsia" w:ascii="宋体" w:hAnsi="宋体"/>
                <w:szCs w:val="21"/>
              </w:rPr>
              <w:t>分</w:t>
            </w:r>
          </w:p>
        </w:tc>
        <w:tc>
          <w:tcPr>
            <w:tcW w:w="932" w:type="dxa"/>
            <w:vMerge w:val="continue"/>
            <w:tcBorders>
              <w:left w:val="single" w:color="auto" w:sz="4" w:space="0"/>
              <w:right w:val="single" w:color="auto" w:sz="4" w:space="0"/>
            </w:tcBorders>
          </w:tcPr>
          <w:p>
            <w:pPr>
              <w:spacing w:before="60" w:beforeLines="25" w:after="60" w:afterLines="25"/>
              <w:jc w:val="center"/>
              <w:rPr>
                <w:rFonts w:ascii="宋体"/>
                <w:szCs w:val="21"/>
              </w:rPr>
            </w:pPr>
          </w:p>
        </w:tc>
        <w:tc>
          <w:tcPr>
            <w:tcW w:w="851" w:type="dxa"/>
            <w:vMerge w:val="continue"/>
            <w:tcBorders>
              <w:left w:val="single" w:color="auto" w:sz="4" w:space="0"/>
              <w:right w:val="single" w:color="auto" w:sz="4" w:space="0"/>
            </w:tcBorders>
          </w:tcPr>
          <w:p>
            <w:pPr>
              <w:spacing w:before="60" w:beforeLines="25" w:after="60" w:afterLines="25"/>
              <w:jc w:val="center"/>
              <w:rPr>
                <w:rFonts w:ascii="宋体"/>
                <w:szCs w:val="21"/>
              </w:rPr>
            </w:pPr>
          </w:p>
        </w:tc>
        <w:tc>
          <w:tcPr>
            <w:tcW w:w="851" w:type="dxa"/>
            <w:vMerge w:val="continue"/>
            <w:tcBorders>
              <w:left w:val="single" w:color="auto" w:sz="4" w:space="0"/>
              <w:right w:val="single" w:color="auto" w:sz="4" w:space="0"/>
            </w:tcBorders>
          </w:tcPr>
          <w:p>
            <w:pPr>
              <w:spacing w:before="60" w:beforeLines="25" w:after="60" w:afterLines="25"/>
              <w:jc w:val="center"/>
              <w:rPr>
                <w:rFonts w:ascii="宋体"/>
                <w:szCs w:val="21"/>
              </w:rPr>
            </w:pPr>
          </w:p>
        </w:tc>
        <w:tc>
          <w:tcPr>
            <w:tcW w:w="851" w:type="dxa"/>
            <w:vMerge w:val="continue"/>
            <w:tcBorders>
              <w:left w:val="single" w:color="auto" w:sz="4" w:space="0"/>
              <w:right w:val="single" w:color="auto" w:sz="4" w:space="0"/>
            </w:tcBorders>
          </w:tcPr>
          <w:p>
            <w:pPr>
              <w:spacing w:before="60" w:beforeLines="25" w:after="60" w:afterLines="25"/>
              <w:jc w:val="center"/>
              <w:rPr>
                <w:rFonts w:ascii="宋体"/>
                <w:szCs w:val="21"/>
              </w:rPr>
            </w:pPr>
          </w:p>
        </w:tc>
        <w:tc>
          <w:tcPr>
            <w:tcW w:w="852" w:type="dxa"/>
            <w:vMerge w:val="continue"/>
            <w:tcBorders>
              <w:left w:val="single" w:color="auto" w:sz="4" w:space="0"/>
              <w:right w:val="single" w:color="auto" w:sz="4" w:space="0"/>
            </w:tcBorders>
          </w:tcPr>
          <w:p>
            <w:pPr>
              <w:spacing w:before="60" w:beforeLines="25" w:after="60" w:afterLines="25"/>
              <w:jc w:val="center"/>
              <w:rPr>
                <w:rFonts w:ascii="宋体"/>
                <w:szCs w:val="21"/>
              </w:rPr>
            </w:pPr>
          </w:p>
        </w:tc>
        <w:tc>
          <w:tcPr>
            <w:tcW w:w="851" w:type="dxa"/>
            <w:vMerge w:val="continue"/>
            <w:tcBorders>
              <w:left w:val="single" w:color="auto" w:sz="4" w:space="0"/>
              <w:right w:val="single" w:color="auto" w:sz="4" w:space="0"/>
            </w:tcBorders>
          </w:tcPr>
          <w:p>
            <w:pPr>
              <w:spacing w:before="60" w:beforeLines="25" w:after="60" w:afterLines="25"/>
              <w:jc w:val="center"/>
              <w:rPr>
                <w:rFonts w:ascii="宋体"/>
                <w:szCs w:val="21"/>
              </w:rPr>
            </w:pPr>
          </w:p>
        </w:tc>
        <w:tc>
          <w:tcPr>
            <w:tcW w:w="851" w:type="dxa"/>
            <w:vMerge w:val="continue"/>
            <w:tcBorders>
              <w:left w:val="single" w:color="auto" w:sz="4" w:space="0"/>
            </w:tcBorders>
          </w:tcPr>
          <w:p>
            <w:pPr>
              <w:spacing w:before="60" w:beforeLines="25" w:after="60" w:afterLines="25"/>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6" w:hRule="exact"/>
        </w:trPr>
        <w:tc>
          <w:tcPr>
            <w:tcW w:w="567" w:type="dxa"/>
            <w:vMerge w:val="continue"/>
            <w:tcBorders>
              <w:bottom w:val="single" w:color="auto" w:sz="4" w:space="0"/>
              <w:right w:val="single" w:color="auto" w:sz="4" w:space="0"/>
            </w:tcBorders>
            <w:vAlign w:val="center"/>
          </w:tcPr>
          <w:p>
            <w:pPr>
              <w:spacing w:before="60" w:beforeLines="25" w:after="60" w:afterLines="25"/>
              <w:jc w:val="center"/>
              <w:rPr>
                <w:rFonts w:ascii="宋体"/>
                <w:szCs w:val="21"/>
              </w:rPr>
            </w:pPr>
          </w:p>
        </w:tc>
        <w:tc>
          <w:tcPr>
            <w:tcW w:w="2546" w:type="dxa"/>
            <w:vMerge w:val="continue"/>
            <w:tcBorders>
              <w:left w:val="single" w:color="auto" w:sz="4" w:space="0"/>
              <w:bottom w:val="single" w:color="auto" w:sz="4" w:space="0"/>
              <w:right w:val="single" w:color="auto" w:sz="4" w:space="0"/>
            </w:tcBorders>
            <w:vAlign w:val="center"/>
          </w:tcPr>
          <w:p>
            <w:pPr>
              <w:spacing w:before="60" w:beforeLines="25" w:after="60" w:afterLines="25"/>
              <w:jc w:val="left"/>
              <w:rPr>
                <w:rFonts w:ascii="宋体"/>
                <w:szCs w:val="21"/>
              </w:rPr>
            </w:pPr>
          </w:p>
        </w:tc>
        <w:tc>
          <w:tcPr>
            <w:tcW w:w="396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cs="Courier New"/>
                <w:szCs w:val="21"/>
              </w:rPr>
            </w:pPr>
            <w:r>
              <w:rPr>
                <w:rFonts w:hint="eastAsia" w:ascii="宋体" w:hAnsi="宋体"/>
                <w:szCs w:val="21"/>
              </w:rPr>
              <w:t>担任项目负责人的经验</w:t>
            </w:r>
          </w:p>
        </w:tc>
        <w:tc>
          <w:tcPr>
            <w:tcW w:w="773" w:type="dxa"/>
            <w:tcBorders>
              <w:top w:val="single" w:color="auto" w:sz="4" w:space="0"/>
              <w:left w:val="single" w:color="auto" w:sz="4" w:space="0"/>
              <w:bottom w:val="single" w:color="auto" w:sz="4" w:space="0"/>
              <w:right w:val="single" w:color="auto" w:sz="4" w:space="0"/>
            </w:tcBorders>
            <w:vAlign w:val="center"/>
          </w:tcPr>
          <w:p>
            <w:pPr>
              <w:jc w:val="right"/>
            </w:pPr>
            <w:r>
              <w:rPr>
                <w:rFonts w:hint="eastAsia" w:ascii="宋体" w:hAnsi="宋体"/>
                <w:szCs w:val="21"/>
              </w:rPr>
              <w:t>分</w:t>
            </w:r>
          </w:p>
        </w:tc>
        <w:tc>
          <w:tcPr>
            <w:tcW w:w="932" w:type="dxa"/>
            <w:vMerge w:val="continue"/>
            <w:tcBorders>
              <w:left w:val="single" w:color="auto" w:sz="4" w:space="0"/>
              <w:bottom w:val="single" w:color="auto" w:sz="4" w:space="0"/>
              <w:right w:val="single" w:color="auto" w:sz="4" w:space="0"/>
            </w:tcBorders>
          </w:tcPr>
          <w:p>
            <w:pPr>
              <w:spacing w:before="60" w:beforeLines="25" w:after="60" w:afterLines="25"/>
              <w:jc w:val="center"/>
              <w:rPr>
                <w:rFonts w:ascii="宋体"/>
                <w:szCs w:val="21"/>
              </w:rPr>
            </w:pPr>
          </w:p>
        </w:tc>
        <w:tc>
          <w:tcPr>
            <w:tcW w:w="851" w:type="dxa"/>
            <w:vMerge w:val="continue"/>
            <w:tcBorders>
              <w:left w:val="single" w:color="auto" w:sz="4" w:space="0"/>
              <w:bottom w:val="single" w:color="auto" w:sz="4" w:space="0"/>
              <w:right w:val="single" w:color="auto" w:sz="4" w:space="0"/>
            </w:tcBorders>
          </w:tcPr>
          <w:p>
            <w:pPr>
              <w:spacing w:before="60" w:beforeLines="25" w:after="60" w:afterLines="25"/>
              <w:jc w:val="center"/>
              <w:rPr>
                <w:rFonts w:ascii="宋体"/>
                <w:szCs w:val="21"/>
              </w:rPr>
            </w:pPr>
          </w:p>
        </w:tc>
        <w:tc>
          <w:tcPr>
            <w:tcW w:w="851" w:type="dxa"/>
            <w:vMerge w:val="continue"/>
            <w:tcBorders>
              <w:left w:val="single" w:color="auto" w:sz="4" w:space="0"/>
              <w:bottom w:val="single" w:color="auto" w:sz="4" w:space="0"/>
              <w:right w:val="single" w:color="auto" w:sz="4" w:space="0"/>
            </w:tcBorders>
          </w:tcPr>
          <w:p>
            <w:pPr>
              <w:spacing w:before="60" w:beforeLines="25" w:after="60" w:afterLines="25"/>
              <w:jc w:val="center"/>
              <w:rPr>
                <w:rFonts w:ascii="宋体"/>
                <w:szCs w:val="21"/>
              </w:rPr>
            </w:pPr>
          </w:p>
        </w:tc>
        <w:tc>
          <w:tcPr>
            <w:tcW w:w="851" w:type="dxa"/>
            <w:vMerge w:val="continue"/>
            <w:tcBorders>
              <w:left w:val="single" w:color="auto" w:sz="4" w:space="0"/>
              <w:bottom w:val="single" w:color="auto" w:sz="4" w:space="0"/>
              <w:right w:val="single" w:color="auto" w:sz="4" w:space="0"/>
            </w:tcBorders>
          </w:tcPr>
          <w:p>
            <w:pPr>
              <w:spacing w:before="60" w:beforeLines="25" w:after="60" w:afterLines="25"/>
              <w:jc w:val="center"/>
              <w:rPr>
                <w:rFonts w:ascii="宋体"/>
                <w:szCs w:val="21"/>
              </w:rPr>
            </w:pPr>
          </w:p>
        </w:tc>
        <w:tc>
          <w:tcPr>
            <w:tcW w:w="852" w:type="dxa"/>
            <w:vMerge w:val="continue"/>
            <w:tcBorders>
              <w:left w:val="single" w:color="auto" w:sz="4" w:space="0"/>
              <w:bottom w:val="single" w:color="auto" w:sz="4" w:space="0"/>
              <w:right w:val="single" w:color="auto" w:sz="4" w:space="0"/>
            </w:tcBorders>
          </w:tcPr>
          <w:p>
            <w:pPr>
              <w:spacing w:before="60" w:beforeLines="25" w:after="60" w:afterLines="25"/>
              <w:jc w:val="center"/>
              <w:rPr>
                <w:rFonts w:ascii="宋体"/>
                <w:szCs w:val="21"/>
              </w:rPr>
            </w:pPr>
          </w:p>
        </w:tc>
        <w:tc>
          <w:tcPr>
            <w:tcW w:w="851" w:type="dxa"/>
            <w:vMerge w:val="continue"/>
            <w:tcBorders>
              <w:left w:val="single" w:color="auto" w:sz="4" w:space="0"/>
              <w:bottom w:val="single" w:color="auto" w:sz="4" w:space="0"/>
              <w:right w:val="single" w:color="auto" w:sz="4" w:space="0"/>
            </w:tcBorders>
          </w:tcPr>
          <w:p>
            <w:pPr>
              <w:spacing w:before="60" w:beforeLines="25" w:after="60" w:afterLines="25"/>
              <w:jc w:val="center"/>
              <w:rPr>
                <w:rFonts w:ascii="宋体"/>
                <w:szCs w:val="21"/>
              </w:rPr>
            </w:pPr>
          </w:p>
        </w:tc>
        <w:tc>
          <w:tcPr>
            <w:tcW w:w="851" w:type="dxa"/>
            <w:vMerge w:val="continue"/>
            <w:tcBorders>
              <w:left w:val="single" w:color="auto" w:sz="4" w:space="0"/>
              <w:bottom w:val="single" w:color="auto" w:sz="4" w:space="0"/>
            </w:tcBorders>
          </w:tcPr>
          <w:p>
            <w:pPr>
              <w:spacing w:before="60" w:beforeLines="25" w:after="60" w:afterLines="25"/>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8" w:hRule="exact"/>
        </w:trPr>
        <w:tc>
          <w:tcPr>
            <w:tcW w:w="567" w:type="dxa"/>
            <w:vMerge w:val="restart"/>
            <w:tcBorders>
              <w:top w:val="single" w:color="auto" w:sz="4" w:space="0"/>
              <w:right w:val="single" w:color="auto" w:sz="4" w:space="0"/>
            </w:tcBorders>
            <w:vAlign w:val="center"/>
          </w:tcPr>
          <w:p>
            <w:pPr>
              <w:spacing w:before="60" w:beforeLines="25" w:after="60" w:afterLines="25"/>
              <w:jc w:val="center"/>
              <w:rPr>
                <w:rFonts w:ascii="宋体" w:hAnsi="宋体"/>
                <w:szCs w:val="21"/>
              </w:rPr>
            </w:pPr>
            <w:r>
              <w:rPr>
                <w:rFonts w:ascii="宋体" w:hAnsi="宋体"/>
                <w:szCs w:val="21"/>
              </w:rPr>
              <w:t>2</w:t>
            </w:r>
          </w:p>
        </w:tc>
        <w:tc>
          <w:tcPr>
            <w:tcW w:w="2546" w:type="dxa"/>
            <w:vMerge w:val="restart"/>
            <w:tcBorders>
              <w:top w:val="single" w:color="auto" w:sz="4" w:space="0"/>
              <w:left w:val="single" w:color="auto" w:sz="4" w:space="0"/>
              <w:right w:val="single" w:color="auto" w:sz="4" w:space="0"/>
            </w:tcBorders>
            <w:vAlign w:val="center"/>
          </w:tcPr>
          <w:p>
            <w:pPr>
              <w:spacing w:before="60" w:beforeLines="25" w:after="60" w:afterLines="25"/>
              <w:jc w:val="left"/>
              <w:rPr>
                <w:rFonts w:ascii="宋体"/>
                <w:szCs w:val="21"/>
              </w:rPr>
            </w:pPr>
            <w:r>
              <w:rPr>
                <w:rFonts w:hint="eastAsia" w:ascii="宋体" w:hAnsi="宋体"/>
                <w:szCs w:val="21"/>
              </w:rPr>
              <w:t>技术负责人任职资格与业绩</w:t>
            </w:r>
          </w:p>
        </w:tc>
        <w:tc>
          <w:tcPr>
            <w:tcW w:w="396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szCs w:val="21"/>
              </w:rPr>
            </w:pPr>
            <w:r>
              <w:rPr>
                <w:rFonts w:hint="eastAsia" w:ascii="宋体" w:hAnsi="宋体"/>
                <w:szCs w:val="21"/>
              </w:rPr>
              <w:t>学历</w:t>
            </w:r>
            <w:r>
              <w:rPr>
                <w:rFonts w:ascii="宋体" w:hAnsi="宋体"/>
                <w:szCs w:val="21"/>
              </w:rPr>
              <w:t xml:space="preserve"> </w:t>
            </w:r>
            <w:r>
              <w:rPr>
                <w:rFonts w:hint="eastAsia" w:ascii="宋体" w:hAnsi="宋体"/>
                <w:szCs w:val="21"/>
              </w:rPr>
              <w:t>，</w:t>
            </w:r>
            <w:r>
              <w:rPr>
                <w:rFonts w:hint="eastAsia" w:hAnsi="宋体"/>
              </w:rPr>
              <w:t>园林绿化相关专业</w:t>
            </w:r>
          </w:p>
        </w:tc>
        <w:tc>
          <w:tcPr>
            <w:tcW w:w="773" w:type="dxa"/>
            <w:tcBorders>
              <w:top w:val="single" w:color="auto" w:sz="4" w:space="0"/>
              <w:left w:val="single" w:color="auto" w:sz="4" w:space="0"/>
              <w:bottom w:val="single" w:color="auto" w:sz="4" w:space="0"/>
              <w:right w:val="single" w:color="auto" w:sz="4" w:space="0"/>
            </w:tcBorders>
            <w:vAlign w:val="center"/>
          </w:tcPr>
          <w:p>
            <w:pPr>
              <w:jc w:val="right"/>
            </w:pPr>
            <w:r>
              <w:rPr>
                <w:rFonts w:hint="eastAsia" w:ascii="宋体" w:hAnsi="宋体"/>
                <w:szCs w:val="21"/>
              </w:rPr>
              <w:t>分</w:t>
            </w:r>
          </w:p>
        </w:tc>
        <w:tc>
          <w:tcPr>
            <w:tcW w:w="932" w:type="dxa"/>
            <w:vMerge w:val="restart"/>
            <w:tcBorders>
              <w:top w:val="single" w:color="auto" w:sz="4" w:space="0"/>
              <w:left w:val="single" w:color="auto" w:sz="4" w:space="0"/>
              <w:right w:val="single" w:color="auto" w:sz="4" w:space="0"/>
            </w:tcBorders>
          </w:tcPr>
          <w:p>
            <w:pPr>
              <w:spacing w:before="60" w:beforeLines="25" w:after="60" w:afterLines="25"/>
              <w:jc w:val="center"/>
              <w:rPr>
                <w:rFonts w:ascii="宋体"/>
                <w:szCs w:val="21"/>
              </w:rPr>
            </w:pPr>
          </w:p>
        </w:tc>
        <w:tc>
          <w:tcPr>
            <w:tcW w:w="851" w:type="dxa"/>
            <w:vMerge w:val="restart"/>
            <w:tcBorders>
              <w:top w:val="single" w:color="auto" w:sz="4" w:space="0"/>
              <w:left w:val="single" w:color="auto" w:sz="4" w:space="0"/>
              <w:right w:val="single" w:color="auto" w:sz="4" w:space="0"/>
            </w:tcBorders>
          </w:tcPr>
          <w:p>
            <w:pPr>
              <w:spacing w:before="60" w:beforeLines="25" w:after="60" w:afterLines="25"/>
              <w:jc w:val="center"/>
              <w:rPr>
                <w:rFonts w:ascii="宋体"/>
                <w:szCs w:val="21"/>
              </w:rPr>
            </w:pPr>
          </w:p>
        </w:tc>
        <w:tc>
          <w:tcPr>
            <w:tcW w:w="851" w:type="dxa"/>
            <w:vMerge w:val="restart"/>
            <w:tcBorders>
              <w:top w:val="single" w:color="auto" w:sz="4" w:space="0"/>
              <w:left w:val="single" w:color="auto" w:sz="4" w:space="0"/>
              <w:right w:val="single" w:color="auto" w:sz="4" w:space="0"/>
            </w:tcBorders>
          </w:tcPr>
          <w:p>
            <w:pPr>
              <w:spacing w:before="60" w:beforeLines="25" w:after="60" w:afterLines="25"/>
              <w:jc w:val="center"/>
              <w:rPr>
                <w:rFonts w:ascii="宋体"/>
                <w:szCs w:val="21"/>
              </w:rPr>
            </w:pPr>
          </w:p>
        </w:tc>
        <w:tc>
          <w:tcPr>
            <w:tcW w:w="851" w:type="dxa"/>
            <w:vMerge w:val="restart"/>
            <w:tcBorders>
              <w:top w:val="single" w:color="auto" w:sz="4" w:space="0"/>
              <w:left w:val="single" w:color="auto" w:sz="4" w:space="0"/>
              <w:right w:val="single" w:color="auto" w:sz="4" w:space="0"/>
            </w:tcBorders>
          </w:tcPr>
          <w:p>
            <w:pPr>
              <w:spacing w:before="60" w:beforeLines="25" w:after="60" w:afterLines="25"/>
              <w:jc w:val="center"/>
              <w:rPr>
                <w:rFonts w:ascii="宋体"/>
                <w:szCs w:val="21"/>
              </w:rPr>
            </w:pPr>
          </w:p>
        </w:tc>
        <w:tc>
          <w:tcPr>
            <w:tcW w:w="852" w:type="dxa"/>
            <w:vMerge w:val="restart"/>
            <w:tcBorders>
              <w:top w:val="single" w:color="auto" w:sz="4" w:space="0"/>
              <w:left w:val="single" w:color="auto" w:sz="4" w:space="0"/>
              <w:right w:val="single" w:color="auto" w:sz="4" w:space="0"/>
            </w:tcBorders>
          </w:tcPr>
          <w:p>
            <w:pPr>
              <w:spacing w:before="60" w:beforeLines="25" w:after="60" w:afterLines="25"/>
              <w:jc w:val="center"/>
              <w:rPr>
                <w:rFonts w:ascii="宋体"/>
                <w:szCs w:val="21"/>
              </w:rPr>
            </w:pPr>
          </w:p>
        </w:tc>
        <w:tc>
          <w:tcPr>
            <w:tcW w:w="851" w:type="dxa"/>
            <w:vMerge w:val="restart"/>
            <w:tcBorders>
              <w:top w:val="single" w:color="auto" w:sz="4" w:space="0"/>
              <w:left w:val="single" w:color="auto" w:sz="4" w:space="0"/>
              <w:right w:val="single" w:color="auto" w:sz="4" w:space="0"/>
            </w:tcBorders>
          </w:tcPr>
          <w:p>
            <w:pPr>
              <w:spacing w:before="60" w:beforeLines="25" w:after="60" w:afterLines="25"/>
              <w:jc w:val="center"/>
              <w:rPr>
                <w:rFonts w:ascii="宋体"/>
                <w:szCs w:val="21"/>
              </w:rPr>
            </w:pPr>
          </w:p>
        </w:tc>
        <w:tc>
          <w:tcPr>
            <w:tcW w:w="851" w:type="dxa"/>
            <w:vMerge w:val="restart"/>
            <w:tcBorders>
              <w:top w:val="single" w:color="auto" w:sz="4" w:space="0"/>
              <w:left w:val="single" w:color="auto" w:sz="4" w:space="0"/>
            </w:tcBorders>
          </w:tcPr>
          <w:p>
            <w:pPr>
              <w:spacing w:before="60" w:beforeLines="25" w:after="60" w:afterLines="25"/>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8" w:hRule="exact"/>
        </w:trPr>
        <w:tc>
          <w:tcPr>
            <w:tcW w:w="567" w:type="dxa"/>
            <w:vMerge w:val="continue"/>
            <w:tcBorders>
              <w:right w:val="single" w:color="auto" w:sz="4" w:space="0"/>
            </w:tcBorders>
            <w:vAlign w:val="center"/>
          </w:tcPr>
          <w:p>
            <w:pPr>
              <w:spacing w:before="60" w:beforeLines="25" w:after="60" w:afterLines="25"/>
              <w:jc w:val="center"/>
              <w:rPr>
                <w:rFonts w:ascii="宋体"/>
                <w:szCs w:val="21"/>
              </w:rPr>
            </w:pPr>
          </w:p>
        </w:tc>
        <w:tc>
          <w:tcPr>
            <w:tcW w:w="2546" w:type="dxa"/>
            <w:vMerge w:val="continue"/>
            <w:tcBorders>
              <w:left w:val="single" w:color="auto" w:sz="4" w:space="0"/>
              <w:right w:val="single" w:color="auto" w:sz="4" w:space="0"/>
            </w:tcBorders>
            <w:vAlign w:val="center"/>
          </w:tcPr>
          <w:p>
            <w:pPr>
              <w:spacing w:before="60" w:beforeLines="25" w:after="60" w:afterLines="25"/>
              <w:jc w:val="left"/>
              <w:rPr>
                <w:rFonts w:ascii="宋体"/>
                <w:szCs w:val="21"/>
              </w:rPr>
            </w:pPr>
          </w:p>
        </w:tc>
        <w:tc>
          <w:tcPr>
            <w:tcW w:w="3967" w:type="dxa"/>
            <w:tcBorders>
              <w:top w:val="single" w:color="auto" w:sz="4" w:space="0"/>
              <w:left w:val="single" w:color="auto" w:sz="4" w:space="0"/>
              <w:bottom w:val="single" w:color="auto" w:sz="4" w:space="0"/>
              <w:right w:val="single" w:color="auto" w:sz="4" w:space="0"/>
            </w:tcBorders>
            <w:vAlign w:val="center"/>
          </w:tcPr>
          <w:p>
            <w:pPr>
              <w:pStyle w:val="28"/>
              <w:snapToGrid w:val="0"/>
              <w:rPr>
                <w:rFonts w:hAnsi="宋体" w:cs="Courier New"/>
                <w:szCs w:val="21"/>
              </w:rPr>
            </w:pPr>
            <w:r>
              <w:rPr>
                <w:rFonts w:hint="eastAsia" w:hAnsi="宋体" w:cs="Courier New"/>
                <w:szCs w:val="21"/>
              </w:rPr>
              <w:t>职称</w:t>
            </w:r>
            <w:r>
              <w:rPr>
                <w:rFonts w:hAnsi="宋体" w:cs="Courier New"/>
                <w:szCs w:val="21"/>
              </w:rPr>
              <w:t xml:space="preserve"> </w:t>
            </w:r>
          </w:p>
        </w:tc>
        <w:tc>
          <w:tcPr>
            <w:tcW w:w="773" w:type="dxa"/>
            <w:tcBorders>
              <w:top w:val="single" w:color="auto" w:sz="4" w:space="0"/>
              <w:left w:val="single" w:color="auto" w:sz="4" w:space="0"/>
              <w:bottom w:val="single" w:color="auto" w:sz="4" w:space="0"/>
              <w:right w:val="single" w:color="auto" w:sz="4" w:space="0"/>
            </w:tcBorders>
            <w:vAlign w:val="center"/>
          </w:tcPr>
          <w:p>
            <w:pPr>
              <w:jc w:val="right"/>
            </w:pPr>
            <w:r>
              <w:rPr>
                <w:rFonts w:hint="eastAsia" w:ascii="宋体" w:hAnsi="宋体"/>
                <w:szCs w:val="21"/>
              </w:rPr>
              <w:t>分</w:t>
            </w:r>
          </w:p>
        </w:tc>
        <w:tc>
          <w:tcPr>
            <w:tcW w:w="932" w:type="dxa"/>
            <w:vMerge w:val="continue"/>
            <w:tcBorders>
              <w:left w:val="single" w:color="auto" w:sz="4" w:space="0"/>
              <w:right w:val="single" w:color="auto" w:sz="4" w:space="0"/>
            </w:tcBorders>
          </w:tcPr>
          <w:p>
            <w:pPr>
              <w:spacing w:before="60" w:beforeLines="25" w:after="60" w:afterLines="25"/>
              <w:jc w:val="center"/>
              <w:rPr>
                <w:rFonts w:ascii="宋体"/>
                <w:szCs w:val="21"/>
              </w:rPr>
            </w:pPr>
          </w:p>
        </w:tc>
        <w:tc>
          <w:tcPr>
            <w:tcW w:w="851" w:type="dxa"/>
            <w:vMerge w:val="continue"/>
            <w:tcBorders>
              <w:left w:val="single" w:color="auto" w:sz="4" w:space="0"/>
              <w:right w:val="single" w:color="auto" w:sz="4" w:space="0"/>
            </w:tcBorders>
          </w:tcPr>
          <w:p>
            <w:pPr>
              <w:spacing w:before="60" w:beforeLines="25" w:after="60" w:afterLines="25"/>
              <w:jc w:val="center"/>
              <w:rPr>
                <w:rFonts w:ascii="宋体"/>
                <w:szCs w:val="21"/>
              </w:rPr>
            </w:pPr>
          </w:p>
        </w:tc>
        <w:tc>
          <w:tcPr>
            <w:tcW w:w="851" w:type="dxa"/>
            <w:vMerge w:val="continue"/>
            <w:tcBorders>
              <w:left w:val="single" w:color="auto" w:sz="4" w:space="0"/>
              <w:right w:val="single" w:color="auto" w:sz="4" w:space="0"/>
            </w:tcBorders>
          </w:tcPr>
          <w:p>
            <w:pPr>
              <w:spacing w:before="60" w:beforeLines="25" w:after="60" w:afterLines="25"/>
              <w:jc w:val="center"/>
              <w:rPr>
                <w:rFonts w:ascii="宋体"/>
                <w:szCs w:val="21"/>
              </w:rPr>
            </w:pPr>
          </w:p>
        </w:tc>
        <w:tc>
          <w:tcPr>
            <w:tcW w:w="851" w:type="dxa"/>
            <w:vMerge w:val="continue"/>
            <w:tcBorders>
              <w:left w:val="single" w:color="auto" w:sz="4" w:space="0"/>
              <w:right w:val="single" w:color="auto" w:sz="4" w:space="0"/>
            </w:tcBorders>
          </w:tcPr>
          <w:p>
            <w:pPr>
              <w:spacing w:before="60" w:beforeLines="25" w:after="60" w:afterLines="25"/>
              <w:jc w:val="center"/>
              <w:rPr>
                <w:rFonts w:ascii="宋体"/>
                <w:szCs w:val="21"/>
              </w:rPr>
            </w:pPr>
          </w:p>
        </w:tc>
        <w:tc>
          <w:tcPr>
            <w:tcW w:w="852" w:type="dxa"/>
            <w:vMerge w:val="continue"/>
            <w:tcBorders>
              <w:left w:val="single" w:color="auto" w:sz="4" w:space="0"/>
              <w:right w:val="single" w:color="auto" w:sz="4" w:space="0"/>
            </w:tcBorders>
          </w:tcPr>
          <w:p>
            <w:pPr>
              <w:spacing w:before="60" w:beforeLines="25" w:after="60" w:afterLines="25"/>
              <w:jc w:val="center"/>
              <w:rPr>
                <w:rFonts w:ascii="宋体"/>
                <w:szCs w:val="21"/>
              </w:rPr>
            </w:pPr>
          </w:p>
        </w:tc>
        <w:tc>
          <w:tcPr>
            <w:tcW w:w="851" w:type="dxa"/>
            <w:vMerge w:val="continue"/>
            <w:tcBorders>
              <w:left w:val="single" w:color="auto" w:sz="4" w:space="0"/>
              <w:right w:val="single" w:color="auto" w:sz="4" w:space="0"/>
            </w:tcBorders>
          </w:tcPr>
          <w:p>
            <w:pPr>
              <w:spacing w:before="60" w:beforeLines="25" w:after="60" w:afterLines="25"/>
              <w:jc w:val="center"/>
              <w:rPr>
                <w:rFonts w:ascii="宋体"/>
                <w:szCs w:val="21"/>
              </w:rPr>
            </w:pPr>
          </w:p>
        </w:tc>
        <w:tc>
          <w:tcPr>
            <w:tcW w:w="851" w:type="dxa"/>
            <w:vMerge w:val="continue"/>
            <w:tcBorders>
              <w:left w:val="single" w:color="auto" w:sz="4" w:space="0"/>
            </w:tcBorders>
          </w:tcPr>
          <w:p>
            <w:pPr>
              <w:spacing w:before="60" w:beforeLines="25" w:after="60" w:afterLines="25"/>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3" w:hRule="exact"/>
        </w:trPr>
        <w:tc>
          <w:tcPr>
            <w:tcW w:w="567" w:type="dxa"/>
            <w:vMerge w:val="continue"/>
            <w:tcBorders>
              <w:bottom w:val="single" w:color="auto" w:sz="4" w:space="0"/>
              <w:right w:val="single" w:color="auto" w:sz="4" w:space="0"/>
            </w:tcBorders>
            <w:vAlign w:val="center"/>
          </w:tcPr>
          <w:p>
            <w:pPr>
              <w:spacing w:before="60" w:beforeLines="25" w:after="60" w:afterLines="25"/>
              <w:jc w:val="center"/>
              <w:rPr>
                <w:rFonts w:ascii="宋体"/>
                <w:szCs w:val="21"/>
              </w:rPr>
            </w:pPr>
          </w:p>
        </w:tc>
        <w:tc>
          <w:tcPr>
            <w:tcW w:w="2546" w:type="dxa"/>
            <w:vMerge w:val="continue"/>
            <w:tcBorders>
              <w:left w:val="single" w:color="auto" w:sz="4" w:space="0"/>
              <w:bottom w:val="single" w:color="auto" w:sz="4" w:space="0"/>
              <w:right w:val="single" w:color="auto" w:sz="4" w:space="0"/>
            </w:tcBorders>
            <w:vAlign w:val="center"/>
          </w:tcPr>
          <w:p>
            <w:pPr>
              <w:spacing w:before="60" w:beforeLines="25" w:after="60" w:afterLines="25"/>
              <w:jc w:val="left"/>
              <w:rPr>
                <w:rFonts w:ascii="宋体"/>
                <w:szCs w:val="21"/>
              </w:rPr>
            </w:pPr>
          </w:p>
        </w:tc>
        <w:tc>
          <w:tcPr>
            <w:tcW w:w="396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cs="Courier New"/>
                <w:szCs w:val="21"/>
              </w:rPr>
            </w:pPr>
            <w:r>
              <w:rPr>
                <w:rFonts w:hint="eastAsia" w:ascii="宋体" w:hAnsi="宋体"/>
                <w:szCs w:val="21"/>
              </w:rPr>
              <w:t>担任工程技术负责人的经验</w:t>
            </w:r>
            <w:r>
              <w:rPr>
                <w:rFonts w:ascii="宋体" w:hAnsi="宋体"/>
                <w:szCs w:val="21"/>
              </w:rPr>
              <w:t xml:space="preserve"> </w:t>
            </w:r>
          </w:p>
        </w:tc>
        <w:tc>
          <w:tcPr>
            <w:tcW w:w="773" w:type="dxa"/>
            <w:tcBorders>
              <w:top w:val="single" w:color="auto" w:sz="4" w:space="0"/>
              <w:left w:val="single" w:color="auto" w:sz="4" w:space="0"/>
              <w:bottom w:val="single" w:color="auto" w:sz="4" w:space="0"/>
              <w:right w:val="single" w:color="auto" w:sz="4" w:space="0"/>
            </w:tcBorders>
            <w:vAlign w:val="center"/>
          </w:tcPr>
          <w:p>
            <w:pPr>
              <w:jc w:val="right"/>
            </w:pPr>
            <w:r>
              <w:rPr>
                <w:rFonts w:hint="eastAsia" w:ascii="宋体" w:hAnsi="宋体"/>
                <w:szCs w:val="21"/>
              </w:rPr>
              <w:t>分</w:t>
            </w:r>
          </w:p>
        </w:tc>
        <w:tc>
          <w:tcPr>
            <w:tcW w:w="932" w:type="dxa"/>
            <w:vMerge w:val="continue"/>
            <w:tcBorders>
              <w:left w:val="single" w:color="auto" w:sz="4" w:space="0"/>
              <w:bottom w:val="single" w:color="auto" w:sz="4" w:space="0"/>
              <w:right w:val="single" w:color="auto" w:sz="4" w:space="0"/>
            </w:tcBorders>
          </w:tcPr>
          <w:p>
            <w:pPr>
              <w:spacing w:before="60" w:beforeLines="25" w:after="60" w:afterLines="25"/>
              <w:jc w:val="center"/>
              <w:rPr>
                <w:rFonts w:ascii="宋体"/>
                <w:szCs w:val="21"/>
              </w:rPr>
            </w:pPr>
          </w:p>
        </w:tc>
        <w:tc>
          <w:tcPr>
            <w:tcW w:w="851" w:type="dxa"/>
            <w:vMerge w:val="continue"/>
            <w:tcBorders>
              <w:left w:val="single" w:color="auto" w:sz="4" w:space="0"/>
              <w:bottom w:val="single" w:color="auto" w:sz="4" w:space="0"/>
              <w:right w:val="single" w:color="auto" w:sz="4" w:space="0"/>
            </w:tcBorders>
          </w:tcPr>
          <w:p>
            <w:pPr>
              <w:spacing w:before="60" w:beforeLines="25" w:after="60" w:afterLines="25"/>
              <w:jc w:val="center"/>
              <w:rPr>
                <w:rFonts w:ascii="宋体"/>
                <w:szCs w:val="21"/>
              </w:rPr>
            </w:pPr>
          </w:p>
        </w:tc>
        <w:tc>
          <w:tcPr>
            <w:tcW w:w="851" w:type="dxa"/>
            <w:vMerge w:val="continue"/>
            <w:tcBorders>
              <w:left w:val="single" w:color="auto" w:sz="4" w:space="0"/>
              <w:bottom w:val="single" w:color="auto" w:sz="4" w:space="0"/>
              <w:right w:val="single" w:color="auto" w:sz="4" w:space="0"/>
            </w:tcBorders>
          </w:tcPr>
          <w:p>
            <w:pPr>
              <w:spacing w:before="60" w:beforeLines="25" w:after="60" w:afterLines="25"/>
              <w:jc w:val="center"/>
              <w:rPr>
                <w:rFonts w:ascii="宋体"/>
                <w:szCs w:val="21"/>
              </w:rPr>
            </w:pPr>
          </w:p>
        </w:tc>
        <w:tc>
          <w:tcPr>
            <w:tcW w:w="851" w:type="dxa"/>
            <w:vMerge w:val="continue"/>
            <w:tcBorders>
              <w:left w:val="single" w:color="auto" w:sz="4" w:space="0"/>
              <w:bottom w:val="single" w:color="auto" w:sz="4" w:space="0"/>
              <w:right w:val="single" w:color="auto" w:sz="4" w:space="0"/>
            </w:tcBorders>
          </w:tcPr>
          <w:p>
            <w:pPr>
              <w:spacing w:before="60" w:beforeLines="25" w:after="60" w:afterLines="25"/>
              <w:jc w:val="center"/>
              <w:rPr>
                <w:rFonts w:ascii="宋体"/>
                <w:szCs w:val="21"/>
              </w:rPr>
            </w:pPr>
          </w:p>
        </w:tc>
        <w:tc>
          <w:tcPr>
            <w:tcW w:w="852" w:type="dxa"/>
            <w:vMerge w:val="continue"/>
            <w:tcBorders>
              <w:left w:val="single" w:color="auto" w:sz="4" w:space="0"/>
              <w:bottom w:val="single" w:color="auto" w:sz="4" w:space="0"/>
              <w:right w:val="single" w:color="auto" w:sz="4" w:space="0"/>
            </w:tcBorders>
          </w:tcPr>
          <w:p>
            <w:pPr>
              <w:spacing w:before="60" w:beforeLines="25" w:after="60" w:afterLines="25"/>
              <w:jc w:val="center"/>
              <w:rPr>
                <w:rFonts w:ascii="宋体"/>
                <w:szCs w:val="21"/>
              </w:rPr>
            </w:pPr>
          </w:p>
        </w:tc>
        <w:tc>
          <w:tcPr>
            <w:tcW w:w="851" w:type="dxa"/>
            <w:vMerge w:val="continue"/>
            <w:tcBorders>
              <w:left w:val="single" w:color="auto" w:sz="4" w:space="0"/>
              <w:bottom w:val="single" w:color="auto" w:sz="4" w:space="0"/>
              <w:right w:val="single" w:color="auto" w:sz="4" w:space="0"/>
            </w:tcBorders>
          </w:tcPr>
          <w:p>
            <w:pPr>
              <w:spacing w:before="60" w:beforeLines="25" w:after="60" w:afterLines="25"/>
              <w:jc w:val="center"/>
              <w:rPr>
                <w:rFonts w:ascii="宋体"/>
                <w:szCs w:val="21"/>
              </w:rPr>
            </w:pPr>
          </w:p>
        </w:tc>
        <w:tc>
          <w:tcPr>
            <w:tcW w:w="851" w:type="dxa"/>
            <w:vMerge w:val="continue"/>
            <w:tcBorders>
              <w:left w:val="single" w:color="auto" w:sz="4" w:space="0"/>
              <w:bottom w:val="single" w:color="auto" w:sz="4" w:space="0"/>
            </w:tcBorders>
          </w:tcPr>
          <w:p>
            <w:pPr>
              <w:spacing w:before="60" w:beforeLines="25" w:after="60" w:afterLines="25"/>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9" w:hRule="exact"/>
        </w:trPr>
        <w:tc>
          <w:tcPr>
            <w:tcW w:w="567" w:type="dxa"/>
            <w:vMerge w:val="restart"/>
            <w:tcBorders>
              <w:top w:val="single" w:color="auto" w:sz="4" w:space="0"/>
              <w:right w:val="single" w:color="auto" w:sz="4" w:space="0"/>
            </w:tcBorders>
            <w:vAlign w:val="center"/>
          </w:tcPr>
          <w:p>
            <w:pPr>
              <w:spacing w:before="60" w:beforeLines="25" w:after="60" w:afterLines="25"/>
              <w:jc w:val="center"/>
              <w:rPr>
                <w:rFonts w:ascii="宋体" w:hAnsi="宋体"/>
                <w:szCs w:val="21"/>
              </w:rPr>
            </w:pPr>
            <w:r>
              <w:rPr>
                <w:rFonts w:ascii="宋体" w:hAnsi="宋体"/>
                <w:szCs w:val="21"/>
              </w:rPr>
              <w:t>3</w:t>
            </w:r>
          </w:p>
        </w:tc>
        <w:tc>
          <w:tcPr>
            <w:tcW w:w="2546" w:type="dxa"/>
            <w:vMerge w:val="restart"/>
            <w:tcBorders>
              <w:top w:val="single" w:color="auto" w:sz="4" w:space="0"/>
              <w:left w:val="single" w:color="auto" w:sz="4" w:space="0"/>
              <w:right w:val="single" w:color="auto" w:sz="4" w:space="0"/>
            </w:tcBorders>
            <w:vAlign w:val="center"/>
          </w:tcPr>
          <w:p>
            <w:pPr>
              <w:spacing w:before="60" w:beforeLines="25" w:after="60" w:afterLines="25"/>
              <w:jc w:val="left"/>
              <w:rPr>
                <w:rFonts w:ascii="宋体"/>
                <w:szCs w:val="21"/>
              </w:rPr>
            </w:pPr>
            <w:r>
              <w:rPr>
                <w:rFonts w:hint="eastAsia" w:ascii="宋体" w:hAnsi="宋体"/>
                <w:szCs w:val="21"/>
              </w:rPr>
              <w:t>工程组人员配置</w:t>
            </w:r>
          </w:p>
        </w:tc>
        <w:tc>
          <w:tcPr>
            <w:tcW w:w="396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szCs w:val="21"/>
              </w:rPr>
            </w:pPr>
            <w:r>
              <w:rPr>
                <w:rFonts w:hint="eastAsia" w:ascii="宋体" w:hAnsi="宋体"/>
                <w:szCs w:val="21"/>
              </w:rPr>
              <w:t>工程组人员配置较充足，组织结构、专业搭配较合理，人员资历完全满足本招标工程的要求。</w:t>
            </w:r>
          </w:p>
        </w:tc>
        <w:tc>
          <w:tcPr>
            <w:tcW w:w="773" w:type="dxa"/>
            <w:tcBorders>
              <w:top w:val="single" w:color="auto" w:sz="4" w:space="0"/>
              <w:left w:val="single" w:color="auto" w:sz="4" w:space="0"/>
              <w:bottom w:val="single" w:color="auto" w:sz="4" w:space="0"/>
              <w:right w:val="single" w:color="auto" w:sz="4" w:space="0"/>
            </w:tcBorders>
            <w:vAlign w:val="center"/>
          </w:tcPr>
          <w:p>
            <w:pPr>
              <w:jc w:val="right"/>
            </w:pPr>
            <w:r>
              <w:rPr>
                <w:rFonts w:hint="eastAsia" w:ascii="宋体" w:hAnsi="宋体"/>
                <w:szCs w:val="21"/>
              </w:rPr>
              <w:t>分</w:t>
            </w:r>
          </w:p>
        </w:tc>
        <w:tc>
          <w:tcPr>
            <w:tcW w:w="932" w:type="dxa"/>
            <w:vMerge w:val="restart"/>
            <w:tcBorders>
              <w:top w:val="single" w:color="auto" w:sz="4" w:space="0"/>
              <w:left w:val="single" w:color="auto" w:sz="4" w:space="0"/>
              <w:right w:val="single" w:color="auto" w:sz="4" w:space="0"/>
            </w:tcBorders>
          </w:tcPr>
          <w:p>
            <w:pPr>
              <w:spacing w:before="60" w:beforeLines="25" w:after="60" w:afterLines="25"/>
              <w:jc w:val="center"/>
              <w:rPr>
                <w:rFonts w:ascii="宋体"/>
                <w:szCs w:val="21"/>
              </w:rPr>
            </w:pPr>
          </w:p>
        </w:tc>
        <w:tc>
          <w:tcPr>
            <w:tcW w:w="851" w:type="dxa"/>
            <w:vMerge w:val="restart"/>
            <w:tcBorders>
              <w:top w:val="single" w:color="auto" w:sz="4" w:space="0"/>
              <w:left w:val="single" w:color="auto" w:sz="4" w:space="0"/>
              <w:right w:val="single" w:color="auto" w:sz="4" w:space="0"/>
            </w:tcBorders>
          </w:tcPr>
          <w:p>
            <w:pPr>
              <w:spacing w:before="60" w:beforeLines="25" w:after="60" w:afterLines="25"/>
              <w:jc w:val="center"/>
              <w:rPr>
                <w:rFonts w:ascii="宋体"/>
                <w:szCs w:val="21"/>
              </w:rPr>
            </w:pPr>
          </w:p>
        </w:tc>
        <w:tc>
          <w:tcPr>
            <w:tcW w:w="851" w:type="dxa"/>
            <w:vMerge w:val="restart"/>
            <w:tcBorders>
              <w:top w:val="single" w:color="auto" w:sz="4" w:space="0"/>
              <w:left w:val="single" w:color="auto" w:sz="4" w:space="0"/>
              <w:right w:val="single" w:color="auto" w:sz="4" w:space="0"/>
            </w:tcBorders>
          </w:tcPr>
          <w:p>
            <w:pPr>
              <w:spacing w:before="60" w:beforeLines="25" w:after="60" w:afterLines="25"/>
              <w:jc w:val="center"/>
              <w:rPr>
                <w:rFonts w:ascii="宋体"/>
                <w:szCs w:val="21"/>
              </w:rPr>
            </w:pPr>
          </w:p>
        </w:tc>
        <w:tc>
          <w:tcPr>
            <w:tcW w:w="851" w:type="dxa"/>
            <w:vMerge w:val="restart"/>
            <w:tcBorders>
              <w:top w:val="single" w:color="auto" w:sz="4" w:space="0"/>
              <w:left w:val="single" w:color="auto" w:sz="4" w:space="0"/>
              <w:right w:val="single" w:color="auto" w:sz="4" w:space="0"/>
            </w:tcBorders>
          </w:tcPr>
          <w:p>
            <w:pPr>
              <w:spacing w:before="60" w:beforeLines="25" w:after="60" w:afterLines="25"/>
              <w:jc w:val="center"/>
              <w:rPr>
                <w:rFonts w:ascii="宋体"/>
                <w:szCs w:val="21"/>
              </w:rPr>
            </w:pPr>
          </w:p>
        </w:tc>
        <w:tc>
          <w:tcPr>
            <w:tcW w:w="852" w:type="dxa"/>
            <w:vMerge w:val="restart"/>
            <w:tcBorders>
              <w:top w:val="single" w:color="auto" w:sz="4" w:space="0"/>
              <w:left w:val="single" w:color="auto" w:sz="4" w:space="0"/>
              <w:right w:val="single" w:color="auto" w:sz="4" w:space="0"/>
            </w:tcBorders>
          </w:tcPr>
          <w:p>
            <w:pPr>
              <w:spacing w:before="60" w:beforeLines="25" w:after="60" w:afterLines="25"/>
              <w:jc w:val="center"/>
              <w:rPr>
                <w:rFonts w:ascii="宋体"/>
                <w:szCs w:val="21"/>
              </w:rPr>
            </w:pPr>
          </w:p>
        </w:tc>
        <w:tc>
          <w:tcPr>
            <w:tcW w:w="851" w:type="dxa"/>
            <w:vMerge w:val="restart"/>
            <w:tcBorders>
              <w:top w:val="single" w:color="auto" w:sz="4" w:space="0"/>
              <w:left w:val="single" w:color="auto" w:sz="4" w:space="0"/>
              <w:right w:val="single" w:color="auto" w:sz="4" w:space="0"/>
            </w:tcBorders>
          </w:tcPr>
          <w:p>
            <w:pPr>
              <w:spacing w:before="60" w:beforeLines="25" w:after="60" w:afterLines="25"/>
              <w:jc w:val="center"/>
              <w:rPr>
                <w:rFonts w:ascii="宋体"/>
                <w:szCs w:val="21"/>
              </w:rPr>
            </w:pPr>
          </w:p>
        </w:tc>
        <w:tc>
          <w:tcPr>
            <w:tcW w:w="851" w:type="dxa"/>
            <w:vMerge w:val="restart"/>
            <w:tcBorders>
              <w:top w:val="single" w:color="auto" w:sz="4" w:space="0"/>
              <w:left w:val="single" w:color="auto" w:sz="4" w:space="0"/>
            </w:tcBorders>
          </w:tcPr>
          <w:p>
            <w:pPr>
              <w:spacing w:before="60" w:beforeLines="25" w:after="60" w:afterLines="25"/>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74" w:hRule="exact"/>
        </w:trPr>
        <w:tc>
          <w:tcPr>
            <w:tcW w:w="567" w:type="dxa"/>
            <w:vMerge w:val="continue"/>
            <w:tcBorders>
              <w:bottom w:val="single" w:color="auto" w:sz="4" w:space="0"/>
              <w:right w:val="single" w:color="auto" w:sz="4" w:space="0"/>
            </w:tcBorders>
            <w:vAlign w:val="center"/>
          </w:tcPr>
          <w:p>
            <w:pPr>
              <w:spacing w:before="60" w:beforeLines="25" w:after="60" w:afterLines="25"/>
              <w:jc w:val="center"/>
              <w:rPr>
                <w:rFonts w:ascii="宋体"/>
                <w:szCs w:val="21"/>
              </w:rPr>
            </w:pPr>
          </w:p>
        </w:tc>
        <w:tc>
          <w:tcPr>
            <w:tcW w:w="2546" w:type="dxa"/>
            <w:vMerge w:val="continue"/>
            <w:tcBorders>
              <w:left w:val="single" w:color="auto" w:sz="4" w:space="0"/>
              <w:bottom w:val="single" w:color="auto" w:sz="4" w:space="0"/>
              <w:right w:val="single" w:color="auto" w:sz="4" w:space="0"/>
            </w:tcBorders>
          </w:tcPr>
          <w:p>
            <w:pPr>
              <w:spacing w:before="60" w:beforeLines="25" w:after="60" w:afterLines="25"/>
              <w:jc w:val="left"/>
              <w:rPr>
                <w:rFonts w:ascii="宋体"/>
                <w:szCs w:val="21"/>
              </w:rPr>
            </w:pPr>
          </w:p>
        </w:tc>
        <w:tc>
          <w:tcPr>
            <w:tcW w:w="396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szCs w:val="21"/>
              </w:rPr>
            </w:pPr>
            <w:r>
              <w:rPr>
                <w:rFonts w:hint="eastAsia" w:ascii="宋体" w:hAnsi="宋体"/>
                <w:szCs w:val="21"/>
              </w:rPr>
              <w:t>工程组人员配置较充足，组织结构、专业搭配不合理，人员资历基本满足本招标工程的要求。</w:t>
            </w:r>
          </w:p>
        </w:tc>
        <w:tc>
          <w:tcPr>
            <w:tcW w:w="773" w:type="dxa"/>
            <w:tcBorders>
              <w:top w:val="single" w:color="auto" w:sz="4" w:space="0"/>
              <w:left w:val="single" w:color="auto" w:sz="4" w:space="0"/>
              <w:bottom w:val="single" w:color="auto" w:sz="4" w:space="0"/>
              <w:right w:val="single" w:color="auto" w:sz="4" w:space="0"/>
            </w:tcBorders>
            <w:vAlign w:val="center"/>
          </w:tcPr>
          <w:p>
            <w:pPr>
              <w:jc w:val="right"/>
            </w:pPr>
            <w:r>
              <w:rPr>
                <w:rFonts w:hint="eastAsia" w:ascii="宋体" w:hAnsi="宋体"/>
                <w:szCs w:val="21"/>
              </w:rPr>
              <w:t>分</w:t>
            </w:r>
          </w:p>
        </w:tc>
        <w:tc>
          <w:tcPr>
            <w:tcW w:w="932" w:type="dxa"/>
            <w:vMerge w:val="continue"/>
            <w:tcBorders>
              <w:left w:val="single" w:color="auto" w:sz="4" w:space="0"/>
              <w:bottom w:val="single" w:color="auto" w:sz="4" w:space="0"/>
              <w:right w:val="single" w:color="auto" w:sz="4" w:space="0"/>
            </w:tcBorders>
          </w:tcPr>
          <w:p>
            <w:pPr>
              <w:spacing w:before="60" w:beforeLines="25" w:after="60" w:afterLines="25"/>
              <w:jc w:val="center"/>
              <w:rPr>
                <w:rFonts w:ascii="宋体"/>
                <w:szCs w:val="21"/>
              </w:rPr>
            </w:pPr>
          </w:p>
        </w:tc>
        <w:tc>
          <w:tcPr>
            <w:tcW w:w="851" w:type="dxa"/>
            <w:vMerge w:val="continue"/>
            <w:tcBorders>
              <w:left w:val="single" w:color="auto" w:sz="4" w:space="0"/>
              <w:bottom w:val="single" w:color="auto" w:sz="4" w:space="0"/>
              <w:right w:val="single" w:color="auto" w:sz="4" w:space="0"/>
            </w:tcBorders>
          </w:tcPr>
          <w:p>
            <w:pPr>
              <w:spacing w:before="60" w:beforeLines="25" w:after="60" w:afterLines="25"/>
              <w:jc w:val="center"/>
              <w:rPr>
                <w:rFonts w:ascii="宋体"/>
                <w:szCs w:val="21"/>
              </w:rPr>
            </w:pPr>
          </w:p>
        </w:tc>
        <w:tc>
          <w:tcPr>
            <w:tcW w:w="851" w:type="dxa"/>
            <w:vMerge w:val="continue"/>
            <w:tcBorders>
              <w:left w:val="single" w:color="auto" w:sz="4" w:space="0"/>
              <w:bottom w:val="single" w:color="auto" w:sz="4" w:space="0"/>
              <w:right w:val="single" w:color="auto" w:sz="4" w:space="0"/>
            </w:tcBorders>
          </w:tcPr>
          <w:p>
            <w:pPr>
              <w:spacing w:before="60" w:beforeLines="25" w:after="60" w:afterLines="25"/>
              <w:jc w:val="center"/>
              <w:rPr>
                <w:rFonts w:ascii="宋体"/>
                <w:szCs w:val="21"/>
              </w:rPr>
            </w:pPr>
          </w:p>
        </w:tc>
        <w:tc>
          <w:tcPr>
            <w:tcW w:w="851" w:type="dxa"/>
            <w:vMerge w:val="continue"/>
            <w:tcBorders>
              <w:left w:val="single" w:color="auto" w:sz="4" w:space="0"/>
              <w:bottom w:val="single" w:color="auto" w:sz="4" w:space="0"/>
              <w:right w:val="single" w:color="auto" w:sz="4" w:space="0"/>
            </w:tcBorders>
          </w:tcPr>
          <w:p>
            <w:pPr>
              <w:spacing w:before="60" w:beforeLines="25" w:after="60" w:afterLines="25"/>
              <w:jc w:val="center"/>
              <w:rPr>
                <w:rFonts w:ascii="宋体"/>
                <w:szCs w:val="21"/>
              </w:rPr>
            </w:pPr>
          </w:p>
        </w:tc>
        <w:tc>
          <w:tcPr>
            <w:tcW w:w="852" w:type="dxa"/>
            <w:vMerge w:val="continue"/>
            <w:tcBorders>
              <w:left w:val="single" w:color="auto" w:sz="4" w:space="0"/>
              <w:bottom w:val="single" w:color="auto" w:sz="4" w:space="0"/>
              <w:right w:val="single" w:color="auto" w:sz="4" w:space="0"/>
            </w:tcBorders>
          </w:tcPr>
          <w:p>
            <w:pPr>
              <w:spacing w:before="60" w:beforeLines="25" w:after="60" w:afterLines="25"/>
              <w:jc w:val="center"/>
              <w:rPr>
                <w:rFonts w:ascii="宋体"/>
                <w:szCs w:val="21"/>
              </w:rPr>
            </w:pPr>
          </w:p>
        </w:tc>
        <w:tc>
          <w:tcPr>
            <w:tcW w:w="851" w:type="dxa"/>
            <w:vMerge w:val="continue"/>
            <w:tcBorders>
              <w:left w:val="single" w:color="auto" w:sz="4" w:space="0"/>
              <w:bottom w:val="single" w:color="auto" w:sz="4" w:space="0"/>
              <w:right w:val="single" w:color="auto" w:sz="4" w:space="0"/>
            </w:tcBorders>
          </w:tcPr>
          <w:p>
            <w:pPr>
              <w:spacing w:before="60" w:beforeLines="25" w:after="60" w:afterLines="25"/>
              <w:jc w:val="center"/>
              <w:rPr>
                <w:rFonts w:ascii="宋体"/>
                <w:szCs w:val="21"/>
              </w:rPr>
            </w:pPr>
          </w:p>
        </w:tc>
        <w:tc>
          <w:tcPr>
            <w:tcW w:w="851" w:type="dxa"/>
            <w:vMerge w:val="continue"/>
            <w:tcBorders>
              <w:left w:val="single" w:color="auto" w:sz="4" w:space="0"/>
              <w:bottom w:val="single" w:color="auto" w:sz="4" w:space="0"/>
            </w:tcBorders>
          </w:tcPr>
          <w:p>
            <w:pPr>
              <w:spacing w:before="60" w:beforeLines="25" w:after="60" w:afterLines="25"/>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3" w:hRule="exact"/>
        </w:trPr>
        <w:tc>
          <w:tcPr>
            <w:tcW w:w="567" w:type="dxa"/>
            <w:tcBorders>
              <w:top w:val="single" w:color="auto" w:sz="4" w:space="0"/>
              <w:bottom w:val="single" w:color="auto" w:sz="4" w:space="0"/>
              <w:right w:val="single" w:color="auto" w:sz="4" w:space="0"/>
            </w:tcBorders>
            <w:vAlign w:val="center"/>
          </w:tcPr>
          <w:p>
            <w:pPr>
              <w:spacing w:before="60" w:beforeLines="25" w:after="60" w:afterLines="25"/>
              <w:jc w:val="center"/>
              <w:rPr>
                <w:rFonts w:ascii="宋体" w:hAnsi="宋体"/>
                <w:szCs w:val="21"/>
              </w:rPr>
            </w:pPr>
            <w:r>
              <w:rPr>
                <w:rFonts w:ascii="宋体" w:hAnsi="宋体"/>
                <w:szCs w:val="21"/>
              </w:rPr>
              <w:t>4</w:t>
            </w:r>
          </w:p>
        </w:tc>
        <w:tc>
          <w:tcPr>
            <w:tcW w:w="2546" w:type="dxa"/>
            <w:tcBorders>
              <w:top w:val="single" w:color="auto" w:sz="4" w:space="0"/>
              <w:left w:val="single" w:color="auto" w:sz="4" w:space="0"/>
              <w:bottom w:val="single" w:color="auto" w:sz="4" w:space="0"/>
              <w:right w:val="single" w:color="auto" w:sz="4" w:space="0"/>
            </w:tcBorders>
            <w:vAlign w:val="center"/>
          </w:tcPr>
          <w:p>
            <w:pPr>
              <w:pStyle w:val="28"/>
              <w:snapToGrid w:val="0"/>
              <w:rPr>
                <w:rFonts w:hAnsi="宋体" w:cs="Courier New"/>
                <w:szCs w:val="21"/>
              </w:rPr>
            </w:pPr>
            <w:r>
              <w:rPr>
                <w:rFonts w:hint="eastAsia" w:hAnsi="宋体" w:cs="Courier New"/>
                <w:szCs w:val="21"/>
              </w:rPr>
              <w:t>岗位人员配置</w:t>
            </w:r>
          </w:p>
        </w:tc>
        <w:tc>
          <w:tcPr>
            <w:tcW w:w="3967" w:type="dxa"/>
            <w:tcBorders>
              <w:top w:val="single" w:color="auto" w:sz="4" w:space="0"/>
              <w:left w:val="single" w:color="auto" w:sz="4" w:space="0"/>
              <w:bottom w:val="single" w:color="auto" w:sz="4" w:space="0"/>
              <w:right w:val="single" w:color="auto" w:sz="4" w:space="0"/>
            </w:tcBorders>
            <w:vAlign w:val="center"/>
          </w:tcPr>
          <w:p>
            <w:pPr>
              <w:pStyle w:val="28"/>
              <w:snapToGrid w:val="0"/>
              <w:jc w:val="center"/>
              <w:rPr>
                <w:rFonts w:hAnsi="宋体" w:cs="Courier New"/>
                <w:szCs w:val="21"/>
              </w:rPr>
            </w:pPr>
            <w:r>
              <w:rPr>
                <w:rFonts w:hint="eastAsia" w:hAnsi="宋体"/>
                <w:szCs w:val="21"/>
              </w:rPr>
              <w:t>工程组人员中具有</w:t>
            </w:r>
            <w:r>
              <w:rPr>
                <w:rFonts w:hint="eastAsia" w:hAnsi="宋体" w:cs="Courier New"/>
                <w:szCs w:val="21"/>
              </w:rPr>
              <w:t>资料员、造价员、质检员、安全员证的人员。每种证</w:t>
            </w:r>
            <w:r>
              <w:rPr>
                <w:rFonts w:hAnsi="宋体" w:cs="Courier New"/>
                <w:szCs w:val="21"/>
                <w:u w:val="single"/>
              </w:rPr>
              <w:t xml:space="preserve">  </w:t>
            </w:r>
            <w:r>
              <w:rPr>
                <w:rFonts w:hint="eastAsia" w:hAnsi="宋体" w:cs="Courier New"/>
                <w:szCs w:val="21"/>
              </w:rPr>
              <w:t>分，共</w:t>
            </w:r>
            <w:r>
              <w:rPr>
                <w:rFonts w:hAnsi="宋体" w:cs="Courier New"/>
                <w:szCs w:val="21"/>
                <w:u w:val="single"/>
              </w:rPr>
              <w:t xml:space="preserve">  </w:t>
            </w:r>
            <w:r>
              <w:rPr>
                <w:rFonts w:hint="eastAsia" w:hAnsi="宋体" w:cs="Courier New"/>
                <w:szCs w:val="21"/>
              </w:rPr>
              <w:t>分</w:t>
            </w:r>
          </w:p>
        </w:tc>
        <w:tc>
          <w:tcPr>
            <w:tcW w:w="773" w:type="dxa"/>
            <w:tcBorders>
              <w:top w:val="single" w:color="auto" w:sz="4" w:space="0"/>
              <w:left w:val="single" w:color="auto" w:sz="4" w:space="0"/>
              <w:bottom w:val="single" w:color="auto" w:sz="4" w:space="0"/>
              <w:right w:val="single" w:color="auto" w:sz="4" w:space="0"/>
            </w:tcBorders>
            <w:vAlign w:val="center"/>
          </w:tcPr>
          <w:p>
            <w:pPr>
              <w:jc w:val="right"/>
            </w:pPr>
            <w:r>
              <w:rPr>
                <w:rFonts w:hint="eastAsia" w:ascii="宋体" w:hAnsi="宋体"/>
                <w:szCs w:val="21"/>
              </w:rPr>
              <w:t>分</w:t>
            </w:r>
          </w:p>
        </w:tc>
        <w:tc>
          <w:tcPr>
            <w:tcW w:w="93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szCs w:val="21"/>
              </w:rPr>
            </w:pPr>
          </w:p>
        </w:tc>
        <w:tc>
          <w:tcPr>
            <w:tcW w:w="851"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szCs w:val="21"/>
              </w:rPr>
            </w:pPr>
          </w:p>
        </w:tc>
        <w:tc>
          <w:tcPr>
            <w:tcW w:w="851"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szCs w:val="21"/>
              </w:rPr>
            </w:pPr>
          </w:p>
        </w:tc>
        <w:tc>
          <w:tcPr>
            <w:tcW w:w="851"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szCs w:val="21"/>
              </w:rPr>
            </w:pPr>
          </w:p>
        </w:tc>
        <w:tc>
          <w:tcPr>
            <w:tcW w:w="85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szCs w:val="21"/>
              </w:rPr>
            </w:pPr>
          </w:p>
        </w:tc>
        <w:tc>
          <w:tcPr>
            <w:tcW w:w="851"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szCs w:val="21"/>
              </w:rPr>
            </w:pPr>
          </w:p>
        </w:tc>
        <w:tc>
          <w:tcPr>
            <w:tcW w:w="851" w:type="dxa"/>
            <w:tcBorders>
              <w:top w:val="single" w:color="auto" w:sz="4" w:space="0"/>
              <w:left w:val="single" w:color="auto" w:sz="4" w:space="0"/>
              <w:bottom w:val="single" w:color="auto" w:sz="4" w:space="0"/>
            </w:tcBorders>
          </w:tcPr>
          <w:p>
            <w:pPr>
              <w:spacing w:before="60" w:beforeLines="25" w:after="60" w:afterLines="25"/>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31" w:hRule="exact"/>
        </w:trPr>
        <w:tc>
          <w:tcPr>
            <w:tcW w:w="567" w:type="dxa"/>
            <w:tcBorders>
              <w:top w:val="single" w:color="auto" w:sz="4" w:space="0"/>
              <w:bottom w:val="single" w:color="auto" w:sz="4" w:space="0"/>
              <w:right w:val="single" w:color="auto" w:sz="4" w:space="0"/>
            </w:tcBorders>
            <w:vAlign w:val="center"/>
          </w:tcPr>
          <w:p>
            <w:pPr>
              <w:spacing w:before="60" w:beforeLines="25" w:after="60" w:afterLines="25"/>
              <w:jc w:val="center"/>
              <w:rPr>
                <w:rFonts w:ascii="宋体"/>
                <w:szCs w:val="21"/>
              </w:rPr>
            </w:pPr>
            <w:r>
              <w:rPr>
                <w:rFonts w:ascii="宋体" w:hAnsi="宋体"/>
                <w:szCs w:val="21"/>
              </w:rPr>
              <w:t>5</w:t>
            </w:r>
          </w:p>
        </w:tc>
        <w:tc>
          <w:tcPr>
            <w:tcW w:w="2546" w:type="dxa"/>
            <w:tcBorders>
              <w:top w:val="single" w:color="auto" w:sz="4" w:space="0"/>
              <w:left w:val="single" w:color="auto" w:sz="4" w:space="0"/>
              <w:bottom w:val="single" w:color="auto" w:sz="4" w:space="0"/>
              <w:right w:val="single" w:color="auto" w:sz="4" w:space="0"/>
            </w:tcBorders>
            <w:vAlign w:val="center"/>
          </w:tcPr>
          <w:p>
            <w:pPr>
              <w:spacing w:before="60" w:beforeLines="25" w:after="60" w:afterLines="25"/>
              <w:jc w:val="left"/>
              <w:rPr>
                <w:rFonts w:ascii="宋体"/>
                <w:szCs w:val="21"/>
              </w:rPr>
            </w:pPr>
            <w:r>
              <w:rPr>
                <w:rFonts w:hint="eastAsia"/>
                <w:szCs w:val="21"/>
              </w:rPr>
              <w:t>类似项目业绩</w:t>
            </w:r>
          </w:p>
        </w:tc>
        <w:tc>
          <w:tcPr>
            <w:tcW w:w="39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after="36" w:afterLines="15"/>
              <w:rPr>
                <w:szCs w:val="21"/>
              </w:rPr>
            </w:pPr>
            <w:r>
              <w:rPr>
                <w:rFonts w:hint="eastAsia"/>
                <w:szCs w:val="21"/>
              </w:rPr>
              <w:t>以北京市园林绿化建设市场信用信息系统中企业自行录入的业绩信息为准。</w:t>
            </w:r>
          </w:p>
          <w:p>
            <w:pPr>
              <w:adjustRightInd w:val="0"/>
              <w:snapToGrid w:val="0"/>
              <w:spacing w:before="36" w:beforeLines="15" w:after="36" w:afterLines="15"/>
              <w:rPr>
                <w:rFonts w:ascii="宋体"/>
                <w:szCs w:val="21"/>
              </w:rPr>
            </w:pPr>
            <w:r>
              <w:rPr>
                <w:rFonts w:hint="eastAsia"/>
                <w:szCs w:val="21"/>
              </w:rPr>
              <w:t>每有</w:t>
            </w:r>
            <w:r>
              <w:rPr>
                <w:szCs w:val="21"/>
              </w:rPr>
              <w:t>1</w:t>
            </w:r>
            <w:r>
              <w:rPr>
                <w:rFonts w:hint="eastAsia"/>
                <w:szCs w:val="21"/>
              </w:rPr>
              <w:t>项得</w:t>
            </w:r>
            <w:r>
              <w:rPr>
                <w:szCs w:val="21"/>
                <w:u w:val="single"/>
              </w:rPr>
              <w:t xml:space="preserve">  </w:t>
            </w:r>
            <w:r>
              <w:rPr>
                <w:rFonts w:hint="eastAsia"/>
                <w:szCs w:val="21"/>
              </w:rPr>
              <w:t>分，最高得分不超过</w:t>
            </w:r>
            <w:r>
              <w:rPr>
                <w:szCs w:val="21"/>
                <w:u w:val="single"/>
              </w:rPr>
              <w:t xml:space="preserve">   </w:t>
            </w:r>
            <w:r>
              <w:rPr>
                <w:rFonts w:hint="eastAsia"/>
                <w:szCs w:val="21"/>
              </w:rPr>
              <w:t>分。</w:t>
            </w:r>
          </w:p>
        </w:tc>
        <w:tc>
          <w:tcPr>
            <w:tcW w:w="773"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szCs w:val="21"/>
              </w:rPr>
            </w:pPr>
            <w:r>
              <w:rPr>
                <w:rFonts w:ascii="宋体" w:hAnsi="宋体"/>
                <w:szCs w:val="21"/>
              </w:rPr>
              <w:t xml:space="preserve">  </w:t>
            </w:r>
          </w:p>
          <w:p>
            <w:pPr>
              <w:spacing w:before="60" w:beforeLines="25" w:after="60" w:afterLines="25"/>
              <w:jc w:val="center"/>
              <w:rPr>
                <w:rFonts w:ascii="宋体"/>
                <w:szCs w:val="21"/>
              </w:rPr>
            </w:pPr>
            <w:r>
              <w:rPr>
                <w:rFonts w:ascii="宋体" w:hAnsi="宋体"/>
                <w:szCs w:val="21"/>
              </w:rPr>
              <w:t xml:space="preserve">  </w:t>
            </w:r>
            <w:r>
              <w:rPr>
                <w:rFonts w:hint="eastAsia" w:ascii="宋体" w:hAnsi="宋体"/>
                <w:szCs w:val="21"/>
              </w:rPr>
              <w:t>分</w:t>
            </w:r>
          </w:p>
        </w:tc>
        <w:tc>
          <w:tcPr>
            <w:tcW w:w="93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szCs w:val="21"/>
              </w:rPr>
            </w:pPr>
          </w:p>
        </w:tc>
        <w:tc>
          <w:tcPr>
            <w:tcW w:w="851"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szCs w:val="21"/>
              </w:rPr>
            </w:pPr>
          </w:p>
        </w:tc>
        <w:tc>
          <w:tcPr>
            <w:tcW w:w="851"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szCs w:val="21"/>
              </w:rPr>
            </w:pPr>
          </w:p>
        </w:tc>
        <w:tc>
          <w:tcPr>
            <w:tcW w:w="851"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szCs w:val="21"/>
              </w:rPr>
            </w:pPr>
          </w:p>
        </w:tc>
        <w:tc>
          <w:tcPr>
            <w:tcW w:w="85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szCs w:val="21"/>
              </w:rPr>
            </w:pPr>
          </w:p>
        </w:tc>
        <w:tc>
          <w:tcPr>
            <w:tcW w:w="851"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szCs w:val="21"/>
              </w:rPr>
            </w:pPr>
          </w:p>
        </w:tc>
        <w:tc>
          <w:tcPr>
            <w:tcW w:w="851" w:type="dxa"/>
            <w:tcBorders>
              <w:top w:val="single" w:color="auto" w:sz="4" w:space="0"/>
              <w:left w:val="single" w:color="auto" w:sz="4" w:space="0"/>
              <w:bottom w:val="single" w:color="auto" w:sz="4" w:space="0"/>
            </w:tcBorders>
          </w:tcPr>
          <w:p>
            <w:pPr>
              <w:spacing w:before="60" w:beforeLines="25" w:after="60" w:afterLines="25"/>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6" w:hRule="exact"/>
        </w:trPr>
        <w:tc>
          <w:tcPr>
            <w:tcW w:w="567" w:type="dxa"/>
            <w:vMerge w:val="restart"/>
            <w:tcBorders>
              <w:top w:val="single" w:color="auto" w:sz="4" w:space="0"/>
              <w:right w:val="single" w:color="auto" w:sz="4" w:space="0"/>
            </w:tcBorders>
            <w:vAlign w:val="center"/>
          </w:tcPr>
          <w:p>
            <w:pPr>
              <w:spacing w:before="60" w:beforeLines="25" w:after="60" w:afterLines="25"/>
              <w:jc w:val="center"/>
              <w:rPr>
                <w:rFonts w:ascii="宋体"/>
                <w:szCs w:val="21"/>
              </w:rPr>
            </w:pPr>
            <w:r>
              <w:rPr>
                <w:rFonts w:ascii="宋体" w:hAnsi="宋体"/>
                <w:szCs w:val="21"/>
              </w:rPr>
              <w:t>6</w:t>
            </w:r>
          </w:p>
        </w:tc>
        <w:tc>
          <w:tcPr>
            <w:tcW w:w="2546" w:type="dxa"/>
            <w:vMerge w:val="restart"/>
            <w:tcBorders>
              <w:top w:val="single" w:color="auto" w:sz="4" w:space="0"/>
              <w:left w:val="single" w:color="auto" w:sz="4" w:space="0"/>
              <w:right w:val="single" w:color="auto" w:sz="4" w:space="0"/>
            </w:tcBorders>
            <w:vAlign w:val="center"/>
          </w:tcPr>
          <w:p>
            <w:pPr>
              <w:spacing w:before="60" w:beforeLines="25" w:after="60" w:afterLines="25"/>
              <w:jc w:val="left"/>
              <w:rPr>
                <w:rFonts w:ascii="宋体"/>
                <w:szCs w:val="21"/>
              </w:rPr>
            </w:pPr>
            <w:r>
              <w:rPr>
                <w:rFonts w:hint="eastAsia" w:cs="Courier New"/>
              </w:rPr>
              <w:t>企业固定资产净值（招标前最近的年度）</w:t>
            </w:r>
          </w:p>
        </w:tc>
        <w:tc>
          <w:tcPr>
            <w:tcW w:w="3967" w:type="dxa"/>
            <w:tcBorders>
              <w:top w:val="single" w:color="auto" w:sz="4" w:space="0"/>
              <w:left w:val="single" w:color="auto" w:sz="4" w:space="0"/>
              <w:bottom w:val="single" w:color="auto" w:sz="4" w:space="0"/>
              <w:right w:val="single" w:color="auto" w:sz="4" w:space="0"/>
            </w:tcBorders>
            <w:vAlign w:val="center"/>
          </w:tcPr>
          <w:p>
            <w:pPr>
              <w:pStyle w:val="28"/>
              <w:snapToGrid w:val="0"/>
              <w:spacing w:before="36" w:beforeLines="15" w:after="36" w:afterLines="15"/>
              <w:ind w:firstLine="33" w:firstLineChars="16"/>
              <w:jc w:val="left"/>
              <w:rPr>
                <w:rFonts w:ascii="Times New Roman" w:hAnsi="Times New Roman" w:cs="Courier New"/>
              </w:rPr>
            </w:pPr>
            <w:r>
              <w:rPr>
                <w:szCs w:val="21"/>
                <w:u w:val="single"/>
              </w:rPr>
              <w:t xml:space="preserve">   </w:t>
            </w:r>
            <w:r>
              <w:rPr>
                <w:rFonts w:hint="eastAsia" w:ascii="Times New Roman" w:hAnsi="Times New Roman" w:cs="Courier New"/>
              </w:rPr>
              <w:t>万（含）以上</w:t>
            </w:r>
            <w:r>
              <w:rPr>
                <w:rFonts w:hint="eastAsia"/>
                <w:szCs w:val="21"/>
              </w:rPr>
              <w:t>（</w:t>
            </w:r>
            <w:r>
              <w:rPr>
                <w:szCs w:val="21"/>
              </w:rPr>
              <w:t xml:space="preserve"> </w:t>
            </w:r>
            <w:r>
              <w:rPr>
                <w:rFonts w:hint="eastAsia"/>
                <w:szCs w:val="21"/>
              </w:rPr>
              <w:t>分）</w:t>
            </w:r>
          </w:p>
        </w:tc>
        <w:tc>
          <w:tcPr>
            <w:tcW w:w="773"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szCs w:val="21"/>
              </w:rPr>
            </w:pPr>
          </w:p>
        </w:tc>
        <w:tc>
          <w:tcPr>
            <w:tcW w:w="932" w:type="dxa"/>
            <w:vMerge w:val="restart"/>
            <w:tcBorders>
              <w:top w:val="single" w:color="auto" w:sz="4" w:space="0"/>
              <w:left w:val="single" w:color="auto" w:sz="4" w:space="0"/>
              <w:right w:val="single" w:color="auto" w:sz="4" w:space="0"/>
            </w:tcBorders>
          </w:tcPr>
          <w:p>
            <w:pPr>
              <w:spacing w:before="60" w:beforeLines="25" w:after="60" w:afterLines="25"/>
              <w:jc w:val="center"/>
              <w:rPr>
                <w:rFonts w:ascii="宋体"/>
                <w:szCs w:val="21"/>
              </w:rPr>
            </w:pPr>
          </w:p>
        </w:tc>
        <w:tc>
          <w:tcPr>
            <w:tcW w:w="851" w:type="dxa"/>
            <w:vMerge w:val="restart"/>
            <w:tcBorders>
              <w:top w:val="single" w:color="auto" w:sz="4" w:space="0"/>
              <w:left w:val="single" w:color="auto" w:sz="4" w:space="0"/>
              <w:right w:val="single" w:color="auto" w:sz="4" w:space="0"/>
            </w:tcBorders>
          </w:tcPr>
          <w:p>
            <w:pPr>
              <w:spacing w:before="60" w:beforeLines="25" w:after="60" w:afterLines="25"/>
              <w:jc w:val="center"/>
              <w:rPr>
                <w:rFonts w:ascii="宋体"/>
                <w:szCs w:val="21"/>
              </w:rPr>
            </w:pPr>
          </w:p>
        </w:tc>
        <w:tc>
          <w:tcPr>
            <w:tcW w:w="851" w:type="dxa"/>
            <w:vMerge w:val="restart"/>
            <w:tcBorders>
              <w:top w:val="single" w:color="auto" w:sz="4" w:space="0"/>
              <w:left w:val="single" w:color="auto" w:sz="4" w:space="0"/>
              <w:right w:val="single" w:color="auto" w:sz="4" w:space="0"/>
            </w:tcBorders>
          </w:tcPr>
          <w:p>
            <w:pPr>
              <w:spacing w:before="60" w:beforeLines="25" w:after="60" w:afterLines="25"/>
              <w:jc w:val="center"/>
              <w:rPr>
                <w:rFonts w:ascii="宋体"/>
                <w:szCs w:val="21"/>
              </w:rPr>
            </w:pPr>
          </w:p>
        </w:tc>
        <w:tc>
          <w:tcPr>
            <w:tcW w:w="851" w:type="dxa"/>
            <w:vMerge w:val="restart"/>
            <w:tcBorders>
              <w:top w:val="single" w:color="auto" w:sz="4" w:space="0"/>
              <w:left w:val="single" w:color="auto" w:sz="4" w:space="0"/>
              <w:right w:val="single" w:color="auto" w:sz="4" w:space="0"/>
            </w:tcBorders>
          </w:tcPr>
          <w:p>
            <w:pPr>
              <w:spacing w:before="60" w:beforeLines="25" w:after="60" w:afterLines="25"/>
              <w:jc w:val="center"/>
              <w:rPr>
                <w:rFonts w:ascii="宋体"/>
                <w:szCs w:val="21"/>
              </w:rPr>
            </w:pPr>
          </w:p>
        </w:tc>
        <w:tc>
          <w:tcPr>
            <w:tcW w:w="852" w:type="dxa"/>
            <w:vMerge w:val="restart"/>
            <w:tcBorders>
              <w:top w:val="single" w:color="auto" w:sz="4" w:space="0"/>
              <w:left w:val="single" w:color="auto" w:sz="4" w:space="0"/>
              <w:right w:val="single" w:color="auto" w:sz="4" w:space="0"/>
            </w:tcBorders>
          </w:tcPr>
          <w:p>
            <w:pPr>
              <w:spacing w:before="60" w:beforeLines="25" w:after="60" w:afterLines="25"/>
              <w:jc w:val="center"/>
              <w:rPr>
                <w:rFonts w:ascii="宋体"/>
                <w:szCs w:val="21"/>
              </w:rPr>
            </w:pPr>
          </w:p>
        </w:tc>
        <w:tc>
          <w:tcPr>
            <w:tcW w:w="851" w:type="dxa"/>
            <w:vMerge w:val="restart"/>
            <w:tcBorders>
              <w:top w:val="single" w:color="auto" w:sz="4" w:space="0"/>
              <w:left w:val="single" w:color="auto" w:sz="4" w:space="0"/>
              <w:right w:val="single" w:color="auto" w:sz="4" w:space="0"/>
            </w:tcBorders>
          </w:tcPr>
          <w:p>
            <w:pPr>
              <w:spacing w:before="60" w:beforeLines="25" w:after="60" w:afterLines="25"/>
              <w:jc w:val="center"/>
              <w:rPr>
                <w:rFonts w:ascii="宋体"/>
                <w:szCs w:val="21"/>
              </w:rPr>
            </w:pPr>
          </w:p>
        </w:tc>
        <w:tc>
          <w:tcPr>
            <w:tcW w:w="851" w:type="dxa"/>
            <w:vMerge w:val="restart"/>
            <w:tcBorders>
              <w:top w:val="single" w:color="auto" w:sz="4" w:space="0"/>
              <w:left w:val="single" w:color="auto" w:sz="4" w:space="0"/>
            </w:tcBorders>
          </w:tcPr>
          <w:p>
            <w:pPr>
              <w:spacing w:before="60" w:beforeLines="25" w:after="60" w:afterLines="25"/>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8" w:hRule="exact"/>
        </w:trPr>
        <w:tc>
          <w:tcPr>
            <w:tcW w:w="567" w:type="dxa"/>
            <w:vMerge w:val="continue"/>
            <w:tcBorders>
              <w:right w:val="single" w:color="auto" w:sz="4" w:space="0"/>
            </w:tcBorders>
            <w:vAlign w:val="center"/>
          </w:tcPr>
          <w:p>
            <w:pPr>
              <w:spacing w:before="60" w:beforeLines="25" w:after="60" w:afterLines="25"/>
              <w:jc w:val="center"/>
              <w:rPr>
                <w:rFonts w:ascii="宋体"/>
                <w:szCs w:val="21"/>
              </w:rPr>
            </w:pPr>
          </w:p>
        </w:tc>
        <w:tc>
          <w:tcPr>
            <w:tcW w:w="2546" w:type="dxa"/>
            <w:vMerge w:val="continue"/>
            <w:tcBorders>
              <w:left w:val="single" w:color="auto" w:sz="4" w:space="0"/>
              <w:right w:val="single" w:color="auto" w:sz="4" w:space="0"/>
            </w:tcBorders>
            <w:vAlign w:val="center"/>
          </w:tcPr>
          <w:p>
            <w:pPr>
              <w:pStyle w:val="28"/>
              <w:snapToGrid w:val="0"/>
              <w:rPr>
                <w:rFonts w:hAnsi="宋体" w:cs="Courier New"/>
                <w:szCs w:val="21"/>
              </w:rPr>
            </w:pPr>
          </w:p>
        </w:tc>
        <w:tc>
          <w:tcPr>
            <w:tcW w:w="3967" w:type="dxa"/>
            <w:tcBorders>
              <w:top w:val="single" w:color="auto" w:sz="4" w:space="0"/>
              <w:left w:val="single" w:color="auto" w:sz="4" w:space="0"/>
              <w:bottom w:val="single" w:color="auto" w:sz="4" w:space="0"/>
              <w:right w:val="single" w:color="auto" w:sz="4" w:space="0"/>
            </w:tcBorders>
            <w:vAlign w:val="center"/>
          </w:tcPr>
          <w:p>
            <w:pPr>
              <w:pStyle w:val="28"/>
              <w:snapToGrid w:val="0"/>
              <w:jc w:val="left"/>
              <w:rPr>
                <w:rFonts w:hAnsi="宋体"/>
                <w:szCs w:val="21"/>
              </w:rPr>
            </w:pPr>
            <w:r>
              <w:rPr>
                <w:szCs w:val="21"/>
                <w:u w:val="single"/>
              </w:rPr>
              <w:t xml:space="preserve">   </w:t>
            </w:r>
            <w:r>
              <w:rPr>
                <w:rFonts w:hint="eastAsia" w:ascii="Times New Roman" w:hAnsi="Times New Roman" w:cs="Courier New"/>
              </w:rPr>
              <w:t>万（含）～</w:t>
            </w:r>
            <w:r>
              <w:rPr>
                <w:szCs w:val="21"/>
                <w:u w:val="single"/>
              </w:rPr>
              <w:t xml:space="preserve">   </w:t>
            </w:r>
            <w:r>
              <w:rPr>
                <w:rFonts w:hint="eastAsia" w:ascii="Times New Roman" w:hAnsi="Times New Roman" w:cs="Courier New"/>
              </w:rPr>
              <w:t>万</w:t>
            </w:r>
            <w:r>
              <w:rPr>
                <w:rFonts w:hint="eastAsia"/>
                <w:szCs w:val="21"/>
              </w:rPr>
              <w:t>（</w:t>
            </w:r>
            <w:r>
              <w:rPr>
                <w:szCs w:val="21"/>
              </w:rPr>
              <w:t xml:space="preserve"> </w:t>
            </w:r>
            <w:r>
              <w:rPr>
                <w:rFonts w:hint="eastAsia"/>
                <w:szCs w:val="21"/>
              </w:rPr>
              <w:t>分）</w:t>
            </w:r>
          </w:p>
        </w:tc>
        <w:tc>
          <w:tcPr>
            <w:tcW w:w="773"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szCs w:val="21"/>
              </w:rPr>
            </w:pPr>
          </w:p>
        </w:tc>
        <w:tc>
          <w:tcPr>
            <w:tcW w:w="932" w:type="dxa"/>
            <w:vMerge w:val="continue"/>
            <w:tcBorders>
              <w:left w:val="single" w:color="auto" w:sz="4" w:space="0"/>
              <w:right w:val="single" w:color="auto" w:sz="4" w:space="0"/>
            </w:tcBorders>
          </w:tcPr>
          <w:p>
            <w:pPr>
              <w:spacing w:before="60" w:beforeLines="25" w:after="60" w:afterLines="25"/>
              <w:jc w:val="center"/>
              <w:rPr>
                <w:rFonts w:ascii="宋体"/>
                <w:szCs w:val="21"/>
              </w:rPr>
            </w:pPr>
          </w:p>
        </w:tc>
        <w:tc>
          <w:tcPr>
            <w:tcW w:w="851" w:type="dxa"/>
            <w:vMerge w:val="continue"/>
            <w:tcBorders>
              <w:left w:val="single" w:color="auto" w:sz="4" w:space="0"/>
              <w:right w:val="single" w:color="auto" w:sz="4" w:space="0"/>
            </w:tcBorders>
          </w:tcPr>
          <w:p>
            <w:pPr>
              <w:spacing w:before="60" w:beforeLines="25" w:after="60" w:afterLines="25"/>
              <w:jc w:val="center"/>
              <w:rPr>
                <w:rFonts w:ascii="宋体"/>
                <w:szCs w:val="21"/>
              </w:rPr>
            </w:pPr>
          </w:p>
        </w:tc>
        <w:tc>
          <w:tcPr>
            <w:tcW w:w="851" w:type="dxa"/>
            <w:vMerge w:val="continue"/>
            <w:tcBorders>
              <w:left w:val="single" w:color="auto" w:sz="4" w:space="0"/>
              <w:right w:val="single" w:color="auto" w:sz="4" w:space="0"/>
            </w:tcBorders>
          </w:tcPr>
          <w:p>
            <w:pPr>
              <w:spacing w:before="60" w:beforeLines="25" w:after="60" w:afterLines="25"/>
              <w:jc w:val="center"/>
              <w:rPr>
                <w:rFonts w:ascii="宋体"/>
                <w:szCs w:val="21"/>
              </w:rPr>
            </w:pPr>
          </w:p>
        </w:tc>
        <w:tc>
          <w:tcPr>
            <w:tcW w:w="851" w:type="dxa"/>
            <w:vMerge w:val="continue"/>
            <w:tcBorders>
              <w:left w:val="single" w:color="auto" w:sz="4" w:space="0"/>
              <w:right w:val="single" w:color="auto" w:sz="4" w:space="0"/>
            </w:tcBorders>
          </w:tcPr>
          <w:p>
            <w:pPr>
              <w:spacing w:before="60" w:beforeLines="25" w:after="60" w:afterLines="25"/>
              <w:jc w:val="center"/>
              <w:rPr>
                <w:rFonts w:ascii="宋体"/>
                <w:szCs w:val="21"/>
              </w:rPr>
            </w:pPr>
          </w:p>
        </w:tc>
        <w:tc>
          <w:tcPr>
            <w:tcW w:w="852" w:type="dxa"/>
            <w:vMerge w:val="continue"/>
            <w:tcBorders>
              <w:left w:val="single" w:color="auto" w:sz="4" w:space="0"/>
              <w:right w:val="single" w:color="auto" w:sz="4" w:space="0"/>
            </w:tcBorders>
          </w:tcPr>
          <w:p>
            <w:pPr>
              <w:spacing w:before="60" w:beforeLines="25" w:after="60" w:afterLines="25"/>
              <w:jc w:val="center"/>
              <w:rPr>
                <w:rFonts w:ascii="宋体"/>
                <w:szCs w:val="21"/>
              </w:rPr>
            </w:pPr>
          </w:p>
        </w:tc>
        <w:tc>
          <w:tcPr>
            <w:tcW w:w="851" w:type="dxa"/>
            <w:vMerge w:val="continue"/>
            <w:tcBorders>
              <w:left w:val="single" w:color="auto" w:sz="4" w:space="0"/>
              <w:right w:val="single" w:color="auto" w:sz="4" w:space="0"/>
            </w:tcBorders>
          </w:tcPr>
          <w:p>
            <w:pPr>
              <w:spacing w:before="60" w:beforeLines="25" w:after="60" w:afterLines="25"/>
              <w:jc w:val="center"/>
              <w:rPr>
                <w:rFonts w:ascii="宋体"/>
                <w:szCs w:val="21"/>
              </w:rPr>
            </w:pPr>
          </w:p>
        </w:tc>
        <w:tc>
          <w:tcPr>
            <w:tcW w:w="851" w:type="dxa"/>
            <w:vMerge w:val="continue"/>
            <w:tcBorders>
              <w:left w:val="single" w:color="auto" w:sz="4" w:space="0"/>
            </w:tcBorders>
          </w:tcPr>
          <w:p>
            <w:pPr>
              <w:spacing w:before="60" w:beforeLines="25" w:after="60" w:afterLines="25"/>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8" w:hRule="exact"/>
        </w:trPr>
        <w:tc>
          <w:tcPr>
            <w:tcW w:w="567" w:type="dxa"/>
            <w:vMerge w:val="continue"/>
            <w:tcBorders>
              <w:bottom w:val="single" w:color="auto" w:sz="4" w:space="0"/>
              <w:right w:val="single" w:color="auto" w:sz="4" w:space="0"/>
            </w:tcBorders>
            <w:vAlign w:val="center"/>
          </w:tcPr>
          <w:p>
            <w:pPr>
              <w:spacing w:before="60" w:beforeLines="25" w:after="60" w:afterLines="25"/>
              <w:jc w:val="center"/>
              <w:rPr>
                <w:rFonts w:ascii="宋体"/>
                <w:szCs w:val="21"/>
              </w:rPr>
            </w:pPr>
          </w:p>
        </w:tc>
        <w:tc>
          <w:tcPr>
            <w:tcW w:w="2546" w:type="dxa"/>
            <w:vMerge w:val="continue"/>
            <w:tcBorders>
              <w:left w:val="single" w:color="auto" w:sz="4" w:space="0"/>
              <w:bottom w:val="single" w:color="auto" w:sz="4" w:space="0"/>
              <w:right w:val="single" w:color="auto" w:sz="4" w:space="0"/>
            </w:tcBorders>
            <w:vAlign w:val="center"/>
          </w:tcPr>
          <w:p>
            <w:pPr>
              <w:pStyle w:val="28"/>
              <w:snapToGrid w:val="0"/>
              <w:rPr>
                <w:rFonts w:hAnsi="宋体" w:cs="Courier New"/>
                <w:szCs w:val="21"/>
              </w:rPr>
            </w:pPr>
          </w:p>
        </w:tc>
        <w:tc>
          <w:tcPr>
            <w:tcW w:w="3967" w:type="dxa"/>
            <w:tcBorders>
              <w:top w:val="single" w:color="auto" w:sz="4" w:space="0"/>
              <w:left w:val="single" w:color="auto" w:sz="4" w:space="0"/>
              <w:bottom w:val="single" w:color="auto" w:sz="4" w:space="0"/>
              <w:right w:val="single" w:color="auto" w:sz="4" w:space="0"/>
            </w:tcBorders>
            <w:vAlign w:val="center"/>
          </w:tcPr>
          <w:p>
            <w:pPr>
              <w:pStyle w:val="28"/>
              <w:snapToGrid w:val="0"/>
              <w:jc w:val="left"/>
              <w:rPr>
                <w:rFonts w:hAnsi="宋体"/>
                <w:szCs w:val="21"/>
              </w:rPr>
            </w:pPr>
            <w:r>
              <w:rPr>
                <w:szCs w:val="21"/>
                <w:u w:val="single"/>
              </w:rPr>
              <w:t xml:space="preserve">   </w:t>
            </w:r>
            <w:r>
              <w:rPr>
                <w:rFonts w:hint="eastAsia" w:ascii="Times New Roman" w:hAnsi="Times New Roman" w:cs="Courier New"/>
              </w:rPr>
              <w:t>万以下</w:t>
            </w:r>
            <w:r>
              <w:rPr>
                <w:rFonts w:hint="eastAsia"/>
                <w:szCs w:val="21"/>
              </w:rPr>
              <w:t>（</w:t>
            </w:r>
            <w:r>
              <w:rPr>
                <w:szCs w:val="21"/>
              </w:rPr>
              <w:t xml:space="preserve"> </w:t>
            </w:r>
            <w:r>
              <w:rPr>
                <w:rFonts w:hint="eastAsia"/>
                <w:szCs w:val="21"/>
              </w:rPr>
              <w:t>分）</w:t>
            </w:r>
          </w:p>
        </w:tc>
        <w:tc>
          <w:tcPr>
            <w:tcW w:w="773"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szCs w:val="21"/>
              </w:rPr>
            </w:pPr>
          </w:p>
        </w:tc>
        <w:tc>
          <w:tcPr>
            <w:tcW w:w="932" w:type="dxa"/>
            <w:vMerge w:val="continue"/>
            <w:tcBorders>
              <w:left w:val="single" w:color="auto" w:sz="4" w:space="0"/>
              <w:bottom w:val="single" w:color="auto" w:sz="4" w:space="0"/>
              <w:right w:val="single" w:color="auto" w:sz="4" w:space="0"/>
            </w:tcBorders>
          </w:tcPr>
          <w:p>
            <w:pPr>
              <w:spacing w:before="60" w:beforeLines="25" w:after="60" w:afterLines="25"/>
              <w:jc w:val="center"/>
              <w:rPr>
                <w:rFonts w:ascii="宋体"/>
                <w:szCs w:val="21"/>
              </w:rPr>
            </w:pPr>
          </w:p>
        </w:tc>
        <w:tc>
          <w:tcPr>
            <w:tcW w:w="851" w:type="dxa"/>
            <w:vMerge w:val="continue"/>
            <w:tcBorders>
              <w:left w:val="single" w:color="auto" w:sz="4" w:space="0"/>
              <w:bottom w:val="single" w:color="auto" w:sz="4" w:space="0"/>
              <w:right w:val="single" w:color="auto" w:sz="4" w:space="0"/>
            </w:tcBorders>
          </w:tcPr>
          <w:p>
            <w:pPr>
              <w:spacing w:before="60" w:beforeLines="25" w:after="60" w:afterLines="25"/>
              <w:jc w:val="center"/>
              <w:rPr>
                <w:rFonts w:ascii="宋体"/>
                <w:szCs w:val="21"/>
              </w:rPr>
            </w:pPr>
          </w:p>
        </w:tc>
        <w:tc>
          <w:tcPr>
            <w:tcW w:w="851" w:type="dxa"/>
            <w:vMerge w:val="continue"/>
            <w:tcBorders>
              <w:left w:val="single" w:color="auto" w:sz="4" w:space="0"/>
              <w:bottom w:val="single" w:color="auto" w:sz="4" w:space="0"/>
              <w:right w:val="single" w:color="auto" w:sz="4" w:space="0"/>
            </w:tcBorders>
          </w:tcPr>
          <w:p>
            <w:pPr>
              <w:spacing w:before="60" w:beforeLines="25" w:after="60" w:afterLines="25"/>
              <w:jc w:val="center"/>
              <w:rPr>
                <w:rFonts w:ascii="宋体"/>
                <w:szCs w:val="21"/>
              </w:rPr>
            </w:pPr>
          </w:p>
        </w:tc>
        <w:tc>
          <w:tcPr>
            <w:tcW w:w="851" w:type="dxa"/>
            <w:vMerge w:val="continue"/>
            <w:tcBorders>
              <w:left w:val="single" w:color="auto" w:sz="4" w:space="0"/>
              <w:bottom w:val="single" w:color="auto" w:sz="4" w:space="0"/>
              <w:right w:val="single" w:color="auto" w:sz="4" w:space="0"/>
            </w:tcBorders>
          </w:tcPr>
          <w:p>
            <w:pPr>
              <w:spacing w:before="60" w:beforeLines="25" w:after="60" w:afterLines="25"/>
              <w:jc w:val="center"/>
              <w:rPr>
                <w:rFonts w:ascii="宋体"/>
                <w:szCs w:val="21"/>
              </w:rPr>
            </w:pPr>
          </w:p>
        </w:tc>
        <w:tc>
          <w:tcPr>
            <w:tcW w:w="852" w:type="dxa"/>
            <w:vMerge w:val="continue"/>
            <w:tcBorders>
              <w:left w:val="single" w:color="auto" w:sz="4" w:space="0"/>
              <w:bottom w:val="single" w:color="auto" w:sz="4" w:space="0"/>
              <w:right w:val="single" w:color="auto" w:sz="4" w:space="0"/>
            </w:tcBorders>
          </w:tcPr>
          <w:p>
            <w:pPr>
              <w:spacing w:before="60" w:beforeLines="25" w:after="60" w:afterLines="25"/>
              <w:jc w:val="center"/>
              <w:rPr>
                <w:rFonts w:ascii="宋体"/>
                <w:szCs w:val="21"/>
              </w:rPr>
            </w:pPr>
          </w:p>
        </w:tc>
        <w:tc>
          <w:tcPr>
            <w:tcW w:w="851" w:type="dxa"/>
            <w:vMerge w:val="continue"/>
            <w:tcBorders>
              <w:left w:val="single" w:color="auto" w:sz="4" w:space="0"/>
              <w:bottom w:val="single" w:color="auto" w:sz="4" w:space="0"/>
              <w:right w:val="single" w:color="auto" w:sz="4" w:space="0"/>
            </w:tcBorders>
          </w:tcPr>
          <w:p>
            <w:pPr>
              <w:spacing w:before="60" w:beforeLines="25" w:after="60" w:afterLines="25"/>
              <w:jc w:val="center"/>
              <w:rPr>
                <w:rFonts w:ascii="宋体"/>
                <w:szCs w:val="21"/>
              </w:rPr>
            </w:pPr>
          </w:p>
        </w:tc>
        <w:tc>
          <w:tcPr>
            <w:tcW w:w="851" w:type="dxa"/>
            <w:vMerge w:val="continue"/>
            <w:tcBorders>
              <w:left w:val="single" w:color="auto" w:sz="4" w:space="0"/>
              <w:bottom w:val="single" w:color="auto" w:sz="4" w:space="0"/>
            </w:tcBorders>
          </w:tcPr>
          <w:p>
            <w:pPr>
              <w:spacing w:before="60" w:beforeLines="25" w:after="60" w:afterLines="25"/>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exact"/>
        </w:trPr>
        <w:tc>
          <w:tcPr>
            <w:tcW w:w="7853" w:type="dxa"/>
            <w:gridSpan w:val="4"/>
            <w:tcBorders>
              <w:top w:val="single" w:color="auto" w:sz="4" w:space="0"/>
              <w:bottom w:val="single" w:color="auto" w:sz="4" w:space="0"/>
              <w:right w:val="single" w:color="auto" w:sz="4" w:space="0"/>
            </w:tcBorders>
          </w:tcPr>
          <w:p>
            <w:pPr>
              <w:spacing w:before="60" w:beforeLines="25" w:after="60" w:afterLines="25"/>
              <w:jc w:val="center"/>
              <w:rPr>
                <w:rFonts w:ascii="宋体"/>
                <w:szCs w:val="21"/>
              </w:rPr>
            </w:pPr>
            <w:r>
              <w:rPr>
                <w:rFonts w:hint="eastAsia" w:cs="Courier New"/>
              </w:rPr>
              <w:t>企业实力和管理机构评分合计</w:t>
            </w:r>
          </w:p>
        </w:tc>
        <w:tc>
          <w:tcPr>
            <w:tcW w:w="932"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szCs w:val="21"/>
              </w:rPr>
            </w:pPr>
          </w:p>
        </w:tc>
        <w:tc>
          <w:tcPr>
            <w:tcW w:w="3405" w:type="dxa"/>
            <w:gridSpan w:val="4"/>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szCs w:val="21"/>
              </w:rPr>
            </w:pPr>
          </w:p>
        </w:tc>
        <w:tc>
          <w:tcPr>
            <w:tcW w:w="851" w:type="dxa"/>
            <w:tcBorders>
              <w:top w:val="single" w:color="auto" w:sz="4" w:space="0"/>
              <w:left w:val="single" w:color="auto" w:sz="4" w:space="0"/>
              <w:bottom w:val="single" w:color="auto" w:sz="4" w:space="0"/>
              <w:right w:val="single" w:color="auto" w:sz="4" w:space="0"/>
            </w:tcBorders>
          </w:tcPr>
          <w:p>
            <w:pPr>
              <w:spacing w:before="60" w:beforeLines="25" w:after="60" w:afterLines="25"/>
              <w:jc w:val="center"/>
              <w:rPr>
                <w:rFonts w:ascii="宋体"/>
                <w:szCs w:val="21"/>
              </w:rPr>
            </w:pPr>
          </w:p>
        </w:tc>
        <w:tc>
          <w:tcPr>
            <w:tcW w:w="851" w:type="dxa"/>
            <w:tcBorders>
              <w:top w:val="single" w:color="auto" w:sz="4" w:space="0"/>
              <w:left w:val="single" w:color="auto" w:sz="4" w:space="0"/>
              <w:bottom w:val="single" w:color="auto" w:sz="4" w:space="0"/>
            </w:tcBorders>
          </w:tcPr>
          <w:p>
            <w:pPr>
              <w:spacing w:before="60" w:beforeLines="25" w:after="60" w:afterLines="25"/>
              <w:jc w:val="center"/>
              <w:rPr>
                <w:rFonts w:ascii="宋体"/>
                <w:szCs w:val="21"/>
              </w:rPr>
            </w:pPr>
          </w:p>
        </w:tc>
      </w:tr>
    </w:tbl>
    <w:p>
      <w:pPr>
        <w:tabs>
          <w:tab w:val="left" w:pos="4680"/>
        </w:tabs>
        <w:spacing w:after="120" w:afterLines="50"/>
        <w:ind w:right="-1249" w:rightChars="-595"/>
        <w:rPr>
          <w:rFonts w:hAnsi="宋体"/>
        </w:rPr>
      </w:pPr>
    </w:p>
    <w:p>
      <w:pPr>
        <w:tabs>
          <w:tab w:val="left" w:pos="4680"/>
        </w:tabs>
        <w:spacing w:after="120" w:afterLines="50"/>
        <w:ind w:right="-1249" w:rightChars="-595"/>
        <w:rPr>
          <w:rFonts w:hAnsi="宋体"/>
        </w:rPr>
      </w:pPr>
      <w:r>
        <w:rPr>
          <w:rFonts w:hint="eastAsia" w:hAnsi="宋体"/>
        </w:rPr>
        <w:t>评标委员会成员</w:t>
      </w:r>
      <w:r>
        <w:rPr>
          <w:rFonts w:hint="eastAsia" w:ascii="宋体" w:hAnsi="宋体" w:cs="Arial"/>
          <w:u w:val="single"/>
        </w:rPr>
        <w:t>（手写签名）</w:t>
      </w:r>
      <w:r>
        <w:rPr>
          <w:rFonts w:ascii="宋体" w:hAnsi="宋体" w:cs="Arial"/>
          <w:u w:val="single"/>
        </w:rPr>
        <w:t xml:space="preserve">        </w:t>
      </w:r>
      <w:r>
        <w:rPr>
          <w:sz w:val="24"/>
        </w:rPr>
        <w:t xml:space="preserve"> </w:t>
      </w:r>
      <w:r>
        <w:t xml:space="preserve">                                                                        </w:t>
      </w:r>
      <w:r>
        <w:rPr>
          <w:rFonts w:hint="eastAsia" w:hAnsi="宋体"/>
        </w:rPr>
        <w:t>日期：</w:t>
      </w:r>
      <w:r>
        <w:t xml:space="preserve">     </w:t>
      </w:r>
      <w:r>
        <w:rPr>
          <w:rFonts w:hint="eastAsia" w:hAnsi="宋体"/>
        </w:rPr>
        <w:t>年</w:t>
      </w:r>
      <w:r>
        <w:t xml:space="preserve">   </w:t>
      </w:r>
      <w:r>
        <w:rPr>
          <w:rFonts w:hint="eastAsia" w:hAnsi="宋体"/>
        </w:rPr>
        <w:t>月</w:t>
      </w:r>
      <w:r>
        <w:t xml:space="preserve">    </w:t>
      </w:r>
      <w:r>
        <w:rPr>
          <w:rFonts w:hint="eastAsia" w:hAnsi="宋体"/>
        </w:rPr>
        <w:t>日</w:t>
      </w:r>
    </w:p>
    <w:p>
      <w:pPr>
        <w:snapToGrid w:val="0"/>
        <w:rPr>
          <w:rFonts w:ascii="Arial" w:hAnsi="Arial" w:cs="Arial"/>
          <w:bCs/>
          <w:szCs w:val="21"/>
        </w:rPr>
      </w:pPr>
      <w:r>
        <w:rPr>
          <w:rFonts w:hint="eastAsia" w:ascii="Arial" w:hAnsi="Arial" w:cs="Arial"/>
          <w:bCs/>
          <w:szCs w:val="21"/>
        </w:rPr>
        <w:t>备注：</w:t>
      </w:r>
    </w:p>
    <w:p>
      <w:pPr>
        <w:tabs>
          <w:tab w:val="left" w:pos="4680"/>
        </w:tabs>
        <w:spacing w:after="120" w:afterLines="50"/>
        <w:ind w:right="-1249" w:rightChars="-595"/>
        <w:rPr>
          <w:rFonts w:hAnsi="宋体"/>
        </w:rPr>
      </w:pPr>
      <w:r>
        <w:rPr>
          <w:rFonts w:hint="eastAsia" w:hAnsi="宋体"/>
        </w:rPr>
        <w:t>1.园林绿化相关专业技术职称：包括林业、园林绿化（园林设计、园林施工、园林养护、花卉）、城乡规划、林业、园艺、植物保护、农学、土肥、果树等。</w:t>
      </w:r>
    </w:p>
    <w:p>
      <w:pPr>
        <w:tabs>
          <w:tab w:val="left" w:pos="4680"/>
        </w:tabs>
        <w:spacing w:after="120" w:afterLines="50"/>
        <w:ind w:right="-256" w:rightChars="-122"/>
        <w:rPr>
          <w:rFonts w:hAnsi="宋体"/>
        </w:rPr>
      </w:pPr>
      <w:r>
        <w:rPr>
          <w:rFonts w:hint="eastAsia" w:hAnsi="宋体"/>
        </w:rPr>
        <w:t>2.岗位人员配置中，招标人可根据项目特点要求选派绿化与园艺服务人员，包括并不限于园林绿化工（绿化工）、花卉园艺工（园艺工）、绿化造园工、园林养护工、草坪园艺师、假山工等。</w:t>
      </w:r>
    </w:p>
    <w:p>
      <w:pPr>
        <w:tabs>
          <w:tab w:val="left" w:pos="4680"/>
        </w:tabs>
        <w:spacing w:after="120" w:afterLines="50"/>
        <w:ind w:right="-1249" w:rightChars="-595"/>
        <w:rPr>
          <w:rFonts w:ascii="Arial" w:hAnsi="Arial" w:cs="Arial"/>
          <w:bCs/>
          <w:szCs w:val="21"/>
        </w:rPr>
        <w:sectPr>
          <w:pgSz w:w="16838" w:h="11906" w:orient="landscape"/>
          <w:pgMar w:top="1644" w:right="1361" w:bottom="1560" w:left="1418" w:header="851" w:footer="992" w:gutter="0"/>
          <w:cols w:space="720" w:num="1"/>
          <w:docGrid w:linePitch="312" w:charSpace="0"/>
        </w:sectPr>
      </w:pPr>
      <w:r>
        <w:rPr>
          <w:rFonts w:hint="eastAsia" w:ascii="Arial" w:hAnsi="Arial" w:cs="Arial"/>
          <w:bCs/>
          <w:szCs w:val="21"/>
        </w:rPr>
        <w:t>3.得分合计保留两位小数。</w:t>
      </w:r>
    </w:p>
    <w:p>
      <w:pPr>
        <w:pStyle w:val="5"/>
        <w:ind w:left="720" w:hanging="720"/>
        <w:jc w:val="left"/>
        <w:rPr>
          <w:rFonts w:ascii="宋体" w:hAnsi="宋体" w:cs="Arial"/>
          <w:bCs/>
          <w:sz w:val="28"/>
          <w:szCs w:val="28"/>
        </w:rPr>
      </w:pPr>
      <w:bookmarkStart w:id="208" w:name="_Toc455409850"/>
      <w:bookmarkStart w:id="209" w:name="_Toc381265941"/>
      <w:bookmarkStart w:id="210" w:name="_Toc396818224"/>
      <w:bookmarkStart w:id="211" w:name="_Toc419547368"/>
      <w:bookmarkStart w:id="212" w:name="_Toc419547914"/>
      <w:bookmarkStart w:id="213" w:name="_Toc470011327"/>
      <w:r>
        <w:rPr>
          <w:rFonts w:ascii="宋体" w:hAnsi="宋体" w:cs="Arial"/>
          <w:sz w:val="28"/>
          <w:szCs w:val="28"/>
        </w:rPr>
        <w:t>附表</w:t>
      </w:r>
      <w:r>
        <w:rPr>
          <w:rFonts w:hint="eastAsia" w:ascii="宋体" w:hAnsi="宋体" w:cs="Arial"/>
          <w:bCs/>
          <w:sz w:val="28"/>
          <w:szCs w:val="28"/>
        </w:rPr>
        <w:t>-10：技术暗标编号确认表</w:t>
      </w:r>
    </w:p>
    <w:p>
      <w:pPr>
        <w:pStyle w:val="4"/>
        <w:jc w:val="center"/>
        <w:rPr>
          <w:rFonts w:ascii="黑体" w:hAnsi="黑体" w:eastAsia="黑体" w:cs="Arial"/>
          <w:bCs/>
          <w:kern w:val="2"/>
          <w:sz w:val="28"/>
          <w:szCs w:val="28"/>
        </w:rPr>
      </w:pPr>
      <w:r>
        <w:rPr>
          <w:rFonts w:hint="eastAsia" w:ascii="黑体" w:hAnsi="黑体" w:eastAsia="黑体" w:cs="Arial"/>
          <w:bCs/>
          <w:kern w:val="2"/>
          <w:sz w:val="28"/>
          <w:szCs w:val="28"/>
        </w:rPr>
        <w:t>技术暗标编号确认表</w:t>
      </w:r>
    </w:p>
    <w:p>
      <w:pPr>
        <w:autoSpaceDE w:val="0"/>
        <w:autoSpaceDN w:val="0"/>
        <w:adjustRightInd w:val="0"/>
        <w:rPr>
          <w:rFonts w:ascii="Arial" w:hAnsi="Arial" w:cs="Arial"/>
          <w:bCs/>
          <w:szCs w:val="21"/>
        </w:rPr>
      </w:pPr>
      <w:r>
        <w:rPr>
          <w:rFonts w:hint="eastAsia" w:ascii="Arial" w:hAnsi="Arial" w:cs="Arial"/>
          <w:bCs/>
          <w:szCs w:val="21"/>
        </w:rPr>
        <w:t>工程</w:t>
      </w:r>
      <w:r>
        <w:rPr>
          <w:rFonts w:ascii="Arial" w:hAnsi="Arial" w:cs="Arial"/>
          <w:bCs/>
          <w:szCs w:val="21"/>
        </w:rPr>
        <w:t>名称：</w:t>
      </w:r>
      <w:r>
        <w:rPr>
          <w:rFonts w:hint="eastAsia" w:ascii="Arial" w:hAnsi="Arial" w:cs="Arial"/>
          <w:bCs/>
          <w:szCs w:val="21"/>
          <w:u w:val="single"/>
        </w:rPr>
        <w:t xml:space="preserve">        </w:t>
      </w:r>
    </w:p>
    <w:tbl>
      <w:tblPr>
        <w:tblStyle w:val="5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850"/>
        <w:gridCol w:w="992"/>
        <w:gridCol w:w="993"/>
        <w:gridCol w:w="992"/>
        <w:gridCol w:w="992"/>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17" w:type="dxa"/>
            <w:vMerge w:val="restart"/>
            <w:vAlign w:val="center"/>
          </w:tcPr>
          <w:p>
            <w:pPr>
              <w:pStyle w:val="4"/>
              <w:ind w:firstLine="0"/>
              <w:jc w:val="center"/>
            </w:pPr>
            <w:r>
              <w:rPr>
                <w:rFonts w:ascii="Arial" w:hAnsi="Arial" w:cs="Arial"/>
                <w:bCs/>
                <w:kern w:val="2"/>
                <w:sz w:val="21"/>
                <w:szCs w:val="21"/>
              </w:rPr>
              <w:t>序号</w:t>
            </w:r>
          </w:p>
        </w:tc>
        <w:tc>
          <w:tcPr>
            <w:tcW w:w="1985" w:type="dxa"/>
            <w:vMerge w:val="restart"/>
            <w:vAlign w:val="center"/>
          </w:tcPr>
          <w:p>
            <w:pPr>
              <w:pStyle w:val="14"/>
              <w:jc w:val="center"/>
              <w:rPr>
                <w:color w:val="auto"/>
                <w:sz w:val="21"/>
                <w:szCs w:val="21"/>
              </w:rPr>
            </w:pPr>
            <w:r>
              <w:rPr>
                <w:color w:val="auto"/>
                <w:sz w:val="21"/>
                <w:szCs w:val="21"/>
              </w:rPr>
              <w:t>施工组织设计模块名称</w:t>
            </w:r>
          </w:p>
        </w:tc>
        <w:tc>
          <w:tcPr>
            <w:tcW w:w="6804" w:type="dxa"/>
            <w:gridSpan w:val="7"/>
            <w:vAlign w:val="center"/>
          </w:tcPr>
          <w:p>
            <w:pPr>
              <w:pStyle w:val="14"/>
              <w:jc w:val="center"/>
              <w:rPr>
                <w:color w:val="auto"/>
                <w:sz w:val="21"/>
                <w:szCs w:val="21"/>
              </w:rPr>
            </w:pPr>
            <w:r>
              <w:rPr>
                <w:color w:val="auto"/>
                <w:sz w:val="21"/>
                <w:szCs w:val="21"/>
              </w:rPr>
              <w:t>投标人名称及模块暗标编号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17" w:type="dxa"/>
            <w:vMerge w:val="continue"/>
          </w:tcPr>
          <w:p>
            <w:pPr>
              <w:pStyle w:val="4"/>
              <w:ind w:firstLine="0"/>
              <w:jc w:val="center"/>
            </w:pPr>
          </w:p>
        </w:tc>
        <w:tc>
          <w:tcPr>
            <w:tcW w:w="1985" w:type="dxa"/>
            <w:vMerge w:val="continue"/>
          </w:tcPr>
          <w:p>
            <w:pPr>
              <w:pStyle w:val="4"/>
              <w:ind w:firstLine="0"/>
              <w:jc w:val="center"/>
            </w:pPr>
          </w:p>
        </w:tc>
        <w:tc>
          <w:tcPr>
            <w:tcW w:w="850" w:type="dxa"/>
          </w:tcPr>
          <w:p>
            <w:pPr>
              <w:pStyle w:val="4"/>
              <w:ind w:firstLine="0"/>
              <w:jc w:val="center"/>
            </w:pPr>
          </w:p>
        </w:tc>
        <w:tc>
          <w:tcPr>
            <w:tcW w:w="992" w:type="dxa"/>
          </w:tcPr>
          <w:p>
            <w:pPr>
              <w:pStyle w:val="4"/>
              <w:ind w:firstLine="0"/>
              <w:jc w:val="center"/>
            </w:pPr>
          </w:p>
        </w:tc>
        <w:tc>
          <w:tcPr>
            <w:tcW w:w="993" w:type="dxa"/>
          </w:tcPr>
          <w:p>
            <w:pPr>
              <w:pStyle w:val="4"/>
              <w:ind w:firstLine="0"/>
              <w:jc w:val="center"/>
            </w:pPr>
          </w:p>
        </w:tc>
        <w:tc>
          <w:tcPr>
            <w:tcW w:w="992" w:type="dxa"/>
          </w:tcPr>
          <w:p>
            <w:pPr>
              <w:pStyle w:val="4"/>
              <w:ind w:firstLine="0"/>
              <w:jc w:val="center"/>
            </w:pPr>
          </w:p>
        </w:tc>
        <w:tc>
          <w:tcPr>
            <w:tcW w:w="992" w:type="dxa"/>
          </w:tcPr>
          <w:p>
            <w:pPr>
              <w:pStyle w:val="4"/>
              <w:ind w:firstLine="0"/>
              <w:jc w:val="center"/>
            </w:pPr>
          </w:p>
        </w:tc>
        <w:tc>
          <w:tcPr>
            <w:tcW w:w="992" w:type="dxa"/>
          </w:tcPr>
          <w:p>
            <w:pPr>
              <w:pStyle w:val="4"/>
              <w:ind w:firstLine="0"/>
              <w:jc w:val="center"/>
            </w:pPr>
          </w:p>
        </w:tc>
        <w:tc>
          <w:tcPr>
            <w:tcW w:w="993" w:type="dxa"/>
          </w:tcPr>
          <w:p>
            <w:pPr>
              <w:pStyle w:val="4"/>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17" w:type="dxa"/>
            <w:vAlign w:val="center"/>
          </w:tcPr>
          <w:p>
            <w:pPr>
              <w:pStyle w:val="4"/>
              <w:ind w:firstLine="0"/>
              <w:jc w:val="center"/>
            </w:pPr>
          </w:p>
        </w:tc>
        <w:tc>
          <w:tcPr>
            <w:tcW w:w="1985" w:type="dxa"/>
            <w:vAlign w:val="center"/>
          </w:tcPr>
          <w:p>
            <w:pPr>
              <w:pStyle w:val="4"/>
              <w:ind w:firstLine="0"/>
              <w:jc w:val="center"/>
            </w:pPr>
          </w:p>
        </w:tc>
        <w:tc>
          <w:tcPr>
            <w:tcW w:w="850" w:type="dxa"/>
            <w:vAlign w:val="center"/>
          </w:tcPr>
          <w:p>
            <w:pPr>
              <w:pStyle w:val="4"/>
              <w:ind w:firstLine="0"/>
              <w:jc w:val="center"/>
            </w:pPr>
          </w:p>
        </w:tc>
        <w:tc>
          <w:tcPr>
            <w:tcW w:w="992" w:type="dxa"/>
            <w:vAlign w:val="center"/>
          </w:tcPr>
          <w:p>
            <w:pPr>
              <w:pStyle w:val="4"/>
              <w:ind w:firstLine="0"/>
              <w:jc w:val="center"/>
            </w:pPr>
          </w:p>
        </w:tc>
        <w:tc>
          <w:tcPr>
            <w:tcW w:w="993" w:type="dxa"/>
            <w:vAlign w:val="center"/>
          </w:tcPr>
          <w:p>
            <w:pPr>
              <w:pStyle w:val="4"/>
              <w:ind w:firstLine="0"/>
              <w:jc w:val="center"/>
            </w:pPr>
          </w:p>
        </w:tc>
        <w:tc>
          <w:tcPr>
            <w:tcW w:w="992" w:type="dxa"/>
            <w:vAlign w:val="center"/>
          </w:tcPr>
          <w:p>
            <w:pPr>
              <w:pStyle w:val="4"/>
              <w:ind w:firstLine="0"/>
              <w:jc w:val="center"/>
            </w:pPr>
          </w:p>
        </w:tc>
        <w:tc>
          <w:tcPr>
            <w:tcW w:w="992" w:type="dxa"/>
            <w:vAlign w:val="center"/>
          </w:tcPr>
          <w:p>
            <w:pPr>
              <w:pStyle w:val="4"/>
              <w:ind w:firstLine="0"/>
              <w:jc w:val="center"/>
            </w:pPr>
          </w:p>
        </w:tc>
        <w:tc>
          <w:tcPr>
            <w:tcW w:w="992" w:type="dxa"/>
            <w:vAlign w:val="center"/>
          </w:tcPr>
          <w:p>
            <w:pPr>
              <w:pStyle w:val="4"/>
              <w:ind w:firstLine="0"/>
              <w:jc w:val="center"/>
            </w:pPr>
          </w:p>
        </w:tc>
        <w:tc>
          <w:tcPr>
            <w:tcW w:w="993" w:type="dxa"/>
            <w:vAlign w:val="center"/>
          </w:tcPr>
          <w:p>
            <w:pPr>
              <w:pStyle w:val="4"/>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17" w:type="dxa"/>
            <w:vAlign w:val="center"/>
          </w:tcPr>
          <w:p>
            <w:pPr>
              <w:pStyle w:val="4"/>
              <w:ind w:firstLine="0"/>
              <w:jc w:val="center"/>
            </w:pPr>
          </w:p>
        </w:tc>
        <w:tc>
          <w:tcPr>
            <w:tcW w:w="1985" w:type="dxa"/>
            <w:vAlign w:val="center"/>
          </w:tcPr>
          <w:p>
            <w:pPr>
              <w:pStyle w:val="4"/>
              <w:ind w:firstLine="0"/>
              <w:jc w:val="center"/>
            </w:pPr>
          </w:p>
        </w:tc>
        <w:tc>
          <w:tcPr>
            <w:tcW w:w="850" w:type="dxa"/>
            <w:vAlign w:val="center"/>
          </w:tcPr>
          <w:p>
            <w:pPr>
              <w:pStyle w:val="4"/>
              <w:ind w:firstLine="0"/>
              <w:jc w:val="center"/>
            </w:pPr>
          </w:p>
        </w:tc>
        <w:tc>
          <w:tcPr>
            <w:tcW w:w="992" w:type="dxa"/>
            <w:vAlign w:val="center"/>
          </w:tcPr>
          <w:p>
            <w:pPr>
              <w:pStyle w:val="4"/>
              <w:ind w:firstLine="0"/>
              <w:jc w:val="center"/>
            </w:pPr>
          </w:p>
        </w:tc>
        <w:tc>
          <w:tcPr>
            <w:tcW w:w="993" w:type="dxa"/>
            <w:vAlign w:val="center"/>
          </w:tcPr>
          <w:p>
            <w:pPr>
              <w:pStyle w:val="4"/>
              <w:ind w:firstLine="0"/>
              <w:jc w:val="center"/>
            </w:pPr>
          </w:p>
        </w:tc>
        <w:tc>
          <w:tcPr>
            <w:tcW w:w="992" w:type="dxa"/>
            <w:vAlign w:val="center"/>
          </w:tcPr>
          <w:p>
            <w:pPr>
              <w:pStyle w:val="4"/>
              <w:ind w:firstLine="0"/>
              <w:jc w:val="center"/>
            </w:pPr>
          </w:p>
        </w:tc>
        <w:tc>
          <w:tcPr>
            <w:tcW w:w="992" w:type="dxa"/>
            <w:vAlign w:val="center"/>
          </w:tcPr>
          <w:p>
            <w:pPr>
              <w:pStyle w:val="4"/>
              <w:ind w:firstLine="0"/>
              <w:jc w:val="center"/>
            </w:pPr>
          </w:p>
        </w:tc>
        <w:tc>
          <w:tcPr>
            <w:tcW w:w="992" w:type="dxa"/>
            <w:vAlign w:val="center"/>
          </w:tcPr>
          <w:p>
            <w:pPr>
              <w:pStyle w:val="4"/>
              <w:ind w:firstLine="0"/>
              <w:jc w:val="center"/>
            </w:pPr>
          </w:p>
        </w:tc>
        <w:tc>
          <w:tcPr>
            <w:tcW w:w="993" w:type="dxa"/>
            <w:vAlign w:val="center"/>
          </w:tcPr>
          <w:p>
            <w:pPr>
              <w:pStyle w:val="4"/>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17" w:type="dxa"/>
            <w:vAlign w:val="center"/>
          </w:tcPr>
          <w:p>
            <w:pPr>
              <w:pStyle w:val="4"/>
              <w:ind w:firstLine="0"/>
              <w:jc w:val="center"/>
            </w:pPr>
          </w:p>
        </w:tc>
        <w:tc>
          <w:tcPr>
            <w:tcW w:w="1985" w:type="dxa"/>
            <w:vAlign w:val="center"/>
          </w:tcPr>
          <w:p>
            <w:pPr>
              <w:pStyle w:val="4"/>
              <w:ind w:firstLine="0"/>
              <w:jc w:val="center"/>
            </w:pPr>
          </w:p>
        </w:tc>
        <w:tc>
          <w:tcPr>
            <w:tcW w:w="850" w:type="dxa"/>
            <w:vAlign w:val="center"/>
          </w:tcPr>
          <w:p>
            <w:pPr>
              <w:pStyle w:val="4"/>
              <w:ind w:firstLine="0"/>
              <w:jc w:val="center"/>
            </w:pPr>
          </w:p>
        </w:tc>
        <w:tc>
          <w:tcPr>
            <w:tcW w:w="992" w:type="dxa"/>
            <w:vAlign w:val="center"/>
          </w:tcPr>
          <w:p>
            <w:pPr>
              <w:pStyle w:val="4"/>
              <w:ind w:firstLine="0"/>
              <w:jc w:val="center"/>
            </w:pPr>
          </w:p>
        </w:tc>
        <w:tc>
          <w:tcPr>
            <w:tcW w:w="993" w:type="dxa"/>
            <w:vAlign w:val="center"/>
          </w:tcPr>
          <w:p>
            <w:pPr>
              <w:pStyle w:val="4"/>
              <w:ind w:firstLine="0"/>
              <w:jc w:val="center"/>
            </w:pPr>
          </w:p>
        </w:tc>
        <w:tc>
          <w:tcPr>
            <w:tcW w:w="992" w:type="dxa"/>
            <w:vAlign w:val="center"/>
          </w:tcPr>
          <w:p>
            <w:pPr>
              <w:pStyle w:val="4"/>
              <w:ind w:firstLine="0"/>
              <w:jc w:val="center"/>
            </w:pPr>
          </w:p>
        </w:tc>
        <w:tc>
          <w:tcPr>
            <w:tcW w:w="992" w:type="dxa"/>
            <w:vAlign w:val="center"/>
          </w:tcPr>
          <w:p>
            <w:pPr>
              <w:pStyle w:val="4"/>
              <w:ind w:firstLine="0"/>
              <w:jc w:val="center"/>
            </w:pPr>
          </w:p>
        </w:tc>
        <w:tc>
          <w:tcPr>
            <w:tcW w:w="992" w:type="dxa"/>
            <w:vAlign w:val="center"/>
          </w:tcPr>
          <w:p>
            <w:pPr>
              <w:pStyle w:val="4"/>
              <w:ind w:firstLine="0"/>
              <w:jc w:val="center"/>
            </w:pPr>
          </w:p>
        </w:tc>
        <w:tc>
          <w:tcPr>
            <w:tcW w:w="993" w:type="dxa"/>
            <w:vAlign w:val="center"/>
          </w:tcPr>
          <w:p>
            <w:pPr>
              <w:pStyle w:val="4"/>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17" w:type="dxa"/>
            <w:vAlign w:val="center"/>
          </w:tcPr>
          <w:p>
            <w:pPr>
              <w:pStyle w:val="4"/>
              <w:ind w:firstLine="0"/>
              <w:jc w:val="center"/>
            </w:pPr>
          </w:p>
        </w:tc>
        <w:tc>
          <w:tcPr>
            <w:tcW w:w="1985" w:type="dxa"/>
            <w:vAlign w:val="center"/>
          </w:tcPr>
          <w:p>
            <w:pPr>
              <w:pStyle w:val="4"/>
              <w:ind w:firstLine="0"/>
              <w:jc w:val="center"/>
            </w:pPr>
          </w:p>
        </w:tc>
        <w:tc>
          <w:tcPr>
            <w:tcW w:w="850" w:type="dxa"/>
            <w:vAlign w:val="center"/>
          </w:tcPr>
          <w:p>
            <w:pPr>
              <w:pStyle w:val="4"/>
              <w:ind w:firstLine="0"/>
              <w:jc w:val="center"/>
            </w:pPr>
          </w:p>
        </w:tc>
        <w:tc>
          <w:tcPr>
            <w:tcW w:w="992" w:type="dxa"/>
            <w:vAlign w:val="center"/>
          </w:tcPr>
          <w:p>
            <w:pPr>
              <w:pStyle w:val="4"/>
              <w:ind w:firstLine="0"/>
              <w:jc w:val="center"/>
            </w:pPr>
          </w:p>
        </w:tc>
        <w:tc>
          <w:tcPr>
            <w:tcW w:w="993" w:type="dxa"/>
            <w:vAlign w:val="center"/>
          </w:tcPr>
          <w:p>
            <w:pPr>
              <w:pStyle w:val="4"/>
              <w:ind w:firstLine="0"/>
              <w:jc w:val="center"/>
            </w:pPr>
          </w:p>
        </w:tc>
        <w:tc>
          <w:tcPr>
            <w:tcW w:w="992" w:type="dxa"/>
            <w:vAlign w:val="center"/>
          </w:tcPr>
          <w:p>
            <w:pPr>
              <w:pStyle w:val="4"/>
              <w:ind w:firstLine="0"/>
              <w:jc w:val="center"/>
            </w:pPr>
          </w:p>
        </w:tc>
        <w:tc>
          <w:tcPr>
            <w:tcW w:w="992" w:type="dxa"/>
            <w:vAlign w:val="center"/>
          </w:tcPr>
          <w:p>
            <w:pPr>
              <w:pStyle w:val="4"/>
              <w:ind w:firstLine="0"/>
              <w:jc w:val="center"/>
            </w:pPr>
          </w:p>
        </w:tc>
        <w:tc>
          <w:tcPr>
            <w:tcW w:w="992" w:type="dxa"/>
            <w:vAlign w:val="center"/>
          </w:tcPr>
          <w:p>
            <w:pPr>
              <w:pStyle w:val="4"/>
              <w:ind w:firstLine="0"/>
              <w:jc w:val="center"/>
            </w:pPr>
          </w:p>
        </w:tc>
        <w:tc>
          <w:tcPr>
            <w:tcW w:w="993" w:type="dxa"/>
            <w:vAlign w:val="center"/>
          </w:tcPr>
          <w:p>
            <w:pPr>
              <w:pStyle w:val="4"/>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17" w:type="dxa"/>
            <w:vAlign w:val="center"/>
          </w:tcPr>
          <w:p>
            <w:pPr>
              <w:pStyle w:val="4"/>
              <w:ind w:firstLine="0"/>
              <w:jc w:val="center"/>
            </w:pPr>
          </w:p>
        </w:tc>
        <w:tc>
          <w:tcPr>
            <w:tcW w:w="1985" w:type="dxa"/>
            <w:vAlign w:val="center"/>
          </w:tcPr>
          <w:p>
            <w:pPr>
              <w:pStyle w:val="4"/>
              <w:ind w:firstLine="0"/>
              <w:jc w:val="center"/>
            </w:pPr>
          </w:p>
        </w:tc>
        <w:tc>
          <w:tcPr>
            <w:tcW w:w="850" w:type="dxa"/>
            <w:vAlign w:val="center"/>
          </w:tcPr>
          <w:p>
            <w:pPr>
              <w:pStyle w:val="4"/>
              <w:ind w:firstLine="0"/>
              <w:jc w:val="center"/>
            </w:pPr>
          </w:p>
        </w:tc>
        <w:tc>
          <w:tcPr>
            <w:tcW w:w="992" w:type="dxa"/>
            <w:vAlign w:val="center"/>
          </w:tcPr>
          <w:p>
            <w:pPr>
              <w:pStyle w:val="4"/>
              <w:ind w:firstLine="0"/>
              <w:jc w:val="center"/>
            </w:pPr>
          </w:p>
        </w:tc>
        <w:tc>
          <w:tcPr>
            <w:tcW w:w="993" w:type="dxa"/>
            <w:vAlign w:val="center"/>
          </w:tcPr>
          <w:p>
            <w:pPr>
              <w:pStyle w:val="4"/>
              <w:ind w:firstLine="0"/>
              <w:jc w:val="center"/>
            </w:pPr>
          </w:p>
        </w:tc>
        <w:tc>
          <w:tcPr>
            <w:tcW w:w="992" w:type="dxa"/>
            <w:vAlign w:val="center"/>
          </w:tcPr>
          <w:p>
            <w:pPr>
              <w:pStyle w:val="4"/>
              <w:ind w:firstLine="0"/>
              <w:jc w:val="center"/>
            </w:pPr>
          </w:p>
        </w:tc>
        <w:tc>
          <w:tcPr>
            <w:tcW w:w="992" w:type="dxa"/>
            <w:vAlign w:val="center"/>
          </w:tcPr>
          <w:p>
            <w:pPr>
              <w:pStyle w:val="4"/>
              <w:ind w:firstLine="0"/>
              <w:jc w:val="center"/>
            </w:pPr>
          </w:p>
        </w:tc>
        <w:tc>
          <w:tcPr>
            <w:tcW w:w="992" w:type="dxa"/>
            <w:vAlign w:val="center"/>
          </w:tcPr>
          <w:p>
            <w:pPr>
              <w:pStyle w:val="4"/>
              <w:ind w:firstLine="0"/>
              <w:jc w:val="center"/>
            </w:pPr>
          </w:p>
        </w:tc>
        <w:tc>
          <w:tcPr>
            <w:tcW w:w="993" w:type="dxa"/>
            <w:vAlign w:val="center"/>
          </w:tcPr>
          <w:p>
            <w:pPr>
              <w:pStyle w:val="4"/>
              <w:ind w:firstLine="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17" w:type="dxa"/>
            <w:vAlign w:val="center"/>
          </w:tcPr>
          <w:p>
            <w:pPr>
              <w:pStyle w:val="4"/>
              <w:ind w:firstLine="0"/>
              <w:jc w:val="center"/>
            </w:pPr>
          </w:p>
        </w:tc>
        <w:tc>
          <w:tcPr>
            <w:tcW w:w="1985" w:type="dxa"/>
            <w:vAlign w:val="center"/>
          </w:tcPr>
          <w:p>
            <w:pPr>
              <w:pStyle w:val="4"/>
              <w:ind w:firstLine="0"/>
              <w:jc w:val="center"/>
            </w:pPr>
          </w:p>
        </w:tc>
        <w:tc>
          <w:tcPr>
            <w:tcW w:w="850" w:type="dxa"/>
            <w:vAlign w:val="center"/>
          </w:tcPr>
          <w:p>
            <w:pPr>
              <w:pStyle w:val="4"/>
              <w:ind w:firstLine="0"/>
              <w:jc w:val="center"/>
            </w:pPr>
          </w:p>
        </w:tc>
        <w:tc>
          <w:tcPr>
            <w:tcW w:w="992" w:type="dxa"/>
            <w:vAlign w:val="center"/>
          </w:tcPr>
          <w:p>
            <w:pPr>
              <w:pStyle w:val="4"/>
              <w:ind w:firstLine="0"/>
              <w:jc w:val="center"/>
            </w:pPr>
          </w:p>
        </w:tc>
        <w:tc>
          <w:tcPr>
            <w:tcW w:w="993" w:type="dxa"/>
            <w:vAlign w:val="center"/>
          </w:tcPr>
          <w:p>
            <w:pPr>
              <w:pStyle w:val="4"/>
              <w:ind w:firstLine="0"/>
              <w:jc w:val="center"/>
            </w:pPr>
          </w:p>
        </w:tc>
        <w:tc>
          <w:tcPr>
            <w:tcW w:w="992" w:type="dxa"/>
            <w:vAlign w:val="center"/>
          </w:tcPr>
          <w:p>
            <w:pPr>
              <w:pStyle w:val="4"/>
              <w:ind w:firstLine="0"/>
              <w:jc w:val="center"/>
            </w:pPr>
          </w:p>
        </w:tc>
        <w:tc>
          <w:tcPr>
            <w:tcW w:w="992" w:type="dxa"/>
            <w:vAlign w:val="center"/>
          </w:tcPr>
          <w:p>
            <w:pPr>
              <w:pStyle w:val="4"/>
              <w:ind w:firstLine="0"/>
              <w:jc w:val="center"/>
            </w:pPr>
          </w:p>
        </w:tc>
        <w:tc>
          <w:tcPr>
            <w:tcW w:w="992" w:type="dxa"/>
            <w:vAlign w:val="center"/>
          </w:tcPr>
          <w:p>
            <w:pPr>
              <w:pStyle w:val="4"/>
              <w:ind w:firstLine="0"/>
              <w:jc w:val="center"/>
            </w:pPr>
          </w:p>
        </w:tc>
        <w:tc>
          <w:tcPr>
            <w:tcW w:w="993" w:type="dxa"/>
            <w:vAlign w:val="center"/>
          </w:tcPr>
          <w:p>
            <w:pPr>
              <w:pStyle w:val="4"/>
              <w:ind w:firstLine="0"/>
              <w:jc w:val="center"/>
            </w:pPr>
          </w:p>
        </w:tc>
      </w:tr>
    </w:tbl>
    <w:p>
      <w:pPr>
        <w:pStyle w:val="4"/>
        <w:ind w:right="113" w:firstLine="0"/>
        <w:rPr>
          <w:rFonts w:ascii="Arial" w:hAnsi="Arial" w:cs="Arial"/>
          <w:sz w:val="24"/>
        </w:rPr>
      </w:pPr>
      <w:r>
        <w:rPr>
          <w:rFonts w:hint="eastAsia" w:ascii="Arial" w:hAnsi="Arial" w:cs="Arial"/>
          <w:sz w:val="24"/>
        </w:rPr>
        <w:t>评标委员会成员</w:t>
      </w:r>
      <w:r>
        <w:rPr>
          <w:rFonts w:hint="eastAsia"/>
          <w:sz w:val="21"/>
          <w:szCs w:val="21"/>
          <w:u w:val="single"/>
        </w:rPr>
        <w:t>（手写签名）</w:t>
      </w:r>
      <w:r>
        <w:rPr>
          <w:rFonts w:hint="eastAsia"/>
          <w:u w:val="single"/>
        </w:rPr>
        <w:t xml:space="preserve">     </w:t>
      </w:r>
      <w:r>
        <w:rPr>
          <w:u w:val="single"/>
        </w:rPr>
        <w:t xml:space="preserve">  </w:t>
      </w:r>
      <w:r>
        <w:rPr>
          <w:rFonts w:ascii="Arial" w:hAnsi="Arial" w:cs="Arial"/>
          <w:sz w:val="24"/>
        </w:rPr>
        <w:t xml:space="preserve"> </w:t>
      </w:r>
      <w:r>
        <w:rPr>
          <w:rFonts w:hint="eastAsia" w:ascii="Arial" w:hAnsi="Arial" w:cs="Arial"/>
          <w:sz w:val="24"/>
        </w:rPr>
        <w:t xml:space="preserve">                     </w:t>
      </w:r>
      <w:r>
        <w:rPr>
          <w:rFonts w:ascii="Arial" w:hAnsi="Arial" w:cs="Arial"/>
          <w:sz w:val="24"/>
        </w:rPr>
        <w:t>日期：   年    月   日</w:t>
      </w:r>
    </w:p>
    <w:p>
      <w:pPr>
        <w:pStyle w:val="4"/>
        <w:ind w:right="113" w:firstLine="0"/>
        <w:rPr>
          <w:rFonts w:ascii="Arial" w:hAnsi="Arial" w:cs="Arial"/>
          <w:sz w:val="24"/>
        </w:rPr>
      </w:pPr>
    </w:p>
    <w:p>
      <w:pPr>
        <w:pStyle w:val="4"/>
        <w:ind w:right="113" w:firstLine="0"/>
        <w:sectPr>
          <w:headerReference r:id="rId11" w:type="default"/>
          <w:pgSz w:w="11906" w:h="16838"/>
          <w:pgMar w:top="1418" w:right="1416" w:bottom="1361" w:left="1644" w:header="851" w:footer="992" w:gutter="0"/>
          <w:cols w:space="425" w:num="1"/>
          <w:docGrid w:linePitch="312" w:charSpace="0"/>
        </w:sectPr>
      </w:pPr>
    </w:p>
    <w:p/>
    <w:p>
      <w:pPr>
        <w:pStyle w:val="5"/>
        <w:ind w:left="720" w:hanging="720"/>
        <w:jc w:val="left"/>
        <w:rPr>
          <w:rFonts w:ascii="宋体" w:cs="Arial"/>
          <w:bCs/>
          <w:sz w:val="28"/>
          <w:szCs w:val="28"/>
        </w:rPr>
      </w:pPr>
      <w:r>
        <w:rPr>
          <w:rFonts w:hint="eastAsia" w:ascii="宋体" w:hAnsi="宋体" w:cs="Arial"/>
          <w:sz w:val="28"/>
          <w:szCs w:val="28"/>
        </w:rPr>
        <w:t>附表</w:t>
      </w:r>
      <w:r>
        <w:rPr>
          <w:rFonts w:ascii="宋体" w:hAnsi="宋体" w:cs="Arial"/>
          <w:bCs/>
          <w:sz w:val="28"/>
          <w:szCs w:val="28"/>
        </w:rPr>
        <w:t>-1</w:t>
      </w:r>
      <w:r>
        <w:rPr>
          <w:rFonts w:hint="eastAsia" w:ascii="宋体" w:hAnsi="宋体" w:cs="Arial"/>
          <w:bCs/>
          <w:sz w:val="28"/>
          <w:szCs w:val="28"/>
        </w:rPr>
        <w:t>1：信誉评审记录表</w:t>
      </w:r>
    </w:p>
    <w:p>
      <w:pPr>
        <w:autoSpaceDE w:val="0"/>
        <w:autoSpaceDN w:val="0"/>
        <w:adjustRightInd w:val="0"/>
        <w:jc w:val="center"/>
        <w:rPr>
          <w:rFonts w:ascii="黑体" w:hAnsi="黑体" w:eastAsia="黑体" w:cs="Arial"/>
          <w:bCs/>
          <w:sz w:val="28"/>
          <w:szCs w:val="28"/>
        </w:rPr>
      </w:pPr>
      <w:r>
        <w:rPr>
          <w:rFonts w:hint="eastAsia" w:ascii="黑体" w:hAnsi="黑体" w:eastAsia="黑体" w:cs="Arial"/>
          <w:bCs/>
          <w:sz w:val="28"/>
          <w:szCs w:val="28"/>
        </w:rPr>
        <w:t>信誉评审记录表</w:t>
      </w:r>
    </w:p>
    <w:p>
      <w:pPr>
        <w:autoSpaceDE w:val="0"/>
        <w:autoSpaceDN w:val="0"/>
        <w:adjustRightInd w:val="0"/>
        <w:jc w:val="left"/>
        <w:rPr>
          <w:rFonts w:ascii="Arial" w:hAnsi="Arial" w:cs="Arial"/>
          <w:bCs/>
          <w:szCs w:val="21"/>
        </w:rPr>
      </w:pPr>
      <w:r>
        <w:rPr>
          <w:rFonts w:hint="eastAsia" w:ascii="Arial" w:hAnsi="Arial" w:cs="Arial"/>
          <w:bCs/>
          <w:szCs w:val="21"/>
        </w:rPr>
        <w:t>工程名称：</w:t>
      </w:r>
      <w:r>
        <w:rPr>
          <w:rFonts w:ascii="Arial" w:hAnsi="Arial" w:cs="Arial"/>
          <w:bCs/>
          <w:szCs w:val="21"/>
          <w:u w:val="single"/>
        </w:rPr>
        <w:t xml:space="preserv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901"/>
        <w:gridCol w:w="3628"/>
        <w:gridCol w:w="850"/>
        <w:gridCol w:w="851"/>
        <w:gridCol w:w="850"/>
        <w:gridCol w:w="851"/>
        <w:gridCol w:w="850"/>
        <w:gridCol w:w="851"/>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pacing w:line="360" w:lineRule="auto"/>
              <w:jc w:val="center"/>
              <w:rPr>
                <w:rFonts w:ascii="黑体" w:hAnsi="黑体" w:eastAsia="黑体" w:cs="Arial"/>
                <w:bCs/>
                <w:sz w:val="28"/>
                <w:szCs w:val="28"/>
              </w:rPr>
            </w:pPr>
            <w:r>
              <w:rPr>
                <w:rFonts w:hint="eastAsia" w:ascii="Arial" w:hAnsi="Arial" w:cs="Arial"/>
                <w:bCs/>
                <w:szCs w:val="21"/>
              </w:rPr>
              <w:t>序号</w:t>
            </w:r>
          </w:p>
        </w:tc>
        <w:tc>
          <w:tcPr>
            <w:tcW w:w="1901" w:type="dxa"/>
            <w:vMerge w:val="restart"/>
            <w:vAlign w:val="center"/>
          </w:tcPr>
          <w:p>
            <w:pPr>
              <w:autoSpaceDE w:val="0"/>
              <w:autoSpaceDN w:val="0"/>
              <w:adjustRightInd w:val="0"/>
              <w:jc w:val="center"/>
              <w:rPr>
                <w:rFonts w:ascii="黑体" w:hAnsi="黑体" w:eastAsia="黑体" w:cs="Arial"/>
                <w:bCs/>
                <w:sz w:val="28"/>
                <w:szCs w:val="28"/>
              </w:rPr>
            </w:pPr>
            <w:r>
              <w:rPr>
                <w:rFonts w:hint="eastAsia" w:ascii="Arial" w:hAnsi="Arial" w:cs="Arial"/>
                <w:bCs/>
                <w:szCs w:val="21"/>
              </w:rPr>
              <w:t>评分因素</w:t>
            </w:r>
          </w:p>
        </w:tc>
        <w:tc>
          <w:tcPr>
            <w:tcW w:w="3628" w:type="dxa"/>
            <w:vMerge w:val="restart"/>
            <w:vAlign w:val="center"/>
          </w:tcPr>
          <w:p>
            <w:pPr>
              <w:autoSpaceDE w:val="0"/>
              <w:autoSpaceDN w:val="0"/>
              <w:adjustRightInd w:val="0"/>
              <w:jc w:val="center"/>
              <w:rPr>
                <w:rFonts w:ascii="黑体" w:hAnsi="黑体" w:eastAsia="黑体" w:cs="Arial"/>
                <w:bCs/>
                <w:sz w:val="28"/>
                <w:szCs w:val="28"/>
              </w:rPr>
            </w:pPr>
            <w:r>
              <w:rPr>
                <w:rFonts w:hint="eastAsia" w:ascii="宋体" w:hAnsi="宋体" w:cs="宋体"/>
                <w:kern w:val="0"/>
                <w:szCs w:val="21"/>
              </w:rPr>
              <w:t>评分标准</w:t>
            </w:r>
          </w:p>
        </w:tc>
        <w:tc>
          <w:tcPr>
            <w:tcW w:w="850" w:type="dxa"/>
            <w:vMerge w:val="restart"/>
            <w:vAlign w:val="center"/>
          </w:tcPr>
          <w:p>
            <w:pPr>
              <w:autoSpaceDE w:val="0"/>
              <w:autoSpaceDN w:val="0"/>
              <w:adjustRightInd w:val="0"/>
              <w:jc w:val="center"/>
              <w:rPr>
                <w:rFonts w:ascii="黑体" w:hAnsi="黑体" w:eastAsia="黑体" w:cs="Arial"/>
                <w:bCs/>
                <w:sz w:val="28"/>
                <w:szCs w:val="28"/>
              </w:rPr>
            </w:pPr>
            <w:r>
              <w:rPr>
                <w:rFonts w:hint="eastAsia" w:ascii="宋体" w:hAnsi="宋体" w:cs="宋体"/>
                <w:kern w:val="0"/>
                <w:szCs w:val="21"/>
              </w:rPr>
              <w:t>标准分</w:t>
            </w:r>
          </w:p>
        </w:tc>
        <w:tc>
          <w:tcPr>
            <w:tcW w:w="5954" w:type="dxa"/>
            <w:gridSpan w:val="7"/>
            <w:vAlign w:val="center"/>
          </w:tcPr>
          <w:p>
            <w:pPr>
              <w:autoSpaceDE w:val="0"/>
              <w:autoSpaceDN w:val="0"/>
              <w:adjustRightInd w:val="0"/>
              <w:jc w:val="center"/>
              <w:rPr>
                <w:rFonts w:ascii="黑体" w:hAnsi="黑体" w:eastAsia="黑体" w:cs="Arial"/>
                <w:bCs/>
                <w:sz w:val="28"/>
                <w:szCs w:val="28"/>
              </w:rPr>
            </w:pPr>
            <w:r>
              <w:rPr>
                <w:rFonts w:hint="eastAsia" w:ascii="宋体" w:hAnsi="宋体" w:cs="宋体"/>
                <w:kern w:val="0"/>
                <w:szCs w:val="21"/>
              </w:rPr>
              <w:t>投标人名称及评审得分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rPr>
                <w:rFonts w:ascii="Arial" w:hAnsi="Arial" w:cs="Arial"/>
                <w:bCs/>
                <w:szCs w:val="21"/>
              </w:rPr>
            </w:pPr>
          </w:p>
        </w:tc>
        <w:tc>
          <w:tcPr>
            <w:tcW w:w="1901" w:type="dxa"/>
            <w:vMerge w:val="continue"/>
            <w:vAlign w:val="center"/>
          </w:tcPr>
          <w:p>
            <w:pPr>
              <w:autoSpaceDE w:val="0"/>
              <w:autoSpaceDN w:val="0"/>
              <w:adjustRightInd w:val="0"/>
              <w:jc w:val="center"/>
              <w:rPr>
                <w:rFonts w:ascii="Arial" w:hAnsi="Arial" w:cs="Arial"/>
                <w:bCs/>
                <w:szCs w:val="21"/>
              </w:rPr>
            </w:pPr>
          </w:p>
        </w:tc>
        <w:tc>
          <w:tcPr>
            <w:tcW w:w="3628" w:type="dxa"/>
            <w:vMerge w:val="continue"/>
            <w:vAlign w:val="center"/>
          </w:tcPr>
          <w:p>
            <w:pPr>
              <w:autoSpaceDE w:val="0"/>
              <w:autoSpaceDN w:val="0"/>
              <w:adjustRightInd w:val="0"/>
              <w:jc w:val="center"/>
              <w:rPr>
                <w:rFonts w:ascii="宋体" w:cs="宋体"/>
                <w:kern w:val="0"/>
                <w:szCs w:val="21"/>
              </w:rPr>
            </w:pPr>
          </w:p>
        </w:tc>
        <w:tc>
          <w:tcPr>
            <w:tcW w:w="850" w:type="dxa"/>
            <w:vMerge w:val="continue"/>
            <w:vAlign w:val="center"/>
          </w:tcPr>
          <w:p>
            <w:pPr>
              <w:autoSpaceDE w:val="0"/>
              <w:autoSpaceDN w:val="0"/>
              <w:adjustRightInd w:val="0"/>
              <w:jc w:val="center"/>
              <w:rPr>
                <w:rFonts w:ascii="宋体" w:cs="宋体"/>
                <w:kern w:val="0"/>
                <w:szCs w:val="21"/>
              </w:rPr>
            </w:pPr>
          </w:p>
        </w:tc>
        <w:tc>
          <w:tcPr>
            <w:tcW w:w="851" w:type="dxa"/>
            <w:vAlign w:val="center"/>
          </w:tcPr>
          <w:p>
            <w:pPr>
              <w:autoSpaceDE w:val="0"/>
              <w:autoSpaceDN w:val="0"/>
              <w:adjustRightInd w:val="0"/>
              <w:jc w:val="center"/>
              <w:rPr>
                <w:rFonts w:ascii="黑体" w:hAnsi="黑体" w:eastAsia="黑体" w:cs="Arial"/>
                <w:bCs/>
                <w:sz w:val="28"/>
                <w:szCs w:val="28"/>
              </w:rPr>
            </w:pPr>
          </w:p>
        </w:tc>
        <w:tc>
          <w:tcPr>
            <w:tcW w:w="850" w:type="dxa"/>
            <w:vAlign w:val="center"/>
          </w:tcPr>
          <w:p>
            <w:pPr>
              <w:autoSpaceDE w:val="0"/>
              <w:autoSpaceDN w:val="0"/>
              <w:adjustRightInd w:val="0"/>
              <w:jc w:val="center"/>
              <w:rPr>
                <w:rFonts w:ascii="黑体" w:hAnsi="黑体" w:eastAsia="黑体" w:cs="Arial"/>
                <w:bCs/>
                <w:sz w:val="28"/>
                <w:szCs w:val="28"/>
              </w:rPr>
            </w:pPr>
          </w:p>
        </w:tc>
        <w:tc>
          <w:tcPr>
            <w:tcW w:w="851" w:type="dxa"/>
            <w:vAlign w:val="center"/>
          </w:tcPr>
          <w:p>
            <w:pPr>
              <w:autoSpaceDE w:val="0"/>
              <w:autoSpaceDN w:val="0"/>
              <w:adjustRightInd w:val="0"/>
              <w:jc w:val="center"/>
              <w:rPr>
                <w:rFonts w:ascii="黑体" w:hAnsi="黑体" w:eastAsia="黑体" w:cs="Arial"/>
                <w:bCs/>
                <w:sz w:val="28"/>
                <w:szCs w:val="28"/>
              </w:rPr>
            </w:pPr>
          </w:p>
        </w:tc>
        <w:tc>
          <w:tcPr>
            <w:tcW w:w="850" w:type="dxa"/>
            <w:vAlign w:val="center"/>
          </w:tcPr>
          <w:p>
            <w:pPr>
              <w:autoSpaceDE w:val="0"/>
              <w:autoSpaceDN w:val="0"/>
              <w:adjustRightInd w:val="0"/>
              <w:jc w:val="center"/>
              <w:rPr>
                <w:rFonts w:ascii="黑体" w:hAnsi="黑体" w:eastAsia="黑体" w:cs="Arial"/>
                <w:bCs/>
                <w:sz w:val="28"/>
                <w:szCs w:val="28"/>
              </w:rPr>
            </w:pPr>
          </w:p>
        </w:tc>
        <w:tc>
          <w:tcPr>
            <w:tcW w:w="851" w:type="dxa"/>
            <w:vAlign w:val="center"/>
          </w:tcPr>
          <w:p>
            <w:pPr>
              <w:autoSpaceDE w:val="0"/>
              <w:autoSpaceDN w:val="0"/>
              <w:adjustRightInd w:val="0"/>
              <w:jc w:val="center"/>
              <w:rPr>
                <w:rFonts w:ascii="黑体" w:hAnsi="黑体" w:eastAsia="黑体" w:cs="Arial"/>
                <w:bCs/>
                <w:sz w:val="28"/>
                <w:szCs w:val="28"/>
              </w:rPr>
            </w:pPr>
          </w:p>
        </w:tc>
        <w:tc>
          <w:tcPr>
            <w:tcW w:w="850" w:type="dxa"/>
          </w:tcPr>
          <w:p>
            <w:pPr>
              <w:autoSpaceDE w:val="0"/>
              <w:autoSpaceDN w:val="0"/>
              <w:adjustRightInd w:val="0"/>
              <w:jc w:val="center"/>
              <w:rPr>
                <w:rFonts w:ascii="黑体" w:hAnsi="黑体" w:eastAsia="黑体" w:cs="Arial"/>
                <w:bCs/>
                <w:sz w:val="28"/>
                <w:szCs w:val="28"/>
              </w:rPr>
            </w:pPr>
          </w:p>
        </w:tc>
        <w:tc>
          <w:tcPr>
            <w:tcW w:w="851" w:type="dxa"/>
          </w:tcPr>
          <w:p>
            <w:pPr>
              <w:autoSpaceDE w:val="0"/>
              <w:autoSpaceDN w:val="0"/>
              <w:adjustRightInd w:val="0"/>
              <w:jc w:val="center"/>
              <w:rPr>
                <w:rFonts w:ascii="黑体" w:hAnsi="黑体" w:eastAsia="黑体" w:cs="Arial"/>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75" w:type="dxa"/>
            <w:vAlign w:val="center"/>
          </w:tcPr>
          <w:p>
            <w:pPr>
              <w:autoSpaceDE w:val="0"/>
              <w:autoSpaceDN w:val="0"/>
              <w:adjustRightInd w:val="0"/>
              <w:jc w:val="center"/>
              <w:rPr>
                <w:rFonts w:ascii="黑体" w:hAnsi="黑体" w:eastAsia="黑体" w:cs="Arial"/>
                <w:bCs/>
                <w:sz w:val="28"/>
                <w:szCs w:val="28"/>
              </w:rPr>
            </w:pPr>
            <w:r>
              <w:rPr>
                <w:rFonts w:ascii="宋体" w:hAnsi="宋体" w:cs="宋体"/>
                <w:kern w:val="0"/>
                <w:szCs w:val="21"/>
              </w:rPr>
              <w:t>1</w:t>
            </w:r>
          </w:p>
        </w:tc>
        <w:tc>
          <w:tcPr>
            <w:tcW w:w="1901" w:type="dxa"/>
            <w:vAlign w:val="center"/>
          </w:tcPr>
          <w:p>
            <w:pPr>
              <w:autoSpaceDE w:val="0"/>
              <w:autoSpaceDN w:val="0"/>
              <w:adjustRightInd w:val="0"/>
              <w:jc w:val="center"/>
              <w:rPr>
                <w:rFonts w:ascii="黑体" w:hAnsi="黑体" w:eastAsia="黑体" w:cs="Arial"/>
                <w:bCs/>
                <w:sz w:val="28"/>
                <w:szCs w:val="28"/>
              </w:rPr>
            </w:pPr>
            <w:r>
              <w:rPr>
                <w:rFonts w:hint="eastAsia" w:ascii="宋体" w:hAnsi="宋体" w:cs="宋体"/>
                <w:kern w:val="0"/>
                <w:szCs w:val="21"/>
              </w:rPr>
              <w:t>企业信用评价</w:t>
            </w:r>
          </w:p>
        </w:tc>
        <w:tc>
          <w:tcPr>
            <w:tcW w:w="3628" w:type="dxa"/>
            <w:vAlign w:val="center"/>
          </w:tcPr>
          <w:p>
            <w:pPr>
              <w:autoSpaceDE w:val="0"/>
              <w:autoSpaceDN w:val="0"/>
              <w:adjustRightInd w:val="0"/>
              <w:jc w:val="left"/>
              <w:rPr>
                <w:rFonts w:ascii="宋体" w:cs="宋体"/>
                <w:kern w:val="0"/>
                <w:szCs w:val="21"/>
              </w:rPr>
            </w:pPr>
            <w:r>
              <w:rPr>
                <w:rFonts w:hint="eastAsia" w:ascii="宋体" w:hAnsi="宋体" w:cs="宋体"/>
                <w:kern w:val="0"/>
                <w:szCs w:val="21"/>
              </w:rPr>
              <w:t>开标确认的投标人</w:t>
            </w:r>
          </w:p>
          <w:p>
            <w:pPr>
              <w:autoSpaceDE w:val="0"/>
              <w:autoSpaceDN w:val="0"/>
              <w:adjustRightInd w:val="0"/>
              <w:jc w:val="center"/>
              <w:rPr>
                <w:rFonts w:ascii="黑体" w:hAnsi="黑体" w:eastAsia="黑体" w:cs="Arial"/>
                <w:bCs/>
                <w:sz w:val="28"/>
                <w:szCs w:val="28"/>
              </w:rPr>
            </w:pPr>
            <w:r>
              <w:rPr>
                <w:rFonts w:hint="eastAsia" w:ascii="宋体" w:cs="宋体"/>
                <w:kern w:val="0"/>
                <w:szCs w:val="21"/>
              </w:rPr>
              <w:t>“</w:t>
            </w:r>
            <w:r>
              <w:rPr>
                <w:rFonts w:hint="eastAsia" w:ascii="宋体" w:hAnsi="宋体" w:cs="宋体"/>
                <w:kern w:val="0"/>
                <w:szCs w:val="21"/>
              </w:rPr>
              <w:t>企业信用评价分值</w:t>
            </w:r>
            <w:r>
              <w:rPr>
                <w:rFonts w:hint="eastAsia" w:ascii="宋体" w:cs="宋体"/>
                <w:kern w:val="0"/>
                <w:szCs w:val="21"/>
              </w:rPr>
              <w:t>”×</w:t>
            </w:r>
            <w:r>
              <w:rPr>
                <w:rFonts w:ascii="宋体" w:hAnsi="宋体"/>
                <w:szCs w:val="21"/>
                <w:u w:val="single"/>
              </w:rPr>
              <w:t xml:space="preserve">   </w:t>
            </w:r>
            <w:r>
              <w:rPr>
                <w:rFonts w:ascii="宋体" w:hAnsi="宋体" w:cs="宋体"/>
                <w:kern w:val="0"/>
                <w:szCs w:val="21"/>
              </w:rPr>
              <w:t>%</w:t>
            </w:r>
          </w:p>
        </w:tc>
        <w:tc>
          <w:tcPr>
            <w:tcW w:w="850" w:type="dxa"/>
            <w:vAlign w:val="center"/>
          </w:tcPr>
          <w:p>
            <w:pPr>
              <w:autoSpaceDE w:val="0"/>
              <w:autoSpaceDN w:val="0"/>
              <w:adjustRightInd w:val="0"/>
              <w:jc w:val="center"/>
              <w:rPr>
                <w:rFonts w:ascii="黑体" w:hAnsi="黑体" w:eastAsia="黑体" w:cs="Arial"/>
                <w:bCs/>
                <w:sz w:val="28"/>
                <w:szCs w:val="28"/>
              </w:rPr>
            </w:pPr>
          </w:p>
        </w:tc>
        <w:tc>
          <w:tcPr>
            <w:tcW w:w="851" w:type="dxa"/>
            <w:vAlign w:val="center"/>
          </w:tcPr>
          <w:p>
            <w:pPr>
              <w:autoSpaceDE w:val="0"/>
              <w:autoSpaceDN w:val="0"/>
              <w:adjustRightInd w:val="0"/>
              <w:jc w:val="center"/>
              <w:rPr>
                <w:rFonts w:ascii="黑体" w:hAnsi="黑体" w:eastAsia="黑体" w:cs="Arial"/>
                <w:bCs/>
                <w:sz w:val="28"/>
                <w:szCs w:val="28"/>
              </w:rPr>
            </w:pPr>
          </w:p>
        </w:tc>
        <w:tc>
          <w:tcPr>
            <w:tcW w:w="850" w:type="dxa"/>
            <w:vAlign w:val="center"/>
          </w:tcPr>
          <w:p>
            <w:pPr>
              <w:autoSpaceDE w:val="0"/>
              <w:autoSpaceDN w:val="0"/>
              <w:adjustRightInd w:val="0"/>
              <w:jc w:val="center"/>
              <w:rPr>
                <w:rFonts w:ascii="黑体" w:hAnsi="黑体" w:eastAsia="黑体" w:cs="Arial"/>
                <w:bCs/>
                <w:sz w:val="28"/>
                <w:szCs w:val="28"/>
              </w:rPr>
            </w:pPr>
          </w:p>
        </w:tc>
        <w:tc>
          <w:tcPr>
            <w:tcW w:w="851" w:type="dxa"/>
            <w:vAlign w:val="center"/>
          </w:tcPr>
          <w:p>
            <w:pPr>
              <w:autoSpaceDE w:val="0"/>
              <w:autoSpaceDN w:val="0"/>
              <w:adjustRightInd w:val="0"/>
              <w:jc w:val="center"/>
              <w:rPr>
                <w:rFonts w:ascii="黑体" w:hAnsi="黑体" w:eastAsia="黑体" w:cs="Arial"/>
                <w:bCs/>
                <w:sz w:val="28"/>
                <w:szCs w:val="28"/>
              </w:rPr>
            </w:pPr>
          </w:p>
        </w:tc>
        <w:tc>
          <w:tcPr>
            <w:tcW w:w="850" w:type="dxa"/>
            <w:vAlign w:val="center"/>
          </w:tcPr>
          <w:p>
            <w:pPr>
              <w:autoSpaceDE w:val="0"/>
              <w:autoSpaceDN w:val="0"/>
              <w:adjustRightInd w:val="0"/>
              <w:jc w:val="center"/>
              <w:rPr>
                <w:rFonts w:ascii="黑体" w:hAnsi="黑体" w:eastAsia="黑体" w:cs="Arial"/>
                <w:bCs/>
                <w:sz w:val="28"/>
                <w:szCs w:val="28"/>
              </w:rPr>
            </w:pPr>
          </w:p>
        </w:tc>
        <w:tc>
          <w:tcPr>
            <w:tcW w:w="851" w:type="dxa"/>
            <w:vAlign w:val="center"/>
          </w:tcPr>
          <w:p>
            <w:pPr>
              <w:autoSpaceDE w:val="0"/>
              <w:autoSpaceDN w:val="0"/>
              <w:adjustRightInd w:val="0"/>
              <w:jc w:val="center"/>
              <w:rPr>
                <w:rFonts w:ascii="黑体" w:hAnsi="黑体" w:eastAsia="黑体" w:cs="Arial"/>
                <w:bCs/>
                <w:sz w:val="28"/>
                <w:szCs w:val="28"/>
              </w:rPr>
            </w:pPr>
          </w:p>
        </w:tc>
        <w:tc>
          <w:tcPr>
            <w:tcW w:w="850" w:type="dxa"/>
          </w:tcPr>
          <w:p>
            <w:pPr>
              <w:autoSpaceDE w:val="0"/>
              <w:autoSpaceDN w:val="0"/>
              <w:adjustRightInd w:val="0"/>
              <w:jc w:val="center"/>
              <w:rPr>
                <w:rFonts w:ascii="黑体" w:hAnsi="黑体" w:eastAsia="黑体" w:cs="Arial"/>
                <w:bCs/>
                <w:sz w:val="28"/>
                <w:szCs w:val="28"/>
              </w:rPr>
            </w:pPr>
          </w:p>
        </w:tc>
        <w:tc>
          <w:tcPr>
            <w:tcW w:w="851" w:type="dxa"/>
          </w:tcPr>
          <w:p>
            <w:pPr>
              <w:autoSpaceDE w:val="0"/>
              <w:autoSpaceDN w:val="0"/>
              <w:adjustRightInd w:val="0"/>
              <w:jc w:val="center"/>
              <w:rPr>
                <w:rFonts w:ascii="黑体" w:hAnsi="黑体" w:eastAsia="黑体" w:cs="Arial"/>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autoSpaceDE w:val="0"/>
              <w:autoSpaceDN w:val="0"/>
              <w:adjustRightInd w:val="0"/>
              <w:jc w:val="center"/>
              <w:rPr>
                <w:rFonts w:ascii="黑体" w:hAnsi="黑体" w:eastAsia="黑体" w:cs="Arial"/>
                <w:bCs/>
                <w:sz w:val="28"/>
                <w:szCs w:val="28"/>
              </w:rPr>
            </w:pPr>
            <w:r>
              <w:rPr>
                <w:rFonts w:ascii="宋体" w:hAnsi="宋体" w:cs="宋体"/>
                <w:kern w:val="0"/>
                <w:szCs w:val="21"/>
              </w:rPr>
              <w:t>2</w:t>
            </w:r>
          </w:p>
        </w:tc>
        <w:tc>
          <w:tcPr>
            <w:tcW w:w="1901" w:type="dxa"/>
            <w:vAlign w:val="center"/>
          </w:tcPr>
          <w:p>
            <w:pPr>
              <w:spacing w:before="60" w:beforeLines="25" w:after="60" w:afterLines="25"/>
              <w:rPr>
                <w:rFonts w:ascii="宋体"/>
                <w:szCs w:val="21"/>
              </w:rPr>
            </w:pPr>
            <w:r>
              <w:rPr>
                <w:rFonts w:hint="eastAsia" w:ascii="宋体" w:hAnsi="宋体"/>
                <w:szCs w:val="21"/>
              </w:rPr>
              <w:t>项目负责人信用评价</w:t>
            </w:r>
          </w:p>
        </w:tc>
        <w:tc>
          <w:tcPr>
            <w:tcW w:w="3628" w:type="dxa"/>
            <w:vAlign w:val="center"/>
          </w:tcPr>
          <w:p>
            <w:pPr>
              <w:spacing w:before="60" w:beforeLines="25" w:after="60" w:afterLines="25"/>
              <w:jc w:val="left"/>
              <w:rPr>
                <w:rFonts w:ascii="宋体" w:cs="Arial"/>
                <w:szCs w:val="21"/>
              </w:rPr>
            </w:pPr>
            <w:r>
              <w:rPr>
                <w:rFonts w:hint="eastAsia" w:ascii="宋体" w:hAnsi="宋体" w:cs="Arial"/>
                <w:szCs w:val="21"/>
              </w:rPr>
              <w:t>开标确认的投标人</w:t>
            </w:r>
          </w:p>
          <w:p>
            <w:pPr>
              <w:spacing w:before="60" w:beforeLines="25" w:after="60" w:afterLines="25"/>
              <w:jc w:val="left"/>
              <w:rPr>
                <w:rFonts w:ascii="宋体" w:cs="Arial"/>
                <w:szCs w:val="21"/>
              </w:rPr>
            </w:pPr>
            <w:r>
              <w:rPr>
                <w:rFonts w:hint="eastAsia" w:ascii="宋体" w:hAnsi="宋体" w:cs="Arial"/>
                <w:szCs w:val="21"/>
              </w:rPr>
              <w:t>“项目负责人信用评价分值”</w:t>
            </w:r>
            <w:r>
              <w:rPr>
                <w:rFonts w:hint="eastAsia" w:ascii="宋体" w:hAnsi="宋体"/>
                <w:szCs w:val="21"/>
              </w:rPr>
              <w:t>×</w:t>
            </w:r>
            <w:r>
              <w:rPr>
                <w:rFonts w:ascii="宋体" w:hAnsi="宋体"/>
                <w:szCs w:val="21"/>
                <w:u w:val="single"/>
              </w:rPr>
              <w:t xml:space="preserve">   </w:t>
            </w:r>
            <w:r>
              <w:rPr>
                <w:rFonts w:ascii="宋体" w:hAnsi="宋体"/>
                <w:szCs w:val="21"/>
              </w:rPr>
              <w:t>%</w:t>
            </w:r>
          </w:p>
        </w:tc>
        <w:tc>
          <w:tcPr>
            <w:tcW w:w="850" w:type="dxa"/>
            <w:vAlign w:val="center"/>
          </w:tcPr>
          <w:p>
            <w:pPr>
              <w:autoSpaceDE w:val="0"/>
              <w:autoSpaceDN w:val="0"/>
              <w:adjustRightInd w:val="0"/>
              <w:jc w:val="center"/>
              <w:rPr>
                <w:rFonts w:ascii="黑体" w:hAnsi="黑体" w:eastAsia="黑体" w:cs="Arial"/>
                <w:bCs/>
                <w:sz w:val="28"/>
                <w:szCs w:val="28"/>
              </w:rPr>
            </w:pPr>
          </w:p>
        </w:tc>
        <w:tc>
          <w:tcPr>
            <w:tcW w:w="851" w:type="dxa"/>
            <w:vAlign w:val="center"/>
          </w:tcPr>
          <w:p>
            <w:pPr>
              <w:autoSpaceDE w:val="0"/>
              <w:autoSpaceDN w:val="0"/>
              <w:adjustRightInd w:val="0"/>
              <w:jc w:val="center"/>
              <w:rPr>
                <w:rFonts w:ascii="黑体" w:hAnsi="黑体" w:eastAsia="黑体" w:cs="Arial"/>
                <w:bCs/>
                <w:sz w:val="28"/>
                <w:szCs w:val="28"/>
              </w:rPr>
            </w:pPr>
          </w:p>
        </w:tc>
        <w:tc>
          <w:tcPr>
            <w:tcW w:w="850" w:type="dxa"/>
            <w:vAlign w:val="center"/>
          </w:tcPr>
          <w:p>
            <w:pPr>
              <w:autoSpaceDE w:val="0"/>
              <w:autoSpaceDN w:val="0"/>
              <w:adjustRightInd w:val="0"/>
              <w:jc w:val="center"/>
              <w:rPr>
                <w:rFonts w:ascii="黑体" w:hAnsi="黑体" w:eastAsia="黑体" w:cs="Arial"/>
                <w:bCs/>
                <w:sz w:val="28"/>
                <w:szCs w:val="28"/>
              </w:rPr>
            </w:pPr>
          </w:p>
        </w:tc>
        <w:tc>
          <w:tcPr>
            <w:tcW w:w="851" w:type="dxa"/>
            <w:vAlign w:val="center"/>
          </w:tcPr>
          <w:p>
            <w:pPr>
              <w:autoSpaceDE w:val="0"/>
              <w:autoSpaceDN w:val="0"/>
              <w:adjustRightInd w:val="0"/>
              <w:jc w:val="center"/>
              <w:rPr>
                <w:rFonts w:ascii="黑体" w:hAnsi="黑体" w:eastAsia="黑体" w:cs="Arial"/>
                <w:bCs/>
                <w:sz w:val="28"/>
                <w:szCs w:val="28"/>
              </w:rPr>
            </w:pPr>
          </w:p>
        </w:tc>
        <w:tc>
          <w:tcPr>
            <w:tcW w:w="850" w:type="dxa"/>
            <w:vAlign w:val="center"/>
          </w:tcPr>
          <w:p>
            <w:pPr>
              <w:autoSpaceDE w:val="0"/>
              <w:autoSpaceDN w:val="0"/>
              <w:adjustRightInd w:val="0"/>
              <w:jc w:val="center"/>
              <w:rPr>
                <w:rFonts w:ascii="黑体" w:hAnsi="黑体" w:eastAsia="黑体" w:cs="Arial"/>
                <w:bCs/>
                <w:sz w:val="28"/>
                <w:szCs w:val="28"/>
              </w:rPr>
            </w:pPr>
          </w:p>
        </w:tc>
        <w:tc>
          <w:tcPr>
            <w:tcW w:w="851" w:type="dxa"/>
            <w:vAlign w:val="center"/>
          </w:tcPr>
          <w:p>
            <w:pPr>
              <w:autoSpaceDE w:val="0"/>
              <w:autoSpaceDN w:val="0"/>
              <w:adjustRightInd w:val="0"/>
              <w:jc w:val="center"/>
              <w:rPr>
                <w:rFonts w:ascii="黑体" w:hAnsi="黑体" w:eastAsia="黑体" w:cs="Arial"/>
                <w:bCs/>
                <w:sz w:val="28"/>
                <w:szCs w:val="28"/>
              </w:rPr>
            </w:pPr>
          </w:p>
        </w:tc>
        <w:tc>
          <w:tcPr>
            <w:tcW w:w="850" w:type="dxa"/>
          </w:tcPr>
          <w:p>
            <w:pPr>
              <w:autoSpaceDE w:val="0"/>
              <w:autoSpaceDN w:val="0"/>
              <w:adjustRightInd w:val="0"/>
              <w:jc w:val="center"/>
              <w:rPr>
                <w:rFonts w:ascii="黑体" w:hAnsi="黑体" w:eastAsia="黑体" w:cs="Arial"/>
                <w:bCs/>
                <w:sz w:val="28"/>
                <w:szCs w:val="28"/>
              </w:rPr>
            </w:pPr>
          </w:p>
        </w:tc>
        <w:tc>
          <w:tcPr>
            <w:tcW w:w="851" w:type="dxa"/>
          </w:tcPr>
          <w:p>
            <w:pPr>
              <w:autoSpaceDE w:val="0"/>
              <w:autoSpaceDN w:val="0"/>
              <w:adjustRightInd w:val="0"/>
              <w:jc w:val="center"/>
              <w:rPr>
                <w:rFonts w:ascii="黑体" w:hAnsi="黑体" w:eastAsia="黑体" w:cs="Arial"/>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75" w:type="dxa"/>
            <w:vAlign w:val="center"/>
          </w:tcPr>
          <w:p>
            <w:pPr>
              <w:pStyle w:val="14"/>
              <w:jc w:val="center"/>
              <w:rPr>
                <w:color w:val="auto"/>
                <w:sz w:val="21"/>
                <w:szCs w:val="21"/>
              </w:rPr>
            </w:pPr>
            <w:r>
              <w:rPr>
                <w:color w:val="auto"/>
                <w:sz w:val="21"/>
                <w:szCs w:val="21"/>
              </w:rPr>
              <w:t>…</w:t>
            </w:r>
          </w:p>
        </w:tc>
        <w:tc>
          <w:tcPr>
            <w:tcW w:w="1901" w:type="dxa"/>
            <w:vAlign w:val="center"/>
          </w:tcPr>
          <w:p>
            <w:pPr>
              <w:pStyle w:val="14"/>
              <w:jc w:val="center"/>
              <w:rPr>
                <w:color w:val="auto"/>
                <w:sz w:val="21"/>
                <w:szCs w:val="21"/>
              </w:rPr>
            </w:pPr>
            <w:r>
              <w:rPr>
                <w:color w:val="auto"/>
                <w:sz w:val="21"/>
                <w:szCs w:val="21"/>
              </w:rPr>
              <w:t>……</w:t>
            </w:r>
          </w:p>
        </w:tc>
        <w:tc>
          <w:tcPr>
            <w:tcW w:w="3628" w:type="dxa"/>
            <w:vAlign w:val="center"/>
          </w:tcPr>
          <w:p>
            <w:pPr>
              <w:pStyle w:val="14"/>
              <w:jc w:val="center"/>
              <w:rPr>
                <w:color w:val="auto"/>
                <w:sz w:val="21"/>
                <w:szCs w:val="21"/>
              </w:rPr>
            </w:pPr>
            <w:r>
              <w:rPr>
                <w:color w:val="auto"/>
                <w:sz w:val="21"/>
                <w:szCs w:val="21"/>
              </w:rPr>
              <w:t>……</w:t>
            </w:r>
          </w:p>
        </w:tc>
        <w:tc>
          <w:tcPr>
            <w:tcW w:w="850" w:type="dxa"/>
            <w:vAlign w:val="center"/>
          </w:tcPr>
          <w:p>
            <w:pPr>
              <w:autoSpaceDE w:val="0"/>
              <w:autoSpaceDN w:val="0"/>
              <w:adjustRightInd w:val="0"/>
              <w:jc w:val="center"/>
              <w:rPr>
                <w:rFonts w:ascii="黑体" w:hAnsi="黑体" w:eastAsia="黑体" w:cs="Arial"/>
                <w:bCs/>
                <w:sz w:val="28"/>
                <w:szCs w:val="28"/>
              </w:rPr>
            </w:pPr>
          </w:p>
        </w:tc>
        <w:tc>
          <w:tcPr>
            <w:tcW w:w="851" w:type="dxa"/>
            <w:vAlign w:val="center"/>
          </w:tcPr>
          <w:p>
            <w:pPr>
              <w:autoSpaceDE w:val="0"/>
              <w:autoSpaceDN w:val="0"/>
              <w:adjustRightInd w:val="0"/>
              <w:jc w:val="center"/>
              <w:rPr>
                <w:rFonts w:ascii="黑体" w:hAnsi="黑体" w:eastAsia="黑体" w:cs="Arial"/>
                <w:bCs/>
                <w:sz w:val="28"/>
                <w:szCs w:val="28"/>
              </w:rPr>
            </w:pPr>
          </w:p>
        </w:tc>
        <w:tc>
          <w:tcPr>
            <w:tcW w:w="850" w:type="dxa"/>
            <w:vAlign w:val="center"/>
          </w:tcPr>
          <w:p>
            <w:pPr>
              <w:autoSpaceDE w:val="0"/>
              <w:autoSpaceDN w:val="0"/>
              <w:adjustRightInd w:val="0"/>
              <w:jc w:val="center"/>
              <w:rPr>
                <w:rFonts w:ascii="黑体" w:hAnsi="黑体" w:eastAsia="黑体" w:cs="Arial"/>
                <w:bCs/>
                <w:sz w:val="28"/>
                <w:szCs w:val="28"/>
              </w:rPr>
            </w:pPr>
          </w:p>
        </w:tc>
        <w:tc>
          <w:tcPr>
            <w:tcW w:w="851" w:type="dxa"/>
            <w:vAlign w:val="center"/>
          </w:tcPr>
          <w:p>
            <w:pPr>
              <w:autoSpaceDE w:val="0"/>
              <w:autoSpaceDN w:val="0"/>
              <w:adjustRightInd w:val="0"/>
              <w:jc w:val="center"/>
              <w:rPr>
                <w:rFonts w:ascii="黑体" w:hAnsi="黑体" w:eastAsia="黑体" w:cs="Arial"/>
                <w:bCs/>
                <w:sz w:val="28"/>
                <w:szCs w:val="28"/>
              </w:rPr>
            </w:pPr>
          </w:p>
        </w:tc>
        <w:tc>
          <w:tcPr>
            <w:tcW w:w="850" w:type="dxa"/>
            <w:vAlign w:val="center"/>
          </w:tcPr>
          <w:p>
            <w:pPr>
              <w:autoSpaceDE w:val="0"/>
              <w:autoSpaceDN w:val="0"/>
              <w:adjustRightInd w:val="0"/>
              <w:jc w:val="center"/>
              <w:rPr>
                <w:rFonts w:ascii="黑体" w:hAnsi="黑体" w:eastAsia="黑体" w:cs="Arial"/>
                <w:bCs/>
                <w:sz w:val="28"/>
                <w:szCs w:val="28"/>
              </w:rPr>
            </w:pPr>
          </w:p>
        </w:tc>
        <w:tc>
          <w:tcPr>
            <w:tcW w:w="851" w:type="dxa"/>
            <w:vAlign w:val="center"/>
          </w:tcPr>
          <w:p>
            <w:pPr>
              <w:autoSpaceDE w:val="0"/>
              <w:autoSpaceDN w:val="0"/>
              <w:adjustRightInd w:val="0"/>
              <w:jc w:val="center"/>
              <w:rPr>
                <w:rFonts w:ascii="黑体" w:hAnsi="黑体" w:eastAsia="黑体" w:cs="Arial"/>
                <w:bCs/>
                <w:sz w:val="28"/>
                <w:szCs w:val="28"/>
              </w:rPr>
            </w:pPr>
          </w:p>
        </w:tc>
        <w:tc>
          <w:tcPr>
            <w:tcW w:w="850" w:type="dxa"/>
          </w:tcPr>
          <w:p>
            <w:pPr>
              <w:autoSpaceDE w:val="0"/>
              <w:autoSpaceDN w:val="0"/>
              <w:adjustRightInd w:val="0"/>
              <w:jc w:val="center"/>
              <w:rPr>
                <w:rFonts w:ascii="黑体" w:hAnsi="黑体" w:eastAsia="黑体" w:cs="Arial"/>
                <w:bCs/>
                <w:sz w:val="28"/>
                <w:szCs w:val="28"/>
              </w:rPr>
            </w:pPr>
          </w:p>
        </w:tc>
        <w:tc>
          <w:tcPr>
            <w:tcW w:w="851" w:type="dxa"/>
          </w:tcPr>
          <w:p>
            <w:pPr>
              <w:autoSpaceDE w:val="0"/>
              <w:autoSpaceDN w:val="0"/>
              <w:adjustRightInd w:val="0"/>
              <w:jc w:val="center"/>
              <w:rPr>
                <w:rFonts w:ascii="黑体" w:hAnsi="黑体" w:eastAsia="黑体" w:cs="Arial"/>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204" w:type="dxa"/>
            <w:gridSpan w:val="3"/>
            <w:vAlign w:val="center"/>
          </w:tcPr>
          <w:p>
            <w:pPr>
              <w:pStyle w:val="14"/>
              <w:jc w:val="center"/>
              <w:rPr>
                <w:color w:val="auto"/>
                <w:sz w:val="21"/>
                <w:szCs w:val="21"/>
              </w:rPr>
            </w:pPr>
            <w:r>
              <w:rPr>
                <w:rFonts w:hint="eastAsia"/>
                <w:color w:val="auto"/>
                <w:sz w:val="21"/>
                <w:szCs w:val="21"/>
              </w:rPr>
              <w:t>信誉评分合计</w:t>
            </w:r>
          </w:p>
        </w:tc>
        <w:tc>
          <w:tcPr>
            <w:tcW w:w="850" w:type="dxa"/>
            <w:vAlign w:val="center"/>
          </w:tcPr>
          <w:p>
            <w:pPr>
              <w:autoSpaceDE w:val="0"/>
              <w:autoSpaceDN w:val="0"/>
              <w:adjustRightInd w:val="0"/>
              <w:jc w:val="center"/>
              <w:rPr>
                <w:rFonts w:ascii="黑体" w:hAnsi="黑体" w:eastAsia="黑体" w:cs="Arial"/>
                <w:bCs/>
                <w:sz w:val="28"/>
                <w:szCs w:val="28"/>
              </w:rPr>
            </w:pPr>
          </w:p>
        </w:tc>
        <w:tc>
          <w:tcPr>
            <w:tcW w:w="851" w:type="dxa"/>
            <w:vAlign w:val="center"/>
          </w:tcPr>
          <w:p>
            <w:pPr>
              <w:autoSpaceDE w:val="0"/>
              <w:autoSpaceDN w:val="0"/>
              <w:adjustRightInd w:val="0"/>
              <w:jc w:val="center"/>
              <w:rPr>
                <w:rFonts w:ascii="黑体" w:hAnsi="黑体" w:eastAsia="黑体" w:cs="Arial"/>
                <w:bCs/>
                <w:sz w:val="28"/>
                <w:szCs w:val="28"/>
              </w:rPr>
            </w:pPr>
          </w:p>
        </w:tc>
        <w:tc>
          <w:tcPr>
            <w:tcW w:w="850" w:type="dxa"/>
            <w:vAlign w:val="center"/>
          </w:tcPr>
          <w:p>
            <w:pPr>
              <w:autoSpaceDE w:val="0"/>
              <w:autoSpaceDN w:val="0"/>
              <w:adjustRightInd w:val="0"/>
              <w:jc w:val="center"/>
              <w:rPr>
                <w:rFonts w:ascii="黑体" w:hAnsi="黑体" w:eastAsia="黑体" w:cs="Arial"/>
                <w:bCs/>
                <w:sz w:val="28"/>
                <w:szCs w:val="28"/>
              </w:rPr>
            </w:pPr>
          </w:p>
        </w:tc>
        <w:tc>
          <w:tcPr>
            <w:tcW w:w="851" w:type="dxa"/>
            <w:vAlign w:val="center"/>
          </w:tcPr>
          <w:p>
            <w:pPr>
              <w:autoSpaceDE w:val="0"/>
              <w:autoSpaceDN w:val="0"/>
              <w:adjustRightInd w:val="0"/>
              <w:jc w:val="center"/>
              <w:rPr>
                <w:rFonts w:ascii="黑体" w:hAnsi="黑体" w:eastAsia="黑体" w:cs="Arial"/>
                <w:bCs/>
                <w:sz w:val="28"/>
                <w:szCs w:val="28"/>
              </w:rPr>
            </w:pPr>
          </w:p>
        </w:tc>
        <w:tc>
          <w:tcPr>
            <w:tcW w:w="850" w:type="dxa"/>
            <w:vAlign w:val="center"/>
          </w:tcPr>
          <w:p>
            <w:pPr>
              <w:autoSpaceDE w:val="0"/>
              <w:autoSpaceDN w:val="0"/>
              <w:adjustRightInd w:val="0"/>
              <w:jc w:val="center"/>
              <w:rPr>
                <w:rFonts w:ascii="黑体" w:hAnsi="黑体" w:eastAsia="黑体" w:cs="Arial"/>
                <w:bCs/>
                <w:sz w:val="28"/>
                <w:szCs w:val="28"/>
              </w:rPr>
            </w:pPr>
          </w:p>
        </w:tc>
        <w:tc>
          <w:tcPr>
            <w:tcW w:w="851" w:type="dxa"/>
            <w:vAlign w:val="center"/>
          </w:tcPr>
          <w:p>
            <w:pPr>
              <w:autoSpaceDE w:val="0"/>
              <w:autoSpaceDN w:val="0"/>
              <w:adjustRightInd w:val="0"/>
              <w:jc w:val="center"/>
              <w:rPr>
                <w:rFonts w:ascii="黑体" w:hAnsi="黑体" w:eastAsia="黑体" w:cs="Arial"/>
                <w:bCs/>
                <w:sz w:val="28"/>
                <w:szCs w:val="28"/>
              </w:rPr>
            </w:pPr>
          </w:p>
        </w:tc>
        <w:tc>
          <w:tcPr>
            <w:tcW w:w="850" w:type="dxa"/>
          </w:tcPr>
          <w:p>
            <w:pPr>
              <w:autoSpaceDE w:val="0"/>
              <w:autoSpaceDN w:val="0"/>
              <w:adjustRightInd w:val="0"/>
              <w:jc w:val="center"/>
              <w:rPr>
                <w:rFonts w:ascii="黑体" w:hAnsi="黑体" w:eastAsia="黑体" w:cs="Arial"/>
                <w:bCs/>
                <w:sz w:val="28"/>
                <w:szCs w:val="28"/>
              </w:rPr>
            </w:pPr>
          </w:p>
        </w:tc>
        <w:tc>
          <w:tcPr>
            <w:tcW w:w="851" w:type="dxa"/>
          </w:tcPr>
          <w:p>
            <w:pPr>
              <w:autoSpaceDE w:val="0"/>
              <w:autoSpaceDN w:val="0"/>
              <w:adjustRightInd w:val="0"/>
              <w:jc w:val="center"/>
              <w:rPr>
                <w:rFonts w:ascii="黑体" w:hAnsi="黑体" w:eastAsia="黑体" w:cs="Arial"/>
                <w:bCs/>
                <w:sz w:val="28"/>
                <w:szCs w:val="28"/>
              </w:rPr>
            </w:pPr>
          </w:p>
        </w:tc>
      </w:tr>
    </w:tbl>
    <w:p>
      <w:pPr>
        <w:rPr>
          <w:u w:val="single"/>
        </w:rPr>
      </w:pPr>
      <w:r>
        <w:rPr>
          <w:rFonts w:hint="eastAsia"/>
        </w:rPr>
        <w:t>评标委员会成员</w:t>
      </w:r>
      <w:r>
        <w:rPr>
          <w:rFonts w:hint="eastAsia"/>
          <w:u w:val="single"/>
        </w:rPr>
        <w:t>（手写签名）</w:t>
      </w:r>
      <w:r>
        <w:rPr>
          <w:u w:val="single"/>
        </w:rPr>
        <w:t xml:space="preserve">       </w:t>
      </w:r>
    </w:p>
    <w:p>
      <w:pPr>
        <w:pStyle w:val="4"/>
        <w:rPr>
          <w:rFonts w:ascii="Arial" w:hAnsi="Arial" w:cs="Arial"/>
        </w:rPr>
      </w:pPr>
      <w:r>
        <w:rPr>
          <w:rFonts w:hint="eastAsia" w:ascii="Arial" w:hAnsi="Arial" w:cs="Arial"/>
        </w:rPr>
        <w:t>备注：</w:t>
      </w:r>
    </w:p>
    <w:p>
      <w:pPr>
        <w:pStyle w:val="4"/>
        <w:numPr>
          <w:ilvl w:val="0"/>
          <w:numId w:val="7"/>
        </w:numPr>
        <w:rPr>
          <w:rFonts w:ascii="Arial" w:hAnsi="Arial" w:cs="Arial"/>
        </w:rPr>
      </w:pPr>
      <w:r>
        <w:rPr>
          <w:rFonts w:hint="eastAsia" w:ascii="Arial" w:hAnsi="Arial" w:cs="Arial"/>
        </w:rPr>
        <w:t>本表中投标人评分标准中“</w:t>
      </w:r>
      <w:r>
        <w:rPr>
          <w:rFonts w:hint="eastAsia" w:ascii="Arial" w:hAnsi="Arial" w:cs="Arial"/>
          <w:u w:val="single"/>
        </w:rPr>
        <w:t xml:space="preserve">  </w:t>
      </w:r>
      <w:r>
        <w:rPr>
          <w:rFonts w:ascii="Arial" w:hAnsi="Arial" w:cs="Arial"/>
        </w:rPr>
        <w:t>%</w:t>
      </w:r>
      <w:r>
        <w:rPr>
          <w:rFonts w:hint="eastAsia" w:ascii="Arial" w:hAnsi="Arial" w:cs="Arial"/>
        </w:rPr>
        <w:t>”（百分比）</w:t>
      </w:r>
      <w:r>
        <w:rPr>
          <w:rFonts w:ascii="Arial" w:hAnsi="Arial" w:cs="Arial"/>
        </w:rPr>
        <w:t>=</w:t>
      </w:r>
      <w:r>
        <w:rPr>
          <w:rFonts w:hint="eastAsia" w:ascii="Arial" w:hAnsi="Arial" w:cs="Arial"/>
        </w:rPr>
        <w:t>本表中给定的标准分</w:t>
      </w:r>
      <w:r>
        <w:rPr>
          <w:rFonts w:ascii="Arial" w:hAnsi="Arial" w:cs="Arial"/>
        </w:rPr>
        <w:t xml:space="preserve">/100 </w:t>
      </w:r>
      <w:r>
        <w:rPr>
          <w:rFonts w:hint="eastAsia" w:ascii="Arial" w:hAnsi="Arial" w:cs="Arial"/>
        </w:rPr>
        <w:t>。</w:t>
      </w:r>
    </w:p>
    <w:p>
      <w:pPr>
        <w:pStyle w:val="4"/>
        <w:numPr>
          <w:ilvl w:val="0"/>
          <w:numId w:val="7"/>
        </w:numPr>
        <w:rPr>
          <w:rFonts w:ascii="Arial" w:hAnsi="Arial" w:cs="Arial"/>
        </w:rPr>
      </w:pPr>
      <w:r>
        <w:rPr>
          <w:rFonts w:hint="eastAsia" w:ascii="Arial" w:hAnsi="Arial" w:cs="Arial"/>
        </w:rPr>
        <w:t>评审得分=</w:t>
      </w:r>
      <w:r>
        <w:rPr>
          <w:rFonts w:ascii="宋体" w:hAnsi="宋体" w:cs="宋体"/>
          <w:szCs w:val="21"/>
        </w:rPr>
        <w:t>企业信用评价分值</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%（百分比）</w:t>
      </w:r>
    </w:p>
    <w:p>
      <w:pPr>
        <w:pStyle w:val="4"/>
        <w:rPr>
          <w:rFonts w:ascii="Arial" w:hAnsi="Arial" w:cs="Arial"/>
        </w:rPr>
      </w:pPr>
      <w:r>
        <w:rPr>
          <w:rFonts w:hint="eastAsia" w:ascii="Arial" w:hAnsi="Arial" w:cs="Arial"/>
        </w:rPr>
        <w:t>3、联合体投标的，评标委员会依据开标记录中记录的北京市园林绿化局官方网站公布的各投标人的企业市场行为信用评价分值及联合体成员分工比例，折算出联合体的“企业市场行为信用评价分值”。</w:t>
      </w:r>
    </w:p>
    <w:p>
      <w:pPr>
        <w:pStyle w:val="4"/>
        <w:rPr>
          <w:rFonts w:ascii="Arial" w:hAnsi="Arial" w:cs="Arial"/>
        </w:rPr>
      </w:pPr>
      <w:r>
        <w:rPr>
          <w:rFonts w:hint="eastAsia" w:ascii="Arial" w:hAnsi="Arial" w:cs="Arial"/>
        </w:rPr>
        <w:t>联合体投标的投标人企业市场行为信用评价分值</w:t>
      </w:r>
      <w:r>
        <w:rPr>
          <w:rFonts w:ascii="Arial" w:hAnsi="Arial" w:cs="Arial"/>
        </w:rPr>
        <w:t>=</w:t>
      </w:r>
      <w:r>
        <w:rPr>
          <w:rFonts w:hint="eastAsia" w:ascii="Arial" w:hAnsi="Arial" w:cs="Arial"/>
        </w:rPr>
        <w:t>联合体成员</w:t>
      </w:r>
      <w:r>
        <w:rPr>
          <w:rFonts w:ascii="Arial" w:hAnsi="Arial" w:cs="Arial"/>
        </w:rPr>
        <w:t>A</w:t>
      </w:r>
      <w:r>
        <w:rPr>
          <w:rFonts w:hint="eastAsia" w:ascii="Arial" w:hAnsi="Arial" w:cs="Arial"/>
        </w:rPr>
        <w:t>企业市场行为信用评价分值×成员</w:t>
      </w:r>
      <w:r>
        <w:rPr>
          <w:rFonts w:ascii="Arial" w:hAnsi="Arial" w:cs="Arial"/>
        </w:rPr>
        <w:t>A</w:t>
      </w:r>
      <w:r>
        <w:rPr>
          <w:rFonts w:hint="eastAsia" w:ascii="Arial" w:hAnsi="Arial" w:cs="Arial"/>
        </w:rPr>
        <w:t>的分工比例</w:t>
      </w:r>
      <w:r>
        <w:rPr>
          <w:rFonts w:ascii="Arial" w:hAnsi="Arial" w:cs="Arial"/>
        </w:rPr>
        <w:t>+</w:t>
      </w:r>
      <w:r>
        <w:rPr>
          <w:rFonts w:hint="eastAsia" w:ascii="Arial" w:hAnsi="Arial" w:cs="Arial"/>
        </w:rPr>
        <w:t>联合体成员</w:t>
      </w:r>
      <w:r>
        <w:rPr>
          <w:rFonts w:ascii="Arial" w:hAnsi="Arial" w:cs="Arial"/>
        </w:rPr>
        <w:t>B</w:t>
      </w:r>
      <w:r>
        <w:rPr>
          <w:rFonts w:hint="eastAsia" w:ascii="Arial" w:hAnsi="Arial" w:cs="Arial"/>
        </w:rPr>
        <w:t>企业市场行为信用评价分值×成员</w:t>
      </w:r>
      <w:r>
        <w:rPr>
          <w:rFonts w:ascii="Arial" w:hAnsi="Arial" w:cs="Arial"/>
        </w:rPr>
        <w:t>B</w:t>
      </w:r>
      <w:r>
        <w:rPr>
          <w:rFonts w:hint="eastAsia" w:ascii="Arial" w:hAnsi="Arial" w:cs="Arial"/>
        </w:rPr>
        <w:t>的分工比例</w:t>
      </w:r>
      <w:r>
        <w:rPr>
          <w:rFonts w:ascii="Arial" w:hAnsi="Arial" w:cs="Arial"/>
        </w:rPr>
        <w:t>+</w:t>
      </w:r>
      <w:r>
        <w:rPr>
          <w:rFonts w:hint="eastAsia" w:ascii="Arial" w:hAnsi="Arial" w:cs="Arial"/>
        </w:rPr>
        <w:t>联合体成员</w:t>
      </w:r>
      <w:r>
        <w:rPr>
          <w:rFonts w:ascii="Arial" w:hAnsi="Arial" w:cs="Arial"/>
        </w:rPr>
        <w:t>C</w:t>
      </w:r>
      <w:r>
        <w:rPr>
          <w:rFonts w:hint="eastAsia" w:ascii="Arial" w:hAnsi="Arial" w:cs="Arial"/>
        </w:rPr>
        <w:t>企业市场行为信用评价分值×成员</w:t>
      </w:r>
      <w:r>
        <w:rPr>
          <w:rFonts w:ascii="Arial" w:hAnsi="Arial" w:cs="Arial"/>
        </w:rPr>
        <w:t>C</w:t>
      </w:r>
      <w:r>
        <w:rPr>
          <w:rFonts w:hint="eastAsia" w:ascii="Arial" w:hAnsi="Arial" w:cs="Arial"/>
        </w:rPr>
        <w:t>的分工比例</w:t>
      </w:r>
      <w:r>
        <w:rPr>
          <w:rFonts w:ascii="Arial" w:hAnsi="Arial" w:cs="Arial"/>
        </w:rPr>
        <w:t>+</w:t>
      </w:r>
      <w:r>
        <w:rPr>
          <w:rFonts w:hint="eastAsia" w:ascii="Arial" w:hAnsi="Arial" w:cs="Arial"/>
        </w:rPr>
        <w:t>…。</w:t>
      </w:r>
    </w:p>
    <w:p>
      <w:pPr>
        <w:pStyle w:val="4"/>
      </w:pPr>
      <w:r>
        <w:rPr>
          <w:rFonts w:hint="eastAsia" w:ascii="Arial" w:hAnsi="Arial" w:cs="Arial"/>
        </w:rPr>
        <w:t>4、得分合计保留两位小数。</w:t>
      </w:r>
    </w:p>
    <w:p>
      <w:pPr>
        <w:pStyle w:val="4"/>
      </w:pPr>
    </w:p>
    <w:p>
      <w:pPr>
        <w:pStyle w:val="4"/>
      </w:pPr>
    </w:p>
    <w:p>
      <w:pPr>
        <w:pStyle w:val="4"/>
      </w:pPr>
    </w:p>
    <w:p>
      <w:pPr>
        <w:pStyle w:val="4"/>
      </w:pPr>
    </w:p>
    <w:p>
      <w:pPr>
        <w:pStyle w:val="4"/>
      </w:pPr>
    </w:p>
    <w:p>
      <w:pPr>
        <w:pStyle w:val="4"/>
        <w:ind w:firstLine="0"/>
      </w:pPr>
    </w:p>
    <w:p>
      <w:pPr>
        <w:pStyle w:val="5"/>
        <w:ind w:left="720" w:hanging="720"/>
        <w:jc w:val="left"/>
        <w:rPr>
          <w:rFonts w:ascii="宋体" w:cs="Arial"/>
          <w:bCs/>
          <w:sz w:val="28"/>
          <w:szCs w:val="28"/>
        </w:rPr>
      </w:pPr>
      <w:r>
        <w:rPr>
          <w:rFonts w:hint="eastAsia" w:ascii="宋体" w:hAnsi="宋体" w:cs="Arial"/>
          <w:sz w:val="28"/>
          <w:szCs w:val="28"/>
        </w:rPr>
        <w:t>附表</w:t>
      </w:r>
      <w:r>
        <w:rPr>
          <w:rFonts w:ascii="宋体" w:hAnsi="宋体" w:cs="Arial"/>
          <w:bCs/>
          <w:sz w:val="28"/>
          <w:szCs w:val="28"/>
        </w:rPr>
        <w:t>-1</w:t>
      </w:r>
      <w:r>
        <w:rPr>
          <w:rFonts w:hint="eastAsia" w:ascii="宋体" w:hAnsi="宋体" w:cs="Arial"/>
          <w:bCs/>
          <w:sz w:val="28"/>
          <w:szCs w:val="28"/>
        </w:rPr>
        <w:t>2：其他因素评审记录表</w:t>
      </w:r>
    </w:p>
    <w:p>
      <w:pPr>
        <w:pStyle w:val="4"/>
        <w:jc w:val="center"/>
        <w:rPr>
          <w:rFonts w:ascii="黑体" w:hAnsi="黑体" w:eastAsia="黑体" w:cs="Arial"/>
          <w:bCs/>
          <w:sz w:val="28"/>
          <w:szCs w:val="28"/>
        </w:rPr>
      </w:pPr>
      <w:r>
        <w:rPr>
          <w:rFonts w:hint="eastAsia" w:ascii="黑体" w:hAnsi="黑体" w:eastAsia="黑体" w:cs="Arial"/>
          <w:bCs/>
          <w:sz w:val="28"/>
          <w:szCs w:val="28"/>
        </w:rPr>
        <w:t>其他因素评审记录表</w:t>
      </w:r>
    </w:p>
    <w:p>
      <w:pPr>
        <w:autoSpaceDE w:val="0"/>
        <w:autoSpaceDN w:val="0"/>
        <w:adjustRightInd w:val="0"/>
        <w:jc w:val="left"/>
        <w:rPr>
          <w:rFonts w:ascii="Arial" w:hAnsi="Arial" w:cs="Arial"/>
          <w:bCs/>
          <w:strike/>
          <w:szCs w:val="21"/>
        </w:rPr>
      </w:pPr>
      <w:r>
        <w:rPr>
          <w:rFonts w:hint="eastAsia" w:ascii="Arial" w:hAnsi="Arial" w:cs="Arial"/>
          <w:bCs/>
          <w:szCs w:val="21"/>
        </w:rPr>
        <w:t>工程名称：</w:t>
      </w:r>
      <w:r>
        <w:rPr>
          <w:rFonts w:ascii="Arial" w:hAnsi="Arial" w:cs="Arial"/>
          <w:bCs/>
          <w:szCs w:val="21"/>
          <w:u w:val="single"/>
        </w:rPr>
        <w:t xml:space="preserv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901"/>
        <w:gridCol w:w="3628"/>
        <w:gridCol w:w="850"/>
        <w:gridCol w:w="851"/>
        <w:gridCol w:w="850"/>
        <w:gridCol w:w="851"/>
        <w:gridCol w:w="850"/>
        <w:gridCol w:w="851"/>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pacing w:line="360" w:lineRule="auto"/>
              <w:jc w:val="center"/>
              <w:rPr>
                <w:rFonts w:ascii="黑体" w:hAnsi="黑体" w:eastAsia="黑体" w:cs="Arial"/>
                <w:bCs/>
                <w:sz w:val="28"/>
                <w:szCs w:val="28"/>
              </w:rPr>
            </w:pPr>
            <w:r>
              <w:rPr>
                <w:rFonts w:hint="eastAsia" w:ascii="Arial" w:hAnsi="Arial" w:cs="Arial"/>
                <w:bCs/>
                <w:szCs w:val="21"/>
              </w:rPr>
              <w:t>序号</w:t>
            </w:r>
          </w:p>
        </w:tc>
        <w:tc>
          <w:tcPr>
            <w:tcW w:w="1901" w:type="dxa"/>
            <w:vMerge w:val="restart"/>
            <w:vAlign w:val="center"/>
          </w:tcPr>
          <w:p>
            <w:pPr>
              <w:autoSpaceDE w:val="0"/>
              <w:autoSpaceDN w:val="0"/>
              <w:adjustRightInd w:val="0"/>
              <w:jc w:val="center"/>
              <w:rPr>
                <w:rFonts w:ascii="黑体" w:hAnsi="黑体" w:eastAsia="黑体" w:cs="Arial"/>
                <w:bCs/>
                <w:sz w:val="28"/>
                <w:szCs w:val="28"/>
              </w:rPr>
            </w:pPr>
            <w:r>
              <w:rPr>
                <w:rFonts w:hint="eastAsia" w:ascii="Arial" w:hAnsi="Arial" w:cs="Arial"/>
                <w:bCs/>
                <w:szCs w:val="21"/>
              </w:rPr>
              <w:t>评分因素</w:t>
            </w:r>
          </w:p>
        </w:tc>
        <w:tc>
          <w:tcPr>
            <w:tcW w:w="3628" w:type="dxa"/>
            <w:vMerge w:val="restart"/>
            <w:vAlign w:val="center"/>
          </w:tcPr>
          <w:p>
            <w:pPr>
              <w:autoSpaceDE w:val="0"/>
              <w:autoSpaceDN w:val="0"/>
              <w:adjustRightInd w:val="0"/>
              <w:jc w:val="center"/>
              <w:rPr>
                <w:rFonts w:ascii="黑体" w:hAnsi="黑体" w:eastAsia="黑体" w:cs="Arial"/>
                <w:bCs/>
                <w:sz w:val="28"/>
                <w:szCs w:val="28"/>
              </w:rPr>
            </w:pPr>
            <w:r>
              <w:rPr>
                <w:rFonts w:hint="eastAsia" w:ascii="宋体" w:hAnsi="宋体" w:cs="宋体"/>
                <w:kern w:val="0"/>
                <w:szCs w:val="21"/>
              </w:rPr>
              <w:t>评分标准</w:t>
            </w:r>
          </w:p>
        </w:tc>
        <w:tc>
          <w:tcPr>
            <w:tcW w:w="850" w:type="dxa"/>
            <w:vMerge w:val="restart"/>
            <w:vAlign w:val="center"/>
          </w:tcPr>
          <w:p>
            <w:pPr>
              <w:autoSpaceDE w:val="0"/>
              <w:autoSpaceDN w:val="0"/>
              <w:adjustRightInd w:val="0"/>
              <w:jc w:val="center"/>
              <w:rPr>
                <w:rFonts w:ascii="黑体" w:hAnsi="黑体" w:eastAsia="黑体" w:cs="Arial"/>
                <w:bCs/>
                <w:sz w:val="28"/>
                <w:szCs w:val="28"/>
              </w:rPr>
            </w:pPr>
            <w:r>
              <w:rPr>
                <w:rFonts w:hint="eastAsia" w:ascii="宋体" w:hAnsi="宋体" w:cs="宋体"/>
                <w:kern w:val="0"/>
                <w:szCs w:val="21"/>
              </w:rPr>
              <w:t>标准分</w:t>
            </w:r>
          </w:p>
        </w:tc>
        <w:tc>
          <w:tcPr>
            <w:tcW w:w="5954" w:type="dxa"/>
            <w:gridSpan w:val="7"/>
            <w:vAlign w:val="center"/>
          </w:tcPr>
          <w:p>
            <w:pPr>
              <w:autoSpaceDE w:val="0"/>
              <w:autoSpaceDN w:val="0"/>
              <w:adjustRightInd w:val="0"/>
              <w:jc w:val="center"/>
              <w:rPr>
                <w:rFonts w:ascii="黑体" w:hAnsi="黑体" w:eastAsia="黑体" w:cs="Arial"/>
                <w:bCs/>
                <w:sz w:val="28"/>
                <w:szCs w:val="28"/>
              </w:rPr>
            </w:pPr>
            <w:r>
              <w:rPr>
                <w:rFonts w:hint="eastAsia" w:ascii="宋体" w:hAnsi="宋体" w:cs="宋体"/>
                <w:kern w:val="0"/>
                <w:szCs w:val="21"/>
              </w:rPr>
              <w:t>投标人名称及评审得分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360" w:lineRule="auto"/>
              <w:jc w:val="center"/>
              <w:rPr>
                <w:rFonts w:ascii="Arial" w:hAnsi="Arial" w:cs="Arial"/>
                <w:bCs/>
                <w:szCs w:val="21"/>
              </w:rPr>
            </w:pPr>
          </w:p>
        </w:tc>
        <w:tc>
          <w:tcPr>
            <w:tcW w:w="1901" w:type="dxa"/>
            <w:vMerge w:val="continue"/>
            <w:vAlign w:val="center"/>
          </w:tcPr>
          <w:p>
            <w:pPr>
              <w:autoSpaceDE w:val="0"/>
              <w:autoSpaceDN w:val="0"/>
              <w:adjustRightInd w:val="0"/>
              <w:jc w:val="center"/>
              <w:rPr>
                <w:rFonts w:ascii="Arial" w:hAnsi="Arial" w:cs="Arial"/>
                <w:bCs/>
                <w:szCs w:val="21"/>
              </w:rPr>
            </w:pPr>
          </w:p>
        </w:tc>
        <w:tc>
          <w:tcPr>
            <w:tcW w:w="3628" w:type="dxa"/>
            <w:vMerge w:val="continue"/>
            <w:vAlign w:val="center"/>
          </w:tcPr>
          <w:p>
            <w:pPr>
              <w:autoSpaceDE w:val="0"/>
              <w:autoSpaceDN w:val="0"/>
              <w:adjustRightInd w:val="0"/>
              <w:jc w:val="center"/>
              <w:rPr>
                <w:rFonts w:ascii="宋体" w:cs="宋体"/>
                <w:kern w:val="0"/>
                <w:szCs w:val="21"/>
              </w:rPr>
            </w:pPr>
          </w:p>
        </w:tc>
        <w:tc>
          <w:tcPr>
            <w:tcW w:w="850" w:type="dxa"/>
            <w:vMerge w:val="continue"/>
            <w:vAlign w:val="center"/>
          </w:tcPr>
          <w:p>
            <w:pPr>
              <w:autoSpaceDE w:val="0"/>
              <w:autoSpaceDN w:val="0"/>
              <w:adjustRightInd w:val="0"/>
              <w:jc w:val="center"/>
              <w:rPr>
                <w:rFonts w:ascii="宋体" w:cs="宋体"/>
                <w:kern w:val="0"/>
                <w:szCs w:val="21"/>
              </w:rPr>
            </w:pPr>
          </w:p>
        </w:tc>
        <w:tc>
          <w:tcPr>
            <w:tcW w:w="851" w:type="dxa"/>
            <w:vAlign w:val="center"/>
          </w:tcPr>
          <w:p>
            <w:pPr>
              <w:autoSpaceDE w:val="0"/>
              <w:autoSpaceDN w:val="0"/>
              <w:adjustRightInd w:val="0"/>
              <w:jc w:val="center"/>
              <w:rPr>
                <w:rFonts w:ascii="黑体" w:hAnsi="黑体" w:eastAsia="黑体" w:cs="Arial"/>
                <w:bCs/>
                <w:sz w:val="28"/>
                <w:szCs w:val="28"/>
              </w:rPr>
            </w:pPr>
          </w:p>
        </w:tc>
        <w:tc>
          <w:tcPr>
            <w:tcW w:w="850" w:type="dxa"/>
            <w:vAlign w:val="center"/>
          </w:tcPr>
          <w:p>
            <w:pPr>
              <w:autoSpaceDE w:val="0"/>
              <w:autoSpaceDN w:val="0"/>
              <w:adjustRightInd w:val="0"/>
              <w:jc w:val="center"/>
              <w:rPr>
                <w:rFonts w:ascii="黑体" w:hAnsi="黑体" w:eastAsia="黑体" w:cs="Arial"/>
                <w:bCs/>
                <w:sz w:val="28"/>
                <w:szCs w:val="28"/>
              </w:rPr>
            </w:pPr>
          </w:p>
        </w:tc>
        <w:tc>
          <w:tcPr>
            <w:tcW w:w="851" w:type="dxa"/>
            <w:vAlign w:val="center"/>
          </w:tcPr>
          <w:p>
            <w:pPr>
              <w:autoSpaceDE w:val="0"/>
              <w:autoSpaceDN w:val="0"/>
              <w:adjustRightInd w:val="0"/>
              <w:jc w:val="center"/>
              <w:rPr>
                <w:rFonts w:ascii="黑体" w:hAnsi="黑体" w:eastAsia="黑体" w:cs="Arial"/>
                <w:bCs/>
                <w:sz w:val="28"/>
                <w:szCs w:val="28"/>
              </w:rPr>
            </w:pPr>
          </w:p>
        </w:tc>
        <w:tc>
          <w:tcPr>
            <w:tcW w:w="850" w:type="dxa"/>
            <w:vAlign w:val="center"/>
          </w:tcPr>
          <w:p>
            <w:pPr>
              <w:autoSpaceDE w:val="0"/>
              <w:autoSpaceDN w:val="0"/>
              <w:adjustRightInd w:val="0"/>
              <w:jc w:val="center"/>
              <w:rPr>
                <w:rFonts w:ascii="黑体" w:hAnsi="黑体" w:eastAsia="黑体" w:cs="Arial"/>
                <w:bCs/>
                <w:sz w:val="28"/>
                <w:szCs w:val="28"/>
              </w:rPr>
            </w:pPr>
          </w:p>
        </w:tc>
        <w:tc>
          <w:tcPr>
            <w:tcW w:w="851" w:type="dxa"/>
            <w:vAlign w:val="center"/>
          </w:tcPr>
          <w:p>
            <w:pPr>
              <w:autoSpaceDE w:val="0"/>
              <w:autoSpaceDN w:val="0"/>
              <w:adjustRightInd w:val="0"/>
              <w:jc w:val="center"/>
              <w:rPr>
                <w:rFonts w:ascii="黑体" w:hAnsi="黑体" w:eastAsia="黑体" w:cs="Arial"/>
                <w:bCs/>
                <w:sz w:val="28"/>
                <w:szCs w:val="28"/>
              </w:rPr>
            </w:pPr>
          </w:p>
        </w:tc>
        <w:tc>
          <w:tcPr>
            <w:tcW w:w="850" w:type="dxa"/>
          </w:tcPr>
          <w:p>
            <w:pPr>
              <w:autoSpaceDE w:val="0"/>
              <w:autoSpaceDN w:val="0"/>
              <w:adjustRightInd w:val="0"/>
              <w:jc w:val="center"/>
              <w:rPr>
                <w:rFonts w:ascii="黑体" w:hAnsi="黑体" w:eastAsia="黑体" w:cs="Arial"/>
                <w:bCs/>
                <w:sz w:val="28"/>
                <w:szCs w:val="28"/>
              </w:rPr>
            </w:pPr>
          </w:p>
        </w:tc>
        <w:tc>
          <w:tcPr>
            <w:tcW w:w="851" w:type="dxa"/>
          </w:tcPr>
          <w:p>
            <w:pPr>
              <w:autoSpaceDE w:val="0"/>
              <w:autoSpaceDN w:val="0"/>
              <w:adjustRightInd w:val="0"/>
              <w:jc w:val="center"/>
              <w:rPr>
                <w:rFonts w:ascii="黑体" w:hAnsi="黑体" w:eastAsia="黑体" w:cs="Arial"/>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75" w:type="dxa"/>
            <w:vAlign w:val="center"/>
          </w:tcPr>
          <w:p>
            <w:pPr>
              <w:autoSpaceDE w:val="0"/>
              <w:autoSpaceDN w:val="0"/>
              <w:adjustRightInd w:val="0"/>
              <w:jc w:val="center"/>
              <w:rPr>
                <w:rFonts w:ascii="黑体" w:hAnsi="黑体" w:eastAsia="黑体" w:cs="Arial"/>
                <w:bCs/>
                <w:sz w:val="28"/>
                <w:szCs w:val="28"/>
              </w:rPr>
            </w:pPr>
            <w:r>
              <w:rPr>
                <w:rFonts w:ascii="黑体" w:hAnsi="黑体" w:eastAsia="黑体" w:cs="Arial"/>
                <w:bCs/>
                <w:sz w:val="28"/>
                <w:szCs w:val="28"/>
              </w:rPr>
              <w:t>1</w:t>
            </w:r>
          </w:p>
        </w:tc>
        <w:tc>
          <w:tcPr>
            <w:tcW w:w="1901" w:type="dxa"/>
            <w:vAlign w:val="center"/>
          </w:tcPr>
          <w:p>
            <w:pPr>
              <w:autoSpaceDE w:val="0"/>
              <w:autoSpaceDN w:val="0"/>
              <w:adjustRightInd w:val="0"/>
              <w:jc w:val="center"/>
              <w:rPr>
                <w:rFonts w:ascii="黑体" w:hAnsi="黑体" w:eastAsia="黑体" w:cs="Arial"/>
                <w:bCs/>
                <w:sz w:val="28"/>
                <w:szCs w:val="28"/>
              </w:rPr>
            </w:pPr>
          </w:p>
        </w:tc>
        <w:tc>
          <w:tcPr>
            <w:tcW w:w="3628" w:type="dxa"/>
            <w:vAlign w:val="center"/>
          </w:tcPr>
          <w:p>
            <w:pPr>
              <w:autoSpaceDE w:val="0"/>
              <w:autoSpaceDN w:val="0"/>
              <w:adjustRightInd w:val="0"/>
              <w:jc w:val="center"/>
              <w:rPr>
                <w:rFonts w:ascii="黑体" w:hAnsi="黑体" w:eastAsia="黑体" w:cs="Arial"/>
                <w:bCs/>
                <w:sz w:val="28"/>
                <w:szCs w:val="28"/>
              </w:rPr>
            </w:pPr>
          </w:p>
        </w:tc>
        <w:tc>
          <w:tcPr>
            <w:tcW w:w="850" w:type="dxa"/>
            <w:vAlign w:val="center"/>
          </w:tcPr>
          <w:p>
            <w:pPr>
              <w:autoSpaceDE w:val="0"/>
              <w:autoSpaceDN w:val="0"/>
              <w:adjustRightInd w:val="0"/>
              <w:jc w:val="center"/>
              <w:rPr>
                <w:rFonts w:ascii="黑体" w:hAnsi="黑体" w:eastAsia="黑体" w:cs="Arial"/>
                <w:bCs/>
                <w:sz w:val="28"/>
                <w:szCs w:val="28"/>
              </w:rPr>
            </w:pPr>
          </w:p>
        </w:tc>
        <w:tc>
          <w:tcPr>
            <w:tcW w:w="851" w:type="dxa"/>
            <w:vAlign w:val="center"/>
          </w:tcPr>
          <w:p>
            <w:pPr>
              <w:autoSpaceDE w:val="0"/>
              <w:autoSpaceDN w:val="0"/>
              <w:adjustRightInd w:val="0"/>
              <w:jc w:val="center"/>
              <w:rPr>
                <w:rFonts w:ascii="黑体" w:hAnsi="黑体" w:eastAsia="黑体" w:cs="Arial"/>
                <w:bCs/>
                <w:sz w:val="28"/>
                <w:szCs w:val="28"/>
              </w:rPr>
            </w:pPr>
          </w:p>
        </w:tc>
        <w:tc>
          <w:tcPr>
            <w:tcW w:w="850" w:type="dxa"/>
            <w:vAlign w:val="center"/>
          </w:tcPr>
          <w:p>
            <w:pPr>
              <w:autoSpaceDE w:val="0"/>
              <w:autoSpaceDN w:val="0"/>
              <w:adjustRightInd w:val="0"/>
              <w:jc w:val="center"/>
              <w:rPr>
                <w:rFonts w:ascii="黑体" w:hAnsi="黑体" w:eastAsia="黑体" w:cs="Arial"/>
                <w:bCs/>
                <w:sz w:val="28"/>
                <w:szCs w:val="28"/>
              </w:rPr>
            </w:pPr>
          </w:p>
        </w:tc>
        <w:tc>
          <w:tcPr>
            <w:tcW w:w="851" w:type="dxa"/>
            <w:vAlign w:val="center"/>
          </w:tcPr>
          <w:p>
            <w:pPr>
              <w:autoSpaceDE w:val="0"/>
              <w:autoSpaceDN w:val="0"/>
              <w:adjustRightInd w:val="0"/>
              <w:jc w:val="center"/>
              <w:rPr>
                <w:rFonts w:ascii="黑体" w:hAnsi="黑体" w:eastAsia="黑体" w:cs="Arial"/>
                <w:bCs/>
                <w:sz w:val="28"/>
                <w:szCs w:val="28"/>
              </w:rPr>
            </w:pPr>
          </w:p>
        </w:tc>
        <w:tc>
          <w:tcPr>
            <w:tcW w:w="850" w:type="dxa"/>
            <w:vAlign w:val="center"/>
          </w:tcPr>
          <w:p>
            <w:pPr>
              <w:autoSpaceDE w:val="0"/>
              <w:autoSpaceDN w:val="0"/>
              <w:adjustRightInd w:val="0"/>
              <w:jc w:val="center"/>
              <w:rPr>
                <w:rFonts w:ascii="黑体" w:hAnsi="黑体" w:eastAsia="黑体" w:cs="Arial"/>
                <w:bCs/>
                <w:sz w:val="28"/>
                <w:szCs w:val="28"/>
              </w:rPr>
            </w:pPr>
          </w:p>
        </w:tc>
        <w:tc>
          <w:tcPr>
            <w:tcW w:w="851" w:type="dxa"/>
            <w:vAlign w:val="center"/>
          </w:tcPr>
          <w:p>
            <w:pPr>
              <w:autoSpaceDE w:val="0"/>
              <w:autoSpaceDN w:val="0"/>
              <w:adjustRightInd w:val="0"/>
              <w:jc w:val="center"/>
              <w:rPr>
                <w:rFonts w:ascii="黑体" w:hAnsi="黑体" w:eastAsia="黑体" w:cs="Arial"/>
                <w:bCs/>
                <w:sz w:val="28"/>
                <w:szCs w:val="28"/>
              </w:rPr>
            </w:pPr>
          </w:p>
        </w:tc>
        <w:tc>
          <w:tcPr>
            <w:tcW w:w="850" w:type="dxa"/>
          </w:tcPr>
          <w:p>
            <w:pPr>
              <w:autoSpaceDE w:val="0"/>
              <w:autoSpaceDN w:val="0"/>
              <w:adjustRightInd w:val="0"/>
              <w:jc w:val="center"/>
              <w:rPr>
                <w:rFonts w:ascii="黑体" w:hAnsi="黑体" w:eastAsia="黑体" w:cs="Arial"/>
                <w:bCs/>
                <w:sz w:val="28"/>
                <w:szCs w:val="28"/>
              </w:rPr>
            </w:pPr>
          </w:p>
        </w:tc>
        <w:tc>
          <w:tcPr>
            <w:tcW w:w="851" w:type="dxa"/>
          </w:tcPr>
          <w:p>
            <w:pPr>
              <w:autoSpaceDE w:val="0"/>
              <w:autoSpaceDN w:val="0"/>
              <w:adjustRightInd w:val="0"/>
              <w:jc w:val="center"/>
              <w:rPr>
                <w:rFonts w:ascii="黑体" w:hAnsi="黑体" w:eastAsia="黑体" w:cs="Arial"/>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75" w:type="dxa"/>
            <w:vAlign w:val="center"/>
          </w:tcPr>
          <w:p>
            <w:pPr>
              <w:pStyle w:val="14"/>
              <w:jc w:val="center"/>
              <w:rPr>
                <w:color w:val="auto"/>
                <w:sz w:val="21"/>
                <w:szCs w:val="21"/>
              </w:rPr>
            </w:pPr>
            <w:r>
              <w:rPr>
                <w:color w:val="auto"/>
                <w:sz w:val="21"/>
                <w:szCs w:val="21"/>
              </w:rPr>
              <w:t>2</w:t>
            </w:r>
          </w:p>
        </w:tc>
        <w:tc>
          <w:tcPr>
            <w:tcW w:w="1901" w:type="dxa"/>
            <w:vAlign w:val="center"/>
          </w:tcPr>
          <w:p>
            <w:pPr>
              <w:pStyle w:val="14"/>
              <w:jc w:val="center"/>
              <w:rPr>
                <w:color w:val="auto"/>
                <w:sz w:val="21"/>
                <w:szCs w:val="21"/>
              </w:rPr>
            </w:pPr>
          </w:p>
        </w:tc>
        <w:tc>
          <w:tcPr>
            <w:tcW w:w="3628" w:type="dxa"/>
            <w:vAlign w:val="center"/>
          </w:tcPr>
          <w:p>
            <w:pPr>
              <w:pStyle w:val="14"/>
              <w:jc w:val="center"/>
              <w:rPr>
                <w:color w:val="auto"/>
                <w:sz w:val="21"/>
                <w:szCs w:val="21"/>
              </w:rPr>
            </w:pPr>
          </w:p>
        </w:tc>
        <w:tc>
          <w:tcPr>
            <w:tcW w:w="850" w:type="dxa"/>
            <w:vAlign w:val="center"/>
          </w:tcPr>
          <w:p>
            <w:pPr>
              <w:autoSpaceDE w:val="0"/>
              <w:autoSpaceDN w:val="0"/>
              <w:adjustRightInd w:val="0"/>
              <w:jc w:val="center"/>
              <w:rPr>
                <w:rFonts w:ascii="黑体" w:hAnsi="黑体" w:eastAsia="黑体" w:cs="Arial"/>
                <w:bCs/>
                <w:sz w:val="28"/>
                <w:szCs w:val="28"/>
              </w:rPr>
            </w:pPr>
          </w:p>
        </w:tc>
        <w:tc>
          <w:tcPr>
            <w:tcW w:w="851" w:type="dxa"/>
            <w:vAlign w:val="center"/>
          </w:tcPr>
          <w:p>
            <w:pPr>
              <w:autoSpaceDE w:val="0"/>
              <w:autoSpaceDN w:val="0"/>
              <w:adjustRightInd w:val="0"/>
              <w:jc w:val="center"/>
              <w:rPr>
                <w:rFonts w:ascii="黑体" w:hAnsi="黑体" w:eastAsia="黑体" w:cs="Arial"/>
                <w:bCs/>
                <w:sz w:val="28"/>
                <w:szCs w:val="28"/>
              </w:rPr>
            </w:pPr>
          </w:p>
        </w:tc>
        <w:tc>
          <w:tcPr>
            <w:tcW w:w="850" w:type="dxa"/>
            <w:vAlign w:val="center"/>
          </w:tcPr>
          <w:p>
            <w:pPr>
              <w:autoSpaceDE w:val="0"/>
              <w:autoSpaceDN w:val="0"/>
              <w:adjustRightInd w:val="0"/>
              <w:jc w:val="center"/>
              <w:rPr>
                <w:rFonts w:ascii="黑体" w:hAnsi="黑体" w:eastAsia="黑体" w:cs="Arial"/>
                <w:bCs/>
                <w:sz w:val="28"/>
                <w:szCs w:val="28"/>
              </w:rPr>
            </w:pPr>
          </w:p>
        </w:tc>
        <w:tc>
          <w:tcPr>
            <w:tcW w:w="851" w:type="dxa"/>
            <w:vAlign w:val="center"/>
          </w:tcPr>
          <w:p>
            <w:pPr>
              <w:autoSpaceDE w:val="0"/>
              <w:autoSpaceDN w:val="0"/>
              <w:adjustRightInd w:val="0"/>
              <w:jc w:val="center"/>
              <w:rPr>
                <w:rFonts w:ascii="黑体" w:hAnsi="黑体" w:eastAsia="黑体" w:cs="Arial"/>
                <w:bCs/>
                <w:sz w:val="28"/>
                <w:szCs w:val="28"/>
              </w:rPr>
            </w:pPr>
          </w:p>
        </w:tc>
        <w:tc>
          <w:tcPr>
            <w:tcW w:w="850" w:type="dxa"/>
            <w:vAlign w:val="center"/>
          </w:tcPr>
          <w:p>
            <w:pPr>
              <w:autoSpaceDE w:val="0"/>
              <w:autoSpaceDN w:val="0"/>
              <w:adjustRightInd w:val="0"/>
              <w:jc w:val="center"/>
              <w:rPr>
                <w:rFonts w:ascii="黑体" w:hAnsi="黑体" w:eastAsia="黑体" w:cs="Arial"/>
                <w:bCs/>
                <w:sz w:val="28"/>
                <w:szCs w:val="28"/>
              </w:rPr>
            </w:pPr>
          </w:p>
        </w:tc>
        <w:tc>
          <w:tcPr>
            <w:tcW w:w="851" w:type="dxa"/>
            <w:vAlign w:val="center"/>
          </w:tcPr>
          <w:p>
            <w:pPr>
              <w:autoSpaceDE w:val="0"/>
              <w:autoSpaceDN w:val="0"/>
              <w:adjustRightInd w:val="0"/>
              <w:jc w:val="center"/>
              <w:rPr>
                <w:rFonts w:ascii="黑体" w:hAnsi="黑体" w:eastAsia="黑体" w:cs="Arial"/>
                <w:bCs/>
                <w:sz w:val="28"/>
                <w:szCs w:val="28"/>
              </w:rPr>
            </w:pPr>
          </w:p>
        </w:tc>
        <w:tc>
          <w:tcPr>
            <w:tcW w:w="850" w:type="dxa"/>
          </w:tcPr>
          <w:p>
            <w:pPr>
              <w:autoSpaceDE w:val="0"/>
              <w:autoSpaceDN w:val="0"/>
              <w:adjustRightInd w:val="0"/>
              <w:jc w:val="center"/>
              <w:rPr>
                <w:rFonts w:ascii="黑体" w:hAnsi="黑体" w:eastAsia="黑体" w:cs="Arial"/>
                <w:bCs/>
                <w:sz w:val="28"/>
                <w:szCs w:val="28"/>
              </w:rPr>
            </w:pPr>
          </w:p>
        </w:tc>
        <w:tc>
          <w:tcPr>
            <w:tcW w:w="851" w:type="dxa"/>
          </w:tcPr>
          <w:p>
            <w:pPr>
              <w:autoSpaceDE w:val="0"/>
              <w:autoSpaceDN w:val="0"/>
              <w:adjustRightInd w:val="0"/>
              <w:jc w:val="center"/>
              <w:rPr>
                <w:rFonts w:ascii="黑体" w:hAnsi="黑体" w:eastAsia="黑体" w:cs="Arial"/>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204" w:type="dxa"/>
            <w:gridSpan w:val="3"/>
            <w:vAlign w:val="center"/>
          </w:tcPr>
          <w:p>
            <w:pPr>
              <w:pStyle w:val="14"/>
              <w:jc w:val="center"/>
              <w:rPr>
                <w:color w:val="auto"/>
                <w:sz w:val="21"/>
                <w:szCs w:val="21"/>
              </w:rPr>
            </w:pPr>
            <w:r>
              <w:rPr>
                <w:rFonts w:hint="eastAsia"/>
                <w:color w:val="auto"/>
                <w:sz w:val="21"/>
                <w:szCs w:val="21"/>
              </w:rPr>
              <w:t>其他因素评分合计</w:t>
            </w:r>
          </w:p>
        </w:tc>
        <w:tc>
          <w:tcPr>
            <w:tcW w:w="850" w:type="dxa"/>
            <w:vAlign w:val="center"/>
          </w:tcPr>
          <w:p>
            <w:pPr>
              <w:autoSpaceDE w:val="0"/>
              <w:autoSpaceDN w:val="0"/>
              <w:adjustRightInd w:val="0"/>
              <w:jc w:val="center"/>
              <w:rPr>
                <w:rFonts w:ascii="黑体" w:hAnsi="黑体" w:eastAsia="黑体" w:cs="Arial"/>
                <w:bCs/>
                <w:sz w:val="28"/>
                <w:szCs w:val="28"/>
              </w:rPr>
            </w:pPr>
          </w:p>
        </w:tc>
        <w:tc>
          <w:tcPr>
            <w:tcW w:w="851" w:type="dxa"/>
            <w:vAlign w:val="center"/>
          </w:tcPr>
          <w:p>
            <w:pPr>
              <w:autoSpaceDE w:val="0"/>
              <w:autoSpaceDN w:val="0"/>
              <w:adjustRightInd w:val="0"/>
              <w:jc w:val="center"/>
              <w:rPr>
                <w:rFonts w:ascii="黑体" w:hAnsi="黑体" w:eastAsia="黑体" w:cs="Arial"/>
                <w:bCs/>
                <w:sz w:val="28"/>
                <w:szCs w:val="28"/>
              </w:rPr>
            </w:pPr>
          </w:p>
        </w:tc>
        <w:tc>
          <w:tcPr>
            <w:tcW w:w="850" w:type="dxa"/>
            <w:vAlign w:val="center"/>
          </w:tcPr>
          <w:p>
            <w:pPr>
              <w:autoSpaceDE w:val="0"/>
              <w:autoSpaceDN w:val="0"/>
              <w:adjustRightInd w:val="0"/>
              <w:jc w:val="center"/>
              <w:rPr>
                <w:rFonts w:ascii="黑体" w:hAnsi="黑体" w:eastAsia="黑体" w:cs="Arial"/>
                <w:bCs/>
                <w:sz w:val="28"/>
                <w:szCs w:val="28"/>
              </w:rPr>
            </w:pPr>
          </w:p>
        </w:tc>
        <w:tc>
          <w:tcPr>
            <w:tcW w:w="851" w:type="dxa"/>
            <w:vAlign w:val="center"/>
          </w:tcPr>
          <w:p>
            <w:pPr>
              <w:autoSpaceDE w:val="0"/>
              <w:autoSpaceDN w:val="0"/>
              <w:adjustRightInd w:val="0"/>
              <w:jc w:val="center"/>
              <w:rPr>
                <w:rFonts w:ascii="黑体" w:hAnsi="黑体" w:eastAsia="黑体" w:cs="Arial"/>
                <w:bCs/>
                <w:sz w:val="28"/>
                <w:szCs w:val="28"/>
              </w:rPr>
            </w:pPr>
          </w:p>
        </w:tc>
        <w:tc>
          <w:tcPr>
            <w:tcW w:w="850" w:type="dxa"/>
            <w:vAlign w:val="center"/>
          </w:tcPr>
          <w:p>
            <w:pPr>
              <w:autoSpaceDE w:val="0"/>
              <w:autoSpaceDN w:val="0"/>
              <w:adjustRightInd w:val="0"/>
              <w:jc w:val="center"/>
              <w:rPr>
                <w:rFonts w:ascii="黑体" w:hAnsi="黑体" w:eastAsia="黑体" w:cs="Arial"/>
                <w:bCs/>
                <w:sz w:val="28"/>
                <w:szCs w:val="28"/>
              </w:rPr>
            </w:pPr>
          </w:p>
        </w:tc>
        <w:tc>
          <w:tcPr>
            <w:tcW w:w="851" w:type="dxa"/>
            <w:vAlign w:val="center"/>
          </w:tcPr>
          <w:p>
            <w:pPr>
              <w:autoSpaceDE w:val="0"/>
              <w:autoSpaceDN w:val="0"/>
              <w:adjustRightInd w:val="0"/>
              <w:jc w:val="center"/>
              <w:rPr>
                <w:rFonts w:ascii="黑体" w:hAnsi="黑体" w:eastAsia="黑体" w:cs="Arial"/>
                <w:bCs/>
                <w:sz w:val="28"/>
                <w:szCs w:val="28"/>
              </w:rPr>
            </w:pPr>
          </w:p>
        </w:tc>
        <w:tc>
          <w:tcPr>
            <w:tcW w:w="850" w:type="dxa"/>
          </w:tcPr>
          <w:p>
            <w:pPr>
              <w:autoSpaceDE w:val="0"/>
              <w:autoSpaceDN w:val="0"/>
              <w:adjustRightInd w:val="0"/>
              <w:jc w:val="center"/>
              <w:rPr>
                <w:rFonts w:ascii="黑体" w:hAnsi="黑体" w:eastAsia="黑体" w:cs="Arial"/>
                <w:bCs/>
                <w:sz w:val="28"/>
                <w:szCs w:val="28"/>
              </w:rPr>
            </w:pPr>
          </w:p>
        </w:tc>
        <w:tc>
          <w:tcPr>
            <w:tcW w:w="851" w:type="dxa"/>
          </w:tcPr>
          <w:p>
            <w:pPr>
              <w:autoSpaceDE w:val="0"/>
              <w:autoSpaceDN w:val="0"/>
              <w:adjustRightInd w:val="0"/>
              <w:jc w:val="center"/>
              <w:rPr>
                <w:rFonts w:ascii="黑体" w:hAnsi="黑体" w:eastAsia="黑体" w:cs="Arial"/>
                <w:bCs/>
                <w:sz w:val="28"/>
                <w:szCs w:val="28"/>
              </w:rPr>
            </w:pPr>
          </w:p>
        </w:tc>
      </w:tr>
    </w:tbl>
    <w:p>
      <w:pPr>
        <w:tabs>
          <w:tab w:val="left" w:pos="4680"/>
        </w:tabs>
        <w:spacing w:after="120" w:afterLines="50"/>
        <w:rPr>
          <w:rFonts w:ascii="Arial" w:hAnsi="Arial" w:cs="Arial"/>
          <w:sz w:val="24"/>
        </w:rPr>
      </w:pPr>
    </w:p>
    <w:p>
      <w:pPr>
        <w:tabs>
          <w:tab w:val="left" w:pos="4680"/>
        </w:tabs>
        <w:spacing w:after="120" w:afterLines="50"/>
        <w:rPr>
          <w:rFonts w:ascii="Arial" w:hAnsi="Arial" w:cs="Arial"/>
          <w:sz w:val="24"/>
        </w:rPr>
      </w:pPr>
      <w:r>
        <w:rPr>
          <w:rFonts w:hint="eastAsia" w:ascii="Arial" w:hAnsi="Arial" w:cs="Arial"/>
          <w:sz w:val="24"/>
        </w:rPr>
        <w:t>评标委员会成员</w:t>
      </w:r>
      <w:r>
        <w:rPr>
          <w:rFonts w:hint="eastAsia" w:ascii="宋体" w:hAnsi="宋体" w:cs="Arial"/>
          <w:sz w:val="24"/>
          <w:u w:val="single"/>
        </w:rPr>
        <w:t>（</w:t>
      </w:r>
      <w:r>
        <w:rPr>
          <w:rFonts w:hint="eastAsia" w:ascii="宋体" w:hAnsi="宋体" w:cs="Arial"/>
          <w:sz w:val="24"/>
        </w:rPr>
        <w:t>手写签名</w:t>
      </w:r>
      <w:r>
        <w:rPr>
          <w:rFonts w:hint="eastAsia" w:ascii="宋体" w:hAnsi="宋体" w:cs="Arial"/>
          <w:sz w:val="24"/>
          <w:u w:val="single"/>
        </w:rPr>
        <w:t>）</w:t>
      </w:r>
      <w:r>
        <w:rPr>
          <w:rFonts w:ascii="宋体" w:hAnsi="宋体" w:cs="Arial"/>
          <w:sz w:val="24"/>
          <w:u w:val="single"/>
        </w:rPr>
        <w:t xml:space="preserve">     </w:t>
      </w:r>
      <w:r>
        <w:rPr>
          <w:rFonts w:hint="eastAsia" w:ascii="Arial" w:hAnsi="Arial" w:cs="Arial"/>
          <w:sz w:val="24"/>
        </w:rPr>
        <w:t>：</w:t>
      </w:r>
      <w:r>
        <w:rPr>
          <w:rFonts w:ascii="Arial" w:hAnsi="Arial" w:cs="Arial"/>
          <w:sz w:val="24"/>
        </w:rPr>
        <w:t xml:space="preserve">                                               </w:t>
      </w:r>
      <w:r>
        <w:rPr>
          <w:rFonts w:hint="eastAsia" w:ascii="Arial" w:hAnsi="Arial" w:cs="Arial"/>
          <w:sz w:val="24"/>
        </w:rPr>
        <w:t>日期：</w:t>
      </w:r>
      <w:r>
        <w:rPr>
          <w:rFonts w:ascii="Arial" w:hAnsi="Arial" w:cs="Arial"/>
          <w:sz w:val="24"/>
        </w:rPr>
        <w:t xml:space="preserve">   </w:t>
      </w:r>
      <w:r>
        <w:rPr>
          <w:rFonts w:hint="eastAsia" w:ascii="Arial" w:hAnsi="Arial" w:cs="Arial"/>
          <w:sz w:val="24"/>
        </w:rPr>
        <w:t>年</w:t>
      </w:r>
      <w:r>
        <w:rPr>
          <w:rFonts w:ascii="Arial" w:hAnsi="Arial" w:cs="Arial"/>
          <w:sz w:val="24"/>
        </w:rPr>
        <w:t xml:space="preserve">    </w:t>
      </w:r>
      <w:r>
        <w:rPr>
          <w:rFonts w:hint="eastAsia" w:ascii="Arial" w:hAnsi="Arial" w:cs="Arial"/>
          <w:sz w:val="24"/>
        </w:rPr>
        <w:t>月</w:t>
      </w:r>
      <w:r>
        <w:rPr>
          <w:rFonts w:ascii="Arial" w:hAnsi="Arial" w:cs="Arial"/>
          <w:sz w:val="24"/>
        </w:rPr>
        <w:t xml:space="preserve">   </w:t>
      </w:r>
      <w:r>
        <w:rPr>
          <w:rFonts w:hint="eastAsia" w:ascii="Arial" w:hAnsi="Arial" w:cs="Arial"/>
          <w:sz w:val="24"/>
        </w:rPr>
        <w:t>日</w:t>
      </w:r>
    </w:p>
    <w:p>
      <w:pPr>
        <w:tabs>
          <w:tab w:val="left" w:pos="4680"/>
        </w:tabs>
        <w:spacing w:after="120" w:afterLines="50"/>
        <w:rPr>
          <w:rFonts w:ascii="Arial" w:hAnsi="Arial" w:cs="Arial"/>
          <w:sz w:val="24"/>
        </w:rPr>
      </w:pPr>
      <w:r>
        <w:rPr>
          <w:rFonts w:hint="eastAsia" w:ascii="Arial" w:hAnsi="Arial" w:cs="Arial"/>
          <w:bCs/>
          <w:szCs w:val="21"/>
        </w:rPr>
        <w:t>备注：得分合计保留两位小数。</w:t>
      </w:r>
    </w:p>
    <w:p>
      <w:pPr>
        <w:tabs>
          <w:tab w:val="left" w:pos="4680"/>
        </w:tabs>
        <w:spacing w:after="120" w:afterLines="50"/>
        <w:rPr>
          <w:rFonts w:ascii="Arial" w:hAnsi="Arial" w:cs="Arial"/>
          <w:sz w:val="24"/>
        </w:rPr>
      </w:pPr>
    </w:p>
    <w:p>
      <w:pPr>
        <w:tabs>
          <w:tab w:val="left" w:pos="4680"/>
        </w:tabs>
        <w:spacing w:after="120" w:afterLines="50"/>
        <w:rPr>
          <w:rFonts w:ascii="Arial" w:hAnsi="Arial" w:cs="Arial"/>
          <w:sz w:val="24"/>
        </w:rPr>
      </w:pPr>
    </w:p>
    <w:p>
      <w:pPr>
        <w:tabs>
          <w:tab w:val="left" w:pos="4680"/>
        </w:tabs>
        <w:spacing w:after="120" w:afterLines="50"/>
        <w:rPr>
          <w:rFonts w:ascii="Arial" w:hAnsi="Arial" w:cs="Arial"/>
          <w:sz w:val="24"/>
        </w:rPr>
      </w:pPr>
    </w:p>
    <w:p>
      <w:pPr>
        <w:tabs>
          <w:tab w:val="left" w:pos="4680"/>
        </w:tabs>
        <w:spacing w:after="120" w:afterLines="50"/>
        <w:rPr>
          <w:rFonts w:ascii="Arial" w:hAnsi="Arial" w:cs="Arial"/>
          <w:sz w:val="24"/>
        </w:rPr>
      </w:pPr>
    </w:p>
    <w:p>
      <w:pPr>
        <w:tabs>
          <w:tab w:val="left" w:pos="4680"/>
        </w:tabs>
        <w:spacing w:after="120" w:afterLines="50"/>
        <w:rPr>
          <w:rFonts w:ascii="Arial" w:hAnsi="Arial" w:cs="Arial"/>
          <w:sz w:val="24"/>
        </w:rPr>
      </w:pPr>
    </w:p>
    <w:p>
      <w:pPr>
        <w:tabs>
          <w:tab w:val="left" w:pos="4680"/>
        </w:tabs>
        <w:spacing w:after="120" w:afterLines="50"/>
        <w:rPr>
          <w:rFonts w:ascii="Arial" w:hAnsi="Arial" w:cs="Arial"/>
          <w:sz w:val="24"/>
        </w:rPr>
      </w:pPr>
    </w:p>
    <w:p>
      <w:pPr>
        <w:tabs>
          <w:tab w:val="left" w:pos="4680"/>
        </w:tabs>
        <w:spacing w:after="120" w:afterLines="50"/>
        <w:rPr>
          <w:rFonts w:ascii="Arial" w:hAnsi="Arial" w:cs="Arial"/>
          <w:sz w:val="24"/>
        </w:rPr>
      </w:pPr>
    </w:p>
    <w:p>
      <w:pPr>
        <w:tabs>
          <w:tab w:val="left" w:pos="4680"/>
        </w:tabs>
        <w:spacing w:after="120" w:afterLines="50"/>
        <w:rPr>
          <w:rFonts w:ascii="Arial" w:hAnsi="Arial" w:cs="Arial"/>
          <w:sz w:val="24"/>
        </w:rPr>
      </w:pPr>
    </w:p>
    <w:p>
      <w:pPr>
        <w:pStyle w:val="5"/>
        <w:ind w:left="720" w:hanging="720"/>
        <w:jc w:val="left"/>
        <w:rPr>
          <w:rFonts w:ascii="宋体"/>
          <w:sz w:val="28"/>
          <w:szCs w:val="24"/>
        </w:rPr>
      </w:pPr>
      <w:r>
        <w:rPr>
          <w:rFonts w:hint="eastAsia" w:ascii="宋体" w:hAnsi="宋体"/>
          <w:sz w:val="28"/>
          <w:szCs w:val="24"/>
        </w:rPr>
        <w:t>附表</w:t>
      </w:r>
      <w:r>
        <w:rPr>
          <w:rFonts w:ascii="宋体" w:hAnsi="宋体"/>
          <w:sz w:val="28"/>
          <w:szCs w:val="24"/>
        </w:rPr>
        <w:t>-1</w:t>
      </w:r>
      <w:r>
        <w:rPr>
          <w:rFonts w:hint="eastAsia" w:ascii="宋体" w:hAnsi="宋体"/>
          <w:sz w:val="28"/>
          <w:szCs w:val="24"/>
        </w:rPr>
        <w:t>3</w:t>
      </w:r>
      <w:r>
        <w:rPr>
          <w:rFonts w:ascii="宋体" w:hAnsi="宋体"/>
          <w:sz w:val="28"/>
          <w:szCs w:val="24"/>
        </w:rPr>
        <w:t>-1</w:t>
      </w:r>
      <w:r>
        <w:rPr>
          <w:rFonts w:hint="eastAsia" w:ascii="宋体" w:hAnsi="宋体"/>
          <w:sz w:val="28"/>
          <w:szCs w:val="24"/>
        </w:rPr>
        <w:t>：投标报价评分记录表</w:t>
      </w:r>
      <w:r>
        <w:rPr>
          <w:rFonts w:ascii="宋体" w:hAnsi="宋体"/>
          <w:sz w:val="28"/>
          <w:szCs w:val="24"/>
        </w:rPr>
        <w:t>(</w:t>
      </w:r>
      <w:r>
        <w:rPr>
          <w:rFonts w:hint="eastAsia" w:ascii="宋体" w:hAnsi="宋体"/>
          <w:sz w:val="28"/>
          <w:szCs w:val="24"/>
        </w:rPr>
        <w:t>适用于区间法</w:t>
      </w:r>
      <w:r>
        <w:rPr>
          <w:rFonts w:ascii="宋体" w:hAnsi="宋体"/>
          <w:sz w:val="28"/>
          <w:szCs w:val="24"/>
        </w:rPr>
        <w:t>)</w:t>
      </w:r>
    </w:p>
    <w:p>
      <w:pPr>
        <w:spacing w:after="120" w:afterLines="50"/>
        <w:jc w:val="center"/>
        <w:rPr>
          <w:rFonts w:ascii="黑体" w:hAnsi="黑体" w:eastAsia="黑体" w:cs="Arial"/>
          <w:bCs/>
          <w:sz w:val="28"/>
          <w:szCs w:val="28"/>
        </w:rPr>
      </w:pPr>
      <w:r>
        <w:rPr>
          <w:rFonts w:hint="eastAsia" w:ascii="黑体" w:hAnsi="黑体" w:eastAsia="黑体" w:cs="Arial"/>
          <w:bCs/>
          <w:sz w:val="28"/>
          <w:szCs w:val="28"/>
        </w:rPr>
        <w:t>投标报价评分记录表</w:t>
      </w:r>
      <w:r>
        <w:rPr>
          <w:rFonts w:ascii="黑体" w:hAnsi="黑体" w:eastAsia="黑体" w:cs="Arial"/>
          <w:bCs/>
          <w:sz w:val="28"/>
          <w:szCs w:val="28"/>
        </w:rPr>
        <w:t>(</w:t>
      </w:r>
      <w:r>
        <w:rPr>
          <w:rFonts w:hint="eastAsia" w:ascii="黑体" w:hAnsi="黑体" w:eastAsia="黑体" w:cs="Arial"/>
          <w:bCs/>
          <w:sz w:val="28"/>
          <w:szCs w:val="28"/>
        </w:rPr>
        <w:t>适用于区间法</w:t>
      </w:r>
      <w:r>
        <w:rPr>
          <w:rFonts w:ascii="黑体" w:hAnsi="黑体" w:eastAsia="黑体" w:cs="Arial"/>
          <w:bCs/>
          <w:sz w:val="28"/>
          <w:szCs w:val="28"/>
        </w:rPr>
        <w:t>)</w:t>
      </w:r>
    </w:p>
    <w:p>
      <w:pPr>
        <w:pStyle w:val="30"/>
        <w:tabs>
          <w:tab w:val="left" w:pos="4680"/>
        </w:tabs>
        <w:spacing w:line="240" w:lineRule="atLeast"/>
        <w:jc w:val="left"/>
        <w:rPr>
          <w:rFonts w:ascii="Arial" w:hAnsi="Arial" w:cs="Arial"/>
          <w:b/>
          <w:sz w:val="21"/>
          <w:szCs w:val="21"/>
        </w:rPr>
      </w:pPr>
      <w:r>
        <w:rPr>
          <w:rFonts w:hint="eastAsia" w:ascii="Arial" w:hAnsi="Arial" w:cs="Arial"/>
          <w:bCs/>
          <w:szCs w:val="21"/>
        </w:rPr>
        <w:t>工程名称：</w:t>
      </w:r>
      <w:r>
        <w:rPr>
          <w:rFonts w:ascii="Arial" w:hAnsi="Arial" w:cs="Arial"/>
          <w:bCs/>
          <w:szCs w:val="21"/>
          <w:u w:val="single"/>
        </w:rPr>
        <w:t xml:space="preserve">        </w:t>
      </w:r>
      <w:r>
        <w:rPr>
          <w:rFonts w:ascii="Arial" w:hAnsi="Arial" w:cs="Arial"/>
          <w:b/>
          <w:szCs w:val="21"/>
        </w:rPr>
        <w:t xml:space="preserve">                                          </w:t>
      </w:r>
    </w:p>
    <w:tbl>
      <w:tblPr>
        <w:tblStyle w:val="49"/>
        <w:tblW w:w="14220"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720"/>
        <w:gridCol w:w="784"/>
        <w:gridCol w:w="784"/>
        <w:gridCol w:w="784"/>
        <w:gridCol w:w="785"/>
        <w:gridCol w:w="784"/>
        <w:gridCol w:w="784"/>
        <w:gridCol w:w="785"/>
        <w:gridCol w:w="784"/>
        <w:gridCol w:w="784"/>
        <w:gridCol w:w="784"/>
        <w:gridCol w:w="785"/>
        <w:gridCol w:w="784"/>
        <w:gridCol w:w="784"/>
        <w:gridCol w:w="7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3240" w:type="dxa"/>
            <w:gridSpan w:val="2"/>
            <w:vMerge w:val="restart"/>
            <w:tcBorders>
              <w:top w:val="single" w:color="auto" w:sz="8" w:space="0"/>
            </w:tcBorders>
            <w:vAlign w:val="center"/>
          </w:tcPr>
          <w:p>
            <w:pPr>
              <w:spacing w:line="360" w:lineRule="auto"/>
              <w:jc w:val="center"/>
              <w:rPr>
                <w:rFonts w:ascii="Arial" w:hAnsi="Arial" w:cs="Arial"/>
                <w:bCs/>
                <w:szCs w:val="21"/>
              </w:rPr>
            </w:pPr>
            <w:r>
              <w:rPr>
                <w:rFonts w:hint="eastAsia" w:ascii="Arial" w:hAnsi="Arial" w:cs="Arial"/>
                <w:bCs/>
                <w:szCs w:val="21"/>
              </w:rPr>
              <w:t>评分标准</w:t>
            </w:r>
          </w:p>
        </w:tc>
        <w:tc>
          <w:tcPr>
            <w:tcW w:w="10980" w:type="dxa"/>
            <w:gridSpan w:val="14"/>
            <w:tcBorders>
              <w:top w:val="single" w:color="auto" w:sz="8" w:space="0"/>
            </w:tcBorders>
            <w:vAlign w:val="center"/>
          </w:tcPr>
          <w:p>
            <w:pPr>
              <w:spacing w:line="360" w:lineRule="auto"/>
              <w:jc w:val="center"/>
              <w:rPr>
                <w:rFonts w:ascii="Arial" w:hAnsi="Arial" w:cs="Arial"/>
                <w:bCs/>
                <w:szCs w:val="21"/>
              </w:rPr>
            </w:pPr>
            <w:r>
              <w:rPr>
                <w:rFonts w:hint="eastAsia" w:ascii="Arial" w:hAnsi="Arial" w:cs="Arial"/>
                <w:szCs w:val="21"/>
              </w:rPr>
              <w:t>投标人名称及评审得分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3240" w:type="dxa"/>
            <w:gridSpan w:val="2"/>
            <w:vMerge w:val="continue"/>
          </w:tcPr>
          <w:p>
            <w:pPr>
              <w:spacing w:line="360" w:lineRule="auto"/>
              <w:jc w:val="center"/>
              <w:rPr>
                <w:rFonts w:ascii="Arial" w:hAnsi="Arial" w:cs="Arial"/>
                <w:bCs/>
                <w:szCs w:val="21"/>
              </w:rPr>
            </w:pPr>
          </w:p>
        </w:tc>
        <w:tc>
          <w:tcPr>
            <w:tcW w:w="1568" w:type="dxa"/>
            <w:gridSpan w:val="2"/>
            <w:vAlign w:val="center"/>
          </w:tcPr>
          <w:p>
            <w:pPr>
              <w:spacing w:line="360" w:lineRule="auto"/>
              <w:jc w:val="center"/>
              <w:rPr>
                <w:rFonts w:ascii="Arial" w:hAnsi="Arial" w:cs="Arial"/>
                <w:szCs w:val="21"/>
              </w:rPr>
            </w:pPr>
          </w:p>
        </w:tc>
        <w:tc>
          <w:tcPr>
            <w:tcW w:w="1569" w:type="dxa"/>
            <w:gridSpan w:val="2"/>
            <w:vAlign w:val="center"/>
          </w:tcPr>
          <w:p>
            <w:pPr>
              <w:spacing w:line="360" w:lineRule="auto"/>
              <w:jc w:val="center"/>
              <w:rPr>
                <w:rFonts w:ascii="Arial" w:hAnsi="Arial" w:cs="Arial"/>
                <w:szCs w:val="21"/>
              </w:rPr>
            </w:pPr>
          </w:p>
        </w:tc>
        <w:tc>
          <w:tcPr>
            <w:tcW w:w="1568" w:type="dxa"/>
            <w:gridSpan w:val="2"/>
            <w:vAlign w:val="center"/>
          </w:tcPr>
          <w:p>
            <w:pPr>
              <w:spacing w:line="360" w:lineRule="auto"/>
              <w:jc w:val="center"/>
              <w:rPr>
                <w:rFonts w:ascii="Arial" w:hAnsi="Arial" w:cs="Arial"/>
                <w:szCs w:val="21"/>
              </w:rPr>
            </w:pPr>
          </w:p>
        </w:tc>
        <w:tc>
          <w:tcPr>
            <w:tcW w:w="1569" w:type="dxa"/>
            <w:gridSpan w:val="2"/>
            <w:vAlign w:val="center"/>
          </w:tcPr>
          <w:p>
            <w:pPr>
              <w:spacing w:line="360" w:lineRule="auto"/>
              <w:jc w:val="center"/>
              <w:rPr>
                <w:rFonts w:ascii="Arial" w:hAnsi="Arial" w:cs="Arial"/>
                <w:szCs w:val="21"/>
              </w:rPr>
            </w:pPr>
          </w:p>
        </w:tc>
        <w:tc>
          <w:tcPr>
            <w:tcW w:w="1568" w:type="dxa"/>
            <w:gridSpan w:val="2"/>
            <w:vAlign w:val="center"/>
          </w:tcPr>
          <w:p>
            <w:pPr>
              <w:spacing w:line="360" w:lineRule="auto"/>
              <w:jc w:val="center"/>
              <w:rPr>
                <w:rFonts w:ascii="Arial" w:hAnsi="Arial" w:cs="Arial"/>
                <w:szCs w:val="21"/>
              </w:rPr>
            </w:pPr>
          </w:p>
        </w:tc>
        <w:tc>
          <w:tcPr>
            <w:tcW w:w="1569" w:type="dxa"/>
            <w:gridSpan w:val="2"/>
            <w:vAlign w:val="center"/>
          </w:tcPr>
          <w:p>
            <w:pPr>
              <w:spacing w:line="360" w:lineRule="auto"/>
              <w:jc w:val="center"/>
              <w:rPr>
                <w:rFonts w:ascii="Arial" w:hAnsi="Arial" w:cs="Arial"/>
                <w:szCs w:val="21"/>
              </w:rPr>
            </w:pPr>
          </w:p>
        </w:tc>
        <w:tc>
          <w:tcPr>
            <w:tcW w:w="1569" w:type="dxa"/>
            <w:gridSpan w:val="2"/>
            <w:vAlign w:val="center"/>
          </w:tcPr>
          <w:p>
            <w:pPr>
              <w:spacing w:line="360" w:lineRule="auto"/>
              <w:jc w:val="center"/>
              <w:rPr>
                <w:rFonts w:ascii="Arial" w:hAnsi="Arial" w:cs="Arial"/>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2520" w:type="dxa"/>
          </w:tcPr>
          <w:p>
            <w:pPr>
              <w:spacing w:line="360" w:lineRule="auto"/>
              <w:jc w:val="center"/>
              <w:rPr>
                <w:rFonts w:ascii="Arial" w:hAnsi="Arial" w:cs="Arial"/>
                <w:bCs/>
                <w:szCs w:val="21"/>
              </w:rPr>
            </w:pPr>
            <w:r>
              <w:rPr>
                <w:rFonts w:ascii="Arial" w:hAnsi="Arial" w:cs="Arial"/>
                <w:bCs/>
                <w:szCs w:val="21"/>
              </w:rPr>
              <w:t>β</w:t>
            </w:r>
            <w:r>
              <w:rPr>
                <w:rFonts w:hint="eastAsia" w:ascii="Arial" w:hAnsi="Arial" w:cs="Arial"/>
                <w:bCs/>
                <w:szCs w:val="21"/>
              </w:rPr>
              <w:t>值分布</w:t>
            </w:r>
          </w:p>
        </w:tc>
        <w:tc>
          <w:tcPr>
            <w:tcW w:w="720" w:type="dxa"/>
          </w:tcPr>
          <w:p>
            <w:pPr>
              <w:spacing w:line="360" w:lineRule="auto"/>
              <w:rPr>
                <w:rFonts w:ascii="Arial" w:hAnsi="Arial" w:cs="Arial"/>
                <w:bCs/>
                <w:szCs w:val="21"/>
              </w:rPr>
            </w:pPr>
            <w:r>
              <w:rPr>
                <w:rFonts w:hint="eastAsia" w:ascii="Arial" w:hAnsi="Arial" w:cs="Arial"/>
                <w:bCs/>
                <w:szCs w:val="21"/>
              </w:rPr>
              <w:t>分值</w:t>
            </w:r>
          </w:p>
        </w:tc>
        <w:tc>
          <w:tcPr>
            <w:tcW w:w="784" w:type="dxa"/>
          </w:tcPr>
          <w:p>
            <w:pPr>
              <w:widowControl/>
              <w:spacing w:line="360" w:lineRule="auto"/>
              <w:jc w:val="center"/>
              <w:rPr>
                <w:rFonts w:ascii="Arial" w:hAnsi="Arial" w:cs="Arial"/>
                <w:bCs/>
                <w:szCs w:val="21"/>
              </w:rPr>
            </w:pPr>
            <w:r>
              <w:rPr>
                <w:rFonts w:ascii="Arial" w:hAnsi="Arial" w:cs="Arial"/>
                <w:bCs/>
                <w:szCs w:val="21"/>
              </w:rPr>
              <w:t>β</w:t>
            </w:r>
          </w:p>
        </w:tc>
        <w:tc>
          <w:tcPr>
            <w:tcW w:w="784" w:type="dxa"/>
          </w:tcPr>
          <w:p>
            <w:pPr>
              <w:widowControl/>
              <w:spacing w:line="360" w:lineRule="auto"/>
              <w:jc w:val="center"/>
              <w:rPr>
                <w:rFonts w:ascii="Arial" w:hAnsi="Arial" w:cs="Arial"/>
                <w:bCs/>
                <w:szCs w:val="21"/>
              </w:rPr>
            </w:pPr>
            <w:r>
              <w:rPr>
                <w:rFonts w:hint="eastAsia" w:ascii="Arial" w:hAnsi="Arial" w:cs="Arial"/>
                <w:bCs/>
                <w:szCs w:val="21"/>
              </w:rPr>
              <w:t>得分</w:t>
            </w:r>
          </w:p>
        </w:tc>
        <w:tc>
          <w:tcPr>
            <w:tcW w:w="784" w:type="dxa"/>
          </w:tcPr>
          <w:p>
            <w:pPr>
              <w:widowControl/>
              <w:spacing w:line="360" w:lineRule="auto"/>
              <w:jc w:val="center"/>
              <w:rPr>
                <w:rFonts w:ascii="Arial" w:hAnsi="Arial" w:cs="Arial"/>
                <w:bCs/>
                <w:szCs w:val="21"/>
              </w:rPr>
            </w:pPr>
            <w:r>
              <w:rPr>
                <w:rFonts w:ascii="Arial" w:hAnsi="Arial" w:cs="Arial"/>
                <w:bCs/>
                <w:szCs w:val="21"/>
              </w:rPr>
              <w:t>β</w:t>
            </w:r>
          </w:p>
        </w:tc>
        <w:tc>
          <w:tcPr>
            <w:tcW w:w="785" w:type="dxa"/>
          </w:tcPr>
          <w:p>
            <w:pPr>
              <w:widowControl/>
              <w:spacing w:line="360" w:lineRule="auto"/>
              <w:jc w:val="center"/>
              <w:rPr>
                <w:rFonts w:ascii="Arial" w:hAnsi="Arial" w:cs="Arial"/>
                <w:bCs/>
                <w:szCs w:val="21"/>
              </w:rPr>
            </w:pPr>
            <w:r>
              <w:rPr>
                <w:rFonts w:hint="eastAsia" w:ascii="Arial" w:hAnsi="Arial" w:cs="Arial"/>
                <w:bCs/>
                <w:szCs w:val="21"/>
              </w:rPr>
              <w:t>得分</w:t>
            </w:r>
          </w:p>
        </w:tc>
        <w:tc>
          <w:tcPr>
            <w:tcW w:w="784" w:type="dxa"/>
          </w:tcPr>
          <w:p>
            <w:pPr>
              <w:widowControl/>
              <w:spacing w:line="360" w:lineRule="auto"/>
              <w:jc w:val="center"/>
              <w:rPr>
                <w:rFonts w:ascii="Arial" w:hAnsi="Arial" w:cs="Arial"/>
                <w:bCs/>
                <w:szCs w:val="21"/>
              </w:rPr>
            </w:pPr>
            <w:r>
              <w:rPr>
                <w:rFonts w:ascii="Arial" w:hAnsi="Arial" w:cs="Arial"/>
                <w:bCs/>
                <w:szCs w:val="21"/>
              </w:rPr>
              <w:t>β</w:t>
            </w:r>
          </w:p>
        </w:tc>
        <w:tc>
          <w:tcPr>
            <w:tcW w:w="784" w:type="dxa"/>
          </w:tcPr>
          <w:p>
            <w:pPr>
              <w:widowControl/>
              <w:spacing w:line="360" w:lineRule="auto"/>
              <w:jc w:val="center"/>
              <w:rPr>
                <w:rFonts w:ascii="Arial" w:hAnsi="Arial" w:cs="Arial"/>
                <w:bCs/>
                <w:szCs w:val="21"/>
              </w:rPr>
            </w:pPr>
            <w:r>
              <w:rPr>
                <w:rFonts w:hint="eastAsia" w:ascii="Arial" w:hAnsi="Arial" w:cs="Arial"/>
                <w:bCs/>
                <w:szCs w:val="21"/>
              </w:rPr>
              <w:t>得分</w:t>
            </w:r>
          </w:p>
        </w:tc>
        <w:tc>
          <w:tcPr>
            <w:tcW w:w="785" w:type="dxa"/>
          </w:tcPr>
          <w:p>
            <w:pPr>
              <w:widowControl/>
              <w:spacing w:line="360" w:lineRule="auto"/>
              <w:jc w:val="center"/>
              <w:rPr>
                <w:rFonts w:ascii="Arial" w:hAnsi="Arial" w:cs="Arial"/>
                <w:bCs/>
                <w:szCs w:val="21"/>
              </w:rPr>
            </w:pPr>
            <w:r>
              <w:rPr>
                <w:rFonts w:ascii="Arial" w:hAnsi="Arial" w:cs="Arial"/>
                <w:bCs/>
                <w:szCs w:val="21"/>
              </w:rPr>
              <w:t>β</w:t>
            </w:r>
          </w:p>
        </w:tc>
        <w:tc>
          <w:tcPr>
            <w:tcW w:w="784" w:type="dxa"/>
          </w:tcPr>
          <w:p>
            <w:pPr>
              <w:widowControl/>
              <w:spacing w:line="360" w:lineRule="auto"/>
              <w:jc w:val="center"/>
              <w:rPr>
                <w:rFonts w:ascii="Arial" w:hAnsi="Arial" w:cs="Arial"/>
                <w:bCs/>
                <w:szCs w:val="21"/>
              </w:rPr>
            </w:pPr>
            <w:r>
              <w:rPr>
                <w:rFonts w:hint="eastAsia" w:ascii="Arial" w:hAnsi="Arial" w:cs="Arial"/>
                <w:bCs/>
                <w:szCs w:val="21"/>
              </w:rPr>
              <w:t>得分</w:t>
            </w:r>
          </w:p>
        </w:tc>
        <w:tc>
          <w:tcPr>
            <w:tcW w:w="784" w:type="dxa"/>
          </w:tcPr>
          <w:p>
            <w:pPr>
              <w:widowControl/>
              <w:spacing w:line="360" w:lineRule="auto"/>
              <w:jc w:val="center"/>
              <w:rPr>
                <w:rFonts w:ascii="Arial" w:hAnsi="Arial" w:cs="Arial"/>
                <w:bCs/>
                <w:szCs w:val="21"/>
              </w:rPr>
            </w:pPr>
            <w:r>
              <w:rPr>
                <w:rFonts w:ascii="Arial" w:hAnsi="Arial" w:cs="Arial"/>
                <w:bCs/>
                <w:szCs w:val="21"/>
              </w:rPr>
              <w:t>β</w:t>
            </w:r>
          </w:p>
        </w:tc>
        <w:tc>
          <w:tcPr>
            <w:tcW w:w="784" w:type="dxa"/>
          </w:tcPr>
          <w:p>
            <w:pPr>
              <w:widowControl/>
              <w:spacing w:line="360" w:lineRule="auto"/>
              <w:jc w:val="center"/>
              <w:rPr>
                <w:rFonts w:ascii="Arial" w:hAnsi="Arial" w:cs="Arial"/>
                <w:bCs/>
                <w:szCs w:val="21"/>
              </w:rPr>
            </w:pPr>
            <w:r>
              <w:rPr>
                <w:rFonts w:hint="eastAsia" w:ascii="Arial" w:hAnsi="Arial" w:cs="Arial"/>
                <w:bCs/>
                <w:szCs w:val="21"/>
              </w:rPr>
              <w:t>得分</w:t>
            </w:r>
          </w:p>
        </w:tc>
        <w:tc>
          <w:tcPr>
            <w:tcW w:w="785" w:type="dxa"/>
          </w:tcPr>
          <w:p>
            <w:pPr>
              <w:widowControl/>
              <w:spacing w:line="360" w:lineRule="auto"/>
              <w:jc w:val="center"/>
              <w:rPr>
                <w:rFonts w:ascii="Arial" w:hAnsi="Arial" w:cs="Arial"/>
                <w:bCs/>
                <w:szCs w:val="21"/>
              </w:rPr>
            </w:pPr>
            <w:r>
              <w:rPr>
                <w:rFonts w:ascii="Arial" w:hAnsi="Arial" w:cs="Arial"/>
                <w:bCs/>
                <w:szCs w:val="21"/>
              </w:rPr>
              <w:t>β</w:t>
            </w:r>
          </w:p>
        </w:tc>
        <w:tc>
          <w:tcPr>
            <w:tcW w:w="784" w:type="dxa"/>
          </w:tcPr>
          <w:p>
            <w:pPr>
              <w:widowControl/>
              <w:spacing w:line="360" w:lineRule="auto"/>
              <w:jc w:val="center"/>
              <w:rPr>
                <w:rFonts w:ascii="Arial" w:hAnsi="Arial" w:cs="Arial"/>
                <w:bCs/>
                <w:szCs w:val="21"/>
              </w:rPr>
            </w:pPr>
            <w:r>
              <w:rPr>
                <w:rFonts w:hint="eastAsia" w:ascii="Arial" w:hAnsi="Arial" w:cs="Arial"/>
                <w:bCs/>
                <w:szCs w:val="21"/>
              </w:rPr>
              <w:t>得分</w:t>
            </w:r>
          </w:p>
        </w:tc>
        <w:tc>
          <w:tcPr>
            <w:tcW w:w="784" w:type="dxa"/>
          </w:tcPr>
          <w:p>
            <w:pPr>
              <w:widowControl/>
              <w:spacing w:line="360" w:lineRule="auto"/>
              <w:jc w:val="center"/>
              <w:rPr>
                <w:rFonts w:ascii="Arial" w:hAnsi="Arial" w:cs="Arial"/>
                <w:bCs/>
                <w:szCs w:val="21"/>
              </w:rPr>
            </w:pPr>
            <w:r>
              <w:rPr>
                <w:rFonts w:ascii="Arial" w:hAnsi="Arial" w:cs="Arial"/>
                <w:bCs/>
                <w:szCs w:val="21"/>
              </w:rPr>
              <w:t>β</w:t>
            </w:r>
          </w:p>
        </w:tc>
        <w:tc>
          <w:tcPr>
            <w:tcW w:w="785" w:type="dxa"/>
          </w:tcPr>
          <w:p>
            <w:pPr>
              <w:widowControl/>
              <w:spacing w:line="360" w:lineRule="auto"/>
              <w:jc w:val="center"/>
              <w:rPr>
                <w:rFonts w:ascii="Arial" w:hAnsi="Arial" w:cs="Arial"/>
                <w:bCs/>
                <w:szCs w:val="21"/>
              </w:rPr>
            </w:pPr>
            <w:r>
              <w:rPr>
                <w:rFonts w:hint="eastAsia" w:ascii="Arial" w:hAnsi="Arial" w:cs="Arial"/>
                <w:bCs/>
                <w:szCs w:val="21"/>
              </w:rPr>
              <w:t>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tcPr>
          <w:p>
            <w:pPr>
              <w:spacing w:line="360" w:lineRule="auto"/>
              <w:rPr>
                <w:rFonts w:ascii="Arial" w:hAnsi="Arial" w:cs="Arial"/>
                <w:bCs/>
                <w:szCs w:val="21"/>
              </w:rPr>
            </w:pPr>
            <w:r>
              <w:rPr>
                <w:rFonts w:ascii="Arial" w:hAnsi="Arial" w:cs="Arial"/>
                <w:bCs/>
                <w:szCs w:val="21"/>
              </w:rPr>
              <w:t xml:space="preserve">     β</w:t>
            </w:r>
            <w:r>
              <w:rPr>
                <w:rFonts w:hint="eastAsia" w:ascii="Arial" w:hAnsi="Arial" w:cs="Arial"/>
                <w:bCs/>
                <w:szCs w:val="21"/>
              </w:rPr>
              <w:t>≤</w:t>
            </w:r>
            <w:r>
              <w:rPr>
                <w:rFonts w:ascii="Arial" w:hAnsi="Arial" w:cs="Arial"/>
                <w:bCs/>
                <w:szCs w:val="21"/>
              </w:rPr>
              <w:t xml:space="preserve">  </w:t>
            </w:r>
            <w:r>
              <w:rPr>
                <w:rFonts w:ascii="宋体" w:hAnsi="宋体"/>
              </w:rPr>
              <w:t>%</w:t>
            </w:r>
            <w:r>
              <w:rPr>
                <w:rFonts w:ascii="Arial" w:hAnsi="Arial" w:cs="Arial"/>
                <w:bCs/>
                <w:szCs w:val="21"/>
              </w:rPr>
              <w:t xml:space="preserve"> </w:t>
            </w:r>
          </w:p>
        </w:tc>
        <w:tc>
          <w:tcPr>
            <w:tcW w:w="720" w:type="dxa"/>
          </w:tcPr>
          <w:p>
            <w:pPr>
              <w:spacing w:line="360" w:lineRule="auto"/>
              <w:jc w:val="center"/>
              <w:rPr>
                <w:rFonts w:ascii="Arial" w:hAnsi="Arial" w:cs="Arial"/>
                <w:bCs/>
                <w:szCs w:val="21"/>
              </w:rPr>
            </w:pPr>
          </w:p>
        </w:tc>
        <w:tc>
          <w:tcPr>
            <w:tcW w:w="784" w:type="dxa"/>
            <w:vMerge w:val="restart"/>
          </w:tcPr>
          <w:p>
            <w:pPr>
              <w:widowControl/>
              <w:spacing w:line="360" w:lineRule="auto"/>
              <w:rPr>
                <w:rFonts w:ascii="Arial" w:hAnsi="Arial" w:cs="Arial"/>
                <w:bCs/>
                <w:szCs w:val="21"/>
              </w:rPr>
            </w:pPr>
          </w:p>
        </w:tc>
        <w:tc>
          <w:tcPr>
            <w:tcW w:w="784" w:type="dxa"/>
            <w:vMerge w:val="restart"/>
          </w:tcPr>
          <w:p>
            <w:pPr>
              <w:widowControl/>
              <w:spacing w:line="360" w:lineRule="auto"/>
              <w:rPr>
                <w:rFonts w:ascii="Arial" w:hAnsi="Arial" w:cs="Arial"/>
                <w:bCs/>
                <w:szCs w:val="21"/>
              </w:rPr>
            </w:pPr>
          </w:p>
        </w:tc>
        <w:tc>
          <w:tcPr>
            <w:tcW w:w="784" w:type="dxa"/>
            <w:vMerge w:val="restart"/>
          </w:tcPr>
          <w:p>
            <w:pPr>
              <w:widowControl/>
              <w:spacing w:line="360" w:lineRule="auto"/>
              <w:rPr>
                <w:rFonts w:ascii="Arial" w:hAnsi="Arial" w:cs="Arial"/>
                <w:bCs/>
                <w:szCs w:val="21"/>
              </w:rPr>
            </w:pPr>
          </w:p>
        </w:tc>
        <w:tc>
          <w:tcPr>
            <w:tcW w:w="785" w:type="dxa"/>
            <w:vMerge w:val="restart"/>
          </w:tcPr>
          <w:p>
            <w:pPr>
              <w:widowControl/>
              <w:spacing w:line="360" w:lineRule="auto"/>
              <w:rPr>
                <w:rFonts w:ascii="Arial" w:hAnsi="Arial" w:cs="Arial"/>
                <w:bCs/>
                <w:szCs w:val="21"/>
              </w:rPr>
            </w:pPr>
          </w:p>
        </w:tc>
        <w:tc>
          <w:tcPr>
            <w:tcW w:w="784" w:type="dxa"/>
            <w:vMerge w:val="restart"/>
          </w:tcPr>
          <w:p>
            <w:pPr>
              <w:widowControl/>
              <w:spacing w:line="360" w:lineRule="auto"/>
              <w:rPr>
                <w:rFonts w:ascii="Arial" w:hAnsi="Arial" w:cs="Arial"/>
                <w:bCs/>
                <w:szCs w:val="21"/>
              </w:rPr>
            </w:pPr>
          </w:p>
        </w:tc>
        <w:tc>
          <w:tcPr>
            <w:tcW w:w="784" w:type="dxa"/>
            <w:vMerge w:val="restart"/>
          </w:tcPr>
          <w:p>
            <w:pPr>
              <w:widowControl/>
              <w:spacing w:line="360" w:lineRule="auto"/>
              <w:rPr>
                <w:rFonts w:ascii="Arial" w:hAnsi="Arial" w:cs="Arial"/>
                <w:bCs/>
                <w:szCs w:val="21"/>
              </w:rPr>
            </w:pPr>
          </w:p>
        </w:tc>
        <w:tc>
          <w:tcPr>
            <w:tcW w:w="785" w:type="dxa"/>
            <w:vMerge w:val="restart"/>
          </w:tcPr>
          <w:p>
            <w:pPr>
              <w:widowControl/>
              <w:spacing w:line="360" w:lineRule="auto"/>
              <w:rPr>
                <w:rFonts w:ascii="Arial" w:hAnsi="Arial" w:cs="Arial"/>
                <w:bCs/>
                <w:szCs w:val="21"/>
              </w:rPr>
            </w:pPr>
          </w:p>
        </w:tc>
        <w:tc>
          <w:tcPr>
            <w:tcW w:w="784" w:type="dxa"/>
            <w:vMerge w:val="restart"/>
          </w:tcPr>
          <w:p>
            <w:pPr>
              <w:widowControl/>
              <w:spacing w:line="360" w:lineRule="auto"/>
              <w:rPr>
                <w:rFonts w:ascii="Arial" w:hAnsi="Arial" w:cs="Arial"/>
                <w:bCs/>
                <w:szCs w:val="21"/>
              </w:rPr>
            </w:pPr>
          </w:p>
        </w:tc>
        <w:tc>
          <w:tcPr>
            <w:tcW w:w="784" w:type="dxa"/>
            <w:vMerge w:val="restart"/>
          </w:tcPr>
          <w:p>
            <w:pPr>
              <w:widowControl/>
              <w:spacing w:line="360" w:lineRule="auto"/>
              <w:rPr>
                <w:rFonts w:ascii="Arial" w:hAnsi="Arial" w:cs="Arial"/>
                <w:bCs/>
                <w:szCs w:val="21"/>
              </w:rPr>
            </w:pPr>
          </w:p>
        </w:tc>
        <w:tc>
          <w:tcPr>
            <w:tcW w:w="784" w:type="dxa"/>
            <w:vMerge w:val="restart"/>
          </w:tcPr>
          <w:p>
            <w:pPr>
              <w:widowControl/>
              <w:spacing w:line="360" w:lineRule="auto"/>
              <w:rPr>
                <w:rFonts w:ascii="Arial" w:hAnsi="Arial" w:cs="Arial"/>
                <w:bCs/>
                <w:szCs w:val="21"/>
              </w:rPr>
            </w:pPr>
          </w:p>
        </w:tc>
        <w:tc>
          <w:tcPr>
            <w:tcW w:w="785" w:type="dxa"/>
            <w:vMerge w:val="restart"/>
          </w:tcPr>
          <w:p>
            <w:pPr>
              <w:widowControl/>
              <w:spacing w:line="360" w:lineRule="auto"/>
              <w:rPr>
                <w:rFonts w:ascii="Arial" w:hAnsi="Arial" w:cs="Arial"/>
                <w:bCs/>
                <w:szCs w:val="21"/>
              </w:rPr>
            </w:pPr>
          </w:p>
        </w:tc>
        <w:tc>
          <w:tcPr>
            <w:tcW w:w="784" w:type="dxa"/>
            <w:vMerge w:val="restart"/>
          </w:tcPr>
          <w:p>
            <w:pPr>
              <w:widowControl/>
              <w:spacing w:line="360" w:lineRule="auto"/>
              <w:rPr>
                <w:rFonts w:ascii="Arial" w:hAnsi="Arial" w:cs="Arial"/>
                <w:bCs/>
                <w:szCs w:val="21"/>
              </w:rPr>
            </w:pPr>
          </w:p>
        </w:tc>
        <w:tc>
          <w:tcPr>
            <w:tcW w:w="784" w:type="dxa"/>
            <w:vMerge w:val="restart"/>
          </w:tcPr>
          <w:p>
            <w:pPr>
              <w:widowControl/>
              <w:spacing w:line="360" w:lineRule="auto"/>
              <w:rPr>
                <w:rFonts w:ascii="Arial" w:hAnsi="Arial" w:cs="Arial"/>
                <w:bCs/>
                <w:szCs w:val="21"/>
              </w:rPr>
            </w:pPr>
          </w:p>
        </w:tc>
        <w:tc>
          <w:tcPr>
            <w:tcW w:w="785" w:type="dxa"/>
            <w:vMerge w:val="restart"/>
          </w:tcPr>
          <w:p>
            <w:pPr>
              <w:widowControl/>
              <w:spacing w:line="360" w:lineRule="auto"/>
              <w:rPr>
                <w:rFonts w:ascii="Arial" w:hAnsi="Arial" w:cs="Arial"/>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vAlign w:val="center"/>
          </w:tcPr>
          <w:p>
            <w:pPr>
              <w:spacing w:line="360" w:lineRule="auto"/>
              <w:rPr>
                <w:rFonts w:ascii="Arial" w:hAnsi="Arial" w:cs="Arial"/>
                <w:bCs/>
                <w:szCs w:val="21"/>
              </w:rPr>
            </w:pPr>
            <w:r>
              <w:rPr>
                <w:rFonts w:ascii="宋体" w:hAnsi="宋体"/>
              </w:rPr>
              <w:t xml:space="preserve">  %</w:t>
            </w:r>
            <w:r>
              <w:rPr>
                <w:rFonts w:hint="eastAsia" w:ascii="Arial" w:hAnsi="Arial" w:cs="Arial"/>
                <w:bCs/>
                <w:szCs w:val="21"/>
              </w:rPr>
              <w:t>＜</w:t>
            </w:r>
            <w:r>
              <w:rPr>
                <w:rFonts w:ascii="Arial" w:hAnsi="Arial" w:cs="Arial"/>
                <w:bCs/>
                <w:szCs w:val="21"/>
              </w:rPr>
              <w:t>β</w:t>
            </w:r>
            <w:r>
              <w:rPr>
                <w:rFonts w:hint="eastAsia" w:ascii="Arial" w:hAnsi="Arial" w:cs="Arial"/>
                <w:bCs/>
                <w:szCs w:val="21"/>
              </w:rPr>
              <w:t>≤</w:t>
            </w:r>
            <w:r>
              <w:rPr>
                <w:rFonts w:ascii="Arial" w:hAnsi="Arial" w:cs="Arial"/>
                <w:bCs/>
                <w:szCs w:val="21"/>
              </w:rPr>
              <w:t xml:space="preserve">  </w:t>
            </w:r>
            <w:r>
              <w:rPr>
                <w:rFonts w:ascii="宋体" w:hAnsi="宋体"/>
              </w:rPr>
              <w:t>%</w:t>
            </w:r>
          </w:p>
        </w:tc>
        <w:tc>
          <w:tcPr>
            <w:tcW w:w="720" w:type="dxa"/>
          </w:tcPr>
          <w:p>
            <w:pPr>
              <w:spacing w:line="360" w:lineRule="auto"/>
              <w:jc w:val="center"/>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vAlign w:val="center"/>
          </w:tcPr>
          <w:p>
            <w:pPr>
              <w:spacing w:line="360" w:lineRule="auto"/>
              <w:rPr>
                <w:rFonts w:ascii="Arial" w:hAnsi="Arial" w:cs="Arial"/>
                <w:bCs/>
                <w:szCs w:val="21"/>
              </w:rPr>
            </w:pPr>
            <w:r>
              <w:rPr>
                <w:rFonts w:ascii="宋体" w:hAnsi="宋体"/>
              </w:rPr>
              <w:t xml:space="preserve">  %</w:t>
            </w:r>
            <w:r>
              <w:rPr>
                <w:rFonts w:hint="eastAsia" w:ascii="Arial" w:hAnsi="Arial" w:cs="Arial"/>
                <w:bCs/>
                <w:szCs w:val="21"/>
              </w:rPr>
              <w:t>＜</w:t>
            </w:r>
            <w:r>
              <w:rPr>
                <w:rFonts w:ascii="Arial" w:hAnsi="Arial" w:cs="Arial"/>
                <w:bCs/>
                <w:szCs w:val="21"/>
              </w:rPr>
              <w:t>β</w:t>
            </w:r>
            <w:r>
              <w:rPr>
                <w:rFonts w:hint="eastAsia" w:ascii="Arial" w:hAnsi="Arial" w:cs="Arial"/>
                <w:bCs/>
                <w:szCs w:val="21"/>
              </w:rPr>
              <w:t>≤</w:t>
            </w:r>
            <w:r>
              <w:rPr>
                <w:rFonts w:ascii="Arial" w:hAnsi="Arial" w:cs="Arial"/>
                <w:bCs/>
                <w:szCs w:val="21"/>
              </w:rPr>
              <w:t xml:space="preserve">  </w:t>
            </w:r>
            <w:r>
              <w:rPr>
                <w:rFonts w:ascii="宋体" w:hAnsi="宋体"/>
              </w:rPr>
              <w:t>%</w:t>
            </w:r>
          </w:p>
        </w:tc>
        <w:tc>
          <w:tcPr>
            <w:tcW w:w="720" w:type="dxa"/>
          </w:tcPr>
          <w:p>
            <w:pPr>
              <w:spacing w:line="360" w:lineRule="auto"/>
              <w:jc w:val="center"/>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vAlign w:val="center"/>
          </w:tcPr>
          <w:p>
            <w:pPr>
              <w:spacing w:line="360" w:lineRule="auto"/>
              <w:rPr>
                <w:rFonts w:ascii="Arial" w:hAnsi="Arial" w:cs="Arial"/>
                <w:bCs/>
                <w:szCs w:val="21"/>
              </w:rPr>
            </w:pPr>
            <w:r>
              <w:rPr>
                <w:rFonts w:ascii="宋体" w:hAnsi="宋体"/>
              </w:rPr>
              <w:t xml:space="preserve">  %</w:t>
            </w:r>
            <w:r>
              <w:rPr>
                <w:rFonts w:hint="eastAsia" w:ascii="Arial" w:hAnsi="Arial" w:cs="Arial"/>
                <w:bCs/>
                <w:szCs w:val="21"/>
              </w:rPr>
              <w:t>＜</w:t>
            </w:r>
            <w:r>
              <w:rPr>
                <w:rFonts w:ascii="Arial" w:hAnsi="Arial" w:cs="Arial"/>
                <w:bCs/>
                <w:szCs w:val="21"/>
              </w:rPr>
              <w:t>β</w:t>
            </w:r>
            <w:r>
              <w:rPr>
                <w:rFonts w:hint="eastAsia" w:ascii="Arial" w:hAnsi="Arial" w:cs="Arial"/>
                <w:bCs/>
                <w:szCs w:val="21"/>
              </w:rPr>
              <w:t>≤</w:t>
            </w:r>
            <w:r>
              <w:rPr>
                <w:rFonts w:ascii="Arial" w:hAnsi="Arial" w:cs="Arial"/>
                <w:bCs/>
                <w:szCs w:val="21"/>
              </w:rPr>
              <w:t xml:space="preserve">  </w:t>
            </w:r>
            <w:r>
              <w:rPr>
                <w:rFonts w:ascii="宋体" w:hAnsi="宋体"/>
              </w:rPr>
              <w:t>%</w:t>
            </w:r>
          </w:p>
        </w:tc>
        <w:tc>
          <w:tcPr>
            <w:tcW w:w="720" w:type="dxa"/>
          </w:tcPr>
          <w:p>
            <w:pPr>
              <w:spacing w:line="360" w:lineRule="auto"/>
              <w:jc w:val="center"/>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vAlign w:val="center"/>
          </w:tcPr>
          <w:p>
            <w:pPr>
              <w:spacing w:line="360" w:lineRule="auto"/>
              <w:rPr>
                <w:rFonts w:ascii="Arial" w:hAnsi="Arial" w:cs="Arial"/>
                <w:szCs w:val="21"/>
              </w:rPr>
            </w:pPr>
            <w:r>
              <w:rPr>
                <w:rFonts w:ascii="宋体" w:hAnsi="宋体"/>
              </w:rPr>
              <w:t xml:space="preserve">  %</w:t>
            </w:r>
            <w:r>
              <w:rPr>
                <w:rFonts w:hint="eastAsia" w:ascii="Arial" w:hAnsi="Arial" w:cs="Arial"/>
                <w:bCs/>
                <w:szCs w:val="21"/>
              </w:rPr>
              <w:t>＜</w:t>
            </w:r>
            <w:r>
              <w:rPr>
                <w:rFonts w:ascii="Arial" w:hAnsi="Arial" w:cs="Arial"/>
                <w:bCs/>
                <w:szCs w:val="21"/>
              </w:rPr>
              <w:t>β</w:t>
            </w:r>
            <w:r>
              <w:rPr>
                <w:rFonts w:hint="eastAsia" w:ascii="Arial" w:hAnsi="Arial" w:cs="Arial"/>
                <w:bCs/>
                <w:szCs w:val="21"/>
              </w:rPr>
              <w:t>≤</w:t>
            </w:r>
            <w:r>
              <w:rPr>
                <w:rFonts w:ascii="Arial" w:hAnsi="Arial" w:cs="Arial"/>
                <w:bCs/>
                <w:szCs w:val="21"/>
              </w:rPr>
              <w:t xml:space="preserve">  </w:t>
            </w:r>
            <w:r>
              <w:rPr>
                <w:rFonts w:ascii="宋体" w:hAnsi="宋体"/>
              </w:rPr>
              <w:t>%</w:t>
            </w:r>
          </w:p>
        </w:tc>
        <w:tc>
          <w:tcPr>
            <w:tcW w:w="720" w:type="dxa"/>
          </w:tcPr>
          <w:p>
            <w:pPr>
              <w:spacing w:line="360" w:lineRule="auto"/>
              <w:jc w:val="center"/>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vAlign w:val="center"/>
          </w:tcPr>
          <w:p>
            <w:pPr>
              <w:spacing w:line="360" w:lineRule="auto"/>
              <w:rPr>
                <w:rFonts w:ascii="Arial" w:hAnsi="Arial" w:cs="Arial"/>
                <w:szCs w:val="21"/>
              </w:rPr>
            </w:pPr>
            <w:r>
              <w:rPr>
                <w:rFonts w:ascii="宋体" w:hAnsi="宋体"/>
              </w:rPr>
              <w:t xml:space="preserve">  %</w:t>
            </w:r>
            <w:r>
              <w:rPr>
                <w:rFonts w:hint="eastAsia" w:ascii="Arial" w:hAnsi="Arial" w:cs="Arial"/>
                <w:bCs/>
                <w:szCs w:val="21"/>
              </w:rPr>
              <w:t>＜</w:t>
            </w:r>
            <w:r>
              <w:rPr>
                <w:rFonts w:ascii="Arial" w:hAnsi="Arial" w:cs="Arial"/>
                <w:bCs/>
                <w:szCs w:val="21"/>
              </w:rPr>
              <w:t>β</w:t>
            </w:r>
            <w:r>
              <w:rPr>
                <w:rFonts w:hint="eastAsia" w:ascii="Arial" w:hAnsi="Arial" w:cs="Arial"/>
                <w:bCs/>
                <w:szCs w:val="21"/>
              </w:rPr>
              <w:t>≤</w:t>
            </w:r>
            <w:r>
              <w:rPr>
                <w:rFonts w:ascii="Arial" w:hAnsi="Arial" w:cs="Arial"/>
                <w:bCs/>
                <w:szCs w:val="21"/>
              </w:rPr>
              <w:t xml:space="preserve">  </w:t>
            </w:r>
            <w:r>
              <w:rPr>
                <w:rFonts w:ascii="宋体" w:hAnsi="宋体"/>
              </w:rPr>
              <w:t>%</w:t>
            </w:r>
          </w:p>
        </w:tc>
        <w:tc>
          <w:tcPr>
            <w:tcW w:w="720" w:type="dxa"/>
          </w:tcPr>
          <w:p>
            <w:pPr>
              <w:spacing w:line="360" w:lineRule="auto"/>
              <w:jc w:val="center"/>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vAlign w:val="center"/>
          </w:tcPr>
          <w:p>
            <w:pPr>
              <w:spacing w:line="360" w:lineRule="auto"/>
              <w:rPr>
                <w:rFonts w:ascii="Arial" w:hAnsi="Arial" w:cs="Arial"/>
                <w:szCs w:val="21"/>
              </w:rPr>
            </w:pPr>
            <w:r>
              <w:rPr>
                <w:rFonts w:ascii="宋体" w:hAnsi="宋体"/>
              </w:rPr>
              <w:t xml:space="preserve">  %</w:t>
            </w:r>
            <w:r>
              <w:rPr>
                <w:rFonts w:hint="eastAsia" w:ascii="Arial" w:hAnsi="Arial" w:cs="Arial"/>
                <w:bCs/>
                <w:szCs w:val="21"/>
              </w:rPr>
              <w:t>＜</w:t>
            </w:r>
            <w:r>
              <w:rPr>
                <w:rFonts w:ascii="Arial" w:hAnsi="Arial" w:cs="Arial"/>
                <w:bCs/>
                <w:szCs w:val="21"/>
              </w:rPr>
              <w:t>β</w:t>
            </w:r>
            <w:r>
              <w:rPr>
                <w:rFonts w:hint="eastAsia" w:ascii="Arial" w:hAnsi="Arial" w:cs="Arial"/>
                <w:bCs/>
                <w:szCs w:val="21"/>
              </w:rPr>
              <w:t>≤</w:t>
            </w:r>
            <w:r>
              <w:rPr>
                <w:rFonts w:ascii="Arial" w:hAnsi="Arial" w:cs="Arial"/>
                <w:bCs/>
                <w:szCs w:val="21"/>
              </w:rPr>
              <w:t xml:space="preserve">  </w:t>
            </w:r>
            <w:r>
              <w:rPr>
                <w:rFonts w:ascii="宋体" w:hAnsi="宋体"/>
              </w:rPr>
              <w:t>%</w:t>
            </w:r>
          </w:p>
        </w:tc>
        <w:tc>
          <w:tcPr>
            <w:tcW w:w="720" w:type="dxa"/>
          </w:tcPr>
          <w:p>
            <w:pPr>
              <w:spacing w:line="360" w:lineRule="auto"/>
              <w:jc w:val="center"/>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vAlign w:val="center"/>
          </w:tcPr>
          <w:p>
            <w:pPr>
              <w:spacing w:line="360" w:lineRule="auto"/>
              <w:rPr>
                <w:rFonts w:ascii="Arial" w:hAnsi="Arial" w:cs="Arial"/>
                <w:szCs w:val="21"/>
              </w:rPr>
            </w:pPr>
            <w:r>
              <w:rPr>
                <w:rFonts w:ascii="宋体" w:hAnsi="宋体"/>
              </w:rPr>
              <w:t xml:space="preserve">  %</w:t>
            </w:r>
            <w:r>
              <w:rPr>
                <w:rFonts w:hint="eastAsia" w:ascii="Arial" w:hAnsi="Arial" w:cs="Arial"/>
                <w:bCs/>
                <w:szCs w:val="21"/>
              </w:rPr>
              <w:t>＜</w:t>
            </w:r>
            <w:r>
              <w:rPr>
                <w:rFonts w:ascii="Arial" w:hAnsi="Arial" w:cs="Arial"/>
                <w:bCs/>
                <w:szCs w:val="21"/>
              </w:rPr>
              <w:t>β</w:t>
            </w:r>
            <w:r>
              <w:rPr>
                <w:rFonts w:hint="eastAsia" w:ascii="Arial" w:hAnsi="Arial" w:cs="Arial"/>
                <w:bCs/>
                <w:szCs w:val="21"/>
              </w:rPr>
              <w:t>≤</w:t>
            </w:r>
            <w:r>
              <w:rPr>
                <w:rFonts w:ascii="Arial" w:hAnsi="Arial" w:cs="Arial"/>
                <w:bCs/>
                <w:szCs w:val="21"/>
              </w:rPr>
              <w:t xml:space="preserve">  </w:t>
            </w:r>
            <w:r>
              <w:rPr>
                <w:rFonts w:ascii="宋体" w:hAnsi="宋体"/>
              </w:rPr>
              <w:t>%</w:t>
            </w:r>
          </w:p>
        </w:tc>
        <w:tc>
          <w:tcPr>
            <w:tcW w:w="720" w:type="dxa"/>
          </w:tcPr>
          <w:p>
            <w:pPr>
              <w:spacing w:line="360" w:lineRule="auto"/>
              <w:jc w:val="center"/>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vAlign w:val="center"/>
          </w:tcPr>
          <w:p>
            <w:pPr>
              <w:spacing w:line="360" w:lineRule="auto"/>
              <w:rPr>
                <w:rFonts w:ascii="Arial" w:hAnsi="Arial" w:cs="Arial"/>
                <w:szCs w:val="21"/>
              </w:rPr>
            </w:pPr>
            <w:r>
              <w:rPr>
                <w:rFonts w:ascii="宋体" w:hAnsi="宋体"/>
              </w:rPr>
              <w:t xml:space="preserve">  %</w:t>
            </w:r>
            <w:r>
              <w:rPr>
                <w:rFonts w:hint="eastAsia" w:ascii="Arial" w:hAnsi="Arial" w:cs="Arial"/>
                <w:bCs/>
                <w:szCs w:val="21"/>
              </w:rPr>
              <w:t>＜</w:t>
            </w:r>
            <w:r>
              <w:rPr>
                <w:rFonts w:ascii="Arial" w:hAnsi="Arial" w:cs="Arial"/>
                <w:bCs/>
                <w:szCs w:val="21"/>
              </w:rPr>
              <w:t>β</w:t>
            </w:r>
            <w:r>
              <w:rPr>
                <w:rFonts w:hint="eastAsia" w:ascii="Arial" w:hAnsi="Arial" w:cs="Arial"/>
                <w:bCs/>
                <w:szCs w:val="21"/>
              </w:rPr>
              <w:t>≤</w:t>
            </w:r>
            <w:r>
              <w:rPr>
                <w:rFonts w:ascii="Arial" w:hAnsi="Arial" w:cs="Arial"/>
                <w:bCs/>
                <w:szCs w:val="21"/>
              </w:rPr>
              <w:t xml:space="preserve">  </w:t>
            </w:r>
            <w:r>
              <w:rPr>
                <w:rFonts w:ascii="宋体" w:hAnsi="宋体"/>
              </w:rPr>
              <w:t>%</w:t>
            </w:r>
          </w:p>
        </w:tc>
        <w:tc>
          <w:tcPr>
            <w:tcW w:w="720" w:type="dxa"/>
          </w:tcPr>
          <w:p>
            <w:pPr>
              <w:spacing w:line="360" w:lineRule="auto"/>
              <w:jc w:val="center"/>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tcBorders>
              <w:bottom w:val="single" w:color="auto" w:sz="8" w:space="0"/>
            </w:tcBorders>
          </w:tcPr>
          <w:p>
            <w:pPr>
              <w:spacing w:line="360" w:lineRule="auto"/>
              <w:rPr>
                <w:rFonts w:ascii="Arial" w:hAnsi="Arial" w:cs="Arial"/>
                <w:b/>
                <w:bCs/>
                <w:szCs w:val="21"/>
              </w:rPr>
            </w:pPr>
            <w:r>
              <w:rPr>
                <w:rFonts w:ascii="宋体" w:hAnsi="宋体"/>
              </w:rPr>
              <w:t xml:space="preserve">  %</w:t>
            </w:r>
            <w:r>
              <w:rPr>
                <w:rFonts w:hint="eastAsia" w:ascii="Arial" w:hAnsi="Arial" w:cs="Arial"/>
                <w:bCs/>
                <w:szCs w:val="21"/>
              </w:rPr>
              <w:t>＜</w:t>
            </w:r>
            <w:r>
              <w:rPr>
                <w:rFonts w:ascii="Arial" w:hAnsi="Arial" w:cs="Arial"/>
                <w:bCs/>
                <w:szCs w:val="21"/>
              </w:rPr>
              <w:t>β</w:t>
            </w:r>
            <w:r>
              <w:rPr>
                <w:rFonts w:hint="eastAsia" w:ascii="Arial" w:hAnsi="Arial" w:cs="Arial"/>
                <w:bCs/>
                <w:szCs w:val="21"/>
              </w:rPr>
              <w:t>≤</w:t>
            </w:r>
            <w:r>
              <w:rPr>
                <w:rFonts w:ascii="Arial" w:hAnsi="Arial" w:cs="Arial"/>
                <w:bCs/>
                <w:szCs w:val="21"/>
              </w:rPr>
              <w:t xml:space="preserve">  </w:t>
            </w:r>
            <w:r>
              <w:rPr>
                <w:rFonts w:ascii="宋体" w:hAnsi="宋体"/>
              </w:rPr>
              <w:t>%</w:t>
            </w:r>
          </w:p>
        </w:tc>
        <w:tc>
          <w:tcPr>
            <w:tcW w:w="720" w:type="dxa"/>
            <w:tcBorders>
              <w:bottom w:val="single" w:color="auto" w:sz="8" w:space="0"/>
            </w:tcBorders>
          </w:tcPr>
          <w:p>
            <w:pPr>
              <w:spacing w:line="360" w:lineRule="auto"/>
              <w:jc w:val="center"/>
              <w:rPr>
                <w:rFonts w:ascii="Arial" w:hAnsi="Arial" w:cs="Arial"/>
                <w:b/>
                <w:bCs/>
                <w:szCs w:val="21"/>
              </w:rPr>
            </w:pPr>
          </w:p>
        </w:tc>
        <w:tc>
          <w:tcPr>
            <w:tcW w:w="784" w:type="dxa"/>
            <w:vMerge w:val="continue"/>
            <w:tcBorders>
              <w:bottom w:val="single" w:color="auto" w:sz="8" w:space="0"/>
            </w:tcBorders>
          </w:tcPr>
          <w:p>
            <w:pPr>
              <w:widowControl/>
              <w:spacing w:line="360" w:lineRule="auto"/>
              <w:rPr>
                <w:rFonts w:ascii="Arial" w:hAnsi="Arial" w:cs="Arial"/>
                <w:bCs/>
                <w:szCs w:val="21"/>
              </w:rPr>
            </w:pPr>
          </w:p>
        </w:tc>
        <w:tc>
          <w:tcPr>
            <w:tcW w:w="784" w:type="dxa"/>
            <w:vMerge w:val="continue"/>
            <w:tcBorders>
              <w:bottom w:val="single" w:color="auto" w:sz="8" w:space="0"/>
            </w:tcBorders>
          </w:tcPr>
          <w:p>
            <w:pPr>
              <w:widowControl/>
              <w:spacing w:line="360" w:lineRule="auto"/>
              <w:rPr>
                <w:rFonts w:ascii="Arial" w:hAnsi="Arial" w:cs="Arial"/>
                <w:bCs/>
                <w:szCs w:val="21"/>
              </w:rPr>
            </w:pPr>
          </w:p>
        </w:tc>
        <w:tc>
          <w:tcPr>
            <w:tcW w:w="784" w:type="dxa"/>
            <w:vMerge w:val="continue"/>
            <w:tcBorders>
              <w:bottom w:val="single" w:color="auto" w:sz="8" w:space="0"/>
            </w:tcBorders>
          </w:tcPr>
          <w:p>
            <w:pPr>
              <w:widowControl/>
              <w:spacing w:line="360" w:lineRule="auto"/>
              <w:rPr>
                <w:rFonts w:ascii="Arial" w:hAnsi="Arial" w:cs="Arial"/>
                <w:bCs/>
                <w:szCs w:val="21"/>
              </w:rPr>
            </w:pPr>
          </w:p>
        </w:tc>
        <w:tc>
          <w:tcPr>
            <w:tcW w:w="785" w:type="dxa"/>
            <w:vMerge w:val="continue"/>
            <w:tcBorders>
              <w:bottom w:val="single" w:color="auto" w:sz="8" w:space="0"/>
            </w:tcBorders>
          </w:tcPr>
          <w:p>
            <w:pPr>
              <w:widowControl/>
              <w:spacing w:line="360" w:lineRule="auto"/>
              <w:rPr>
                <w:rFonts w:ascii="Arial" w:hAnsi="Arial" w:cs="Arial"/>
                <w:bCs/>
                <w:szCs w:val="21"/>
              </w:rPr>
            </w:pPr>
          </w:p>
        </w:tc>
        <w:tc>
          <w:tcPr>
            <w:tcW w:w="784" w:type="dxa"/>
            <w:vMerge w:val="continue"/>
            <w:tcBorders>
              <w:bottom w:val="single" w:color="auto" w:sz="8" w:space="0"/>
            </w:tcBorders>
          </w:tcPr>
          <w:p>
            <w:pPr>
              <w:widowControl/>
              <w:spacing w:line="360" w:lineRule="auto"/>
              <w:rPr>
                <w:rFonts w:ascii="Arial" w:hAnsi="Arial" w:cs="Arial"/>
                <w:bCs/>
                <w:szCs w:val="21"/>
              </w:rPr>
            </w:pPr>
          </w:p>
        </w:tc>
        <w:tc>
          <w:tcPr>
            <w:tcW w:w="784" w:type="dxa"/>
            <w:vMerge w:val="continue"/>
            <w:tcBorders>
              <w:bottom w:val="single" w:color="auto" w:sz="8" w:space="0"/>
            </w:tcBorders>
          </w:tcPr>
          <w:p>
            <w:pPr>
              <w:widowControl/>
              <w:spacing w:line="360" w:lineRule="auto"/>
              <w:rPr>
                <w:rFonts w:ascii="Arial" w:hAnsi="Arial" w:cs="Arial"/>
                <w:bCs/>
                <w:szCs w:val="21"/>
              </w:rPr>
            </w:pPr>
          </w:p>
        </w:tc>
        <w:tc>
          <w:tcPr>
            <w:tcW w:w="785" w:type="dxa"/>
            <w:vMerge w:val="continue"/>
            <w:tcBorders>
              <w:bottom w:val="single" w:color="auto" w:sz="8" w:space="0"/>
            </w:tcBorders>
          </w:tcPr>
          <w:p>
            <w:pPr>
              <w:widowControl/>
              <w:spacing w:line="360" w:lineRule="auto"/>
              <w:rPr>
                <w:rFonts w:ascii="Arial" w:hAnsi="Arial" w:cs="Arial"/>
                <w:bCs/>
                <w:szCs w:val="21"/>
              </w:rPr>
            </w:pPr>
          </w:p>
        </w:tc>
        <w:tc>
          <w:tcPr>
            <w:tcW w:w="784" w:type="dxa"/>
            <w:vMerge w:val="continue"/>
            <w:tcBorders>
              <w:bottom w:val="single" w:color="auto" w:sz="8" w:space="0"/>
            </w:tcBorders>
          </w:tcPr>
          <w:p>
            <w:pPr>
              <w:widowControl/>
              <w:spacing w:line="360" w:lineRule="auto"/>
              <w:rPr>
                <w:rFonts w:ascii="Arial" w:hAnsi="Arial" w:cs="Arial"/>
                <w:bCs/>
                <w:szCs w:val="21"/>
              </w:rPr>
            </w:pPr>
          </w:p>
        </w:tc>
        <w:tc>
          <w:tcPr>
            <w:tcW w:w="784" w:type="dxa"/>
            <w:vMerge w:val="continue"/>
            <w:tcBorders>
              <w:bottom w:val="single" w:color="auto" w:sz="8" w:space="0"/>
            </w:tcBorders>
          </w:tcPr>
          <w:p>
            <w:pPr>
              <w:widowControl/>
              <w:spacing w:line="360" w:lineRule="auto"/>
              <w:rPr>
                <w:rFonts w:ascii="Arial" w:hAnsi="Arial" w:cs="Arial"/>
                <w:bCs/>
                <w:szCs w:val="21"/>
              </w:rPr>
            </w:pPr>
          </w:p>
        </w:tc>
        <w:tc>
          <w:tcPr>
            <w:tcW w:w="784" w:type="dxa"/>
            <w:vMerge w:val="continue"/>
            <w:tcBorders>
              <w:bottom w:val="single" w:color="auto" w:sz="8" w:space="0"/>
            </w:tcBorders>
          </w:tcPr>
          <w:p>
            <w:pPr>
              <w:widowControl/>
              <w:spacing w:line="360" w:lineRule="auto"/>
              <w:rPr>
                <w:rFonts w:ascii="Arial" w:hAnsi="Arial" w:cs="Arial"/>
                <w:bCs/>
                <w:szCs w:val="21"/>
              </w:rPr>
            </w:pPr>
          </w:p>
        </w:tc>
        <w:tc>
          <w:tcPr>
            <w:tcW w:w="785" w:type="dxa"/>
            <w:vMerge w:val="continue"/>
            <w:tcBorders>
              <w:bottom w:val="single" w:color="auto" w:sz="8" w:space="0"/>
            </w:tcBorders>
          </w:tcPr>
          <w:p>
            <w:pPr>
              <w:widowControl/>
              <w:spacing w:line="360" w:lineRule="auto"/>
              <w:rPr>
                <w:rFonts w:ascii="Arial" w:hAnsi="Arial" w:cs="Arial"/>
                <w:bCs/>
                <w:szCs w:val="21"/>
              </w:rPr>
            </w:pPr>
          </w:p>
        </w:tc>
        <w:tc>
          <w:tcPr>
            <w:tcW w:w="784" w:type="dxa"/>
            <w:vMerge w:val="continue"/>
            <w:tcBorders>
              <w:bottom w:val="single" w:color="auto" w:sz="8" w:space="0"/>
            </w:tcBorders>
          </w:tcPr>
          <w:p>
            <w:pPr>
              <w:widowControl/>
              <w:spacing w:line="360" w:lineRule="auto"/>
              <w:rPr>
                <w:rFonts w:ascii="Arial" w:hAnsi="Arial" w:cs="Arial"/>
                <w:bCs/>
                <w:szCs w:val="21"/>
              </w:rPr>
            </w:pPr>
          </w:p>
        </w:tc>
        <w:tc>
          <w:tcPr>
            <w:tcW w:w="784" w:type="dxa"/>
            <w:vMerge w:val="continue"/>
            <w:tcBorders>
              <w:bottom w:val="single" w:color="auto" w:sz="8" w:space="0"/>
            </w:tcBorders>
          </w:tcPr>
          <w:p>
            <w:pPr>
              <w:widowControl/>
              <w:spacing w:line="360" w:lineRule="auto"/>
              <w:rPr>
                <w:rFonts w:ascii="Arial" w:hAnsi="Arial" w:cs="Arial"/>
                <w:bCs/>
                <w:szCs w:val="21"/>
              </w:rPr>
            </w:pPr>
          </w:p>
        </w:tc>
        <w:tc>
          <w:tcPr>
            <w:tcW w:w="785" w:type="dxa"/>
            <w:vMerge w:val="continue"/>
            <w:tcBorders>
              <w:bottom w:val="single" w:color="auto" w:sz="8" w:space="0"/>
            </w:tcBorders>
          </w:tcPr>
          <w:p>
            <w:pPr>
              <w:widowControl/>
              <w:spacing w:line="360" w:lineRule="auto"/>
              <w:rPr>
                <w:rFonts w:ascii="Arial" w:hAnsi="Arial" w:cs="Arial"/>
                <w:bCs/>
                <w:szCs w:val="21"/>
              </w:rPr>
            </w:pPr>
          </w:p>
        </w:tc>
      </w:tr>
    </w:tbl>
    <w:p>
      <w:pPr>
        <w:spacing w:after="120" w:afterLines="50"/>
        <w:rPr>
          <w:rFonts w:ascii="Arial" w:hAnsi="Arial" w:cs="Arial"/>
          <w:bCs/>
          <w:szCs w:val="21"/>
        </w:rPr>
      </w:pPr>
    </w:p>
    <w:p>
      <w:pPr>
        <w:tabs>
          <w:tab w:val="left" w:pos="4680"/>
        </w:tabs>
        <w:spacing w:after="120" w:afterLines="50"/>
        <w:rPr>
          <w:rFonts w:ascii="Arial" w:hAnsi="Arial" w:cs="Arial"/>
        </w:rPr>
      </w:pPr>
      <w:r>
        <w:rPr>
          <w:rFonts w:hint="eastAsia" w:ascii="Arial" w:hAnsi="Arial" w:cs="Arial"/>
        </w:rPr>
        <w:t>评标委员全体会成员</w:t>
      </w:r>
      <w:r>
        <w:rPr>
          <w:rFonts w:hint="eastAsia" w:ascii="宋体" w:hAnsi="宋体" w:cs="Arial"/>
          <w:u w:val="single"/>
        </w:rPr>
        <w:t>（手写签名）</w:t>
      </w:r>
      <w:r>
        <w:rPr>
          <w:rFonts w:ascii="宋体" w:hAnsi="宋体" w:cs="Arial"/>
          <w:u w:val="single"/>
        </w:rPr>
        <w:t xml:space="preserve">        </w:t>
      </w:r>
      <w:r>
        <w:rPr>
          <w:rFonts w:ascii="Arial" w:hAnsi="Arial" w:cs="Arial"/>
        </w:rPr>
        <w:t xml:space="preserve">                                                                            </w:t>
      </w:r>
      <w:r>
        <w:rPr>
          <w:rFonts w:hint="eastAsia" w:ascii="Arial" w:hAnsi="Arial" w:cs="Arial"/>
        </w:rPr>
        <w:t>日期：</w:t>
      </w:r>
      <w:r>
        <w:rPr>
          <w:rFonts w:ascii="Arial" w:hAnsi="Arial" w:cs="Arial"/>
        </w:rPr>
        <w:t xml:space="preserve">   </w:t>
      </w:r>
      <w:r>
        <w:rPr>
          <w:rFonts w:hint="eastAsia" w:ascii="Arial" w:hAnsi="Arial" w:cs="Arial"/>
        </w:rPr>
        <w:t>年</w:t>
      </w:r>
      <w:r>
        <w:rPr>
          <w:rFonts w:ascii="Arial" w:hAnsi="Arial" w:cs="Arial"/>
        </w:rPr>
        <w:t xml:space="preserve">    </w:t>
      </w:r>
      <w:r>
        <w:rPr>
          <w:rFonts w:hint="eastAsia" w:ascii="Arial" w:hAnsi="Arial" w:cs="Arial"/>
        </w:rPr>
        <w:t>月</w:t>
      </w:r>
      <w:r>
        <w:rPr>
          <w:rFonts w:ascii="Arial" w:hAnsi="Arial" w:cs="Arial"/>
        </w:rPr>
        <w:t xml:space="preserve">   </w:t>
      </w:r>
      <w:r>
        <w:rPr>
          <w:rFonts w:hint="eastAsia" w:ascii="Arial" w:hAnsi="Arial" w:cs="Arial"/>
        </w:rPr>
        <w:t>日</w:t>
      </w:r>
    </w:p>
    <w:p>
      <w:pPr>
        <w:tabs>
          <w:tab w:val="left" w:pos="4680"/>
        </w:tabs>
        <w:spacing w:after="120" w:afterLines="50"/>
        <w:rPr>
          <w:rFonts w:ascii="Arial" w:hAnsi="Arial" w:cs="Arial"/>
        </w:rPr>
      </w:pPr>
    </w:p>
    <w:p>
      <w:pPr>
        <w:pStyle w:val="4"/>
        <w:rPr>
          <w:rFonts w:ascii="Arial" w:hAnsi="Arial" w:cs="Arial"/>
          <w:sz w:val="21"/>
          <w:szCs w:val="21"/>
        </w:rPr>
      </w:pPr>
      <w:r>
        <w:rPr>
          <w:rFonts w:hint="eastAsia" w:ascii="Arial" w:hAnsi="Arial" w:cs="Arial"/>
          <w:sz w:val="21"/>
          <w:szCs w:val="21"/>
        </w:rPr>
        <w:t>备注：1、采用分项报价分别评分的，每个分项报价的评分分别使用一张本表格进行评分。招标人应参照本表格式另行制订投标报价评分汇总表供投标报价评分结果汇总使用。相应地，招标人应当调整第八章“投标文件格式”中“投标函”的格式，投标函中应分别列出投标总报价以及各个分项的报价，以方便开标唱标。</w:t>
      </w:r>
    </w:p>
    <w:p>
      <w:pPr>
        <w:tabs>
          <w:tab w:val="left" w:pos="4680"/>
        </w:tabs>
        <w:spacing w:after="120" w:afterLines="50"/>
        <w:ind w:left="918" w:leftChars="437" w:firstLine="210" w:firstLineChars="100"/>
        <w:rPr>
          <w:rFonts w:ascii="Arial" w:hAnsi="Arial" w:cs="Arial"/>
        </w:rPr>
      </w:pPr>
      <w:r>
        <w:rPr>
          <w:rFonts w:hint="eastAsia" w:ascii="Arial" w:hAnsi="Arial" w:cs="Arial"/>
        </w:rPr>
        <w:t>2、得分合计保留两位小数。</w:t>
      </w:r>
    </w:p>
    <w:p>
      <w:pPr>
        <w:pStyle w:val="5"/>
        <w:ind w:left="720" w:hanging="720"/>
        <w:jc w:val="left"/>
        <w:rPr>
          <w:rFonts w:ascii="宋体"/>
          <w:sz w:val="28"/>
          <w:szCs w:val="28"/>
        </w:rPr>
      </w:pPr>
      <w:r>
        <w:rPr>
          <w:rFonts w:hint="eastAsia" w:ascii="宋体" w:hAnsi="宋体"/>
          <w:sz w:val="28"/>
          <w:szCs w:val="28"/>
        </w:rPr>
        <w:t>附表</w:t>
      </w:r>
      <w:r>
        <w:rPr>
          <w:rFonts w:ascii="宋体" w:hAnsi="宋体"/>
          <w:sz w:val="28"/>
          <w:szCs w:val="28"/>
        </w:rPr>
        <w:t>-1</w:t>
      </w:r>
      <w:r>
        <w:rPr>
          <w:rFonts w:hint="eastAsia" w:ascii="宋体" w:hAnsi="宋体"/>
          <w:sz w:val="28"/>
          <w:szCs w:val="28"/>
        </w:rPr>
        <w:t>3</w:t>
      </w:r>
      <w:r>
        <w:rPr>
          <w:rFonts w:ascii="宋体" w:hAnsi="宋体"/>
          <w:sz w:val="28"/>
          <w:szCs w:val="28"/>
        </w:rPr>
        <w:t>-2</w:t>
      </w:r>
      <w:r>
        <w:rPr>
          <w:rFonts w:hint="eastAsia" w:ascii="宋体" w:hAnsi="宋体"/>
          <w:sz w:val="28"/>
          <w:szCs w:val="28"/>
        </w:rPr>
        <w:t>：投标报价评分记录表（内插法）</w:t>
      </w:r>
    </w:p>
    <w:p>
      <w:pPr>
        <w:spacing w:after="120" w:afterLines="50"/>
        <w:jc w:val="center"/>
        <w:rPr>
          <w:rFonts w:ascii="黑体" w:hAnsi="黑体" w:eastAsia="黑体" w:cs="Arial"/>
          <w:bCs/>
          <w:sz w:val="28"/>
          <w:szCs w:val="28"/>
        </w:rPr>
      </w:pPr>
      <w:r>
        <w:rPr>
          <w:rFonts w:hint="eastAsia" w:ascii="黑体" w:hAnsi="黑体" w:eastAsia="黑体" w:cs="Arial"/>
          <w:bCs/>
          <w:sz w:val="28"/>
          <w:szCs w:val="28"/>
        </w:rPr>
        <w:t>投标报价评分记录表</w:t>
      </w:r>
      <w:r>
        <w:rPr>
          <w:rFonts w:ascii="黑体" w:hAnsi="黑体" w:eastAsia="黑体" w:cs="Arial"/>
          <w:bCs/>
          <w:sz w:val="28"/>
          <w:szCs w:val="28"/>
        </w:rPr>
        <w:t>(</w:t>
      </w:r>
      <w:r>
        <w:rPr>
          <w:rFonts w:hint="eastAsia" w:ascii="黑体" w:hAnsi="黑体" w:eastAsia="黑体" w:cs="Arial"/>
          <w:bCs/>
          <w:sz w:val="28"/>
          <w:szCs w:val="28"/>
        </w:rPr>
        <w:t>适用于内插法</w:t>
      </w:r>
      <w:r>
        <w:rPr>
          <w:rFonts w:ascii="黑体" w:hAnsi="黑体" w:eastAsia="黑体" w:cs="Arial"/>
          <w:bCs/>
          <w:sz w:val="28"/>
          <w:szCs w:val="28"/>
        </w:rPr>
        <w:t>)</w:t>
      </w:r>
    </w:p>
    <w:p>
      <w:pPr>
        <w:pStyle w:val="30"/>
        <w:tabs>
          <w:tab w:val="left" w:pos="4680"/>
        </w:tabs>
        <w:spacing w:line="240" w:lineRule="atLeast"/>
        <w:jc w:val="left"/>
        <w:rPr>
          <w:rFonts w:ascii="Arial" w:hAnsi="Arial" w:cs="Arial"/>
          <w:b/>
          <w:sz w:val="21"/>
          <w:szCs w:val="21"/>
        </w:rPr>
      </w:pPr>
      <w:r>
        <w:rPr>
          <w:rFonts w:hint="eastAsia" w:ascii="Arial" w:hAnsi="Arial" w:cs="Arial"/>
          <w:bCs/>
          <w:szCs w:val="21"/>
        </w:rPr>
        <w:t>工程名称：</w:t>
      </w:r>
      <w:r>
        <w:rPr>
          <w:rFonts w:ascii="Arial" w:hAnsi="Arial" w:cs="Arial"/>
          <w:bCs/>
          <w:szCs w:val="21"/>
          <w:u w:val="single"/>
        </w:rPr>
        <w:t xml:space="preserve">        </w:t>
      </w:r>
      <w:r>
        <w:rPr>
          <w:rFonts w:ascii="Arial" w:hAnsi="Arial" w:cs="Arial"/>
          <w:b/>
          <w:szCs w:val="21"/>
        </w:rPr>
        <w:t xml:space="preserve">                                           </w:t>
      </w:r>
    </w:p>
    <w:tbl>
      <w:tblPr>
        <w:tblStyle w:val="49"/>
        <w:tblW w:w="14220"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720"/>
        <w:gridCol w:w="784"/>
        <w:gridCol w:w="784"/>
        <w:gridCol w:w="784"/>
        <w:gridCol w:w="785"/>
        <w:gridCol w:w="784"/>
        <w:gridCol w:w="784"/>
        <w:gridCol w:w="785"/>
        <w:gridCol w:w="784"/>
        <w:gridCol w:w="784"/>
        <w:gridCol w:w="784"/>
        <w:gridCol w:w="785"/>
        <w:gridCol w:w="784"/>
        <w:gridCol w:w="784"/>
        <w:gridCol w:w="7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3240" w:type="dxa"/>
            <w:gridSpan w:val="2"/>
            <w:vMerge w:val="restart"/>
            <w:tcBorders>
              <w:top w:val="single" w:color="auto" w:sz="8" w:space="0"/>
            </w:tcBorders>
            <w:vAlign w:val="center"/>
          </w:tcPr>
          <w:p>
            <w:pPr>
              <w:spacing w:line="360" w:lineRule="auto"/>
              <w:jc w:val="center"/>
              <w:rPr>
                <w:rFonts w:ascii="Arial" w:hAnsi="Arial" w:cs="Arial"/>
                <w:bCs/>
                <w:szCs w:val="21"/>
              </w:rPr>
            </w:pPr>
            <w:r>
              <w:rPr>
                <w:rFonts w:hint="eastAsia" w:ascii="Arial" w:hAnsi="Arial" w:cs="Arial"/>
                <w:bCs/>
                <w:szCs w:val="21"/>
              </w:rPr>
              <w:t>评分标准</w:t>
            </w:r>
          </w:p>
        </w:tc>
        <w:tc>
          <w:tcPr>
            <w:tcW w:w="10980" w:type="dxa"/>
            <w:gridSpan w:val="14"/>
            <w:tcBorders>
              <w:top w:val="single" w:color="auto" w:sz="8" w:space="0"/>
            </w:tcBorders>
            <w:vAlign w:val="center"/>
          </w:tcPr>
          <w:p>
            <w:pPr>
              <w:spacing w:line="360" w:lineRule="auto"/>
              <w:jc w:val="center"/>
              <w:rPr>
                <w:rFonts w:ascii="Arial" w:hAnsi="Arial" w:cs="Arial"/>
                <w:bCs/>
                <w:szCs w:val="21"/>
              </w:rPr>
            </w:pPr>
            <w:r>
              <w:rPr>
                <w:rFonts w:hint="eastAsia" w:ascii="Arial" w:hAnsi="Arial" w:cs="Arial"/>
                <w:szCs w:val="21"/>
              </w:rPr>
              <w:t>投标人名称及评审得分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3240" w:type="dxa"/>
            <w:gridSpan w:val="2"/>
            <w:vMerge w:val="continue"/>
          </w:tcPr>
          <w:p>
            <w:pPr>
              <w:spacing w:line="360" w:lineRule="auto"/>
              <w:jc w:val="center"/>
              <w:rPr>
                <w:rFonts w:ascii="Arial" w:hAnsi="Arial" w:cs="Arial"/>
                <w:bCs/>
                <w:szCs w:val="21"/>
              </w:rPr>
            </w:pPr>
          </w:p>
        </w:tc>
        <w:tc>
          <w:tcPr>
            <w:tcW w:w="1568" w:type="dxa"/>
            <w:gridSpan w:val="2"/>
            <w:vAlign w:val="center"/>
          </w:tcPr>
          <w:p>
            <w:pPr>
              <w:spacing w:line="360" w:lineRule="auto"/>
              <w:jc w:val="center"/>
              <w:rPr>
                <w:rFonts w:ascii="Arial" w:hAnsi="Arial" w:cs="Arial"/>
                <w:szCs w:val="21"/>
              </w:rPr>
            </w:pPr>
          </w:p>
        </w:tc>
        <w:tc>
          <w:tcPr>
            <w:tcW w:w="1569" w:type="dxa"/>
            <w:gridSpan w:val="2"/>
            <w:vAlign w:val="center"/>
          </w:tcPr>
          <w:p>
            <w:pPr>
              <w:spacing w:line="360" w:lineRule="auto"/>
              <w:jc w:val="center"/>
              <w:rPr>
                <w:rFonts w:ascii="Arial" w:hAnsi="Arial" w:cs="Arial"/>
                <w:szCs w:val="21"/>
              </w:rPr>
            </w:pPr>
          </w:p>
        </w:tc>
        <w:tc>
          <w:tcPr>
            <w:tcW w:w="1568" w:type="dxa"/>
            <w:gridSpan w:val="2"/>
            <w:vAlign w:val="center"/>
          </w:tcPr>
          <w:p>
            <w:pPr>
              <w:spacing w:line="360" w:lineRule="auto"/>
              <w:jc w:val="center"/>
              <w:rPr>
                <w:rFonts w:ascii="Arial" w:hAnsi="Arial" w:cs="Arial"/>
                <w:szCs w:val="21"/>
              </w:rPr>
            </w:pPr>
          </w:p>
        </w:tc>
        <w:tc>
          <w:tcPr>
            <w:tcW w:w="1569" w:type="dxa"/>
            <w:gridSpan w:val="2"/>
            <w:vAlign w:val="center"/>
          </w:tcPr>
          <w:p>
            <w:pPr>
              <w:spacing w:line="360" w:lineRule="auto"/>
              <w:jc w:val="center"/>
              <w:rPr>
                <w:rFonts w:ascii="Arial" w:hAnsi="Arial" w:cs="Arial"/>
                <w:szCs w:val="21"/>
              </w:rPr>
            </w:pPr>
          </w:p>
        </w:tc>
        <w:tc>
          <w:tcPr>
            <w:tcW w:w="1568" w:type="dxa"/>
            <w:gridSpan w:val="2"/>
            <w:vAlign w:val="center"/>
          </w:tcPr>
          <w:p>
            <w:pPr>
              <w:spacing w:line="360" w:lineRule="auto"/>
              <w:jc w:val="center"/>
              <w:rPr>
                <w:rFonts w:ascii="Arial" w:hAnsi="Arial" w:cs="Arial"/>
                <w:szCs w:val="21"/>
              </w:rPr>
            </w:pPr>
          </w:p>
        </w:tc>
        <w:tc>
          <w:tcPr>
            <w:tcW w:w="1569" w:type="dxa"/>
            <w:gridSpan w:val="2"/>
            <w:vAlign w:val="center"/>
          </w:tcPr>
          <w:p>
            <w:pPr>
              <w:spacing w:line="360" w:lineRule="auto"/>
              <w:jc w:val="center"/>
              <w:rPr>
                <w:rFonts w:ascii="Arial" w:hAnsi="Arial" w:cs="Arial"/>
                <w:szCs w:val="21"/>
              </w:rPr>
            </w:pPr>
          </w:p>
        </w:tc>
        <w:tc>
          <w:tcPr>
            <w:tcW w:w="1569" w:type="dxa"/>
            <w:gridSpan w:val="2"/>
            <w:vAlign w:val="center"/>
          </w:tcPr>
          <w:p>
            <w:pPr>
              <w:spacing w:line="360" w:lineRule="auto"/>
              <w:jc w:val="center"/>
              <w:rPr>
                <w:rFonts w:ascii="Arial" w:hAnsi="Arial" w:cs="Arial"/>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2520" w:type="dxa"/>
          </w:tcPr>
          <w:p>
            <w:pPr>
              <w:spacing w:line="360" w:lineRule="auto"/>
              <w:jc w:val="center"/>
              <w:rPr>
                <w:rFonts w:ascii="Arial" w:hAnsi="Arial" w:cs="Arial"/>
                <w:bCs/>
                <w:szCs w:val="21"/>
              </w:rPr>
            </w:pPr>
            <w:r>
              <w:rPr>
                <w:rFonts w:ascii="Arial" w:hAnsi="Arial" w:cs="Arial"/>
                <w:bCs/>
                <w:szCs w:val="21"/>
              </w:rPr>
              <w:t>β</w:t>
            </w:r>
            <w:r>
              <w:rPr>
                <w:rFonts w:hint="eastAsia" w:ascii="Arial" w:hAnsi="Arial" w:cs="Arial"/>
                <w:bCs/>
                <w:szCs w:val="21"/>
              </w:rPr>
              <w:t>值分布</w:t>
            </w:r>
          </w:p>
        </w:tc>
        <w:tc>
          <w:tcPr>
            <w:tcW w:w="720" w:type="dxa"/>
          </w:tcPr>
          <w:p>
            <w:pPr>
              <w:spacing w:line="360" w:lineRule="auto"/>
              <w:rPr>
                <w:rFonts w:ascii="Arial" w:hAnsi="Arial" w:cs="Arial"/>
                <w:bCs/>
                <w:szCs w:val="21"/>
              </w:rPr>
            </w:pPr>
            <w:r>
              <w:rPr>
                <w:rFonts w:hint="eastAsia" w:ascii="Arial" w:hAnsi="Arial" w:cs="Arial"/>
                <w:bCs/>
                <w:szCs w:val="21"/>
              </w:rPr>
              <w:t>分值</w:t>
            </w:r>
          </w:p>
        </w:tc>
        <w:tc>
          <w:tcPr>
            <w:tcW w:w="784" w:type="dxa"/>
          </w:tcPr>
          <w:p>
            <w:pPr>
              <w:widowControl/>
              <w:spacing w:line="360" w:lineRule="auto"/>
              <w:jc w:val="center"/>
              <w:rPr>
                <w:rFonts w:ascii="Arial" w:hAnsi="Arial" w:cs="Arial"/>
                <w:bCs/>
                <w:szCs w:val="21"/>
              </w:rPr>
            </w:pPr>
            <w:r>
              <w:rPr>
                <w:rFonts w:ascii="Arial" w:hAnsi="Arial" w:cs="Arial"/>
                <w:bCs/>
                <w:szCs w:val="21"/>
              </w:rPr>
              <w:t>β</w:t>
            </w:r>
          </w:p>
        </w:tc>
        <w:tc>
          <w:tcPr>
            <w:tcW w:w="784" w:type="dxa"/>
          </w:tcPr>
          <w:p>
            <w:pPr>
              <w:widowControl/>
              <w:spacing w:line="360" w:lineRule="auto"/>
              <w:jc w:val="center"/>
              <w:rPr>
                <w:rFonts w:ascii="Arial" w:hAnsi="Arial" w:cs="Arial"/>
                <w:bCs/>
                <w:szCs w:val="21"/>
              </w:rPr>
            </w:pPr>
            <w:r>
              <w:rPr>
                <w:rFonts w:hint="eastAsia" w:ascii="Arial" w:hAnsi="Arial" w:cs="Arial"/>
                <w:bCs/>
                <w:szCs w:val="21"/>
              </w:rPr>
              <w:t>得分</w:t>
            </w:r>
          </w:p>
        </w:tc>
        <w:tc>
          <w:tcPr>
            <w:tcW w:w="784" w:type="dxa"/>
          </w:tcPr>
          <w:p>
            <w:pPr>
              <w:widowControl/>
              <w:spacing w:line="360" w:lineRule="auto"/>
              <w:jc w:val="center"/>
              <w:rPr>
                <w:rFonts w:ascii="Arial" w:hAnsi="Arial" w:cs="Arial"/>
                <w:bCs/>
                <w:szCs w:val="21"/>
              </w:rPr>
            </w:pPr>
            <w:r>
              <w:rPr>
                <w:rFonts w:ascii="Arial" w:hAnsi="Arial" w:cs="Arial"/>
                <w:bCs/>
                <w:szCs w:val="21"/>
              </w:rPr>
              <w:t>β</w:t>
            </w:r>
          </w:p>
        </w:tc>
        <w:tc>
          <w:tcPr>
            <w:tcW w:w="785" w:type="dxa"/>
          </w:tcPr>
          <w:p>
            <w:pPr>
              <w:widowControl/>
              <w:spacing w:line="360" w:lineRule="auto"/>
              <w:jc w:val="center"/>
              <w:rPr>
                <w:rFonts w:ascii="Arial" w:hAnsi="Arial" w:cs="Arial"/>
                <w:bCs/>
                <w:szCs w:val="21"/>
              </w:rPr>
            </w:pPr>
            <w:r>
              <w:rPr>
                <w:rFonts w:hint="eastAsia" w:ascii="Arial" w:hAnsi="Arial" w:cs="Arial"/>
                <w:bCs/>
                <w:szCs w:val="21"/>
              </w:rPr>
              <w:t>得分</w:t>
            </w:r>
          </w:p>
        </w:tc>
        <w:tc>
          <w:tcPr>
            <w:tcW w:w="784" w:type="dxa"/>
          </w:tcPr>
          <w:p>
            <w:pPr>
              <w:widowControl/>
              <w:spacing w:line="360" w:lineRule="auto"/>
              <w:jc w:val="center"/>
              <w:rPr>
                <w:rFonts w:ascii="Arial" w:hAnsi="Arial" w:cs="Arial"/>
                <w:bCs/>
                <w:szCs w:val="21"/>
              </w:rPr>
            </w:pPr>
            <w:r>
              <w:rPr>
                <w:rFonts w:ascii="Arial" w:hAnsi="Arial" w:cs="Arial"/>
                <w:bCs/>
                <w:szCs w:val="21"/>
              </w:rPr>
              <w:t>β</w:t>
            </w:r>
          </w:p>
        </w:tc>
        <w:tc>
          <w:tcPr>
            <w:tcW w:w="784" w:type="dxa"/>
          </w:tcPr>
          <w:p>
            <w:pPr>
              <w:widowControl/>
              <w:spacing w:line="360" w:lineRule="auto"/>
              <w:jc w:val="center"/>
              <w:rPr>
                <w:rFonts w:ascii="Arial" w:hAnsi="Arial" w:cs="Arial"/>
                <w:bCs/>
                <w:szCs w:val="21"/>
              </w:rPr>
            </w:pPr>
            <w:r>
              <w:rPr>
                <w:rFonts w:hint="eastAsia" w:ascii="Arial" w:hAnsi="Arial" w:cs="Arial"/>
                <w:bCs/>
                <w:szCs w:val="21"/>
              </w:rPr>
              <w:t>得分</w:t>
            </w:r>
          </w:p>
        </w:tc>
        <w:tc>
          <w:tcPr>
            <w:tcW w:w="785" w:type="dxa"/>
          </w:tcPr>
          <w:p>
            <w:pPr>
              <w:widowControl/>
              <w:spacing w:line="360" w:lineRule="auto"/>
              <w:jc w:val="center"/>
              <w:rPr>
                <w:rFonts w:ascii="Arial" w:hAnsi="Arial" w:cs="Arial"/>
                <w:bCs/>
                <w:szCs w:val="21"/>
              </w:rPr>
            </w:pPr>
            <w:r>
              <w:rPr>
                <w:rFonts w:ascii="Arial" w:hAnsi="Arial" w:cs="Arial"/>
                <w:bCs/>
                <w:szCs w:val="21"/>
              </w:rPr>
              <w:t>β</w:t>
            </w:r>
          </w:p>
        </w:tc>
        <w:tc>
          <w:tcPr>
            <w:tcW w:w="784" w:type="dxa"/>
          </w:tcPr>
          <w:p>
            <w:pPr>
              <w:widowControl/>
              <w:spacing w:line="360" w:lineRule="auto"/>
              <w:jc w:val="center"/>
              <w:rPr>
                <w:rFonts w:ascii="Arial" w:hAnsi="Arial" w:cs="Arial"/>
                <w:bCs/>
                <w:szCs w:val="21"/>
              </w:rPr>
            </w:pPr>
            <w:r>
              <w:rPr>
                <w:rFonts w:hint="eastAsia" w:ascii="Arial" w:hAnsi="Arial" w:cs="Arial"/>
                <w:bCs/>
                <w:szCs w:val="21"/>
              </w:rPr>
              <w:t>得分</w:t>
            </w:r>
          </w:p>
        </w:tc>
        <w:tc>
          <w:tcPr>
            <w:tcW w:w="784" w:type="dxa"/>
          </w:tcPr>
          <w:p>
            <w:pPr>
              <w:widowControl/>
              <w:spacing w:line="360" w:lineRule="auto"/>
              <w:jc w:val="center"/>
              <w:rPr>
                <w:rFonts w:ascii="Arial" w:hAnsi="Arial" w:cs="Arial"/>
                <w:bCs/>
                <w:szCs w:val="21"/>
              </w:rPr>
            </w:pPr>
            <w:r>
              <w:rPr>
                <w:rFonts w:ascii="Arial" w:hAnsi="Arial" w:cs="Arial"/>
                <w:bCs/>
                <w:szCs w:val="21"/>
              </w:rPr>
              <w:t>β</w:t>
            </w:r>
          </w:p>
        </w:tc>
        <w:tc>
          <w:tcPr>
            <w:tcW w:w="784" w:type="dxa"/>
          </w:tcPr>
          <w:p>
            <w:pPr>
              <w:widowControl/>
              <w:spacing w:line="360" w:lineRule="auto"/>
              <w:jc w:val="center"/>
              <w:rPr>
                <w:rFonts w:ascii="Arial" w:hAnsi="Arial" w:cs="Arial"/>
                <w:bCs/>
                <w:szCs w:val="21"/>
              </w:rPr>
            </w:pPr>
            <w:r>
              <w:rPr>
                <w:rFonts w:hint="eastAsia" w:ascii="Arial" w:hAnsi="Arial" w:cs="Arial"/>
                <w:bCs/>
                <w:szCs w:val="21"/>
              </w:rPr>
              <w:t>得分</w:t>
            </w:r>
          </w:p>
        </w:tc>
        <w:tc>
          <w:tcPr>
            <w:tcW w:w="785" w:type="dxa"/>
          </w:tcPr>
          <w:p>
            <w:pPr>
              <w:widowControl/>
              <w:spacing w:line="360" w:lineRule="auto"/>
              <w:jc w:val="center"/>
              <w:rPr>
                <w:rFonts w:ascii="Arial" w:hAnsi="Arial" w:cs="Arial"/>
                <w:bCs/>
                <w:szCs w:val="21"/>
              </w:rPr>
            </w:pPr>
            <w:r>
              <w:rPr>
                <w:rFonts w:ascii="Arial" w:hAnsi="Arial" w:cs="Arial"/>
                <w:bCs/>
                <w:szCs w:val="21"/>
              </w:rPr>
              <w:t>β</w:t>
            </w:r>
          </w:p>
        </w:tc>
        <w:tc>
          <w:tcPr>
            <w:tcW w:w="784" w:type="dxa"/>
          </w:tcPr>
          <w:p>
            <w:pPr>
              <w:widowControl/>
              <w:spacing w:line="360" w:lineRule="auto"/>
              <w:jc w:val="center"/>
              <w:rPr>
                <w:rFonts w:ascii="Arial" w:hAnsi="Arial" w:cs="Arial"/>
                <w:bCs/>
                <w:szCs w:val="21"/>
              </w:rPr>
            </w:pPr>
            <w:r>
              <w:rPr>
                <w:rFonts w:hint="eastAsia" w:ascii="Arial" w:hAnsi="Arial" w:cs="Arial"/>
                <w:bCs/>
                <w:szCs w:val="21"/>
              </w:rPr>
              <w:t>得分</w:t>
            </w:r>
          </w:p>
        </w:tc>
        <w:tc>
          <w:tcPr>
            <w:tcW w:w="784" w:type="dxa"/>
          </w:tcPr>
          <w:p>
            <w:pPr>
              <w:widowControl/>
              <w:spacing w:line="360" w:lineRule="auto"/>
              <w:jc w:val="center"/>
              <w:rPr>
                <w:rFonts w:ascii="Arial" w:hAnsi="Arial" w:cs="Arial"/>
                <w:bCs/>
                <w:szCs w:val="21"/>
              </w:rPr>
            </w:pPr>
            <w:r>
              <w:rPr>
                <w:rFonts w:ascii="Arial" w:hAnsi="Arial" w:cs="Arial"/>
                <w:bCs/>
                <w:szCs w:val="21"/>
              </w:rPr>
              <w:t>β</w:t>
            </w:r>
          </w:p>
        </w:tc>
        <w:tc>
          <w:tcPr>
            <w:tcW w:w="785" w:type="dxa"/>
          </w:tcPr>
          <w:p>
            <w:pPr>
              <w:widowControl/>
              <w:spacing w:line="360" w:lineRule="auto"/>
              <w:jc w:val="center"/>
              <w:rPr>
                <w:rFonts w:ascii="Arial" w:hAnsi="Arial" w:cs="Arial"/>
                <w:bCs/>
                <w:szCs w:val="21"/>
              </w:rPr>
            </w:pPr>
            <w:r>
              <w:rPr>
                <w:rFonts w:hint="eastAsia" w:ascii="Arial" w:hAnsi="Arial" w:cs="Arial"/>
                <w:bCs/>
                <w:szCs w:val="21"/>
              </w:rPr>
              <w:t>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tcPr>
          <w:p>
            <w:pPr>
              <w:spacing w:line="360" w:lineRule="auto"/>
              <w:jc w:val="left"/>
              <w:rPr>
                <w:rFonts w:ascii="Arial" w:hAnsi="Arial" w:cs="Arial"/>
                <w:bCs/>
                <w:szCs w:val="21"/>
              </w:rPr>
            </w:pPr>
            <w:r>
              <w:rPr>
                <w:rFonts w:ascii="Arial" w:hAnsi="Arial" w:cs="Arial"/>
                <w:bCs/>
                <w:szCs w:val="21"/>
              </w:rPr>
              <w:t xml:space="preserve">β=   </w:t>
            </w:r>
            <w:r>
              <w:rPr>
                <w:rFonts w:ascii="宋体" w:hAnsi="宋体"/>
              </w:rPr>
              <w:t>%</w:t>
            </w:r>
            <w:r>
              <w:rPr>
                <w:rFonts w:ascii="Arial" w:hAnsi="Arial" w:cs="Arial"/>
                <w:bCs/>
                <w:szCs w:val="21"/>
              </w:rPr>
              <w:t xml:space="preserve"> </w:t>
            </w:r>
          </w:p>
        </w:tc>
        <w:tc>
          <w:tcPr>
            <w:tcW w:w="720" w:type="dxa"/>
          </w:tcPr>
          <w:p>
            <w:pPr>
              <w:spacing w:line="360" w:lineRule="auto"/>
              <w:jc w:val="center"/>
              <w:rPr>
                <w:rFonts w:ascii="Arial" w:hAnsi="Arial" w:cs="Arial"/>
                <w:bCs/>
                <w:szCs w:val="21"/>
              </w:rPr>
            </w:pPr>
          </w:p>
        </w:tc>
        <w:tc>
          <w:tcPr>
            <w:tcW w:w="784" w:type="dxa"/>
            <w:vMerge w:val="restart"/>
          </w:tcPr>
          <w:p>
            <w:pPr>
              <w:widowControl/>
              <w:spacing w:line="360" w:lineRule="auto"/>
              <w:rPr>
                <w:rFonts w:ascii="Arial" w:hAnsi="Arial" w:cs="Arial"/>
                <w:bCs/>
                <w:szCs w:val="21"/>
              </w:rPr>
            </w:pPr>
          </w:p>
        </w:tc>
        <w:tc>
          <w:tcPr>
            <w:tcW w:w="784" w:type="dxa"/>
            <w:vMerge w:val="restart"/>
          </w:tcPr>
          <w:p>
            <w:pPr>
              <w:widowControl/>
              <w:spacing w:line="360" w:lineRule="auto"/>
              <w:rPr>
                <w:rFonts w:ascii="Arial" w:hAnsi="Arial" w:cs="Arial"/>
                <w:bCs/>
                <w:szCs w:val="21"/>
              </w:rPr>
            </w:pPr>
          </w:p>
        </w:tc>
        <w:tc>
          <w:tcPr>
            <w:tcW w:w="784" w:type="dxa"/>
            <w:vMerge w:val="restart"/>
          </w:tcPr>
          <w:p>
            <w:pPr>
              <w:widowControl/>
              <w:spacing w:line="360" w:lineRule="auto"/>
              <w:rPr>
                <w:rFonts w:ascii="Arial" w:hAnsi="Arial" w:cs="Arial"/>
                <w:bCs/>
                <w:szCs w:val="21"/>
              </w:rPr>
            </w:pPr>
          </w:p>
        </w:tc>
        <w:tc>
          <w:tcPr>
            <w:tcW w:w="785" w:type="dxa"/>
            <w:vMerge w:val="restart"/>
          </w:tcPr>
          <w:p>
            <w:pPr>
              <w:widowControl/>
              <w:spacing w:line="360" w:lineRule="auto"/>
              <w:rPr>
                <w:rFonts w:ascii="Arial" w:hAnsi="Arial" w:cs="Arial"/>
                <w:bCs/>
                <w:szCs w:val="21"/>
              </w:rPr>
            </w:pPr>
          </w:p>
        </w:tc>
        <w:tc>
          <w:tcPr>
            <w:tcW w:w="784" w:type="dxa"/>
            <w:vMerge w:val="restart"/>
          </w:tcPr>
          <w:p>
            <w:pPr>
              <w:widowControl/>
              <w:spacing w:line="360" w:lineRule="auto"/>
              <w:rPr>
                <w:rFonts w:ascii="Arial" w:hAnsi="Arial" w:cs="Arial"/>
                <w:bCs/>
                <w:szCs w:val="21"/>
              </w:rPr>
            </w:pPr>
          </w:p>
        </w:tc>
        <w:tc>
          <w:tcPr>
            <w:tcW w:w="784" w:type="dxa"/>
            <w:vMerge w:val="restart"/>
          </w:tcPr>
          <w:p>
            <w:pPr>
              <w:widowControl/>
              <w:spacing w:line="360" w:lineRule="auto"/>
              <w:rPr>
                <w:rFonts w:ascii="Arial" w:hAnsi="Arial" w:cs="Arial"/>
                <w:bCs/>
                <w:szCs w:val="21"/>
              </w:rPr>
            </w:pPr>
          </w:p>
        </w:tc>
        <w:tc>
          <w:tcPr>
            <w:tcW w:w="785" w:type="dxa"/>
            <w:vMerge w:val="restart"/>
          </w:tcPr>
          <w:p>
            <w:pPr>
              <w:widowControl/>
              <w:spacing w:line="360" w:lineRule="auto"/>
              <w:rPr>
                <w:rFonts w:ascii="Arial" w:hAnsi="Arial" w:cs="Arial"/>
                <w:bCs/>
                <w:szCs w:val="21"/>
              </w:rPr>
            </w:pPr>
          </w:p>
        </w:tc>
        <w:tc>
          <w:tcPr>
            <w:tcW w:w="784" w:type="dxa"/>
            <w:vMerge w:val="restart"/>
          </w:tcPr>
          <w:p>
            <w:pPr>
              <w:widowControl/>
              <w:spacing w:line="360" w:lineRule="auto"/>
              <w:rPr>
                <w:rFonts w:ascii="Arial" w:hAnsi="Arial" w:cs="Arial"/>
                <w:bCs/>
                <w:szCs w:val="21"/>
              </w:rPr>
            </w:pPr>
          </w:p>
        </w:tc>
        <w:tc>
          <w:tcPr>
            <w:tcW w:w="784" w:type="dxa"/>
            <w:vMerge w:val="restart"/>
          </w:tcPr>
          <w:p>
            <w:pPr>
              <w:widowControl/>
              <w:spacing w:line="360" w:lineRule="auto"/>
              <w:rPr>
                <w:rFonts w:ascii="Arial" w:hAnsi="Arial" w:cs="Arial"/>
                <w:bCs/>
                <w:szCs w:val="21"/>
              </w:rPr>
            </w:pPr>
          </w:p>
        </w:tc>
        <w:tc>
          <w:tcPr>
            <w:tcW w:w="784" w:type="dxa"/>
            <w:vMerge w:val="restart"/>
          </w:tcPr>
          <w:p>
            <w:pPr>
              <w:widowControl/>
              <w:spacing w:line="360" w:lineRule="auto"/>
              <w:rPr>
                <w:rFonts w:ascii="Arial" w:hAnsi="Arial" w:cs="Arial"/>
                <w:bCs/>
                <w:szCs w:val="21"/>
              </w:rPr>
            </w:pPr>
          </w:p>
        </w:tc>
        <w:tc>
          <w:tcPr>
            <w:tcW w:w="785" w:type="dxa"/>
            <w:vMerge w:val="restart"/>
          </w:tcPr>
          <w:p>
            <w:pPr>
              <w:widowControl/>
              <w:spacing w:line="360" w:lineRule="auto"/>
              <w:rPr>
                <w:rFonts w:ascii="Arial" w:hAnsi="Arial" w:cs="Arial"/>
                <w:bCs/>
                <w:szCs w:val="21"/>
              </w:rPr>
            </w:pPr>
          </w:p>
        </w:tc>
        <w:tc>
          <w:tcPr>
            <w:tcW w:w="784" w:type="dxa"/>
            <w:vMerge w:val="restart"/>
          </w:tcPr>
          <w:p>
            <w:pPr>
              <w:widowControl/>
              <w:spacing w:line="360" w:lineRule="auto"/>
              <w:rPr>
                <w:rFonts w:ascii="Arial" w:hAnsi="Arial" w:cs="Arial"/>
                <w:bCs/>
                <w:szCs w:val="21"/>
              </w:rPr>
            </w:pPr>
          </w:p>
        </w:tc>
        <w:tc>
          <w:tcPr>
            <w:tcW w:w="784" w:type="dxa"/>
            <w:vMerge w:val="restart"/>
          </w:tcPr>
          <w:p>
            <w:pPr>
              <w:widowControl/>
              <w:spacing w:line="360" w:lineRule="auto"/>
              <w:rPr>
                <w:rFonts w:ascii="Arial" w:hAnsi="Arial" w:cs="Arial"/>
                <w:bCs/>
                <w:szCs w:val="21"/>
              </w:rPr>
            </w:pPr>
          </w:p>
        </w:tc>
        <w:tc>
          <w:tcPr>
            <w:tcW w:w="785" w:type="dxa"/>
            <w:vMerge w:val="restart"/>
          </w:tcPr>
          <w:p>
            <w:pPr>
              <w:widowControl/>
              <w:spacing w:line="360" w:lineRule="auto"/>
              <w:rPr>
                <w:rFonts w:ascii="Arial" w:hAnsi="Arial" w:cs="Arial"/>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tcPr>
          <w:p>
            <w:pPr>
              <w:spacing w:line="360" w:lineRule="auto"/>
              <w:rPr>
                <w:rFonts w:ascii="Arial" w:hAnsi="Arial" w:cs="Arial"/>
                <w:bCs/>
                <w:szCs w:val="21"/>
              </w:rPr>
            </w:pPr>
            <w:r>
              <w:rPr>
                <w:rFonts w:ascii="Arial" w:hAnsi="Arial" w:cs="Arial"/>
                <w:bCs/>
                <w:szCs w:val="21"/>
              </w:rPr>
              <w:t xml:space="preserve">β=   </w:t>
            </w:r>
            <w:r>
              <w:rPr>
                <w:rFonts w:ascii="宋体" w:hAnsi="宋体"/>
              </w:rPr>
              <w:t>%</w:t>
            </w:r>
            <w:r>
              <w:rPr>
                <w:rFonts w:ascii="Arial" w:hAnsi="Arial" w:cs="Arial"/>
                <w:bCs/>
                <w:szCs w:val="21"/>
              </w:rPr>
              <w:t xml:space="preserve"> </w:t>
            </w:r>
          </w:p>
        </w:tc>
        <w:tc>
          <w:tcPr>
            <w:tcW w:w="720" w:type="dxa"/>
          </w:tcPr>
          <w:p>
            <w:pPr>
              <w:spacing w:line="360" w:lineRule="auto"/>
              <w:jc w:val="center"/>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tcPr>
          <w:p>
            <w:pPr>
              <w:spacing w:line="360" w:lineRule="auto"/>
              <w:rPr>
                <w:rFonts w:ascii="Arial" w:hAnsi="Arial" w:cs="Arial"/>
                <w:bCs/>
                <w:szCs w:val="21"/>
              </w:rPr>
            </w:pPr>
            <w:r>
              <w:rPr>
                <w:rFonts w:ascii="Arial" w:hAnsi="Arial" w:cs="Arial"/>
                <w:bCs/>
                <w:szCs w:val="21"/>
              </w:rPr>
              <w:t xml:space="preserve">β=   </w:t>
            </w:r>
            <w:r>
              <w:rPr>
                <w:rFonts w:ascii="宋体" w:hAnsi="宋体"/>
              </w:rPr>
              <w:t>%</w:t>
            </w:r>
            <w:r>
              <w:rPr>
                <w:rFonts w:ascii="Arial" w:hAnsi="Arial" w:cs="Arial"/>
                <w:bCs/>
                <w:szCs w:val="21"/>
              </w:rPr>
              <w:t xml:space="preserve"> </w:t>
            </w:r>
          </w:p>
        </w:tc>
        <w:tc>
          <w:tcPr>
            <w:tcW w:w="720" w:type="dxa"/>
          </w:tcPr>
          <w:p>
            <w:pPr>
              <w:spacing w:line="360" w:lineRule="auto"/>
              <w:jc w:val="center"/>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tcPr>
          <w:p>
            <w:pPr>
              <w:spacing w:line="360" w:lineRule="auto"/>
              <w:rPr>
                <w:rFonts w:ascii="Arial" w:hAnsi="Arial" w:cs="Arial"/>
                <w:bCs/>
                <w:szCs w:val="21"/>
              </w:rPr>
            </w:pPr>
            <w:r>
              <w:rPr>
                <w:rFonts w:ascii="Arial" w:hAnsi="Arial" w:cs="Arial"/>
                <w:bCs/>
                <w:szCs w:val="21"/>
              </w:rPr>
              <w:t xml:space="preserve">β=   </w:t>
            </w:r>
            <w:r>
              <w:rPr>
                <w:rFonts w:ascii="宋体" w:hAnsi="宋体"/>
              </w:rPr>
              <w:t>%</w:t>
            </w:r>
            <w:r>
              <w:rPr>
                <w:rFonts w:ascii="Arial" w:hAnsi="Arial" w:cs="Arial"/>
                <w:bCs/>
                <w:szCs w:val="21"/>
              </w:rPr>
              <w:t xml:space="preserve"> </w:t>
            </w:r>
          </w:p>
        </w:tc>
        <w:tc>
          <w:tcPr>
            <w:tcW w:w="720" w:type="dxa"/>
          </w:tcPr>
          <w:p>
            <w:pPr>
              <w:spacing w:line="360" w:lineRule="auto"/>
              <w:jc w:val="center"/>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tcPr>
          <w:p>
            <w:pPr>
              <w:spacing w:line="360" w:lineRule="auto"/>
              <w:rPr>
                <w:rFonts w:ascii="Arial" w:hAnsi="Arial" w:cs="Arial"/>
                <w:szCs w:val="21"/>
              </w:rPr>
            </w:pPr>
            <w:r>
              <w:rPr>
                <w:rFonts w:ascii="Arial" w:hAnsi="Arial" w:cs="Arial"/>
                <w:bCs/>
                <w:szCs w:val="21"/>
              </w:rPr>
              <w:t xml:space="preserve">β=   </w:t>
            </w:r>
            <w:r>
              <w:rPr>
                <w:rFonts w:ascii="宋体" w:hAnsi="宋体"/>
              </w:rPr>
              <w:t>%</w:t>
            </w:r>
            <w:r>
              <w:rPr>
                <w:rFonts w:ascii="Arial" w:hAnsi="Arial" w:cs="Arial"/>
                <w:bCs/>
                <w:szCs w:val="21"/>
              </w:rPr>
              <w:t xml:space="preserve"> </w:t>
            </w:r>
          </w:p>
        </w:tc>
        <w:tc>
          <w:tcPr>
            <w:tcW w:w="720" w:type="dxa"/>
          </w:tcPr>
          <w:p>
            <w:pPr>
              <w:spacing w:line="360" w:lineRule="auto"/>
              <w:jc w:val="center"/>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tcPr>
          <w:p>
            <w:pPr>
              <w:spacing w:line="360" w:lineRule="auto"/>
              <w:rPr>
                <w:rFonts w:ascii="Arial" w:hAnsi="Arial" w:cs="Arial"/>
                <w:szCs w:val="21"/>
              </w:rPr>
            </w:pPr>
            <w:r>
              <w:rPr>
                <w:rFonts w:ascii="Arial" w:hAnsi="Arial" w:cs="Arial"/>
                <w:bCs/>
                <w:szCs w:val="21"/>
              </w:rPr>
              <w:t xml:space="preserve">β=   </w:t>
            </w:r>
            <w:r>
              <w:rPr>
                <w:rFonts w:ascii="宋体" w:hAnsi="宋体"/>
              </w:rPr>
              <w:t>%</w:t>
            </w:r>
            <w:r>
              <w:rPr>
                <w:rFonts w:ascii="Arial" w:hAnsi="Arial" w:cs="Arial"/>
                <w:bCs/>
                <w:szCs w:val="21"/>
              </w:rPr>
              <w:t xml:space="preserve"> </w:t>
            </w:r>
          </w:p>
        </w:tc>
        <w:tc>
          <w:tcPr>
            <w:tcW w:w="720" w:type="dxa"/>
          </w:tcPr>
          <w:p>
            <w:pPr>
              <w:spacing w:line="360" w:lineRule="auto"/>
              <w:jc w:val="center"/>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tcPr>
          <w:p>
            <w:pPr>
              <w:spacing w:line="360" w:lineRule="auto"/>
              <w:rPr>
                <w:rFonts w:ascii="Arial" w:hAnsi="Arial" w:cs="Arial"/>
                <w:szCs w:val="21"/>
              </w:rPr>
            </w:pPr>
            <w:r>
              <w:rPr>
                <w:rFonts w:ascii="Arial" w:hAnsi="Arial" w:cs="Arial"/>
                <w:bCs/>
                <w:szCs w:val="21"/>
              </w:rPr>
              <w:t xml:space="preserve">β=   </w:t>
            </w:r>
            <w:r>
              <w:rPr>
                <w:rFonts w:ascii="宋体" w:hAnsi="宋体"/>
              </w:rPr>
              <w:t>%</w:t>
            </w:r>
            <w:r>
              <w:rPr>
                <w:rFonts w:ascii="Arial" w:hAnsi="Arial" w:cs="Arial"/>
                <w:bCs/>
                <w:szCs w:val="21"/>
              </w:rPr>
              <w:t xml:space="preserve"> </w:t>
            </w:r>
          </w:p>
        </w:tc>
        <w:tc>
          <w:tcPr>
            <w:tcW w:w="720" w:type="dxa"/>
          </w:tcPr>
          <w:p>
            <w:pPr>
              <w:spacing w:line="360" w:lineRule="auto"/>
              <w:jc w:val="center"/>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tcPr>
          <w:p>
            <w:pPr>
              <w:spacing w:line="360" w:lineRule="auto"/>
              <w:rPr>
                <w:rFonts w:ascii="Arial" w:hAnsi="Arial" w:cs="Arial"/>
                <w:szCs w:val="21"/>
              </w:rPr>
            </w:pPr>
            <w:r>
              <w:rPr>
                <w:rFonts w:ascii="Arial" w:hAnsi="Arial" w:cs="Arial"/>
                <w:bCs/>
                <w:szCs w:val="21"/>
              </w:rPr>
              <w:t xml:space="preserve">β=   </w:t>
            </w:r>
            <w:r>
              <w:rPr>
                <w:rFonts w:ascii="宋体" w:hAnsi="宋体"/>
              </w:rPr>
              <w:t>%</w:t>
            </w:r>
            <w:r>
              <w:rPr>
                <w:rFonts w:ascii="Arial" w:hAnsi="Arial" w:cs="Arial"/>
                <w:bCs/>
                <w:szCs w:val="21"/>
              </w:rPr>
              <w:t xml:space="preserve"> </w:t>
            </w:r>
          </w:p>
        </w:tc>
        <w:tc>
          <w:tcPr>
            <w:tcW w:w="720" w:type="dxa"/>
          </w:tcPr>
          <w:p>
            <w:pPr>
              <w:spacing w:line="360" w:lineRule="auto"/>
              <w:jc w:val="center"/>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tcPr>
          <w:p>
            <w:pPr>
              <w:spacing w:line="360" w:lineRule="auto"/>
              <w:rPr>
                <w:rFonts w:ascii="Arial" w:hAnsi="Arial" w:cs="Arial"/>
                <w:szCs w:val="21"/>
              </w:rPr>
            </w:pPr>
            <w:r>
              <w:rPr>
                <w:rFonts w:ascii="Arial" w:hAnsi="Arial" w:cs="Arial"/>
                <w:bCs/>
                <w:szCs w:val="21"/>
              </w:rPr>
              <w:t xml:space="preserve">β=   </w:t>
            </w:r>
            <w:r>
              <w:rPr>
                <w:rFonts w:ascii="宋体" w:hAnsi="宋体"/>
              </w:rPr>
              <w:t>%</w:t>
            </w:r>
            <w:r>
              <w:rPr>
                <w:rFonts w:ascii="Arial" w:hAnsi="Arial" w:cs="Arial"/>
                <w:bCs/>
                <w:szCs w:val="21"/>
              </w:rPr>
              <w:t xml:space="preserve"> </w:t>
            </w:r>
          </w:p>
        </w:tc>
        <w:tc>
          <w:tcPr>
            <w:tcW w:w="720" w:type="dxa"/>
          </w:tcPr>
          <w:p>
            <w:pPr>
              <w:spacing w:line="360" w:lineRule="auto"/>
              <w:jc w:val="center"/>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4" w:type="dxa"/>
            <w:vMerge w:val="continue"/>
          </w:tcPr>
          <w:p>
            <w:pPr>
              <w:widowControl/>
              <w:spacing w:line="360" w:lineRule="auto"/>
              <w:rPr>
                <w:rFonts w:ascii="Arial" w:hAnsi="Arial" w:cs="Arial"/>
                <w:bCs/>
                <w:szCs w:val="21"/>
              </w:rPr>
            </w:pPr>
          </w:p>
        </w:tc>
        <w:tc>
          <w:tcPr>
            <w:tcW w:w="785" w:type="dxa"/>
            <w:vMerge w:val="continue"/>
          </w:tcPr>
          <w:p>
            <w:pPr>
              <w:widowControl/>
              <w:spacing w:line="360" w:lineRule="auto"/>
              <w:rPr>
                <w:rFonts w:ascii="Arial" w:hAnsi="Arial" w:cs="Arial"/>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2520" w:type="dxa"/>
            <w:tcBorders>
              <w:bottom w:val="single" w:color="auto" w:sz="8" w:space="0"/>
            </w:tcBorders>
          </w:tcPr>
          <w:p>
            <w:pPr>
              <w:spacing w:line="360" w:lineRule="auto"/>
              <w:rPr>
                <w:rFonts w:ascii="Arial" w:hAnsi="Arial" w:cs="Arial"/>
                <w:b/>
                <w:bCs/>
                <w:szCs w:val="21"/>
              </w:rPr>
            </w:pPr>
            <w:r>
              <w:rPr>
                <w:rFonts w:ascii="Arial" w:hAnsi="Arial" w:cs="Arial"/>
                <w:bCs/>
                <w:szCs w:val="21"/>
              </w:rPr>
              <w:t xml:space="preserve">β=   </w:t>
            </w:r>
            <w:r>
              <w:rPr>
                <w:rFonts w:ascii="宋体" w:hAnsi="宋体"/>
              </w:rPr>
              <w:t>%</w:t>
            </w:r>
            <w:r>
              <w:rPr>
                <w:rFonts w:ascii="Arial" w:hAnsi="Arial" w:cs="Arial"/>
                <w:bCs/>
                <w:szCs w:val="21"/>
              </w:rPr>
              <w:t xml:space="preserve"> </w:t>
            </w:r>
          </w:p>
        </w:tc>
        <w:tc>
          <w:tcPr>
            <w:tcW w:w="720" w:type="dxa"/>
            <w:tcBorders>
              <w:bottom w:val="single" w:color="auto" w:sz="8" w:space="0"/>
            </w:tcBorders>
          </w:tcPr>
          <w:p>
            <w:pPr>
              <w:spacing w:line="360" w:lineRule="auto"/>
              <w:jc w:val="center"/>
              <w:rPr>
                <w:rFonts w:ascii="Arial" w:hAnsi="Arial" w:cs="Arial"/>
                <w:b/>
                <w:bCs/>
                <w:szCs w:val="21"/>
              </w:rPr>
            </w:pPr>
          </w:p>
        </w:tc>
        <w:tc>
          <w:tcPr>
            <w:tcW w:w="784" w:type="dxa"/>
            <w:vMerge w:val="continue"/>
            <w:tcBorders>
              <w:bottom w:val="single" w:color="auto" w:sz="8" w:space="0"/>
            </w:tcBorders>
          </w:tcPr>
          <w:p>
            <w:pPr>
              <w:widowControl/>
              <w:spacing w:line="360" w:lineRule="auto"/>
              <w:rPr>
                <w:rFonts w:ascii="Arial" w:hAnsi="Arial" w:cs="Arial"/>
                <w:bCs/>
                <w:szCs w:val="21"/>
              </w:rPr>
            </w:pPr>
          </w:p>
        </w:tc>
        <w:tc>
          <w:tcPr>
            <w:tcW w:w="784" w:type="dxa"/>
            <w:vMerge w:val="continue"/>
            <w:tcBorders>
              <w:bottom w:val="single" w:color="auto" w:sz="8" w:space="0"/>
            </w:tcBorders>
          </w:tcPr>
          <w:p>
            <w:pPr>
              <w:widowControl/>
              <w:spacing w:line="360" w:lineRule="auto"/>
              <w:rPr>
                <w:rFonts w:ascii="Arial" w:hAnsi="Arial" w:cs="Arial"/>
                <w:bCs/>
                <w:szCs w:val="21"/>
              </w:rPr>
            </w:pPr>
          </w:p>
        </w:tc>
        <w:tc>
          <w:tcPr>
            <w:tcW w:w="784" w:type="dxa"/>
            <w:vMerge w:val="continue"/>
            <w:tcBorders>
              <w:bottom w:val="single" w:color="auto" w:sz="8" w:space="0"/>
            </w:tcBorders>
          </w:tcPr>
          <w:p>
            <w:pPr>
              <w:widowControl/>
              <w:spacing w:line="360" w:lineRule="auto"/>
              <w:rPr>
                <w:rFonts w:ascii="Arial" w:hAnsi="Arial" w:cs="Arial"/>
                <w:bCs/>
                <w:szCs w:val="21"/>
              </w:rPr>
            </w:pPr>
          </w:p>
        </w:tc>
        <w:tc>
          <w:tcPr>
            <w:tcW w:w="785" w:type="dxa"/>
            <w:vMerge w:val="continue"/>
            <w:tcBorders>
              <w:bottom w:val="single" w:color="auto" w:sz="8" w:space="0"/>
            </w:tcBorders>
          </w:tcPr>
          <w:p>
            <w:pPr>
              <w:widowControl/>
              <w:spacing w:line="360" w:lineRule="auto"/>
              <w:rPr>
                <w:rFonts w:ascii="Arial" w:hAnsi="Arial" w:cs="Arial"/>
                <w:bCs/>
                <w:szCs w:val="21"/>
              </w:rPr>
            </w:pPr>
          </w:p>
        </w:tc>
        <w:tc>
          <w:tcPr>
            <w:tcW w:w="784" w:type="dxa"/>
            <w:vMerge w:val="continue"/>
            <w:tcBorders>
              <w:bottom w:val="single" w:color="auto" w:sz="8" w:space="0"/>
            </w:tcBorders>
          </w:tcPr>
          <w:p>
            <w:pPr>
              <w:widowControl/>
              <w:spacing w:line="360" w:lineRule="auto"/>
              <w:rPr>
                <w:rFonts w:ascii="Arial" w:hAnsi="Arial" w:cs="Arial"/>
                <w:bCs/>
                <w:szCs w:val="21"/>
              </w:rPr>
            </w:pPr>
          </w:p>
        </w:tc>
        <w:tc>
          <w:tcPr>
            <w:tcW w:w="784" w:type="dxa"/>
            <w:vMerge w:val="continue"/>
            <w:tcBorders>
              <w:bottom w:val="single" w:color="auto" w:sz="8" w:space="0"/>
            </w:tcBorders>
          </w:tcPr>
          <w:p>
            <w:pPr>
              <w:widowControl/>
              <w:spacing w:line="360" w:lineRule="auto"/>
              <w:rPr>
                <w:rFonts w:ascii="Arial" w:hAnsi="Arial" w:cs="Arial"/>
                <w:bCs/>
                <w:szCs w:val="21"/>
              </w:rPr>
            </w:pPr>
          </w:p>
        </w:tc>
        <w:tc>
          <w:tcPr>
            <w:tcW w:w="785" w:type="dxa"/>
            <w:vMerge w:val="continue"/>
            <w:tcBorders>
              <w:bottom w:val="single" w:color="auto" w:sz="8" w:space="0"/>
            </w:tcBorders>
          </w:tcPr>
          <w:p>
            <w:pPr>
              <w:widowControl/>
              <w:spacing w:line="360" w:lineRule="auto"/>
              <w:rPr>
                <w:rFonts w:ascii="Arial" w:hAnsi="Arial" w:cs="Arial"/>
                <w:bCs/>
                <w:szCs w:val="21"/>
              </w:rPr>
            </w:pPr>
          </w:p>
        </w:tc>
        <w:tc>
          <w:tcPr>
            <w:tcW w:w="784" w:type="dxa"/>
            <w:vMerge w:val="continue"/>
            <w:tcBorders>
              <w:bottom w:val="single" w:color="auto" w:sz="8" w:space="0"/>
            </w:tcBorders>
          </w:tcPr>
          <w:p>
            <w:pPr>
              <w:widowControl/>
              <w:spacing w:line="360" w:lineRule="auto"/>
              <w:rPr>
                <w:rFonts w:ascii="Arial" w:hAnsi="Arial" w:cs="Arial"/>
                <w:bCs/>
                <w:szCs w:val="21"/>
              </w:rPr>
            </w:pPr>
          </w:p>
        </w:tc>
        <w:tc>
          <w:tcPr>
            <w:tcW w:w="784" w:type="dxa"/>
            <w:vMerge w:val="continue"/>
            <w:tcBorders>
              <w:bottom w:val="single" w:color="auto" w:sz="8" w:space="0"/>
            </w:tcBorders>
          </w:tcPr>
          <w:p>
            <w:pPr>
              <w:widowControl/>
              <w:spacing w:line="360" w:lineRule="auto"/>
              <w:rPr>
                <w:rFonts w:ascii="Arial" w:hAnsi="Arial" w:cs="Arial"/>
                <w:bCs/>
                <w:szCs w:val="21"/>
              </w:rPr>
            </w:pPr>
          </w:p>
        </w:tc>
        <w:tc>
          <w:tcPr>
            <w:tcW w:w="784" w:type="dxa"/>
            <w:vMerge w:val="continue"/>
            <w:tcBorders>
              <w:bottom w:val="single" w:color="auto" w:sz="8" w:space="0"/>
            </w:tcBorders>
          </w:tcPr>
          <w:p>
            <w:pPr>
              <w:widowControl/>
              <w:spacing w:line="360" w:lineRule="auto"/>
              <w:rPr>
                <w:rFonts w:ascii="Arial" w:hAnsi="Arial" w:cs="Arial"/>
                <w:bCs/>
                <w:szCs w:val="21"/>
              </w:rPr>
            </w:pPr>
          </w:p>
        </w:tc>
        <w:tc>
          <w:tcPr>
            <w:tcW w:w="785" w:type="dxa"/>
            <w:vMerge w:val="continue"/>
            <w:tcBorders>
              <w:bottom w:val="single" w:color="auto" w:sz="8" w:space="0"/>
            </w:tcBorders>
          </w:tcPr>
          <w:p>
            <w:pPr>
              <w:widowControl/>
              <w:spacing w:line="360" w:lineRule="auto"/>
              <w:rPr>
                <w:rFonts w:ascii="Arial" w:hAnsi="Arial" w:cs="Arial"/>
                <w:bCs/>
                <w:szCs w:val="21"/>
              </w:rPr>
            </w:pPr>
          </w:p>
        </w:tc>
        <w:tc>
          <w:tcPr>
            <w:tcW w:w="784" w:type="dxa"/>
            <w:vMerge w:val="continue"/>
            <w:tcBorders>
              <w:bottom w:val="single" w:color="auto" w:sz="8" w:space="0"/>
            </w:tcBorders>
          </w:tcPr>
          <w:p>
            <w:pPr>
              <w:widowControl/>
              <w:spacing w:line="360" w:lineRule="auto"/>
              <w:rPr>
                <w:rFonts w:ascii="Arial" w:hAnsi="Arial" w:cs="Arial"/>
                <w:bCs/>
                <w:szCs w:val="21"/>
              </w:rPr>
            </w:pPr>
          </w:p>
        </w:tc>
        <w:tc>
          <w:tcPr>
            <w:tcW w:w="784" w:type="dxa"/>
            <w:vMerge w:val="continue"/>
            <w:tcBorders>
              <w:bottom w:val="single" w:color="auto" w:sz="8" w:space="0"/>
            </w:tcBorders>
          </w:tcPr>
          <w:p>
            <w:pPr>
              <w:widowControl/>
              <w:spacing w:line="360" w:lineRule="auto"/>
              <w:rPr>
                <w:rFonts w:ascii="Arial" w:hAnsi="Arial" w:cs="Arial"/>
                <w:bCs/>
                <w:szCs w:val="21"/>
              </w:rPr>
            </w:pPr>
          </w:p>
        </w:tc>
        <w:tc>
          <w:tcPr>
            <w:tcW w:w="785" w:type="dxa"/>
            <w:vMerge w:val="continue"/>
            <w:tcBorders>
              <w:bottom w:val="single" w:color="auto" w:sz="8" w:space="0"/>
            </w:tcBorders>
          </w:tcPr>
          <w:p>
            <w:pPr>
              <w:widowControl/>
              <w:spacing w:line="360" w:lineRule="auto"/>
              <w:rPr>
                <w:rFonts w:ascii="Arial" w:hAnsi="Arial" w:cs="Arial"/>
                <w:bCs/>
                <w:szCs w:val="21"/>
              </w:rPr>
            </w:pPr>
          </w:p>
        </w:tc>
      </w:tr>
    </w:tbl>
    <w:p>
      <w:pPr>
        <w:spacing w:after="120" w:afterLines="50"/>
        <w:rPr>
          <w:rFonts w:ascii="Arial" w:hAnsi="Arial" w:cs="Arial"/>
          <w:bCs/>
          <w:szCs w:val="21"/>
        </w:rPr>
      </w:pPr>
    </w:p>
    <w:p>
      <w:pPr>
        <w:tabs>
          <w:tab w:val="left" w:pos="4680"/>
        </w:tabs>
        <w:spacing w:after="120" w:afterLines="50"/>
        <w:rPr>
          <w:rFonts w:ascii="Arial" w:hAnsi="Arial" w:cs="Arial"/>
        </w:rPr>
      </w:pPr>
      <w:r>
        <w:rPr>
          <w:rFonts w:hint="eastAsia" w:ascii="Arial" w:hAnsi="Arial" w:cs="Arial"/>
        </w:rPr>
        <w:t>评标委员会全体成员</w:t>
      </w:r>
      <w:r>
        <w:rPr>
          <w:rFonts w:hint="eastAsia" w:ascii="宋体" w:hAnsi="宋体" w:cs="Arial"/>
          <w:u w:val="single"/>
        </w:rPr>
        <w:t>（手写签名）</w:t>
      </w:r>
      <w:r>
        <w:rPr>
          <w:rFonts w:ascii="宋体" w:hAnsi="宋体" w:cs="Arial"/>
          <w:u w:val="single"/>
        </w:rPr>
        <w:t xml:space="preserve">        </w:t>
      </w:r>
      <w:r>
        <w:rPr>
          <w:rFonts w:ascii="Arial" w:hAnsi="Arial" w:cs="Arial"/>
        </w:rPr>
        <w:t xml:space="preserve">                                                                           </w:t>
      </w:r>
      <w:r>
        <w:rPr>
          <w:rFonts w:hint="eastAsia" w:ascii="Arial" w:hAnsi="Arial" w:cs="Arial"/>
        </w:rPr>
        <w:t>日期：</w:t>
      </w:r>
      <w:r>
        <w:rPr>
          <w:rFonts w:ascii="Arial" w:hAnsi="Arial" w:cs="Arial"/>
        </w:rPr>
        <w:t xml:space="preserve">   </w:t>
      </w:r>
      <w:r>
        <w:rPr>
          <w:rFonts w:hint="eastAsia" w:ascii="Arial" w:hAnsi="Arial" w:cs="Arial"/>
        </w:rPr>
        <w:t>年</w:t>
      </w:r>
      <w:r>
        <w:rPr>
          <w:rFonts w:ascii="Arial" w:hAnsi="Arial" w:cs="Arial"/>
        </w:rPr>
        <w:t xml:space="preserve">    </w:t>
      </w:r>
      <w:r>
        <w:rPr>
          <w:rFonts w:hint="eastAsia" w:ascii="Arial" w:hAnsi="Arial" w:cs="Arial"/>
        </w:rPr>
        <w:t>月</w:t>
      </w:r>
      <w:r>
        <w:rPr>
          <w:rFonts w:ascii="Arial" w:hAnsi="Arial" w:cs="Arial"/>
        </w:rPr>
        <w:t xml:space="preserve">   </w:t>
      </w:r>
      <w:r>
        <w:rPr>
          <w:rFonts w:hint="eastAsia" w:ascii="Arial" w:hAnsi="Arial" w:cs="Arial"/>
        </w:rPr>
        <w:t>日</w:t>
      </w:r>
    </w:p>
    <w:p>
      <w:pPr>
        <w:rPr>
          <w:rFonts w:ascii="Arial" w:hAnsi="Arial" w:cs="Arial"/>
          <w:bCs/>
          <w:szCs w:val="21"/>
        </w:rPr>
      </w:pPr>
      <w:r>
        <w:rPr>
          <w:rFonts w:hint="eastAsia" w:ascii="Arial" w:hAnsi="Arial" w:cs="Arial"/>
        </w:rPr>
        <w:t>备注：</w:t>
      </w:r>
      <w:r>
        <w:rPr>
          <w:rFonts w:ascii="Arial" w:hAnsi="Arial" w:cs="Arial"/>
        </w:rPr>
        <w:t>1</w:t>
      </w:r>
      <w:r>
        <w:rPr>
          <w:rFonts w:hint="eastAsia" w:ascii="Arial" w:hAnsi="Arial" w:cs="Arial"/>
        </w:rPr>
        <w:t>、</w:t>
      </w:r>
      <w:r>
        <w:rPr>
          <w:rFonts w:ascii="Arial" w:hAnsi="Arial" w:cs="Arial"/>
          <w:bCs/>
          <w:szCs w:val="21"/>
        </w:rPr>
        <w:t>β</w:t>
      </w:r>
      <w:r>
        <w:rPr>
          <w:rFonts w:hint="eastAsia" w:ascii="Arial" w:hAnsi="Arial" w:cs="Arial"/>
          <w:bCs/>
          <w:szCs w:val="21"/>
        </w:rPr>
        <w:t>在区间内时，采用内插法计算得分。</w:t>
      </w:r>
    </w:p>
    <w:p>
      <w:pPr>
        <w:tabs>
          <w:tab w:val="left" w:pos="4680"/>
        </w:tabs>
        <w:ind w:left="991" w:leftChars="321" w:hanging="317" w:hangingChars="151"/>
        <w:rPr>
          <w:rFonts w:ascii="Arial" w:hAnsi="Arial" w:cs="Arial"/>
        </w:rPr>
      </w:pPr>
      <w:r>
        <w:rPr>
          <w:rFonts w:ascii="Arial" w:hAnsi="Arial" w:cs="Arial"/>
        </w:rPr>
        <w:t>2</w:t>
      </w:r>
      <w:r>
        <w:rPr>
          <w:rFonts w:hint="eastAsia" w:ascii="Arial" w:hAnsi="Arial" w:cs="Arial"/>
        </w:rPr>
        <w:t>、采用分项报价分别评分的，每个分项报价的评分分别使用一张本表格进行评分。招标人应参照本表格式另行制订投标报价评分汇总表供投标报价评分结果汇总使用。相应地，招标人应当调整第八章“投标文件格式”中“投标函”的格式，投标函中应分别列出投标总报价以及各个分项的报价，以方便开标唱标。</w:t>
      </w:r>
    </w:p>
    <w:p>
      <w:pPr>
        <w:tabs>
          <w:tab w:val="left" w:pos="4680"/>
        </w:tabs>
        <w:ind w:left="991" w:leftChars="321" w:hanging="317" w:hangingChars="151"/>
        <w:rPr>
          <w:rFonts w:ascii="Arial" w:hAnsi="Arial" w:cs="Arial"/>
        </w:rPr>
      </w:pPr>
      <w:r>
        <w:rPr>
          <w:rFonts w:hint="eastAsia" w:ascii="Arial" w:hAnsi="Arial" w:cs="Arial"/>
        </w:rPr>
        <w:t>3、得分合计保留两位小数。</w:t>
      </w:r>
    </w:p>
    <w:p>
      <w:pPr>
        <w:pStyle w:val="5"/>
        <w:tabs>
          <w:tab w:val="left" w:pos="0"/>
        </w:tabs>
        <w:spacing w:before="0" w:after="0"/>
        <w:jc w:val="both"/>
        <w:rPr>
          <w:rFonts w:ascii="宋体"/>
          <w:sz w:val="28"/>
          <w:szCs w:val="24"/>
        </w:rPr>
      </w:pPr>
      <w:r>
        <w:rPr>
          <w:rFonts w:hint="eastAsia" w:ascii="宋体" w:hAnsi="宋体"/>
          <w:sz w:val="28"/>
          <w:szCs w:val="24"/>
        </w:rPr>
        <w:t>附表</w:t>
      </w:r>
      <w:r>
        <w:rPr>
          <w:rFonts w:ascii="宋体" w:hAnsi="宋体"/>
          <w:sz w:val="28"/>
          <w:szCs w:val="24"/>
        </w:rPr>
        <w:t>-1</w:t>
      </w:r>
      <w:r>
        <w:rPr>
          <w:rFonts w:hint="eastAsia" w:ascii="宋体" w:hAnsi="宋体"/>
          <w:sz w:val="28"/>
          <w:szCs w:val="24"/>
        </w:rPr>
        <w:t>4：</w:t>
      </w:r>
      <w:r>
        <w:rPr>
          <w:rFonts w:hint="eastAsia" w:ascii="宋体" w:hAnsi="宋体"/>
          <w:sz w:val="28"/>
          <w:szCs w:val="28"/>
        </w:rPr>
        <w:t>评标结果汇总及排序表</w:t>
      </w:r>
      <w:bookmarkEnd w:id="208"/>
      <w:bookmarkEnd w:id="209"/>
      <w:bookmarkEnd w:id="210"/>
      <w:bookmarkEnd w:id="211"/>
      <w:bookmarkEnd w:id="212"/>
      <w:bookmarkEnd w:id="213"/>
    </w:p>
    <w:p>
      <w:pPr>
        <w:spacing w:after="120" w:afterLines="50"/>
        <w:ind w:left="36" w:leftChars="17"/>
        <w:jc w:val="center"/>
        <w:rPr>
          <w:rFonts w:ascii="黑体" w:hAnsi="黑体" w:eastAsia="黑体" w:cs="Arial"/>
          <w:bCs/>
          <w:sz w:val="28"/>
          <w:szCs w:val="28"/>
        </w:rPr>
      </w:pPr>
      <w:r>
        <w:rPr>
          <w:rFonts w:hint="eastAsia" w:ascii="黑体" w:hAnsi="黑体" w:eastAsia="黑体" w:cs="Arial"/>
          <w:bCs/>
          <w:sz w:val="28"/>
          <w:szCs w:val="28"/>
        </w:rPr>
        <w:t>评标结果汇总及排序表</w:t>
      </w:r>
    </w:p>
    <w:p>
      <w:pPr>
        <w:spacing w:after="120" w:afterLines="50"/>
        <w:ind w:left="36" w:leftChars="17"/>
        <w:rPr>
          <w:sz w:val="24"/>
        </w:rPr>
      </w:pPr>
      <w:r>
        <w:rPr>
          <w:rFonts w:hint="eastAsia"/>
          <w:sz w:val="24"/>
        </w:rPr>
        <w:t>工程名称：</w:t>
      </w:r>
      <w:r>
        <w:rPr>
          <w:sz w:val="24"/>
          <w:u w:val="single"/>
        </w:rPr>
        <w:t xml:space="preserve">                                 </w:t>
      </w:r>
      <w:r>
        <w:rPr>
          <w:sz w:val="24"/>
        </w:rPr>
        <w:t xml:space="preserve">                                                                          </w:t>
      </w:r>
    </w:p>
    <w:tbl>
      <w:tblPr>
        <w:tblStyle w:val="49"/>
        <w:tblW w:w="13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4217"/>
        <w:gridCol w:w="1985"/>
        <w:gridCol w:w="1615"/>
        <w:gridCol w:w="1101"/>
        <w:gridCol w:w="1111"/>
        <w:gridCol w:w="1134"/>
        <w:gridCol w:w="992"/>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vMerge w:val="restart"/>
            <w:vAlign w:val="center"/>
          </w:tcPr>
          <w:p>
            <w:pPr>
              <w:adjustRightInd w:val="0"/>
              <w:snapToGrid w:val="0"/>
              <w:spacing w:after="60" w:afterLines="25" w:line="420" w:lineRule="exact"/>
              <w:ind w:left="-38" w:leftChars="-18" w:right="-59" w:rightChars="-28" w:firstLine="10"/>
              <w:jc w:val="center"/>
              <w:rPr>
                <w:b/>
                <w:szCs w:val="21"/>
              </w:rPr>
            </w:pPr>
            <w:r>
              <w:rPr>
                <w:rFonts w:hint="eastAsia"/>
                <w:b/>
                <w:bCs/>
                <w:szCs w:val="21"/>
              </w:rPr>
              <w:t>序号</w:t>
            </w:r>
          </w:p>
        </w:tc>
        <w:tc>
          <w:tcPr>
            <w:tcW w:w="4217" w:type="dxa"/>
            <w:vMerge w:val="restart"/>
            <w:vAlign w:val="center"/>
          </w:tcPr>
          <w:p>
            <w:pPr>
              <w:adjustRightInd w:val="0"/>
              <w:snapToGrid w:val="0"/>
              <w:jc w:val="center"/>
              <w:rPr>
                <w:b/>
                <w:bCs/>
                <w:szCs w:val="21"/>
              </w:rPr>
            </w:pPr>
            <w:r>
              <w:rPr>
                <w:rFonts w:hint="eastAsia"/>
                <w:b/>
                <w:bCs/>
                <w:szCs w:val="21"/>
              </w:rPr>
              <w:t>投标人单位名称</w:t>
            </w:r>
          </w:p>
        </w:tc>
        <w:tc>
          <w:tcPr>
            <w:tcW w:w="6946" w:type="dxa"/>
            <w:gridSpan w:val="5"/>
          </w:tcPr>
          <w:p>
            <w:pPr>
              <w:adjustRightInd w:val="0"/>
              <w:snapToGrid w:val="0"/>
              <w:spacing w:after="60" w:afterLines="25" w:line="420" w:lineRule="exact"/>
              <w:jc w:val="center"/>
              <w:rPr>
                <w:b/>
                <w:szCs w:val="21"/>
              </w:rPr>
            </w:pPr>
            <w:r>
              <w:rPr>
                <w:rFonts w:hint="eastAsia"/>
                <w:b/>
                <w:szCs w:val="21"/>
              </w:rPr>
              <w:t>评委评分汇总</w:t>
            </w:r>
          </w:p>
        </w:tc>
        <w:tc>
          <w:tcPr>
            <w:tcW w:w="992" w:type="dxa"/>
            <w:vMerge w:val="restart"/>
            <w:vAlign w:val="center"/>
          </w:tcPr>
          <w:p>
            <w:pPr>
              <w:adjustRightInd w:val="0"/>
              <w:snapToGrid w:val="0"/>
              <w:jc w:val="center"/>
              <w:rPr>
                <w:b/>
                <w:szCs w:val="21"/>
              </w:rPr>
            </w:pPr>
            <w:r>
              <w:rPr>
                <w:rFonts w:hint="eastAsia"/>
                <w:b/>
                <w:szCs w:val="21"/>
              </w:rPr>
              <w:t>得分</w:t>
            </w:r>
          </w:p>
          <w:p>
            <w:pPr>
              <w:adjustRightInd w:val="0"/>
              <w:snapToGrid w:val="0"/>
              <w:jc w:val="center"/>
              <w:rPr>
                <w:b/>
                <w:szCs w:val="21"/>
              </w:rPr>
            </w:pPr>
            <w:r>
              <w:rPr>
                <w:rFonts w:hint="eastAsia"/>
                <w:b/>
                <w:szCs w:val="21"/>
              </w:rPr>
              <w:t>合计</w:t>
            </w:r>
          </w:p>
        </w:tc>
        <w:tc>
          <w:tcPr>
            <w:tcW w:w="917" w:type="dxa"/>
            <w:vMerge w:val="restart"/>
            <w:vAlign w:val="center"/>
          </w:tcPr>
          <w:p>
            <w:pPr>
              <w:adjustRightInd w:val="0"/>
              <w:snapToGrid w:val="0"/>
              <w:jc w:val="center"/>
              <w:rPr>
                <w:b/>
                <w:szCs w:val="21"/>
              </w:rPr>
            </w:pPr>
            <w:r>
              <w:rPr>
                <w:rFonts w:hint="eastAsia"/>
                <w:b/>
                <w:szCs w:val="21"/>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786" w:type="dxa"/>
            <w:vMerge w:val="continue"/>
            <w:vAlign w:val="center"/>
          </w:tcPr>
          <w:p>
            <w:pPr>
              <w:adjustRightInd w:val="0"/>
              <w:snapToGrid w:val="0"/>
              <w:spacing w:after="60" w:afterLines="25" w:line="420" w:lineRule="exact"/>
              <w:jc w:val="center"/>
              <w:rPr>
                <w:b/>
                <w:bCs/>
                <w:szCs w:val="21"/>
              </w:rPr>
            </w:pPr>
          </w:p>
        </w:tc>
        <w:tc>
          <w:tcPr>
            <w:tcW w:w="4217" w:type="dxa"/>
            <w:vMerge w:val="continue"/>
            <w:vAlign w:val="center"/>
          </w:tcPr>
          <w:p>
            <w:pPr>
              <w:adjustRightInd w:val="0"/>
              <w:snapToGrid w:val="0"/>
              <w:spacing w:after="60" w:afterLines="25" w:line="420" w:lineRule="exact"/>
              <w:jc w:val="center"/>
              <w:rPr>
                <w:b/>
                <w:bCs/>
                <w:szCs w:val="21"/>
              </w:rPr>
            </w:pPr>
          </w:p>
        </w:tc>
        <w:tc>
          <w:tcPr>
            <w:tcW w:w="1985" w:type="dxa"/>
            <w:vAlign w:val="center"/>
          </w:tcPr>
          <w:p>
            <w:pPr>
              <w:adjustRightInd w:val="0"/>
              <w:snapToGrid w:val="0"/>
              <w:jc w:val="center"/>
              <w:rPr>
                <w:szCs w:val="21"/>
              </w:rPr>
            </w:pPr>
            <w:r>
              <w:rPr>
                <w:rFonts w:hint="eastAsia"/>
                <w:szCs w:val="21"/>
              </w:rPr>
              <w:t>施工组织设计得分</w:t>
            </w:r>
          </w:p>
        </w:tc>
        <w:tc>
          <w:tcPr>
            <w:tcW w:w="1615" w:type="dxa"/>
            <w:vAlign w:val="center"/>
          </w:tcPr>
          <w:p>
            <w:pPr>
              <w:adjustRightInd w:val="0"/>
              <w:snapToGrid w:val="0"/>
              <w:jc w:val="center"/>
              <w:rPr>
                <w:szCs w:val="21"/>
              </w:rPr>
            </w:pPr>
            <w:r>
              <w:rPr>
                <w:rFonts w:hint="eastAsia"/>
                <w:szCs w:val="21"/>
              </w:rPr>
              <w:t>企业实力和管理机构得分</w:t>
            </w:r>
          </w:p>
        </w:tc>
        <w:tc>
          <w:tcPr>
            <w:tcW w:w="1101" w:type="dxa"/>
            <w:vAlign w:val="center"/>
          </w:tcPr>
          <w:p>
            <w:pPr>
              <w:adjustRightInd w:val="0"/>
              <w:snapToGrid w:val="0"/>
              <w:jc w:val="center"/>
              <w:rPr>
                <w:szCs w:val="21"/>
              </w:rPr>
            </w:pPr>
            <w:r>
              <w:rPr>
                <w:rFonts w:hint="eastAsia"/>
                <w:szCs w:val="21"/>
              </w:rPr>
              <w:t>投标报价得分</w:t>
            </w:r>
          </w:p>
        </w:tc>
        <w:tc>
          <w:tcPr>
            <w:tcW w:w="1111" w:type="dxa"/>
            <w:vAlign w:val="center"/>
          </w:tcPr>
          <w:p>
            <w:pPr>
              <w:adjustRightInd w:val="0"/>
              <w:snapToGrid w:val="0"/>
              <w:jc w:val="center"/>
              <w:rPr>
                <w:szCs w:val="21"/>
              </w:rPr>
            </w:pPr>
            <w:r>
              <w:rPr>
                <w:rFonts w:hint="eastAsia"/>
                <w:szCs w:val="21"/>
              </w:rPr>
              <w:t>信誉评审得分</w:t>
            </w:r>
          </w:p>
        </w:tc>
        <w:tc>
          <w:tcPr>
            <w:tcW w:w="1134" w:type="dxa"/>
            <w:vAlign w:val="center"/>
          </w:tcPr>
          <w:p>
            <w:pPr>
              <w:adjustRightInd w:val="0"/>
              <w:snapToGrid w:val="0"/>
              <w:jc w:val="center"/>
              <w:rPr>
                <w:szCs w:val="21"/>
              </w:rPr>
            </w:pPr>
            <w:r>
              <w:rPr>
                <w:rFonts w:hint="eastAsia"/>
                <w:szCs w:val="21"/>
              </w:rPr>
              <w:t>其他因素得分</w:t>
            </w:r>
          </w:p>
        </w:tc>
        <w:tc>
          <w:tcPr>
            <w:tcW w:w="992" w:type="dxa"/>
            <w:vMerge w:val="continue"/>
            <w:vAlign w:val="center"/>
          </w:tcPr>
          <w:p>
            <w:pPr>
              <w:adjustRightInd w:val="0"/>
              <w:snapToGrid w:val="0"/>
              <w:jc w:val="center"/>
              <w:rPr>
                <w:b/>
                <w:szCs w:val="21"/>
              </w:rPr>
            </w:pPr>
          </w:p>
        </w:tc>
        <w:tc>
          <w:tcPr>
            <w:tcW w:w="917" w:type="dxa"/>
            <w:vMerge w:val="continue"/>
            <w:vAlign w:val="center"/>
          </w:tcPr>
          <w:p>
            <w:pPr>
              <w:adjustRightInd w:val="0"/>
              <w:snapToGrid w:val="0"/>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vAlign w:val="center"/>
          </w:tcPr>
          <w:p>
            <w:pPr>
              <w:pStyle w:val="95"/>
              <w:widowControl w:val="0"/>
              <w:adjustRightInd w:val="0"/>
              <w:snapToGrid w:val="0"/>
              <w:spacing w:before="120" w:beforeLines="50" w:after="120" w:afterLines="50"/>
              <w:textAlignment w:val="auto"/>
              <w:rPr>
                <w:rFonts w:ascii="Times New Roman" w:hAnsi="Times New Roman"/>
                <w:kern w:val="2"/>
                <w:sz w:val="21"/>
                <w:szCs w:val="21"/>
              </w:rPr>
            </w:pPr>
          </w:p>
        </w:tc>
        <w:tc>
          <w:tcPr>
            <w:tcW w:w="4217" w:type="dxa"/>
          </w:tcPr>
          <w:p>
            <w:pPr>
              <w:adjustRightInd w:val="0"/>
              <w:snapToGrid w:val="0"/>
              <w:spacing w:before="120" w:beforeLines="50" w:after="120" w:afterLines="50"/>
              <w:rPr>
                <w:szCs w:val="21"/>
              </w:rPr>
            </w:pPr>
          </w:p>
        </w:tc>
        <w:tc>
          <w:tcPr>
            <w:tcW w:w="1985" w:type="dxa"/>
          </w:tcPr>
          <w:p>
            <w:pPr>
              <w:adjustRightInd w:val="0"/>
              <w:snapToGrid w:val="0"/>
              <w:spacing w:before="120" w:beforeLines="50" w:after="120" w:afterLines="50"/>
              <w:rPr>
                <w:szCs w:val="21"/>
              </w:rPr>
            </w:pPr>
          </w:p>
        </w:tc>
        <w:tc>
          <w:tcPr>
            <w:tcW w:w="1615" w:type="dxa"/>
          </w:tcPr>
          <w:p>
            <w:pPr>
              <w:adjustRightInd w:val="0"/>
              <w:snapToGrid w:val="0"/>
              <w:spacing w:before="120" w:beforeLines="50" w:after="120" w:afterLines="50"/>
              <w:rPr>
                <w:szCs w:val="21"/>
              </w:rPr>
            </w:pPr>
          </w:p>
        </w:tc>
        <w:tc>
          <w:tcPr>
            <w:tcW w:w="1101" w:type="dxa"/>
          </w:tcPr>
          <w:p>
            <w:pPr>
              <w:adjustRightInd w:val="0"/>
              <w:snapToGrid w:val="0"/>
              <w:spacing w:before="120" w:beforeLines="50" w:after="120" w:afterLines="50"/>
              <w:rPr>
                <w:szCs w:val="21"/>
              </w:rPr>
            </w:pPr>
          </w:p>
        </w:tc>
        <w:tc>
          <w:tcPr>
            <w:tcW w:w="1111" w:type="dxa"/>
          </w:tcPr>
          <w:p>
            <w:pPr>
              <w:adjustRightInd w:val="0"/>
              <w:snapToGrid w:val="0"/>
              <w:spacing w:before="120" w:beforeLines="50" w:after="120" w:afterLines="50"/>
              <w:rPr>
                <w:szCs w:val="21"/>
              </w:rPr>
            </w:pPr>
          </w:p>
        </w:tc>
        <w:tc>
          <w:tcPr>
            <w:tcW w:w="1134" w:type="dxa"/>
          </w:tcPr>
          <w:p>
            <w:pPr>
              <w:adjustRightInd w:val="0"/>
              <w:snapToGrid w:val="0"/>
              <w:spacing w:before="120" w:beforeLines="50" w:after="120" w:afterLines="50"/>
              <w:rPr>
                <w:szCs w:val="21"/>
              </w:rPr>
            </w:pPr>
          </w:p>
        </w:tc>
        <w:tc>
          <w:tcPr>
            <w:tcW w:w="992" w:type="dxa"/>
          </w:tcPr>
          <w:p>
            <w:pPr>
              <w:adjustRightInd w:val="0"/>
              <w:snapToGrid w:val="0"/>
              <w:spacing w:before="120" w:beforeLines="50" w:after="120" w:afterLines="50"/>
              <w:rPr>
                <w:szCs w:val="21"/>
              </w:rPr>
            </w:pPr>
          </w:p>
        </w:tc>
        <w:tc>
          <w:tcPr>
            <w:tcW w:w="917" w:type="dxa"/>
          </w:tcPr>
          <w:p>
            <w:pPr>
              <w:adjustRightInd w:val="0"/>
              <w:snapToGrid w:val="0"/>
              <w:spacing w:before="120" w:beforeLines="50" w:after="120" w:afterLines="50"/>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vAlign w:val="center"/>
          </w:tcPr>
          <w:p>
            <w:pPr>
              <w:adjustRightInd w:val="0"/>
              <w:snapToGrid w:val="0"/>
              <w:spacing w:before="120" w:beforeLines="50" w:after="120" w:afterLines="50"/>
              <w:jc w:val="center"/>
              <w:rPr>
                <w:szCs w:val="21"/>
              </w:rPr>
            </w:pPr>
          </w:p>
        </w:tc>
        <w:tc>
          <w:tcPr>
            <w:tcW w:w="4217" w:type="dxa"/>
          </w:tcPr>
          <w:p>
            <w:pPr>
              <w:adjustRightInd w:val="0"/>
              <w:snapToGrid w:val="0"/>
              <w:spacing w:before="120" w:beforeLines="50" w:after="120" w:afterLines="50"/>
              <w:rPr>
                <w:szCs w:val="21"/>
              </w:rPr>
            </w:pPr>
          </w:p>
        </w:tc>
        <w:tc>
          <w:tcPr>
            <w:tcW w:w="1985" w:type="dxa"/>
          </w:tcPr>
          <w:p>
            <w:pPr>
              <w:adjustRightInd w:val="0"/>
              <w:snapToGrid w:val="0"/>
              <w:spacing w:before="120" w:beforeLines="50" w:after="120" w:afterLines="50"/>
              <w:rPr>
                <w:szCs w:val="21"/>
              </w:rPr>
            </w:pPr>
          </w:p>
        </w:tc>
        <w:tc>
          <w:tcPr>
            <w:tcW w:w="1615" w:type="dxa"/>
          </w:tcPr>
          <w:p>
            <w:pPr>
              <w:adjustRightInd w:val="0"/>
              <w:snapToGrid w:val="0"/>
              <w:spacing w:before="120" w:beforeLines="50" w:after="120" w:afterLines="50"/>
              <w:rPr>
                <w:szCs w:val="21"/>
              </w:rPr>
            </w:pPr>
          </w:p>
        </w:tc>
        <w:tc>
          <w:tcPr>
            <w:tcW w:w="1101" w:type="dxa"/>
          </w:tcPr>
          <w:p>
            <w:pPr>
              <w:adjustRightInd w:val="0"/>
              <w:snapToGrid w:val="0"/>
              <w:spacing w:before="120" w:beforeLines="50" w:after="120" w:afterLines="50"/>
              <w:rPr>
                <w:szCs w:val="21"/>
              </w:rPr>
            </w:pPr>
          </w:p>
        </w:tc>
        <w:tc>
          <w:tcPr>
            <w:tcW w:w="1111" w:type="dxa"/>
          </w:tcPr>
          <w:p>
            <w:pPr>
              <w:adjustRightInd w:val="0"/>
              <w:snapToGrid w:val="0"/>
              <w:spacing w:before="120" w:beforeLines="50" w:after="120" w:afterLines="50"/>
              <w:rPr>
                <w:szCs w:val="21"/>
              </w:rPr>
            </w:pPr>
          </w:p>
        </w:tc>
        <w:tc>
          <w:tcPr>
            <w:tcW w:w="1134" w:type="dxa"/>
          </w:tcPr>
          <w:p>
            <w:pPr>
              <w:adjustRightInd w:val="0"/>
              <w:snapToGrid w:val="0"/>
              <w:spacing w:before="120" w:beforeLines="50" w:after="120" w:afterLines="50"/>
              <w:rPr>
                <w:szCs w:val="21"/>
              </w:rPr>
            </w:pPr>
          </w:p>
        </w:tc>
        <w:tc>
          <w:tcPr>
            <w:tcW w:w="992" w:type="dxa"/>
          </w:tcPr>
          <w:p>
            <w:pPr>
              <w:adjustRightInd w:val="0"/>
              <w:snapToGrid w:val="0"/>
              <w:spacing w:before="120" w:beforeLines="50" w:after="120" w:afterLines="50"/>
              <w:rPr>
                <w:szCs w:val="21"/>
              </w:rPr>
            </w:pPr>
          </w:p>
        </w:tc>
        <w:tc>
          <w:tcPr>
            <w:tcW w:w="917" w:type="dxa"/>
          </w:tcPr>
          <w:p>
            <w:pPr>
              <w:adjustRightInd w:val="0"/>
              <w:snapToGrid w:val="0"/>
              <w:spacing w:before="120" w:beforeLines="50" w:after="120" w:afterLines="5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vAlign w:val="center"/>
          </w:tcPr>
          <w:p>
            <w:pPr>
              <w:adjustRightInd w:val="0"/>
              <w:snapToGrid w:val="0"/>
              <w:spacing w:before="120" w:beforeLines="50" w:after="120" w:afterLines="50"/>
              <w:jc w:val="center"/>
              <w:rPr>
                <w:szCs w:val="21"/>
              </w:rPr>
            </w:pPr>
          </w:p>
        </w:tc>
        <w:tc>
          <w:tcPr>
            <w:tcW w:w="4217" w:type="dxa"/>
          </w:tcPr>
          <w:p>
            <w:pPr>
              <w:adjustRightInd w:val="0"/>
              <w:snapToGrid w:val="0"/>
              <w:spacing w:before="120" w:beforeLines="50" w:after="120" w:afterLines="50"/>
              <w:rPr>
                <w:szCs w:val="21"/>
              </w:rPr>
            </w:pPr>
          </w:p>
        </w:tc>
        <w:tc>
          <w:tcPr>
            <w:tcW w:w="1985" w:type="dxa"/>
          </w:tcPr>
          <w:p>
            <w:pPr>
              <w:adjustRightInd w:val="0"/>
              <w:snapToGrid w:val="0"/>
              <w:spacing w:before="120" w:beforeLines="50" w:after="120" w:afterLines="50"/>
              <w:rPr>
                <w:szCs w:val="21"/>
              </w:rPr>
            </w:pPr>
          </w:p>
        </w:tc>
        <w:tc>
          <w:tcPr>
            <w:tcW w:w="1615" w:type="dxa"/>
          </w:tcPr>
          <w:p>
            <w:pPr>
              <w:adjustRightInd w:val="0"/>
              <w:snapToGrid w:val="0"/>
              <w:spacing w:before="120" w:beforeLines="50" w:after="120" w:afterLines="50"/>
              <w:rPr>
                <w:szCs w:val="21"/>
              </w:rPr>
            </w:pPr>
          </w:p>
        </w:tc>
        <w:tc>
          <w:tcPr>
            <w:tcW w:w="1101" w:type="dxa"/>
          </w:tcPr>
          <w:p>
            <w:pPr>
              <w:adjustRightInd w:val="0"/>
              <w:snapToGrid w:val="0"/>
              <w:spacing w:before="120" w:beforeLines="50" w:after="120" w:afterLines="50"/>
              <w:rPr>
                <w:szCs w:val="21"/>
              </w:rPr>
            </w:pPr>
          </w:p>
        </w:tc>
        <w:tc>
          <w:tcPr>
            <w:tcW w:w="1111" w:type="dxa"/>
          </w:tcPr>
          <w:p>
            <w:pPr>
              <w:adjustRightInd w:val="0"/>
              <w:snapToGrid w:val="0"/>
              <w:spacing w:before="120" w:beforeLines="50" w:after="120" w:afterLines="50"/>
              <w:rPr>
                <w:szCs w:val="21"/>
              </w:rPr>
            </w:pPr>
          </w:p>
        </w:tc>
        <w:tc>
          <w:tcPr>
            <w:tcW w:w="1134" w:type="dxa"/>
          </w:tcPr>
          <w:p>
            <w:pPr>
              <w:adjustRightInd w:val="0"/>
              <w:snapToGrid w:val="0"/>
              <w:spacing w:before="120" w:beforeLines="50" w:after="120" w:afterLines="50"/>
              <w:rPr>
                <w:szCs w:val="21"/>
              </w:rPr>
            </w:pPr>
          </w:p>
        </w:tc>
        <w:tc>
          <w:tcPr>
            <w:tcW w:w="992" w:type="dxa"/>
          </w:tcPr>
          <w:p>
            <w:pPr>
              <w:adjustRightInd w:val="0"/>
              <w:snapToGrid w:val="0"/>
              <w:spacing w:before="120" w:beforeLines="50" w:after="120" w:afterLines="50"/>
              <w:rPr>
                <w:szCs w:val="21"/>
              </w:rPr>
            </w:pPr>
          </w:p>
        </w:tc>
        <w:tc>
          <w:tcPr>
            <w:tcW w:w="917" w:type="dxa"/>
          </w:tcPr>
          <w:p>
            <w:pPr>
              <w:adjustRightInd w:val="0"/>
              <w:snapToGrid w:val="0"/>
              <w:spacing w:before="120" w:beforeLines="50" w:after="120" w:afterLines="5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vAlign w:val="center"/>
          </w:tcPr>
          <w:p>
            <w:pPr>
              <w:adjustRightInd w:val="0"/>
              <w:snapToGrid w:val="0"/>
              <w:spacing w:before="120" w:beforeLines="50" w:after="120" w:afterLines="50"/>
              <w:jc w:val="center"/>
              <w:rPr>
                <w:szCs w:val="21"/>
              </w:rPr>
            </w:pPr>
          </w:p>
        </w:tc>
        <w:tc>
          <w:tcPr>
            <w:tcW w:w="4217" w:type="dxa"/>
          </w:tcPr>
          <w:p>
            <w:pPr>
              <w:adjustRightInd w:val="0"/>
              <w:snapToGrid w:val="0"/>
              <w:spacing w:before="120" w:beforeLines="50" w:after="120" w:afterLines="50"/>
              <w:rPr>
                <w:szCs w:val="21"/>
              </w:rPr>
            </w:pPr>
          </w:p>
        </w:tc>
        <w:tc>
          <w:tcPr>
            <w:tcW w:w="1985" w:type="dxa"/>
          </w:tcPr>
          <w:p>
            <w:pPr>
              <w:adjustRightInd w:val="0"/>
              <w:snapToGrid w:val="0"/>
              <w:spacing w:before="120" w:beforeLines="50" w:after="120" w:afterLines="50"/>
              <w:rPr>
                <w:szCs w:val="21"/>
              </w:rPr>
            </w:pPr>
          </w:p>
        </w:tc>
        <w:tc>
          <w:tcPr>
            <w:tcW w:w="1615" w:type="dxa"/>
          </w:tcPr>
          <w:p>
            <w:pPr>
              <w:adjustRightInd w:val="0"/>
              <w:snapToGrid w:val="0"/>
              <w:spacing w:before="120" w:beforeLines="50" w:after="120" w:afterLines="50"/>
              <w:rPr>
                <w:szCs w:val="21"/>
              </w:rPr>
            </w:pPr>
          </w:p>
        </w:tc>
        <w:tc>
          <w:tcPr>
            <w:tcW w:w="1101" w:type="dxa"/>
          </w:tcPr>
          <w:p>
            <w:pPr>
              <w:adjustRightInd w:val="0"/>
              <w:snapToGrid w:val="0"/>
              <w:spacing w:before="120" w:beforeLines="50" w:after="120" w:afterLines="50"/>
              <w:rPr>
                <w:szCs w:val="21"/>
              </w:rPr>
            </w:pPr>
          </w:p>
        </w:tc>
        <w:tc>
          <w:tcPr>
            <w:tcW w:w="1111" w:type="dxa"/>
          </w:tcPr>
          <w:p>
            <w:pPr>
              <w:adjustRightInd w:val="0"/>
              <w:snapToGrid w:val="0"/>
              <w:spacing w:before="120" w:beforeLines="50" w:after="120" w:afterLines="50"/>
              <w:rPr>
                <w:szCs w:val="21"/>
              </w:rPr>
            </w:pPr>
          </w:p>
        </w:tc>
        <w:tc>
          <w:tcPr>
            <w:tcW w:w="1134" w:type="dxa"/>
          </w:tcPr>
          <w:p>
            <w:pPr>
              <w:adjustRightInd w:val="0"/>
              <w:snapToGrid w:val="0"/>
              <w:spacing w:before="120" w:beforeLines="50" w:after="120" w:afterLines="50"/>
              <w:rPr>
                <w:szCs w:val="21"/>
              </w:rPr>
            </w:pPr>
          </w:p>
        </w:tc>
        <w:tc>
          <w:tcPr>
            <w:tcW w:w="992" w:type="dxa"/>
          </w:tcPr>
          <w:p>
            <w:pPr>
              <w:adjustRightInd w:val="0"/>
              <w:snapToGrid w:val="0"/>
              <w:spacing w:before="120" w:beforeLines="50" w:after="120" w:afterLines="50"/>
              <w:rPr>
                <w:szCs w:val="21"/>
              </w:rPr>
            </w:pPr>
          </w:p>
        </w:tc>
        <w:tc>
          <w:tcPr>
            <w:tcW w:w="917" w:type="dxa"/>
          </w:tcPr>
          <w:p>
            <w:pPr>
              <w:adjustRightInd w:val="0"/>
              <w:snapToGrid w:val="0"/>
              <w:spacing w:before="120" w:beforeLines="50" w:after="120" w:afterLines="5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vAlign w:val="center"/>
          </w:tcPr>
          <w:p>
            <w:pPr>
              <w:adjustRightInd w:val="0"/>
              <w:snapToGrid w:val="0"/>
              <w:spacing w:before="120" w:beforeLines="50" w:after="120" w:afterLines="50"/>
              <w:jc w:val="center"/>
              <w:rPr>
                <w:szCs w:val="21"/>
              </w:rPr>
            </w:pPr>
          </w:p>
        </w:tc>
        <w:tc>
          <w:tcPr>
            <w:tcW w:w="4217" w:type="dxa"/>
          </w:tcPr>
          <w:p>
            <w:pPr>
              <w:adjustRightInd w:val="0"/>
              <w:snapToGrid w:val="0"/>
              <w:spacing w:before="120" w:beforeLines="50" w:after="120" w:afterLines="50"/>
              <w:rPr>
                <w:szCs w:val="21"/>
              </w:rPr>
            </w:pPr>
          </w:p>
        </w:tc>
        <w:tc>
          <w:tcPr>
            <w:tcW w:w="1985" w:type="dxa"/>
          </w:tcPr>
          <w:p>
            <w:pPr>
              <w:adjustRightInd w:val="0"/>
              <w:snapToGrid w:val="0"/>
              <w:spacing w:before="120" w:beforeLines="50" w:after="120" w:afterLines="50"/>
              <w:rPr>
                <w:szCs w:val="21"/>
              </w:rPr>
            </w:pPr>
          </w:p>
        </w:tc>
        <w:tc>
          <w:tcPr>
            <w:tcW w:w="1615" w:type="dxa"/>
          </w:tcPr>
          <w:p>
            <w:pPr>
              <w:adjustRightInd w:val="0"/>
              <w:snapToGrid w:val="0"/>
              <w:spacing w:before="120" w:beforeLines="50" w:after="120" w:afterLines="50"/>
              <w:rPr>
                <w:szCs w:val="21"/>
              </w:rPr>
            </w:pPr>
          </w:p>
        </w:tc>
        <w:tc>
          <w:tcPr>
            <w:tcW w:w="1101" w:type="dxa"/>
          </w:tcPr>
          <w:p>
            <w:pPr>
              <w:adjustRightInd w:val="0"/>
              <w:snapToGrid w:val="0"/>
              <w:spacing w:before="120" w:beforeLines="50" w:after="120" w:afterLines="50"/>
              <w:rPr>
                <w:szCs w:val="21"/>
              </w:rPr>
            </w:pPr>
          </w:p>
        </w:tc>
        <w:tc>
          <w:tcPr>
            <w:tcW w:w="1111" w:type="dxa"/>
          </w:tcPr>
          <w:p>
            <w:pPr>
              <w:adjustRightInd w:val="0"/>
              <w:snapToGrid w:val="0"/>
              <w:spacing w:before="120" w:beforeLines="50" w:after="120" w:afterLines="50"/>
              <w:rPr>
                <w:szCs w:val="21"/>
              </w:rPr>
            </w:pPr>
          </w:p>
        </w:tc>
        <w:tc>
          <w:tcPr>
            <w:tcW w:w="1134" w:type="dxa"/>
          </w:tcPr>
          <w:p>
            <w:pPr>
              <w:adjustRightInd w:val="0"/>
              <w:snapToGrid w:val="0"/>
              <w:spacing w:before="120" w:beforeLines="50" w:after="120" w:afterLines="50"/>
              <w:rPr>
                <w:szCs w:val="21"/>
              </w:rPr>
            </w:pPr>
          </w:p>
        </w:tc>
        <w:tc>
          <w:tcPr>
            <w:tcW w:w="992" w:type="dxa"/>
          </w:tcPr>
          <w:p>
            <w:pPr>
              <w:adjustRightInd w:val="0"/>
              <w:snapToGrid w:val="0"/>
              <w:spacing w:before="120" w:beforeLines="50" w:after="120" w:afterLines="50"/>
              <w:rPr>
                <w:szCs w:val="21"/>
              </w:rPr>
            </w:pPr>
          </w:p>
        </w:tc>
        <w:tc>
          <w:tcPr>
            <w:tcW w:w="917" w:type="dxa"/>
          </w:tcPr>
          <w:p>
            <w:pPr>
              <w:adjustRightInd w:val="0"/>
              <w:snapToGrid w:val="0"/>
              <w:spacing w:before="120" w:beforeLines="50" w:after="120" w:afterLines="5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vAlign w:val="center"/>
          </w:tcPr>
          <w:p>
            <w:pPr>
              <w:adjustRightInd w:val="0"/>
              <w:snapToGrid w:val="0"/>
              <w:spacing w:before="120" w:beforeLines="50" w:after="120" w:afterLines="50"/>
              <w:jc w:val="center"/>
              <w:rPr>
                <w:szCs w:val="21"/>
              </w:rPr>
            </w:pPr>
          </w:p>
        </w:tc>
        <w:tc>
          <w:tcPr>
            <w:tcW w:w="4217" w:type="dxa"/>
          </w:tcPr>
          <w:p>
            <w:pPr>
              <w:adjustRightInd w:val="0"/>
              <w:snapToGrid w:val="0"/>
              <w:spacing w:before="120" w:beforeLines="50" w:after="120" w:afterLines="50"/>
              <w:rPr>
                <w:szCs w:val="21"/>
              </w:rPr>
            </w:pPr>
          </w:p>
        </w:tc>
        <w:tc>
          <w:tcPr>
            <w:tcW w:w="1985" w:type="dxa"/>
          </w:tcPr>
          <w:p>
            <w:pPr>
              <w:adjustRightInd w:val="0"/>
              <w:snapToGrid w:val="0"/>
              <w:spacing w:before="120" w:beforeLines="50" w:after="120" w:afterLines="50"/>
              <w:rPr>
                <w:szCs w:val="21"/>
              </w:rPr>
            </w:pPr>
          </w:p>
        </w:tc>
        <w:tc>
          <w:tcPr>
            <w:tcW w:w="1615" w:type="dxa"/>
          </w:tcPr>
          <w:p>
            <w:pPr>
              <w:adjustRightInd w:val="0"/>
              <w:snapToGrid w:val="0"/>
              <w:spacing w:before="120" w:beforeLines="50" w:after="120" w:afterLines="50"/>
              <w:rPr>
                <w:szCs w:val="21"/>
              </w:rPr>
            </w:pPr>
          </w:p>
        </w:tc>
        <w:tc>
          <w:tcPr>
            <w:tcW w:w="1101" w:type="dxa"/>
          </w:tcPr>
          <w:p>
            <w:pPr>
              <w:adjustRightInd w:val="0"/>
              <w:snapToGrid w:val="0"/>
              <w:spacing w:before="120" w:beforeLines="50" w:after="120" w:afterLines="50"/>
              <w:rPr>
                <w:szCs w:val="21"/>
              </w:rPr>
            </w:pPr>
          </w:p>
        </w:tc>
        <w:tc>
          <w:tcPr>
            <w:tcW w:w="1111" w:type="dxa"/>
          </w:tcPr>
          <w:p>
            <w:pPr>
              <w:adjustRightInd w:val="0"/>
              <w:snapToGrid w:val="0"/>
              <w:spacing w:before="120" w:beforeLines="50" w:after="120" w:afterLines="50"/>
              <w:rPr>
                <w:szCs w:val="21"/>
              </w:rPr>
            </w:pPr>
          </w:p>
        </w:tc>
        <w:tc>
          <w:tcPr>
            <w:tcW w:w="1134" w:type="dxa"/>
          </w:tcPr>
          <w:p>
            <w:pPr>
              <w:adjustRightInd w:val="0"/>
              <w:snapToGrid w:val="0"/>
              <w:spacing w:before="120" w:beforeLines="50" w:after="120" w:afterLines="50"/>
              <w:rPr>
                <w:szCs w:val="21"/>
              </w:rPr>
            </w:pPr>
          </w:p>
        </w:tc>
        <w:tc>
          <w:tcPr>
            <w:tcW w:w="992" w:type="dxa"/>
          </w:tcPr>
          <w:p>
            <w:pPr>
              <w:adjustRightInd w:val="0"/>
              <w:snapToGrid w:val="0"/>
              <w:spacing w:before="120" w:beforeLines="50" w:after="120" w:afterLines="50"/>
              <w:rPr>
                <w:szCs w:val="21"/>
              </w:rPr>
            </w:pPr>
          </w:p>
        </w:tc>
        <w:tc>
          <w:tcPr>
            <w:tcW w:w="917" w:type="dxa"/>
          </w:tcPr>
          <w:p>
            <w:pPr>
              <w:adjustRightInd w:val="0"/>
              <w:snapToGrid w:val="0"/>
              <w:spacing w:before="120" w:beforeLines="50" w:after="120" w:afterLines="5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6" w:type="dxa"/>
            <w:vAlign w:val="center"/>
          </w:tcPr>
          <w:p>
            <w:pPr>
              <w:adjustRightInd w:val="0"/>
              <w:snapToGrid w:val="0"/>
              <w:spacing w:before="120" w:beforeLines="50" w:after="120" w:afterLines="50"/>
              <w:jc w:val="center"/>
              <w:rPr>
                <w:szCs w:val="21"/>
              </w:rPr>
            </w:pPr>
          </w:p>
        </w:tc>
        <w:tc>
          <w:tcPr>
            <w:tcW w:w="4217" w:type="dxa"/>
          </w:tcPr>
          <w:p>
            <w:pPr>
              <w:adjustRightInd w:val="0"/>
              <w:snapToGrid w:val="0"/>
              <w:spacing w:before="120" w:beforeLines="50" w:after="120" w:afterLines="50"/>
              <w:rPr>
                <w:szCs w:val="21"/>
              </w:rPr>
            </w:pPr>
          </w:p>
        </w:tc>
        <w:tc>
          <w:tcPr>
            <w:tcW w:w="1985" w:type="dxa"/>
          </w:tcPr>
          <w:p>
            <w:pPr>
              <w:adjustRightInd w:val="0"/>
              <w:snapToGrid w:val="0"/>
              <w:spacing w:before="120" w:beforeLines="50" w:after="120" w:afterLines="50"/>
              <w:rPr>
                <w:szCs w:val="21"/>
              </w:rPr>
            </w:pPr>
          </w:p>
        </w:tc>
        <w:tc>
          <w:tcPr>
            <w:tcW w:w="1615" w:type="dxa"/>
          </w:tcPr>
          <w:p>
            <w:pPr>
              <w:adjustRightInd w:val="0"/>
              <w:snapToGrid w:val="0"/>
              <w:spacing w:before="120" w:beforeLines="50" w:after="120" w:afterLines="50"/>
              <w:rPr>
                <w:szCs w:val="21"/>
              </w:rPr>
            </w:pPr>
          </w:p>
        </w:tc>
        <w:tc>
          <w:tcPr>
            <w:tcW w:w="1101" w:type="dxa"/>
          </w:tcPr>
          <w:p>
            <w:pPr>
              <w:adjustRightInd w:val="0"/>
              <w:snapToGrid w:val="0"/>
              <w:spacing w:before="120" w:beforeLines="50" w:after="120" w:afterLines="50"/>
              <w:rPr>
                <w:szCs w:val="21"/>
              </w:rPr>
            </w:pPr>
          </w:p>
        </w:tc>
        <w:tc>
          <w:tcPr>
            <w:tcW w:w="1111" w:type="dxa"/>
          </w:tcPr>
          <w:p>
            <w:pPr>
              <w:adjustRightInd w:val="0"/>
              <w:snapToGrid w:val="0"/>
              <w:spacing w:before="120" w:beforeLines="50" w:after="120" w:afterLines="50"/>
              <w:rPr>
                <w:szCs w:val="21"/>
              </w:rPr>
            </w:pPr>
          </w:p>
        </w:tc>
        <w:tc>
          <w:tcPr>
            <w:tcW w:w="1134" w:type="dxa"/>
          </w:tcPr>
          <w:p>
            <w:pPr>
              <w:adjustRightInd w:val="0"/>
              <w:snapToGrid w:val="0"/>
              <w:spacing w:before="120" w:beforeLines="50" w:after="120" w:afterLines="50"/>
              <w:rPr>
                <w:szCs w:val="21"/>
              </w:rPr>
            </w:pPr>
          </w:p>
        </w:tc>
        <w:tc>
          <w:tcPr>
            <w:tcW w:w="992" w:type="dxa"/>
          </w:tcPr>
          <w:p>
            <w:pPr>
              <w:adjustRightInd w:val="0"/>
              <w:snapToGrid w:val="0"/>
              <w:spacing w:before="120" w:beforeLines="50" w:after="120" w:afterLines="50"/>
              <w:rPr>
                <w:szCs w:val="21"/>
              </w:rPr>
            </w:pPr>
          </w:p>
        </w:tc>
        <w:tc>
          <w:tcPr>
            <w:tcW w:w="917" w:type="dxa"/>
          </w:tcPr>
          <w:p>
            <w:pPr>
              <w:adjustRightInd w:val="0"/>
              <w:snapToGrid w:val="0"/>
              <w:spacing w:before="120" w:beforeLines="50" w:after="120" w:afterLines="50"/>
              <w:rPr>
                <w:szCs w:val="21"/>
              </w:rPr>
            </w:pPr>
          </w:p>
        </w:tc>
      </w:tr>
    </w:tbl>
    <w:p>
      <w:pPr>
        <w:tabs>
          <w:tab w:val="left" w:pos="11160"/>
        </w:tabs>
        <w:snapToGrid w:val="0"/>
        <w:spacing w:before="180" w:beforeLines="75"/>
        <w:rPr>
          <w:sz w:val="24"/>
          <w:szCs w:val="30"/>
        </w:rPr>
      </w:pPr>
      <w:r>
        <w:rPr>
          <w:rFonts w:hint="eastAsia"/>
          <w:kern w:val="0"/>
          <w:szCs w:val="21"/>
        </w:rPr>
        <w:t>评标委员会全体成员</w:t>
      </w:r>
      <w:r>
        <w:rPr>
          <w:rFonts w:hint="eastAsia" w:ascii="宋体" w:hAnsi="宋体" w:cs="Arial"/>
          <w:u w:val="single"/>
        </w:rPr>
        <w:t>（手写签名）</w:t>
      </w:r>
      <w:r>
        <w:rPr>
          <w:rFonts w:ascii="宋体" w:hAnsi="宋体" w:cs="Arial"/>
          <w:u w:val="single"/>
        </w:rPr>
        <w:t xml:space="preserve">        </w:t>
      </w:r>
      <w:r>
        <w:rPr>
          <w:kern w:val="0"/>
          <w:sz w:val="24"/>
        </w:rPr>
        <w:tab/>
      </w:r>
      <w:r>
        <w:rPr>
          <w:rFonts w:hint="eastAsia"/>
          <w:sz w:val="24"/>
          <w:szCs w:val="30"/>
        </w:rPr>
        <w:t>日期：</w:t>
      </w:r>
      <w:r>
        <w:rPr>
          <w:sz w:val="24"/>
          <w:szCs w:val="30"/>
          <w:u w:val="single"/>
        </w:rPr>
        <w:t xml:space="preserve">    </w:t>
      </w:r>
      <w:r>
        <w:rPr>
          <w:rFonts w:hint="eastAsia"/>
          <w:sz w:val="24"/>
          <w:szCs w:val="30"/>
        </w:rPr>
        <w:t>年</w:t>
      </w:r>
      <w:r>
        <w:rPr>
          <w:sz w:val="24"/>
          <w:szCs w:val="30"/>
          <w:u w:val="single"/>
        </w:rPr>
        <w:t xml:space="preserve">   </w:t>
      </w:r>
      <w:r>
        <w:rPr>
          <w:rFonts w:hint="eastAsia"/>
          <w:sz w:val="24"/>
          <w:szCs w:val="30"/>
        </w:rPr>
        <w:t>月</w:t>
      </w:r>
      <w:r>
        <w:rPr>
          <w:sz w:val="24"/>
          <w:szCs w:val="30"/>
          <w:u w:val="single"/>
        </w:rPr>
        <w:t xml:space="preserve">    </w:t>
      </w:r>
      <w:r>
        <w:rPr>
          <w:rFonts w:hint="eastAsia"/>
          <w:sz w:val="24"/>
          <w:szCs w:val="30"/>
        </w:rPr>
        <w:t>日</w:t>
      </w:r>
      <w:r>
        <w:rPr>
          <w:sz w:val="24"/>
          <w:szCs w:val="30"/>
        </w:rPr>
        <w:t xml:space="preserve"> </w:t>
      </w:r>
    </w:p>
    <w:p>
      <w:pPr>
        <w:tabs>
          <w:tab w:val="left" w:pos="11160"/>
        </w:tabs>
        <w:snapToGrid w:val="0"/>
        <w:spacing w:before="180" w:beforeLines="75"/>
        <w:rPr>
          <w:kern w:val="0"/>
          <w:szCs w:val="21"/>
        </w:rPr>
        <w:sectPr>
          <w:pgSz w:w="16838" w:h="11906" w:orient="landscape"/>
          <w:pgMar w:top="1644" w:right="1361" w:bottom="1644" w:left="1418" w:header="510" w:footer="794" w:gutter="0"/>
          <w:cols w:space="425" w:num="1"/>
          <w:docGrid w:linePitch="312" w:charSpace="0"/>
        </w:sectPr>
      </w:pPr>
      <w:r>
        <w:rPr>
          <w:rFonts w:hint="eastAsia"/>
          <w:szCs w:val="21"/>
        </w:rPr>
        <w:t>备注：得分合计保留两位小数。</w:t>
      </w:r>
    </w:p>
    <w:p>
      <w:pPr>
        <w:pStyle w:val="5"/>
        <w:tabs>
          <w:tab w:val="left" w:pos="420"/>
        </w:tabs>
        <w:jc w:val="left"/>
        <w:rPr>
          <w:rFonts w:ascii="宋体"/>
          <w:sz w:val="28"/>
          <w:szCs w:val="28"/>
        </w:rPr>
      </w:pPr>
      <w:bookmarkStart w:id="214" w:name="_Toc470011328"/>
      <w:r>
        <w:rPr>
          <w:rFonts w:hint="eastAsia" w:ascii="宋体" w:hAnsi="宋体"/>
          <w:sz w:val="28"/>
          <w:szCs w:val="28"/>
        </w:rPr>
        <w:t>附表</w:t>
      </w:r>
      <w:r>
        <w:rPr>
          <w:rFonts w:ascii="宋体" w:hAnsi="宋体"/>
          <w:sz w:val="28"/>
          <w:szCs w:val="28"/>
        </w:rPr>
        <w:t>-1</w:t>
      </w:r>
      <w:r>
        <w:rPr>
          <w:rFonts w:hint="eastAsia" w:ascii="宋体" w:hAnsi="宋体"/>
          <w:sz w:val="28"/>
          <w:szCs w:val="28"/>
        </w:rPr>
        <w:t>5</w:t>
      </w:r>
      <w:r>
        <w:rPr>
          <w:rFonts w:ascii="宋体" w:hAnsi="宋体"/>
          <w:sz w:val="28"/>
          <w:szCs w:val="28"/>
        </w:rPr>
        <w:t>-1</w:t>
      </w:r>
      <w:r>
        <w:rPr>
          <w:rFonts w:hint="eastAsia" w:ascii="宋体" w:hAnsi="宋体"/>
          <w:sz w:val="28"/>
          <w:szCs w:val="28"/>
        </w:rPr>
        <w:t>：评标报告（适用于评标委员会推荐中标候选人）</w:t>
      </w:r>
    </w:p>
    <w:tbl>
      <w:tblPr>
        <w:tblStyle w:val="49"/>
        <w:tblW w:w="9640" w:type="dxa"/>
        <w:tblInd w:w="-318" w:type="dxa"/>
        <w:tblLayout w:type="autofit"/>
        <w:tblCellMar>
          <w:top w:w="0" w:type="dxa"/>
          <w:left w:w="108" w:type="dxa"/>
          <w:bottom w:w="0" w:type="dxa"/>
          <w:right w:w="108" w:type="dxa"/>
        </w:tblCellMar>
      </w:tblPr>
      <w:tblGrid>
        <w:gridCol w:w="1419"/>
        <w:gridCol w:w="1993"/>
        <w:gridCol w:w="222"/>
        <w:gridCol w:w="620"/>
        <w:gridCol w:w="478"/>
        <w:gridCol w:w="939"/>
        <w:gridCol w:w="1276"/>
        <w:gridCol w:w="2693"/>
      </w:tblGrid>
      <w:tr>
        <w:tblPrEx>
          <w:tblCellMar>
            <w:top w:w="0" w:type="dxa"/>
            <w:left w:w="108" w:type="dxa"/>
            <w:bottom w:w="0" w:type="dxa"/>
            <w:right w:w="108" w:type="dxa"/>
          </w:tblCellMar>
        </w:tblPrEx>
        <w:trPr>
          <w:trHeight w:val="480" w:hRule="atLeast"/>
        </w:trPr>
        <w:tc>
          <w:tcPr>
            <w:tcW w:w="9640" w:type="dxa"/>
            <w:gridSpan w:val="8"/>
            <w:tcBorders>
              <w:top w:val="nil"/>
              <w:left w:val="nil"/>
              <w:bottom w:val="nil"/>
              <w:right w:val="nil"/>
            </w:tcBorders>
            <w:noWrap/>
            <w:vAlign w:val="bottom"/>
          </w:tcPr>
          <w:p>
            <w:pPr>
              <w:widowControl/>
              <w:jc w:val="center"/>
              <w:rPr>
                <w:rFonts w:ascii="宋体" w:cs="宋体"/>
                <w:b/>
                <w:bCs/>
                <w:kern w:val="0"/>
                <w:sz w:val="36"/>
                <w:szCs w:val="36"/>
              </w:rPr>
            </w:pPr>
            <w:bookmarkStart w:id="215" w:name="RANGE!A1:F25"/>
            <w:bookmarkEnd w:id="215"/>
            <w:r>
              <w:rPr>
                <w:rFonts w:hint="eastAsia" w:ascii="宋体" w:hAnsi="宋体" w:cs="宋体"/>
                <w:b/>
                <w:bCs/>
                <w:kern w:val="0"/>
                <w:sz w:val="36"/>
                <w:szCs w:val="36"/>
              </w:rPr>
              <w:t>评标报告</w:t>
            </w:r>
          </w:p>
        </w:tc>
      </w:tr>
      <w:tr>
        <w:tblPrEx>
          <w:tblCellMar>
            <w:top w:w="0" w:type="dxa"/>
            <w:left w:w="108" w:type="dxa"/>
            <w:bottom w:w="0" w:type="dxa"/>
            <w:right w:w="108" w:type="dxa"/>
          </w:tblCellMar>
        </w:tblPrEx>
        <w:trPr>
          <w:trHeight w:val="495" w:hRule="atLeast"/>
        </w:trPr>
        <w:tc>
          <w:tcPr>
            <w:tcW w:w="1419" w:type="dxa"/>
            <w:tcBorders>
              <w:top w:val="nil"/>
              <w:left w:val="nil"/>
              <w:bottom w:val="single" w:color="auto" w:sz="4" w:space="0"/>
              <w:right w:val="nil"/>
            </w:tcBorders>
            <w:noWrap/>
            <w:vAlign w:val="center"/>
          </w:tcPr>
          <w:p>
            <w:pPr>
              <w:widowControl/>
              <w:jc w:val="center"/>
              <w:rPr>
                <w:rFonts w:ascii="宋体" w:cs="宋体"/>
                <w:kern w:val="0"/>
                <w:sz w:val="22"/>
                <w:szCs w:val="22"/>
              </w:rPr>
            </w:pPr>
            <w:r>
              <w:rPr>
                <w:rFonts w:hint="eastAsia" w:ascii="宋体" w:hAnsi="宋体" w:cs="宋体"/>
                <w:kern w:val="0"/>
                <w:sz w:val="22"/>
                <w:szCs w:val="22"/>
              </w:rPr>
              <w:t>工程编号：</w:t>
            </w:r>
          </w:p>
        </w:tc>
        <w:tc>
          <w:tcPr>
            <w:tcW w:w="1993" w:type="dxa"/>
            <w:tcBorders>
              <w:top w:val="nil"/>
              <w:left w:val="nil"/>
              <w:bottom w:val="single" w:color="auto" w:sz="4" w:space="0"/>
              <w:right w:val="nil"/>
            </w:tcBorders>
            <w:noWrap/>
            <w:vAlign w:val="center"/>
          </w:tcPr>
          <w:p>
            <w:pPr>
              <w:widowControl/>
              <w:jc w:val="center"/>
              <w:rPr>
                <w:rFonts w:ascii="宋体" w:cs="宋体"/>
                <w:kern w:val="0"/>
                <w:sz w:val="22"/>
                <w:szCs w:val="22"/>
              </w:rPr>
            </w:pPr>
          </w:p>
        </w:tc>
        <w:tc>
          <w:tcPr>
            <w:tcW w:w="222" w:type="dxa"/>
            <w:tcBorders>
              <w:top w:val="nil"/>
              <w:left w:val="nil"/>
              <w:bottom w:val="single" w:color="auto" w:sz="4" w:space="0"/>
              <w:right w:val="nil"/>
            </w:tcBorders>
            <w:noWrap/>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1098" w:type="dxa"/>
            <w:gridSpan w:val="2"/>
            <w:tcBorders>
              <w:top w:val="nil"/>
              <w:left w:val="nil"/>
              <w:bottom w:val="single" w:color="auto" w:sz="4" w:space="0"/>
              <w:right w:val="nil"/>
            </w:tcBorders>
            <w:noWrap/>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4908" w:type="dxa"/>
            <w:gridSpan w:val="3"/>
            <w:tcBorders>
              <w:top w:val="nil"/>
              <w:left w:val="nil"/>
              <w:bottom w:val="single" w:color="auto" w:sz="4" w:space="0"/>
              <w:right w:val="nil"/>
            </w:tcBorders>
            <w:noWrap/>
            <w:vAlign w:val="center"/>
          </w:tcPr>
          <w:p>
            <w:pPr>
              <w:widowControl/>
              <w:jc w:val="center"/>
              <w:rPr>
                <w:rFonts w:ascii="宋体" w:cs="宋体"/>
                <w:kern w:val="0"/>
                <w:sz w:val="22"/>
                <w:szCs w:val="22"/>
              </w:rPr>
            </w:pPr>
            <w:r>
              <w:rPr>
                <w:rFonts w:hint="eastAsia" w:ascii="宋体" w:hAnsi="宋体" w:cs="宋体"/>
                <w:kern w:val="0"/>
                <w:sz w:val="22"/>
                <w:szCs w:val="22"/>
              </w:rPr>
              <w:t>日期：</w:t>
            </w:r>
            <w:r>
              <w:rPr>
                <w:rFonts w:ascii="宋体" w:hAnsi="宋体" w:cs="宋体"/>
                <w:kern w:val="0"/>
                <w:sz w:val="22"/>
                <w:szCs w:val="22"/>
              </w:rPr>
              <w:t xml:space="preserve">      </w:t>
            </w:r>
            <w:r>
              <w:rPr>
                <w:rFonts w:hint="eastAsia" w:ascii="宋体" w:hAnsi="宋体" w:cs="宋体"/>
                <w:kern w:val="0"/>
                <w:sz w:val="22"/>
                <w:szCs w:val="22"/>
              </w:rPr>
              <w:t>年</w:t>
            </w:r>
            <w:r>
              <w:rPr>
                <w:rFonts w:ascii="宋体" w:hAnsi="宋体" w:cs="宋体"/>
                <w:kern w:val="0"/>
                <w:sz w:val="22"/>
                <w:szCs w:val="22"/>
              </w:rPr>
              <w:t xml:space="preserve">    </w:t>
            </w:r>
            <w:r>
              <w:rPr>
                <w:rFonts w:hint="eastAsia" w:ascii="宋体" w:hAnsi="宋体" w:cs="宋体"/>
                <w:kern w:val="0"/>
                <w:sz w:val="22"/>
                <w:szCs w:val="22"/>
              </w:rPr>
              <w:t>月</w:t>
            </w:r>
            <w:r>
              <w:rPr>
                <w:rFonts w:ascii="宋体" w:hAnsi="宋体" w:cs="宋体"/>
                <w:kern w:val="0"/>
                <w:sz w:val="22"/>
                <w:szCs w:val="22"/>
              </w:rPr>
              <w:t xml:space="preserve">    </w:t>
            </w:r>
            <w:r>
              <w:rPr>
                <w:rFonts w:hint="eastAsia" w:ascii="宋体" w:hAnsi="宋体" w:cs="宋体"/>
                <w:kern w:val="0"/>
                <w:sz w:val="22"/>
                <w:szCs w:val="22"/>
              </w:rPr>
              <w:t>日</w:t>
            </w:r>
          </w:p>
        </w:tc>
      </w:tr>
      <w:tr>
        <w:tblPrEx>
          <w:tblCellMar>
            <w:top w:w="0" w:type="dxa"/>
            <w:left w:w="108" w:type="dxa"/>
            <w:bottom w:w="0" w:type="dxa"/>
            <w:right w:w="108" w:type="dxa"/>
          </w:tblCellMar>
        </w:tblPrEx>
        <w:trPr>
          <w:trHeight w:val="540" w:hRule="atLeast"/>
        </w:trPr>
        <w:tc>
          <w:tcPr>
            <w:tcW w:w="1419"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工程名称</w:t>
            </w:r>
          </w:p>
        </w:tc>
        <w:tc>
          <w:tcPr>
            <w:tcW w:w="8221" w:type="dxa"/>
            <w:gridSpan w:val="7"/>
            <w:tcBorders>
              <w:top w:val="single" w:color="auto" w:sz="4" w:space="0"/>
              <w:left w:val="nil"/>
              <w:bottom w:val="single" w:color="auto" w:sz="4" w:space="0"/>
              <w:right w:val="single" w:color="000000" w:sz="4" w:space="0"/>
            </w:tcBorders>
            <w:vAlign w:val="center"/>
          </w:tcPr>
          <w:p>
            <w:pPr>
              <w:widowControl/>
              <w:jc w:val="left"/>
              <w:rPr>
                <w:rFonts w:ascii="宋体" w:cs="宋体"/>
                <w:kern w:val="0"/>
                <w:sz w:val="22"/>
                <w:szCs w:val="22"/>
              </w:rPr>
            </w:pPr>
          </w:p>
        </w:tc>
      </w:tr>
      <w:tr>
        <w:tblPrEx>
          <w:tblCellMar>
            <w:top w:w="0" w:type="dxa"/>
            <w:left w:w="108" w:type="dxa"/>
            <w:bottom w:w="0" w:type="dxa"/>
            <w:right w:w="108" w:type="dxa"/>
          </w:tblCellMar>
        </w:tblPrEx>
        <w:trPr>
          <w:trHeight w:val="510" w:hRule="atLeast"/>
        </w:trPr>
        <w:tc>
          <w:tcPr>
            <w:tcW w:w="1419" w:type="dxa"/>
            <w:tcBorders>
              <w:top w:val="nil"/>
              <w:left w:val="single" w:color="auto" w:sz="4" w:space="0"/>
              <w:bottom w:val="single" w:color="auto" w:sz="4" w:space="0"/>
              <w:right w:val="single" w:color="auto" w:sz="4" w:space="0"/>
            </w:tcBorders>
            <w:vAlign w:val="center"/>
          </w:tcPr>
          <w:p>
            <w:pPr>
              <w:widowControl/>
              <w:jc w:val="center"/>
              <w:rPr>
                <w:rFonts w:ascii="PMingLiU" w:hAnsi="PMingLiU" w:eastAsia="PMingLiU" w:cs="宋体"/>
                <w:kern w:val="0"/>
                <w:sz w:val="22"/>
                <w:szCs w:val="22"/>
              </w:rPr>
            </w:pPr>
            <w:r>
              <w:rPr>
                <w:rFonts w:hint="eastAsia" w:ascii="PMingLiU" w:hAnsi="PMingLiU" w:eastAsia="PMingLiU" w:cs="宋体"/>
                <w:kern w:val="0"/>
                <w:sz w:val="22"/>
                <w:szCs w:val="22"/>
              </w:rPr>
              <w:t>招标</w:t>
            </w:r>
            <w:r>
              <w:rPr>
                <w:rFonts w:hint="eastAsia" w:ascii="宋体" w:hAnsi="宋体" w:cs="宋体"/>
                <w:kern w:val="0"/>
                <w:sz w:val="22"/>
                <w:szCs w:val="22"/>
              </w:rPr>
              <w:t>类别</w:t>
            </w:r>
          </w:p>
        </w:tc>
        <w:tc>
          <w:tcPr>
            <w:tcW w:w="8221" w:type="dxa"/>
            <w:gridSpan w:val="7"/>
            <w:tcBorders>
              <w:top w:val="single" w:color="auto" w:sz="4" w:space="0"/>
              <w:left w:val="nil"/>
              <w:bottom w:val="single" w:color="auto" w:sz="4" w:space="0"/>
              <w:right w:val="single" w:color="000000" w:sz="4" w:space="0"/>
            </w:tcBorders>
            <w:noWrap/>
            <w:vAlign w:val="center"/>
          </w:tcPr>
          <w:p>
            <w:pPr>
              <w:widowControl/>
              <w:jc w:val="left"/>
              <w:rPr>
                <w:rFonts w:ascii="宋体" w:cs="宋体"/>
                <w:kern w:val="0"/>
                <w:sz w:val="22"/>
                <w:szCs w:val="22"/>
              </w:rPr>
            </w:pPr>
            <w:r>
              <w:rPr>
                <w:rFonts w:ascii="宋体" w:hAnsi="宋体" w:cs="宋体"/>
                <w:kern w:val="0"/>
                <w:sz w:val="22"/>
                <w:szCs w:val="22"/>
              </w:rPr>
              <w:t xml:space="preserve">  </w:t>
            </w:r>
            <w:r>
              <w:rPr>
                <w:rFonts w:hint="eastAsia" w:ascii="宋体" w:hAnsi="宋体" w:cs="宋体"/>
                <w:kern w:val="0"/>
                <w:sz w:val="22"/>
                <w:szCs w:val="22"/>
              </w:rPr>
              <w:t>施工</w:t>
            </w:r>
          </w:p>
        </w:tc>
      </w:tr>
      <w:tr>
        <w:tblPrEx>
          <w:tblCellMar>
            <w:top w:w="0" w:type="dxa"/>
            <w:left w:w="108" w:type="dxa"/>
            <w:bottom w:w="0" w:type="dxa"/>
            <w:right w:w="108" w:type="dxa"/>
          </w:tblCellMar>
        </w:tblPrEx>
        <w:trPr>
          <w:trHeight w:val="555" w:hRule="atLeast"/>
        </w:trPr>
        <w:tc>
          <w:tcPr>
            <w:tcW w:w="141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评标委员会评审结果</w:t>
            </w:r>
          </w:p>
        </w:tc>
        <w:tc>
          <w:tcPr>
            <w:tcW w:w="2835"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cs="宋体"/>
                <w:kern w:val="0"/>
                <w:sz w:val="22"/>
                <w:szCs w:val="22"/>
              </w:rPr>
            </w:pPr>
            <w:r>
              <w:rPr>
                <w:rFonts w:hint="eastAsia" w:ascii="宋体" w:hAnsi="宋体" w:cs="宋体"/>
                <w:kern w:val="0"/>
                <w:sz w:val="22"/>
                <w:szCs w:val="22"/>
              </w:rPr>
              <w:t>投</w:t>
            </w:r>
            <w:r>
              <w:rPr>
                <w:rFonts w:ascii="宋体" w:hAnsi="宋体" w:cs="宋体"/>
                <w:kern w:val="0"/>
                <w:sz w:val="22"/>
                <w:szCs w:val="22"/>
              </w:rPr>
              <w:t xml:space="preserve"> </w:t>
            </w:r>
            <w:r>
              <w:rPr>
                <w:rFonts w:hint="eastAsia" w:ascii="宋体" w:hAnsi="宋体" w:cs="宋体"/>
                <w:kern w:val="0"/>
                <w:sz w:val="22"/>
                <w:szCs w:val="22"/>
              </w:rPr>
              <w:t>标</w:t>
            </w:r>
            <w:r>
              <w:rPr>
                <w:rFonts w:ascii="宋体" w:hAnsi="宋体" w:cs="宋体"/>
                <w:kern w:val="0"/>
                <w:sz w:val="22"/>
                <w:szCs w:val="22"/>
              </w:rPr>
              <w:t xml:space="preserve"> </w:t>
            </w:r>
            <w:r>
              <w:rPr>
                <w:rFonts w:hint="eastAsia" w:ascii="宋体" w:hAnsi="宋体" w:cs="宋体"/>
                <w:kern w:val="0"/>
                <w:sz w:val="22"/>
                <w:szCs w:val="22"/>
              </w:rPr>
              <w:t>人</w:t>
            </w:r>
            <w:r>
              <w:rPr>
                <w:rFonts w:ascii="宋体" w:hAnsi="宋体" w:cs="宋体"/>
                <w:kern w:val="0"/>
                <w:sz w:val="22"/>
                <w:szCs w:val="22"/>
              </w:rPr>
              <w:t xml:space="preserve"> </w:t>
            </w:r>
            <w:r>
              <w:rPr>
                <w:rFonts w:hint="eastAsia" w:ascii="宋体" w:hAnsi="宋体" w:cs="宋体"/>
                <w:kern w:val="0"/>
                <w:sz w:val="22"/>
                <w:szCs w:val="22"/>
              </w:rPr>
              <w:t>名</w:t>
            </w:r>
            <w:r>
              <w:rPr>
                <w:rFonts w:ascii="宋体" w:hAnsi="宋体" w:cs="宋体"/>
                <w:kern w:val="0"/>
                <w:sz w:val="22"/>
                <w:szCs w:val="22"/>
              </w:rPr>
              <w:t xml:space="preserve"> </w:t>
            </w:r>
            <w:r>
              <w:rPr>
                <w:rFonts w:hint="eastAsia" w:ascii="宋体" w:hAnsi="宋体" w:cs="宋体"/>
                <w:kern w:val="0"/>
                <w:sz w:val="22"/>
                <w:szCs w:val="22"/>
              </w:rPr>
              <w:t>称</w:t>
            </w:r>
          </w:p>
        </w:tc>
        <w:tc>
          <w:tcPr>
            <w:tcW w:w="1417" w:type="dxa"/>
            <w:gridSpan w:val="2"/>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排名次序</w:t>
            </w:r>
          </w:p>
        </w:tc>
        <w:tc>
          <w:tcPr>
            <w:tcW w:w="1276"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评标得分</w:t>
            </w:r>
          </w:p>
        </w:tc>
        <w:tc>
          <w:tcPr>
            <w:tcW w:w="2693"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项目负责人</w:t>
            </w:r>
          </w:p>
        </w:tc>
      </w:tr>
      <w:tr>
        <w:tblPrEx>
          <w:tblCellMar>
            <w:top w:w="0" w:type="dxa"/>
            <w:left w:w="108" w:type="dxa"/>
            <w:bottom w:w="0" w:type="dxa"/>
            <w:right w:w="108" w:type="dxa"/>
          </w:tblCellMar>
        </w:tblPrEx>
        <w:trPr>
          <w:trHeight w:val="439" w:hRule="atLeast"/>
        </w:trPr>
        <w:tc>
          <w:tcPr>
            <w:tcW w:w="141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2835" w:type="dxa"/>
            <w:gridSpan w:val="3"/>
            <w:tcBorders>
              <w:top w:val="single" w:color="auto" w:sz="4" w:space="0"/>
              <w:left w:val="nil"/>
              <w:bottom w:val="single" w:color="auto" w:sz="4" w:space="0"/>
              <w:right w:val="single" w:color="auto" w:sz="4" w:space="0"/>
            </w:tcBorders>
            <w:noWrap/>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1417" w:type="dxa"/>
            <w:gridSpan w:val="2"/>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1276"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39" w:hRule="atLeast"/>
        </w:trPr>
        <w:tc>
          <w:tcPr>
            <w:tcW w:w="141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2835" w:type="dxa"/>
            <w:gridSpan w:val="3"/>
            <w:tcBorders>
              <w:top w:val="single" w:color="auto" w:sz="4" w:space="0"/>
              <w:left w:val="nil"/>
              <w:bottom w:val="single" w:color="auto" w:sz="4" w:space="0"/>
              <w:right w:val="single" w:color="auto" w:sz="4" w:space="0"/>
            </w:tcBorders>
            <w:noWrap/>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1417" w:type="dxa"/>
            <w:gridSpan w:val="2"/>
            <w:tcBorders>
              <w:top w:val="nil"/>
              <w:left w:val="nil"/>
              <w:bottom w:val="single" w:color="auto" w:sz="4" w:space="0"/>
              <w:right w:val="single" w:color="auto" w:sz="4" w:space="0"/>
            </w:tcBorders>
            <w:noWrap/>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1276" w:type="dxa"/>
            <w:tcBorders>
              <w:top w:val="nil"/>
              <w:left w:val="nil"/>
              <w:bottom w:val="single" w:color="auto" w:sz="4" w:space="0"/>
              <w:right w:val="single" w:color="auto" w:sz="4" w:space="0"/>
            </w:tcBorders>
            <w:noWrap/>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single" w:color="auto" w:sz="4" w:space="0"/>
            </w:tcBorders>
            <w:noWrap/>
            <w:vAlign w:val="center"/>
          </w:tcPr>
          <w:p>
            <w:pPr>
              <w:widowControl/>
              <w:jc w:val="left"/>
              <w:rPr>
                <w:rFonts w:asci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39" w:hRule="atLeast"/>
        </w:trPr>
        <w:tc>
          <w:tcPr>
            <w:tcW w:w="141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2835" w:type="dxa"/>
            <w:gridSpan w:val="3"/>
            <w:tcBorders>
              <w:top w:val="single" w:color="auto" w:sz="4" w:space="0"/>
              <w:left w:val="nil"/>
              <w:bottom w:val="single" w:color="auto" w:sz="4" w:space="0"/>
              <w:right w:val="single" w:color="auto" w:sz="4" w:space="0"/>
            </w:tcBorders>
            <w:noWrap/>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1417" w:type="dxa"/>
            <w:gridSpan w:val="2"/>
            <w:tcBorders>
              <w:top w:val="nil"/>
              <w:left w:val="nil"/>
              <w:bottom w:val="single" w:color="auto" w:sz="4" w:space="0"/>
              <w:right w:val="single" w:color="auto" w:sz="4" w:space="0"/>
            </w:tcBorders>
            <w:noWrap/>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1276" w:type="dxa"/>
            <w:tcBorders>
              <w:top w:val="nil"/>
              <w:left w:val="nil"/>
              <w:bottom w:val="single" w:color="auto" w:sz="4" w:space="0"/>
              <w:right w:val="single" w:color="auto" w:sz="4" w:space="0"/>
            </w:tcBorders>
            <w:noWrap/>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single" w:color="auto" w:sz="4" w:space="0"/>
            </w:tcBorders>
            <w:noWrap/>
            <w:vAlign w:val="center"/>
          </w:tcPr>
          <w:p>
            <w:pPr>
              <w:widowControl/>
              <w:jc w:val="left"/>
              <w:rPr>
                <w:rFonts w:asci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39" w:hRule="atLeast"/>
        </w:trPr>
        <w:tc>
          <w:tcPr>
            <w:tcW w:w="141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2835" w:type="dxa"/>
            <w:gridSpan w:val="3"/>
            <w:tcBorders>
              <w:top w:val="single" w:color="auto" w:sz="4" w:space="0"/>
              <w:left w:val="nil"/>
              <w:bottom w:val="single" w:color="auto" w:sz="4" w:space="0"/>
              <w:right w:val="single" w:color="auto" w:sz="4" w:space="0"/>
            </w:tcBorders>
            <w:noWrap/>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1417" w:type="dxa"/>
            <w:gridSpan w:val="2"/>
            <w:tcBorders>
              <w:top w:val="nil"/>
              <w:left w:val="nil"/>
              <w:bottom w:val="single" w:color="auto" w:sz="4" w:space="0"/>
              <w:right w:val="single" w:color="auto" w:sz="4" w:space="0"/>
            </w:tcBorders>
            <w:noWrap/>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1276" w:type="dxa"/>
            <w:tcBorders>
              <w:top w:val="nil"/>
              <w:left w:val="nil"/>
              <w:bottom w:val="single" w:color="auto" w:sz="4" w:space="0"/>
              <w:right w:val="single" w:color="auto" w:sz="4" w:space="0"/>
            </w:tcBorders>
            <w:noWrap/>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single" w:color="auto" w:sz="4" w:space="0"/>
            </w:tcBorders>
            <w:noWrap/>
            <w:vAlign w:val="center"/>
          </w:tcPr>
          <w:p>
            <w:pPr>
              <w:widowControl/>
              <w:jc w:val="left"/>
              <w:rPr>
                <w:rFonts w:asci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39" w:hRule="atLeast"/>
        </w:trPr>
        <w:tc>
          <w:tcPr>
            <w:tcW w:w="141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2835" w:type="dxa"/>
            <w:gridSpan w:val="3"/>
            <w:tcBorders>
              <w:top w:val="single" w:color="auto" w:sz="4" w:space="0"/>
              <w:left w:val="nil"/>
              <w:bottom w:val="single" w:color="auto" w:sz="4" w:space="0"/>
              <w:right w:val="single" w:color="auto" w:sz="4" w:space="0"/>
            </w:tcBorders>
            <w:noWrap/>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1417" w:type="dxa"/>
            <w:gridSpan w:val="2"/>
            <w:tcBorders>
              <w:top w:val="nil"/>
              <w:left w:val="nil"/>
              <w:bottom w:val="single" w:color="auto" w:sz="4" w:space="0"/>
              <w:right w:val="single" w:color="auto" w:sz="4" w:space="0"/>
            </w:tcBorders>
            <w:noWrap/>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1276" w:type="dxa"/>
            <w:tcBorders>
              <w:top w:val="nil"/>
              <w:left w:val="nil"/>
              <w:bottom w:val="single" w:color="auto" w:sz="4" w:space="0"/>
              <w:right w:val="single" w:color="auto" w:sz="4" w:space="0"/>
            </w:tcBorders>
            <w:noWrap/>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single" w:color="auto" w:sz="4" w:space="0"/>
            </w:tcBorders>
            <w:noWrap/>
            <w:vAlign w:val="center"/>
          </w:tcPr>
          <w:p>
            <w:pPr>
              <w:widowControl/>
              <w:jc w:val="left"/>
              <w:rPr>
                <w:rFonts w:asci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39" w:hRule="atLeast"/>
        </w:trPr>
        <w:tc>
          <w:tcPr>
            <w:tcW w:w="141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2835"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1417" w:type="dxa"/>
            <w:gridSpan w:val="2"/>
            <w:tcBorders>
              <w:top w:val="nil"/>
              <w:left w:val="nil"/>
              <w:bottom w:val="single" w:color="auto" w:sz="4" w:space="0"/>
              <w:right w:val="single" w:color="auto" w:sz="4" w:space="0"/>
            </w:tcBorders>
            <w:noWrap/>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1276" w:type="dxa"/>
            <w:tcBorders>
              <w:top w:val="nil"/>
              <w:left w:val="nil"/>
              <w:bottom w:val="single" w:color="auto" w:sz="4" w:space="0"/>
              <w:right w:val="single" w:color="auto" w:sz="4" w:space="0"/>
            </w:tcBorders>
            <w:noWrap/>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single" w:color="auto" w:sz="4" w:space="0"/>
            </w:tcBorders>
            <w:noWrap/>
            <w:vAlign w:val="center"/>
          </w:tcPr>
          <w:p>
            <w:pPr>
              <w:widowControl/>
              <w:jc w:val="left"/>
              <w:rPr>
                <w:rFonts w:asci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39" w:hRule="atLeast"/>
        </w:trPr>
        <w:tc>
          <w:tcPr>
            <w:tcW w:w="141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2835"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1417" w:type="dxa"/>
            <w:gridSpan w:val="2"/>
            <w:tcBorders>
              <w:top w:val="nil"/>
              <w:left w:val="nil"/>
              <w:bottom w:val="single" w:color="auto" w:sz="4" w:space="0"/>
              <w:right w:val="single" w:color="auto" w:sz="4" w:space="0"/>
            </w:tcBorders>
            <w:noWrap/>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1276" w:type="dxa"/>
            <w:tcBorders>
              <w:top w:val="nil"/>
              <w:left w:val="nil"/>
              <w:bottom w:val="single" w:color="auto" w:sz="4" w:space="0"/>
              <w:right w:val="single" w:color="auto" w:sz="4" w:space="0"/>
            </w:tcBorders>
            <w:noWrap/>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2693" w:type="dxa"/>
            <w:tcBorders>
              <w:top w:val="nil"/>
              <w:left w:val="nil"/>
              <w:bottom w:val="single" w:color="auto" w:sz="4" w:space="0"/>
              <w:right w:val="single" w:color="auto" w:sz="4" w:space="0"/>
            </w:tcBorders>
            <w:noWrap/>
            <w:vAlign w:val="center"/>
          </w:tcPr>
          <w:p>
            <w:pPr>
              <w:widowControl/>
              <w:jc w:val="left"/>
              <w:rPr>
                <w:rFonts w:asci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39" w:hRule="atLeast"/>
        </w:trPr>
        <w:tc>
          <w:tcPr>
            <w:tcW w:w="141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推荐的</w:t>
            </w:r>
          </w:p>
          <w:p>
            <w:pPr>
              <w:widowControl/>
              <w:jc w:val="center"/>
              <w:rPr>
                <w:rFonts w:ascii="宋体" w:cs="宋体"/>
                <w:kern w:val="0"/>
                <w:sz w:val="22"/>
                <w:szCs w:val="22"/>
              </w:rPr>
            </w:pPr>
            <w:r>
              <w:rPr>
                <w:rFonts w:hint="eastAsia" w:ascii="宋体" w:hAnsi="宋体" w:cs="宋体"/>
                <w:kern w:val="0"/>
                <w:sz w:val="22"/>
                <w:szCs w:val="22"/>
              </w:rPr>
              <w:t>中标候选人</w:t>
            </w:r>
          </w:p>
        </w:tc>
        <w:tc>
          <w:tcPr>
            <w:tcW w:w="1993" w:type="dxa"/>
            <w:tcBorders>
              <w:top w:val="nil"/>
              <w:left w:val="nil"/>
              <w:bottom w:val="single" w:color="auto" w:sz="4" w:space="0"/>
              <w:right w:val="single" w:color="auto" w:sz="4" w:space="0"/>
            </w:tcBorders>
            <w:noWrap/>
            <w:vAlign w:val="center"/>
          </w:tcPr>
          <w:p>
            <w:pPr>
              <w:widowControl/>
              <w:jc w:val="center"/>
              <w:rPr>
                <w:rFonts w:ascii="宋体" w:cs="宋体"/>
                <w:kern w:val="0"/>
                <w:sz w:val="22"/>
                <w:szCs w:val="22"/>
              </w:rPr>
            </w:pPr>
            <w:r>
              <w:rPr>
                <w:rFonts w:hint="eastAsia" w:ascii="宋体" w:hAnsi="宋体" w:cs="宋体"/>
                <w:kern w:val="0"/>
                <w:sz w:val="22"/>
                <w:szCs w:val="22"/>
              </w:rPr>
              <w:t>次序</w:t>
            </w:r>
          </w:p>
        </w:tc>
        <w:tc>
          <w:tcPr>
            <w:tcW w:w="6228" w:type="dxa"/>
            <w:gridSpan w:val="6"/>
            <w:tcBorders>
              <w:top w:val="nil"/>
              <w:left w:val="nil"/>
              <w:bottom w:val="single" w:color="auto" w:sz="4" w:space="0"/>
              <w:right w:val="single" w:color="auto" w:sz="4" w:space="0"/>
            </w:tcBorders>
            <w:noWrap/>
            <w:vAlign w:val="center"/>
          </w:tcPr>
          <w:p>
            <w:pPr>
              <w:widowControl/>
              <w:jc w:val="center"/>
              <w:rPr>
                <w:rFonts w:ascii="宋体" w:cs="宋体"/>
                <w:kern w:val="0"/>
                <w:sz w:val="22"/>
                <w:szCs w:val="22"/>
              </w:rPr>
            </w:pPr>
            <w:r>
              <w:rPr>
                <w:rFonts w:hint="eastAsia" w:ascii="宋体" w:hAnsi="宋体" w:cs="宋体"/>
                <w:kern w:val="0"/>
                <w:sz w:val="22"/>
                <w:szCs w:val="22"/>
              </w:rPr>
              <w:t>中</w:t>
            </w:r>
            <w:r>
              <w:rPr>
                <w:rFonts w:ascii="宋体" w:hAnsi="宋体" w:cs="宋体"/>
                <w:kern w:val="0"/>
                <w:sz w:val="22"/>
                <w:szCs w:val="22"/>
              </w:rPr>
              <w:t xml:space="preserve"> </w:t>
            </w:r>
            <w:r>
              <w:rPr>
                <w:rFonts w:hint="eastAsia" w:ascii="宋体" w:hAnsi="宋体" w:cs="宋体"/>
                <w:kern w:val="0"/>
                <w:sz w:val="22"/>
                <w:szCs w:val="22"/>
              </w:rPr>
              <w:t>标</w:t>
            </w:r>
            <w:r>
              <w:rPr>
                <w:rFonts w:ascii="宋体" w:hAnsi="宋体" w:cs="宋体"/>
                <w:kern w:val="0"/>
                <w:sz w:val="22"/>
                <w:szCs w:val="22"/>
              </w:rPr>
              <w:t xml:space="preserve"> </w:t>
            </w:r>
            <w:r>
              <w:rPr>
                <w:rFonts w:hint="eastAsia" w:ascii="宋体" w:hAnsi="宋体" w:cs="宋体"/>
                <w:kern w:val="0"/>
                <w:sz w:val="22"/>
                <w:szCs w:val="22"/>
              </w:rPr>
              <w:t>候</w:t>
            </w:r>
            <w:r>
              <w:rPr>
                <w:rFonts w:ascii="宋体" w:hAnsi="宋体" w:cs="宋体"/>
                <w:kern w:val="0"/>
                <w:sz w:val="22"/>
                <w:szCs w:val="22"/>
              </w:rPr>
              <w:t xml:space="preserve"> </w:t>
            </w:r>
            <w:r>
              <w:rPr>
                <w:rFonts w:hint="eastAsia" w:ascii="宋体" w:hAnsi="宋体" w:cs="宋体"/>
                <w:kern w:val="0"/>
                <w:sz w:val="22"/>
                <w:szCs w:val="22"/>
              </w:rPr>
              <w:t>选</w:t>
            </w:r>
            <w:r>
              <w:rPr>
                <w:rFonts w:ascii="宋体" w:hAnsi="宋体" w:cs="宋体"/>
                <w:kern w:val="0"/>
                <w:sz w:val="22"/>
                <w:szCs w:val="22"/>
              </w:rPr>
              <w:t xml:space="preserve"> </w:t>
            </w:r>
            <w:r>
              <w:rPr>
                <w:rFonts w:hint="eastAsia" w:ascii="宋体" w:hAnsi="宋体" w:cs="宋体"/>
                <w:kern w:val="0"/>
                <w:sz w:val="22"/>
                <w:szCs w:val="22"/>
              </w:rPr>
              <w:t>人</w:t>
            </w:r>
            <w:r>
              <w:rPr>
                <w:rFonts w:ascii="宋体" w:hAnsi="宋体" w:cs="宋体"/>
                <w:kern w:val="0"/>
                <w:sz w:val="22"/>
                <w:szCs w:val="22"/>
              </w:rPr>
              <w:t xml:space="preserve"> </w:t>
            </w:r>
            <w:r>
              <w:rPr>
                <w:rFonts w:hint="eastAsia" w:ascii="宋体" w:hAnsi="宋体" w:cs="宋体"/>
                <w:kern w:val="0"/>
                <w:sz w:val="22"/>
                <w:szCs w:val="22"/>
              </w:rPr>
              <w:t>名</w:t>
            </w:r>
            <w:r>
              <w:rPr>
                <w:rFonts w:ascii="宋体" w:hAnsi="宋体" w:cs="宋体"/>
                <w:kern w:val="0"/>
                <w:sz w:val="22"/>
                <w:szCs w:val="22"/>
              </w:rPr>
              <w:t xml:space="preserve"> </w:t>
            </w:r>
            <w:r>
              <w:rPr>
                <w:rFonts w:hint="eastAsia" w:ascii="宋体" w:hAnsi="宋体" w:cs="宋体"/>
                <w:kern w:val="0"/>
                <w:sz w:val="22"/>
                <w:szCs w:val="22"/>
              </w:rPr>
              <w:t>称</w:t>
            </w:r>
          </w:p>
        </w:tc>
      </w:tr>
      <w:tr>
        <w:tblPrEx>
          <w:tblCellMar>
            <w:top w:w="0" w:type="dxa"/>
            <w:left w:w="108" w:type="dxa"/>
            <w:bottom w:w="0" w:type="dxa"/>
            <w:right w:w="108" w:type="dxa"/>
          </w:tblCellMar>
        </w:tblPrEx>
        <w:trPr>
          <w:trHeight w:val="439" w:hRule="atLeast"/>
        </w:trPr>
        <w:tc>
          <w:tcPr>
            <w:tcW w:w="141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1993" w:type="dxa"/>
            <w:tcBorders>
              <w:top w:val="nil"/>
              <w:left w:val="nil"/>
              <w:bottom w:val="single" w:color="auto" w:sz="4" w:space="0"/>
              <w:right w:val="single" w:color="auto" w:sz="4" w:space="0"/>
            </w:tcBorders>
            <w:noWrap/>
            <w:vAlign w:val="center"/>
          </w:tcPr>
          <w:p>
            <w:pPr>
              <w:widowControl/>
              <w:jc w:val="center"/>
              <w:rPr>
                <w:rFonts w:ascii="宋体" w:cs="宋体"/>
                <w:kern w:val="0"/>
                <w:sz w:val="22"/>
                <w:szCs w:val="22"/>
              </w:rPr>
            </w:pPr>
            <w:r>
              <w:rPr>
                <w:rFonts w:ascii="宋体" w:hAnsi="宋体" w:cs="宋体"/>
                <w:kern w:val="0"/>
                <w:sz w:val="22"/>
                <w:szCs w:val="22"/>
              </w:rPr>
              <w:t>1</w:t>
            </w:r>
          </w:p>
        </w:tc>
        <w:tc>
          <w:tcPr>
            <w:tcW w:w="6228" w:type="dxa"/>
            <w:gridSpan w:val="6"/>
            <w:tcBorders>
              <w:top w:val="single" w:color="auto" w:sz="4" w:space="0"/>
              <w:left w:val="nil"/>
              <w:bottom w:val="single" w:color="auto" w:sz="4" w:space="0"/>
              <w:right w:val="single" w:color="auto" w:sz="4" w:space="0"/>
            </w:tcBorders>
            <w:noWrap/>
            <w:vAlign w:val="center"/>
          </w:tcPr>
          <w:p>
            <w:pPr>
              <w:widowControl/>
              <w:jc w:val="center"/>
              <w:rPr>
                <w:rFonts w:asci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39" w:hRule="atLeast"/>
        </w:trPr>
        <w:tc>
          <w:tcPr>
            <w:tcW w:w="141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1993" w:type="dxa"/>
            <w:tcBorders>
              <w:top w:val="nil"/>
              <w:left w:val="nil"/>
              <w:bottom w:val="single" w:color="auto" w:sz="4" w:space="0"/>
              <w:right w:val="single" w:color="auto" w:sz="4" w:space="0"/>
            </w:tcBorders>
            <w:noWrap/>
            <w:vAlign w:val="center"/>
          </w:tcPr>
          <w:p>
            <w:pPr>
              <w:widowControl/>
              <w:jc w:val="center"/>
              <w:rPr>
                <w:rFonts w:ascii="宋体" w:cs="宋体"/>
                <w:kern w:val="0"/>
                <w:sz w:val="22"/>
                <w:szCs w:val="22"/>
              </w:rPr>
            </w:pPr>
            <w:r>
              <w:rPr>
                <w:rFonts w:ascii="宋体" w:hAnsi="宋体" w:cs="宋体"/>
                <w:kern w:val="0"/>
                <w:sz w:val="22"/>
                <w:szCs w:val="22"/>
              </w:rPr>
              <w:t>2</w:t>
            </w:r>
          </w:p>
        </w:tc>
        <w:tc>
          <w:tcPr>
            <w:tcW w:w="6228" w:type="dxa"/>
            <w:gridSpan w:val="6"/>
            <w:tcBorders>
              <w:top w:val="single" w:color="auto" w:sz="4" w:space="0"/>
              <w:left w:val="nil"/>
              <w:bottom w:val="single" w:color="auto" w:sz="4" w:space="0"/>
              <w:right w:val="single" w:color="auto" w:sz="4" w:space="0"/>
            </w:tcBorders>
            <w:noWrap/>
            <w:vAlign w:val="center"/>
          </w:tcPr>
          <w:p>
            <w:pPr>
              <w:widowControl/>
              <w:jc w:val="center"/>
              <w:rPr>
                <w:rFonts w:asci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39" w:hRule="atLeast"/>
        </w:trPr>
        <w:tc>
          <w:tcPr>
            <w:tcW w:w="141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1993" w:type="dxa"/>
            <w:tcBorders>
              <w:top w:val="nil"/>
              <w:left w:val="nil"/>
              <w:bottom w:val="single" w:color="auto" w:sz="4" w:space="0"/>
              <w:right w:val="single" w:color="auto" w:sz="4" w:space="0"/>
            </w:tcBorders>
            <w:noWrap/>
            <w:vAlign w:val="center"/>
          </w:tcPr>
          <w:p>
            <w:pPr>
              <w:widowControl/>
              <w:jc w:val="center"/>
              <w:rPr>
                <w:rFonts w:ascii="宋体" w:cs="宋体"/>
                <w:kern w:val="0"/>
                <w:sz w:val="22"/>
                <w:szCs w:val="22"/>
              </w:rPr>
            </w:pPr>
            <w:r>
              <w:rPr>
                <w:rFonts w:ascii="宋体" w:hAnsi="宋体" w:cs="宋体"/>
                <w:kern w:val="0"/>
                <w:sz w:val="22"/>
                <w:szCs w:val="22"/>
              </w:rPr>
              <w:t>3</w:t>
            </w:r>
          </w:p>
        </w:tc>
        <w:tc>
          <w:tcPr>
            <w:tcW w:w="6228" w:type="dxa"/>
            <w:gridSpan w:val="6"/>
            <w:tcBorders>
              <w:top w:val="single" w:color="auto" w:sz="4" w:space="0"/>
              <w:left w:val="nil"/>
              <w:bottom w:val="single" w:color="auto" w:sz="4" w:space="0"/>
              <w:right w:val="single" w:color="auto" w:sz="4" w:space="0"/>
            </w:tcBorders>
            <w:noWrap/>
            <w:vAlign w:val="center"/>
          </w:tcPr>
          <w:p>
            <w:pPr>
              <w:widowControl/>
              <w:jc w:val="center"/>
              <w:rPr>
                <w:rFonts w:asci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438" w:hRule="atLeast"/>
        </w:trPr>
        <w:tc>
          <w:tcPr>
            <w:tcW w:w="9640" w:type="dxa"/>
            <w:gridSpan w:val="8"/>
            <w:tcBorders>
              <w:top w:val="nil"/>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r>
              <w:rPr>
                <w:rFonts w:ascii="宋体" w:hAnsi="宋体" w:cs="宋体"/>
                <w:kern w:val="0"/>
                <w:sz w:val="22"/>
                <w:szCs w:val="22"/>
              </w:rPr>
              <w:t xml:space="preserve">    </w:t>
            </w:r>
            <w:r>
              <w:rPr>
                <w:rFonts w:hint="eastAsia" w:ascii="宋体" w:hAnsi="宋体" w:cs="宋体"/>
                <w:kern w:val="0"/>
                <w:sz w:val="22"/>
                <w:szCs w:val="22"/>
              </w:rPr>
              <w:t>招标人：（盖企业</w:t>
            </w:r>
            <w:r>
              <w:rPr>
                <w:rFonts w:ascii="宋体" w:hAnsi="宋体" w:cs="宋体"/>
                <w:kern w:val="0"/>
                <w:sz w:val="22"/>
                <w:szCs w:val="22"/>
              </w:rPr>
              <w:t>CA</w:t>
            </w:r>
            <w:r>
              <w:rPr>
                <w:rFonts w:hint="eastAsia" w:ascii="宋体" w:hAnsi="宋体" w:cs="宋体"/>
                <w:kern w:val="0"/>
                <w:sz w:val="22"/>
                <w:szCs w:val="22"/>
              </w:rPr>
              <w:t>电子印章）</w:t>
            </w:r>
            <w:r>
              <w:rPr>
                <w:rFonts w:ascii="宋体" w:hAnsi="宋体" w:cs="宋体"/>
                <w:kern w:val="0"/>
                <w:sz w:val="22"/>
                <w:szCs w:val="22"/>
              </w:rPr>
              <w:t xml:space="preserve">                </w:t>
            </w:r>
            <w:r>
              <w:rPr>
                <w:rFonts w:hint="eastAsia" w:ascii="宋体" w:hAnsi="宋体" w:cs="宋体"/>
                <w:kern w:val="0"/>
                <w:sz w:val="22"/>
                <w:szCs w:val="22"/>
              </w:rPr>
              <w:t>法定代表人：（盖个人</w:t>
            </w:r>
            <w:r>
              <w:rPr>
                <w:rFonts w:ascii="宋体" w:hAnsi="宋体" w:cs="宋体"/>
                <w:kern w:val="0"/>
                <w:sz w:val="22"/>
                <w:szCs w:val="22"/>
              </w:rPr>
              <w:t>CA</w:t>
            </w:r>
            <w:r>
              <w:rPr>
                <w:rFonts w:hint="eastAsia" w:ascii="宋体" w:hAnsi="宋体" w:cs="宋体"/>
                <w:kern w:val="0"/>
                <w:sz w:val="22"/>
                <w:szCs w:val="22"/>
              </w:rPr>
              <w:t>电子印章）</w:t>
            </w:r>
          </w:p>
          <w:p>
            <w:pPr>
              <w:widowControl/>
              <w:jc w:val="left"/>
              <w:rPr>
                <w:rFonts w:ascii="宋体" w:cs="宋体"/>
                <w:kern w:val="0"/>
                <w:sz w:val="22"/>
                <w:szCs w:val="22"/>
              </w:rPr>
            </w:pPr>
            <w:r>
              <w:rPr>
                <w:rFonts w:hint="eastAsia" w:ascii="宋体" w:hAnsi="宋体" w:cs="宋体"/>
                <w:kern w:val="0"/>
                <w:sz w:val="22"/>
                <w:szCs w:val="22"/>
              </w:rPr>
              <w:t>　</w:t>
            </w:r>
          </w:p>
          <w:p>
            <w:pPr>
              <w:jc w:val="right"/>
              <w:rPr>
                <w:rFonts w:ascii="宋体" w:cs="宋体"/>
                <w:kern w:val="0"/>
                <w:sz w:val="22"/>
                <w:szCs w:val="22"/>
              </w:rPr>
            </w:pPr>
            <w:r>
              <w:rPr>
                <w:rFonts w:ascii="宋体" w:hAnsi="宋体" w:cs="宋体"/>
                <w:kern w:val="0"/>
                <w:sz w:val="22"/>
                <w:szCs w:val="22"/>
              </w:rPr>
              <w:t xml:space="preserve">                                  </w:t>
            </w:r>
            <w:r>
              <w:rPr>
                <w:rFonts w:hint="eastAsia" w:ascii="宋体" w:hAnsi="宋体" w:cs="宋体"/>
                <w:kern w:val="0"/>
                <w:sz w:val="22"/>
                <w:szCs w:val="22"/>
              </w:rPr>
              <w:t>年</w:t>
            </w:r>
            <w:r>
              <w:rPr>
                <w:rFonts w:ascii="宋体" w:hAnsi="宋体" w:cs="宋体"/>
                <w:kern w:val="0"/>
                <w:sz w:val="22"/>
                <w:szCs w:val="22"/>
              </w:rPr>
              <w:t xml:space="preserve">   </w:t>
            </w:r>
            <w:r>
              <w:rPr>
                <w:rFonts w:hint="eastAsia" w:ascii="宋体" w:hAnsi="宋体" w:cs="宋体"/>
                <w:kern w:val="0"/>
                <w:sz w:val="22"/>
                <w:szCs w:val="22"/>
              </w:rPr>
              <w:t>月</w:t>
            </w:r>
            <w:r>
              <w:rPr>
                <w:rFonts w:ascii="宋体" w:hAnsi="宋体" w:cs="宋体"/>
                <w:kern w:val="0"/>
                <w:sz w:val="22"/>
                <w:szCs w:val="22"/>
              </w:rPr>
              <w:t xml:space="preserve">    </w:t>
            </w:r>
            <w:r>
              <w:rPr>
                <w:rFonts w:hint="eastAsia" w:ascii="宋体" w:hAnsi="宋体" w:cs="宋体"/>
                <w:kern w:val="0"/>
                <w:sz w:val="22"/>
                <w:szCs w:val="22"/>
              </w:rPr>
              <w:t>日</w:t>
            </w:r>
            <w:r>
              <w:rPr>
                <w:rFonts w:ascii="宋体" w:hAnsi="宋体" w:cs="宋体"/>
                <w:kern w:val="0"/>
                <w:sz w:val="22"/>
                <w:szCs w:val="22"/>
              </w:rPr>
              <w:t xml:space="preserve">  </w:t>
            </w:r>
          </w:p>
        </w:tc>
      </w:tr>
      <w:tr>
        <w:tblPrEx>
          <w:tblCellMar>
            <w:top w:w="0" w:type="dxa"/>
            <w:left w:w="108" w:type="dxa"/>
            <w:bottom w:w="0" w:type="dxa"/>
            <w:right w:w="108" w:type="dxa"/>
          </w:tblCellMar>
        </w:tblPrEx>
        <w:trPr>
          <w:trHeight w:val="1240" w:hRule="atLeast"/>
        </w:trPr>
        <w:tc>
          <w:tcPr>
            <w:tcW w:w="14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评标委员会全体成员</w:t>
            </w:r>
          </w:p>
          <w:p>
            <w:pPr>
              <w:widowControl/>
              <w:jc w:val="center"/>
              <w:rPr>
                <w:rFonts w:ascii="宋体" w:cs="宋体"/>
                <w:kern w:val="0"/>
                <w:sz w:val="22"/>
                <w:szCs w:val="22"/>
              </w:rPr>
            </w:pPr>
            <w:r>
              <w:rPr>
                <w:rFonts w:hint="eastAsia" w:ascii="宋体" w:hAnsi="宋体" w:cs="宋体"/>
                <w:kern w:val="0"/>
                <w:sz w:val="22"/>
                <w:szCs w:val="22"/>
              </w:rPr>
              <w:t>签</w:t>
            </w:r>
            <w:r>
              <w:rPr>
                <w:rFonts w:ascii="宋体" w:hAnsi="宋体" w:cs="宋体"/>
                <w:kern w:val="0"/>
                <w:sz w:val="22"/>
                <w:szCs w:val="22"/>
              </w:rPr>
              <w:t xml:space="preserve"> </w:t>
            </w:r>
            <w:r>
              <w:rPr>
                <w:rFonts w:hint="eastAsia" w:ascii="宋体" w:hAnsi="宋体" w:cs="宋体"/>
                <w:kern w:val="0"/>
                <w:sz w:val="22"/>
                <w:szCs w:val="22"/>
              </w:rPr>
              <w:t>名</w:t>
            </w:r>
          </w:p>
        </w:tc>
        <w:tc>
          <w:tcPr>
            <w:tcW w:w="8221" w:type="dxa"/>
            <w:gridSpan w:val="7"/>
            <w:tcBorders>
              <w:top w:val="single" w:color="auto" w:sz="4" w:space="0"/>
              <w:left w:val="nil"/>
              <w:bottom w:val="single" w:color="auto" w:sz="4" w:space="0"/>
              <w:right w:val="single" w:color="auto" w:sz="4" w:space="0"/>
            </w:tcBorders>
          </w:tcPr>
          <w:p>
            <w:pPr>
              <w:widowControl/>
              <w:rPr>
                <w:rFonts w:ascii="宋体" w:cs="宋体"/>
                <w:kern w:val="0"/>
                <w:sz w:val="22"/>
                <w:szCs w:val="22"/>
              </w:rPr>
            </w:pPr>
            <w:r>
              <w:rPr>
                <w:rFonts w:hint="eastAsia" w:ascii="宋体" w:hAnsi="宋体" w:cs="宋体"/>
                <w:kern w:val="0"/>
                <w:sz w:val="22"/>
                <w:szCs w:val="22"/>
              </w:rPr>
              <w:t>兹确认上述评标结果属实，有关评审记录见附件：</w:t>
            </w:r>
          </w:p>
        </w:tc>
      </w:tr>
    </w:tbl>
    <w:p>
      <w:pPr>
        <w:pStyle w:val="4"/>
        <w:rPr>
          <w:rFonts w:ascii="宋体"/>
          <w:sz w:val="28"/>
          <w:szCs w:val="28"/>
        </w:rPr>
      </w:pPr>
    </w:p>
    <w:p>
      <w:pPr>
        <w:pStyle w:val="4"/>
      </w:pPr>
      <w:r>
        <w:br w:type="page"/>
      </w:r>
    </w:p>
    <w:p>
      <w:pPr>
        <w:pStyle w:val="5"/>
        <w:tabs>
          <w:tab w:val="left" w:pos="420"/>
        </w:tabs>
        <w:jc w:val="left"/>
        <w:rPr>
          <w:rFonts w:ascii="宋体"/>
          <w:sz w:val="28"/>
          <w:szCs w:val="28"/>
        </w:rPr>
      </w:pPr>
      <w:r>
        <w:rPr>
          <w:rFonts w:hint="eastAsia" w:ascii="宋体" w:hAnsi="宋体"/>
          <w:sz w:val="28"/>
          <w:szCs w:val="28"/>
        </w:rPr>
        <w:t>附表</w:t>
      </w:r>
      <w:r>
        <w:rPr>
          <w:rFonts w:ascii="宋体" w:hAnsi="宋体"/>
          <w:sz w:val="28"/>
          <w:szCs w:val="28"/>
        </w:rPr>
        <w:t>-1</w:t>
      </w:r>
      <w:r>
        <w:rPr>
          <w:rFonts w:hint="eastAsia" w:ascii="宋体" w:hAnsi="宋体"/>
          <w:sz w:val="28"/>
          <w:szCs w:val="28"/>
        </w:rPr>
        <w:t>5</w:t>
      </w:r>
      <w:r>
        <w:rPr>
          <w:rFonts w:ascii="宋体" w:hAnsi="宋体"/>
          <w:sz w:val="28"/>
          <w:szCs w:val="28"/>
        </w:rPr>
        <w:t>-2</w:t>
      </w:r>
      <w:r>
        <w:rPr>
          <w:rFonts w:hint="eastAsia" w:ascii="宋体" w:hAnsi="宋体"/>
          <w:sz w:val="28"/>
          <w:szCs w:val="28"/>
        </w:rPr>
        <w:t>：</w:t>
      </w:r>
      <w:r>
        <w:rPr>
          <w:rFonts w:hint="eastAsia"/>
        </w:rPr>
        <w:t>评标报告（适用于评标委员会直接确定中标人）</w:t>
      </w:r>
    </w:p>
    <w:tbl>
      <w:tblPr>
        <w:tblStyle w:val="49"/>
        <w:tblW w:w="9498" w:type="dxa"/>
        <w:tblInd w:w="-318" w:type="dxa"/>
        <w:tblLayout w:type="autofit"/>
        <w:tblCellMar>
          <w:top w:w="0" w:type="dxa"/>
          <w:left w:w="108" w:type="dxa"/>
          <w:bottom w:w="0" w:type="dxa"/>
          <w:right w:w="108" w:type="dxa"/>
        </w:tblCellMar>
      </w:tblPr>
      <w:tblGrid>
        <w:gridCol w:w="1419"/>
        <w:gridCol w:w="1993"/>
        <w:gridCol w:w="222"/>
        <w:gridCol w:w="1098"/>
        <w:gridCol w:w="656"/>
        <w:gridCol w:w="1134"/>
        <w:gridCol w:w="1134"/>
        <w:gridCol w:w="1842"/>
      </w:tblGrid>
      <w:tr>
        <w:tblPrEx>
          <w:tblCellMar>
            <w:top w:w="0" w:type="dxa"/>
            <w:left w:w="108" w:type="dxa"/>
            <w:bottom w:w="0" w:type="dxa"/>
            <w:right w:w="108" w:type="dxa"/>
          </w:tblCellMar>
        </w:tblPrEx>
        <w:trPr>
          <w:trHeight w:val="480" w:hRule="atLeast"/>
        </w:trPr>
        <w:tc>
          <w:tcPr>
            <w:tcW w:w="9498" w:type="dxa"/>
            <w:gridSpan w:val="8"/>
            <w:tcBorders>
              <w:top w:val="nil"/>
              <w:left w:val="nil"/>
              <w:bottom w:val="nil"/>
              <w:right w:val="nil"/>
            </w:tcBorders>
            <w:noWrap/>
            <w:vAlign w:val="bottom"/>
          </w:tcPr>
          <w:p>
            <w:pPr>
              <w:widowControl/>
              <w:jc w:val="center"/>
              <w:rPr>
                <w:rFonts w:ascii="宋体" w:cs="宋体"/>
                <w:b/>
                <w:bCs/>
                <w:kern w:val="0"/>
                <w:sz w:val="36"/>
                <w:szCs w:val="36"/>
              </w:rPr>
            </w:pPr>
            <w:r>
              <w:rPr>
                <w:rFonts w:hint="eastAsia" w:ascii="宋体" w:hAnsi="宋体" w:cs="宋体"/>
                <w:b/>
                <w:bCs/>
                <w:kern w:val="0"/>
                <w:sz w:val="36"/>
                <w:szCs w:val="36"/>
              </w:rPr>
              <w:t>评标报告</w:t>
            </w:r>
          </w:p>
        </w:tc>
      </w:tr>
      <w:tr>
        <w:tblPrEx>
          <w:tblCellMar>
            <w:top w:w="0" w:type="dxa"/>
            <w:left w:w="108" w:type="dxa"/>
            <w:bottom w:w="0" w:type="dxa"/>
            <w:right w:w="108" w:type="dxa"/>
          </w:tblCellMar>
        </w:tblPrEx>
        <w:trPr>
          <w:trHeight w:val="495" w:hRule="atLeast"/>
        </w:trPr>
        <w:tc>
          <w:tcPr>
            <w:tcW w:w="1419" w:type="dxa"/>
            <w:tcBorders>
              <w:top w:val="nil"/>
              <w:left w:val="nil"/>
              <w:bottom w:val="single" w:color="auto" w:sz="4" w:space="0"/>
              <w:right w:val="nil"/>
            </w:tcBorders>
            <w:noWrap/>
            <w:vAlign w:val="center"/>
          </w:tcPr>
          <w:p>
            <w:pPr>
              <w:widowControl/>
              <w:jc w:val="center"/>
              <w:rPr>
                <w:rFonts w:ascii="宋体" w:cs="宋体"/>
                <w:kern w:val="0"/>
                <w:sz w:val="22"/>
                <w:szCs w:val="22"/>
              </w:rPr>
            </w:pPr>
            <w:r>
              <w:rPr>
                <w:rFonts w:hint="eastAsia" w:ascii="宋体" w:hAnsi="宋体" w:cs="宋体"/>
                <w:kern w:val="0"/>
                <w:sz w:val="22"/>
                <w:szCs w:val="22"/>
              </w:rPr>
              <w:t>工程编号：</w:t>
            </w:r>
          </w:p>
        </w:tc>
        <w:tc>
          <w:tcPr>
            <w:tcW w:w="1993" w:type="dxa"/>
            <w:tcBorders>
              <w:top w:val="nil"/>
              <w:left w:val="nil"/>
              <w:bottom w:val="single" w:color="auto" w:sz="4" w:space="0"/>
              <w:right w:val="nil"/>
            </w:tcBorders>
            <w:noWrap/>
            <w:vAlign w:val="center"/>
          </w:tcPr>
          <w:p>
            <w:pPr>
              <w:widowControl/>
              <w:jc w:val="center"/>
              <w:rPr>
                <w:rFonts w:ascii="宋体" w:cs="宋体"/>
                <w:kern w:val="0"/>
                <w:sz w:val="22"/>
                <w:szCs w:val="22"/>
              </w:rPr>
            </w:pPr>
          </w:p>
        </w:tc>
        <w:tc>
          <w:tcPr>
            <w:tcW w:w="222" w:type="dxa"/>
            <w:tcBorders>
              <w:top w:val="nil"/>
              <w:left w:val="nil"/>
              <w:bottom w:val="single" w:color="auto" w:sz="4" w:space="0"/>
              <w:right w:val="nil"/>
            </w:tcBorders>
            <w:noWrap/>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1098" w:type="dxa"/>
            <w:tcBorders>
              <w:top w:val="nil"/>
              <w:left w:val="nil"/>
              <w:bottom w:val="single" w:color="auto" w:sz="4" w:space="0"/>
              <w:right w:val="nil"/>
            </w:tcBorders>
            <w:noWrap/>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4766" w:type="dxa"/>
            <w:gridSpan w:val="4"/>
            <w:tcBorders>
              <w:top w:val="nil"/>
              <w:left w:val="nil"/>
              <w:bottom w:val="single" w:color="auto" w:sz="4" w:space="0"/>
              <w:right w:val="nil"/>
            </w:tcBorders>
            <w:noWrap/>
            <w:vAlign w:val="center"/>
          </w:tcPr>
          <w:p>
            <w:pPr>
              <w:widowControl/>
              <w:jc w:val="center"/>
              <w:rPr>
                <w:rFonts w:ascii="宋体" w:cs="宋体"/>
                <w:kern w:val="0"/>
                <w:sz w:val="22"/>
                <w:szCs w:val="22"/>
              </w:rPr>
            </w:pPr>
            <w:r>
              <w:rPr>
                <w:rFonts w:hint="eastAsia" w:ascii="宋体" w:hAnsi="宋体" w:cs="宋体"/>
                <w:kern w:val="0"/>
                <w:sz w:val="22"/>
                <w:szCs w:val="22"/>
              </w:rPr>
              <w:t>日期：</w:t>
            </w:r>
            <w:r>
              <w:rPr>
                <w:rFonts w:ascii="宋体" w:hAnsi="宋体" w:cs="宋体"/>
                <w:kern w:val="0"/>
                <w:sz w:val="22"/>
                <w:szCs w:val="22"/>
              </w:rPr>
              <w:t xml:space="preserve">      </w:t>
            </w:r>
            <w:r>
              <w:rPr>
                <w:rFonts w:hint="eastAsia" w:ascii="宋体" w:hAnsi="宋体" w:cs="宋体"/>
                <w:kern w:val="0"/>
                <w:sz w:val="22"/>
                <w:szCs w:val="22"/>
              </w:rPr>
              <w:t>年</w:t>
            </w:r>
            <w:r>
              <w:rPr>
                <w:rFonts w:ascii="宋体" w:hAnsi="宋体" w:cs="宋体"/>
                <w:kern w:val="0"/>
                <w:sz w:val="22"/>
                <w:szCs w:val="22"/>
              </w:rPr>
              <w:t xml:space="preserve">    </w:t>
            </w:r>
            <w:r>
              <w:rPr>
                <w:rFonts w:hint="eastAsia" w:ascii="宋体" w:hAnsi="宋体" w:cs="宋体"/>
                <w:kern w:val="0"/>
                <w:sz w:val="22"/>
                <w:szCs w:val="22"/>
              </w:rPr>
              <w:t>月</w:t>
            </w:r>
            <w:r>
              <w:rPr>
                <w:rFonts w:ascii="宋体" w:hAnsi="宋体" w:cs="宋体"/>
                <w:kern w:val="0"/>
                <w:sz w:val="22"/>
                <w:szCs w:val="22"/>
              </w:rPr>
              <w:t xml:space="preserve">    </w:t>
            </w:r>
            <w:r>
              <w:rPr>
                <w:rFonts w:hint="eastAsia" w:ascii="宋体" w:hAnsi="宋体" w:cs="宋体"/>
                <w:kern w:val="0"/>
                <w:sz w:val="22"/>
                <w:szCs w:val="22"/>
              </w:rPr>
              <w:t>日</w:t>
            </w:r>
          </w:p>
        </w:tc>
      </w:tr>
      <w:tr>
        <w:tblPrEx>
          <w:tblCellMar>
            <w:top w:w="0" w:type="dxa"/>
            <w:left w:w="108" w:type="dxa"/>
            <w:bottom w:w="0" w:type="dxa"/>
            <w:right w:w="108" w:type="dxa"/>
          </w:tblCellMar>
        </w:tblPrEx>
        <w:trPr>
          <w:trHeight w:val="540" w:hRule="atLeast"/>
        </w:trPr>
        <w:tc>
          <w:tcPr>
            <w:tcW w:w="1419"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工程名称</w:t>
            </w:r>
          </w:p>
        </w:tc>
        <w:tc>
          <w:tcPr>
            <w:tcW w:w="8079" w:type="dxa"/>
            <w:gridSpan w:val="7"/>
            <w:tcBorders>
              <w:top w:val="single" w:color="auto" w:sz="4" w:space="0"/>
              <w:left w:val="nil"/>
              <w:bottom w:val="single" w:color="auto" w:sz="4" w:space="0"/>
              <w:right w:val="single" w:color="000000" w:sz="4" w:space="0"/>
            </w:tcBorders>
            <w:vAlign w:val="center"/>
          </w:tcPr>
          <w:p>
            <w:pPr>
              <w:widowControl/>
              <w:jc w:val="left"/>
              <w:rPr>
                <w:rFonts w:ascii="宋体" w:cs="宋体"/>
                <w:kern w:val="0"/>
                <w:sz w:val="22"/>
                <w:szCs w:val="22"/>
              </w:rPr>
            </w:pPr>
          </w:p>
        </w:tc>
      </w:tr>
      <w:tr>
        <w:tblPrEx>
          <w:tblCellMar>
            <w:top w:w="0" w:type="dxa"/>
            <w:left w:w="108" w:type="dxa"/>
            <w:bottom w:w="0" w:type="dxa"/>
            <w:right w:w="108" w:type="dxa"/>
          </w:tblCellMar>
        </w:tblPrEx>
        <w:trPr>
          <w:trHeight w:val="510" w:hRule="atLeast"/>
        </w:trPr>
        <w:tc>
          <w:tcPr>
            <w:tcW w:w="1419"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招标类别</w:t>
            </w:r>
          </w:p>
        </w:tc>
        <w:tc>
          <w:tcPr>
            <w:tcW w:w="8079" w:type="dxa"/>
            <w:gridSpan w:val="7"/>
            <w:tcBorders>
              <w:top w:val="single" w:color="auto" w:sz="4" w:space="0"/>
              <w:left w:val="nil"/>
              <w:bottom w:val="single" w:color="auto" w:sz="4" w:space="0"/>
              <w:right w:val="single" w:color="000000" w:sz="4" w:space="0"/>
            </w:tcBorders>
            <w:noWrap/>
            <w:vAlign w:val="center"/>
          </w:tcPr>
          <w:p>
            <w:pPr>
              <w:widowControl/>
              <w:jc w:val="left"/>
              <w:rPr>
                <w:rFonts w:ascii="宋体" w:cs="宋体"/>
                <w:kern w:val="0"/>
                <w:sz w:val="22"/>
                <w:szCs w:val="22"/>
              </w:rPr>
            </w:pPr>
            <w:r>
              <w:rPr>
                <w:rFonts w:ascii="宋体" w:hAnsi="宋体" w:cs="宋体"/>
                <w:kern w:val="0"/>
                <w:sz w:val="22"/>
                <w:szCs w:val="22"/>
              </w:rPr>
              <w:t xml:space="preserve">  </w:t>
            </w:r>
            <w:r>
              <w:rPr>
                <w:rFonts w:hint="eastAsia" w:ascii="宋体" w:hAnsi="宋体" w:cs="宋体"/>
                <w:kern w:val="0"/>
                <w:sz w:val="22"/>
                <w:szCs w:val="22"/>
              </w:rPr>
              <w:t>施工</w:t>
            </w:r>
          </w:p>
        </w:tc>
      </w:tr>
      <w:tr>
        <w:tblPrEx>
          <w:tblCellMar>
            <w:top w:w="0" w:type="dxa"/>
            <w:left w:w="108" w:type="dxa"/>
            <w:bottom w:w="0" w:type="dxa"/>
            <w:right w:w="108" w:type="dxa"/>
          </w:tblCellMar>
        </w:tblPrEx>
        <w:trPr>
          <w:trHeight w:val="555" w:hRule="atLeast"/>
        </w:trPr>
        <w:tc>
          <w:tcPr>
            <w:tcW w:w="141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评标委员会评审结果</w:t>
            </w:r>
          </w:p>
        </w:tc>
        <w:tc>
          <w:tcPr>
            <w:tcW w:w="3969"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cs="宋体"/>
                <w:kern w:val="0"/>
                <w:sz w:val="22"/>
                <w:szCs w:val="22"/>
              </w:rPr>
            </w:pPr>
            <w:r>
              <w:rPr>
                <w:rFonts w:hint="eastAsia" w:ascii="宋体" w:hAnsi="宋体" w:cs="宋体"/>
                <w:kern w:val="0"/>
                <w:sz w:val="22"/>
                <w:szCs w:val="22"/>
              </w:rPr>
              <w:t>投</w:t>
            </w:r>
            <w:r>
              <w:rPr>
                <w:rFonts w:ascii="宋体" w:hAnsi="宋体" w:cs="宋体"/>
                <w:kern w:val="0"/>
                <w:sz w:val="22"/>
                <w:szCs w:val="22"/>
              </w:rPr>
              <w:t xml:space="preserve"> </w:t>
            </w:r>
            <w:r>
              <w:rPr>
                <w:rFonts w:hint="eastAsia" w:ascii="宋体" w:hAnsi="宋体" w:cs="宋体"/>
                <w:kern w:val="0"/>
                <w:sz w:val="22"/>
                <w:szCs w:val="22"/>
              </w:rPr>
              <w:t>标</w:t>
            </w:r>
            <w:r>
              <w:rPr>
                <w:rFonts w:ascii="宋体" w:hAnsi="宋体" w:cs="宋体"/>
                <w:kern w:val="0"/>
                <w:sz w:val="22"/>
                <w:szCs w:val="22"/>
              </w:rPr>
              <w:t xml:space="preserve"> </w:t>
            </w:r>
            <w:r>
              <w:rPr>
                <w:rFonts w:hint="eastAsia" w:ascii="宋体" w:hAnsi="宋体" w:cs="宋体"/>
                <w:kern w:val="0"/>
                <w:sz w:val="22"/>
                <w:szCs w:val="22"/>
              </w:rPr>
              <w:t>人</w:t>
            </w:r>
            <w:r>
              <w:rPr>
                <w:rFonts w:ascii="宋体" w:hAnsi="宋体" w:cs="宋体"/>
                <w:kern w:val="0"/>
                <w:sz w:val="22"/>
                <w:szCs w:val="22"/>
              </w:rPr>
              <w:t xml:space="preserve"> </w:t>
            </w:r>
            <w:r>
              <w:rPr>
                <w:rFonts w:hint="eastAsia" w:ascii="宋体" w:hAnsi="宋体" w:cs="宋体"/>
                <w:kern w:val="0"/>
                <w:sz w:val="22"/>
                <w:szCs w:val="22"/>
              </w:rPr>
              <w:t>名</w:t>
            </w:r>
            <w:r>
              <w:rPr>
                <w:rFonts w:ascii="宋体" w:hAnsi="宋体" w:cs="宋体"/>
                <w:kern w:val="0"/>
                <w:sz w:val="22"/>
                <w:szCs w:val="22"/>
              </w:rPr>
              <w:t xml:space="preserve"> </w:t>
            </w:r>
            <w:r>
              <w:rPr>
                <w:rFonts w:hint="eastAsia" w:ascii="宋体" w:hAnsi="宋体" w:cs="宋体"/>
                <w:kern w:val="0"/>
                <w:sz w:val="22"/>
                <w:szCs w:val="22"/>
              </w:rPr>
              <w:t>称</w:t>
            </w:r>
          </w:p>
        </w:tc>
        <w:tc>
          <w:tcPr>
            <w:tcW w:w="1134"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排名次序</w:t>
            </w:r>
          </w:p>
        </w:tc>
        <w:tc>
          <w:tcPr>
            <w:tcW w:w="1134"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评标得分</w:t>
            </w:r>
          </w:p>
        </w:tc>
        <w:tc>
          <w:tcPr>
            <w:tcW w:w="1842"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项目负责人</w:t>
            </w:r>
          </w:p>
        </w:tc>
      </w:tr>
      <w:tr>
        <w:tblPrEx>
          <w:tblCellMar>
            <w:top w:w="0" w:type="dxa"/>
            <w:left w:w="108" w:type="dxa"/>
            <w:bottom w:w="0" w:type="dxa"/>
            <w:right w:w="108" w:type="dxa"/>
          </w:tblCellMar>
        </w:tblPrEx>
        <w:trPr>
          <w:trHeight w:val="439" w:hRule="atLeast"/>
        </w:trPr>
        <w:tc>
          <w:tcPr>
            <w:tcW w:w="141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3969" w:type="dxa"/>
            <w:gridSpan w:val="4"/>
            <w:tcBorders>
              <w:top w:val="single" w:color="auto" w:sz="4" w:space="0"/>
              <w:left w:val="nil"/>
              <w:bottom w:val="single" w:color="auto" w:sz="4" w:space="0"/>
              <w:right w:val="single" w:color="auto" w:sz="4" w:space="0"/>
            </w:tcBorders>
            <w:noWrap/>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1842"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39" w:hRule="atLeast"/>
        </w:trPr>
        <w:tc>
          <w:tcPr>
            <w:tcW w:w="141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3969" w:type="dxa"/>
            <w:gridSpan w:val="4"/>
            <w:tcBorders>
              <w:top w:val="single" w:color="auto" w:sz="4" w:space="0"/>
              <w:left w:val="nil"/>
              <w:bottom w:val="single" w:color="auto" w:sz="4" w:space="0"/>
              <w:right w:val="single" w:color="auto" w:sz="4" w:space="0"/>
            </w:tcBorders>
            <w:noWrap/>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1842" w:type="dxa"/>
            <w:tcBorders>
              <w:top w:val="nil"/>
              <w:left w:val="nil"/>
              <w:bottom w:val="single" w:color="auto" w:sz="4" w:space="0"/>
              <w:right w:val="single" w:color="auto" w:sz="4" w:space="0"/>
            </w:tcBorders>
            <w:noWrap/>
            <w:vAlign w:val="center"/>
          </w:tcPr>
          <w:p>
            <w:pPr>
              <w:widowControl/>
              <w:jc w:val="left"/>
              <w:rPr>
                <w:rFonts w:asci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39" w:hRule="atLeast"/>
        </w:trPr>
        <w:tc>
          <w:tcPr>
            <w:tcW w:w="141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3969" w:type="dxa"/>
            <w:gridSpan w:val="4"/>
            <w:tcBorders>
              <w:top w:val="single" w:color="auto" w:sz="4" w:space="0"/>
              <w:left w:val="nil"/>
              <w:bottom w:val="single" w:color="auto" w:sz="4" w:space="0"/>
              <w:right w:val="single" w:color="auto" w:sz="4" w:space="0"/>
            </w:tcBorders>
            <w:noWrap/>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1842" w:type="dxa"/>
            <w:tcBorders>
              <w:top w:val="nil"/>
              <w:left w:val="nil"/>
              <w:bottom w:val="single" w:color="auto" w:sz="4" w:space="0"/>
              <w:right w:val="single" w:color="auto" w:sz="4" w:space="0"/>
            </w:tcBorders>
            <w:noWrap/>
            <w:vAlign w:val="center"/>
          </w:tcPr>
          <w:p>
            <w:pPr>
              <w:widowControl/>
              <w:jc w:val="left"/>
              <w:rPr>
                <w:rFonts w:asci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39" w:hRule="atLeast"/>
        </w:trPr>
        <w:tc>
          <w:tcPr>
            <w:tcW w:w="141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3969" w:type="dxa"/>
            <w:gridSpan w:val="4"/>
            <w:tcBorders>
              <w:top w:val="single" w:color="auto" w:sz="4" w:space="0"/>
              <w:left w:val="nil"/>
              <w:bottom w:val="single" w:color="auto" w:sz="4" w:space="0"/>
              <w:right w:val="single" w:color="auto" w:sz="4" w:space="0"/>
            </w:tcBorders>
            <w:noWrap/>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1842" w:type="dxa"/>
            <w:tcBorders>
              <w:top w:val="nil"/>
              <w:left w:val="nil"/>
              <w:bottom w:val="single" w:color="auto" w:sz="4" w:space="0"/>
              <w:right w:val="single" w:color="auto" w:sz="4" w:space="0"/>
            </w:tcBorders>
            <w:noWrap/>
            <w:vAlign w:val="center"/>
          </w:tcPr>
          <w:p>
            <w:pPr>
              <w:widowControl/>
              <w:jc w:val="left"/>
              <w:rPr>
                <w:rFonts w:asci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39" w:hRule="atLeast"/>
        </w:trPr>
        <w:tc>
          <w:tcPr>
            <w:tcW w:w="141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3969" w:type="dxa"/>
            <w:gridSpan w:val="4"/>
            <w:tcBorders>
              <w:top w:val="single" w:color="auto" w:sz="4" w:space="0"/>
              <w:left w:val="nil"/>
              <w:bottom w:val="single" w:color="auto" w:sz="4" w:space="0"/>
              <w:right w:val="single" w:color="auto" w:sz="4" w:space="0"/>
            </w:tcBorders>
            <w:noWrap/>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1842" w:type="dxa"/>
            <w:tcBorders>
              <w:top w:val="nil"/>
              <w:left w:val="nil"/>
              <w:bottom w:val="single" w:color="auto" w:sz="4" w:space="0"/>
              <w:right w:val="single" w:color="auto" w:sz="4" w:space="0"/>
            </w:tcBorders>
            <w:noWrap/>
            <w:vAlign w:val="center"/>
          </w:tcPr>
          <w:p>
            <w:pPr>
              <w:widowControl/>
              <w:jc w:val="left"/>
              <w:rPr>
                <w:rFonts w:asci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39" w:hRule="atLeast"/>
        </w:trPr>
        <w:tc>
          <w:tcPr>
            <w:tcW w:w="141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3969"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1842" w:type="dxa"/>
            <w:tcBorders>
              <w:top w:val="nil"/>
              <w:left w:val="nil"/>
              <w:bottom w:val="single" w:color="auto" w:sz="4" w:space="0"/>
              <w:right w:val="single" w:color="auto" w:sz="4" w:space="0"/>
            </w:tcBorders>
            <w:noWrap/>
            <w:vAlign w:val="center"/>
          </w:tcPr>
          <w:p>
            <w:pPr>
              <w:widowControl/>
              <w:jc w:val="left"/>
              <w:rPr>
                <w:rFonts w:asci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39" w:hRule="atLeast"/>
        </w:trPr>
        <w:tc>
          <w:tcPr>
            <w:tcW w:w="141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3969"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1134" w:type="dxa"/>
            <w:tcBorders>
              <w:top w:val="nil"/>
              <w:left w:val="nil"/>
              <w:bottom w:val="single" w:color="auto" w:sz="4" w:space="0"/>
              <w:right w:val="single" w:color="auto" w:sz="4" w:space="0"/>
            </w:tcBorders>
            <w:noWrap/>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1842" w:type="dxa"/>
            <w:tcBorders>
              <w:top w:val="nil"/>
              <w:left w:val="nil"/>
              <w:bottom w:val="single" w:color="auto" w:sz="4" w:space="0"/>
              <w:right w:val="single" w:color="auto" w:sz="4" w:space="0"/>
            </w:tcBorders>
            <w:noWrap/>
            <w:vAlign w:val="center"/>
          </w:tcPr>
          <w:p>
            <w:pPr>
              <w:widowControl/>
              <w:jc w:val="left"/>
              <w:rPr>
                <w:rFonts w:asci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58" w:hRule="atLeast"/>
        </w:trPr>
        <w:tc>
          <w:tcPr>
            <w:tcW w:w="1419" w:type="dxa"/>
            <w:vMerge w:val="restart"/>
            <w:tcBorders>
              <w:top w:val="nil"/>
              <w:left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评标委员会直接确定中标人</w:t>
            </w:r>
          </w:p>
        </w:tc>
        <w:tc>
          <w:tcPr>
            <w:tcW w:w="8079" w:type="dxa"/>
            <w:gridSpan w:val="7"/>
            <w:tcBorders>
              <w:top w:val="single" w:color="auto" w:sz="4" w:space="0"/>
              <w:left w:val="nil"/>
              <w:bottom w:val="single" w:color="auto" w:sz="4" w:space="0"/>
              <w:right w:val="single" w:color="auto" w:sz="4" w:space="0"/>
            </w:tcBorders>
            <w:noWrap/>
            <w:vAlign w:val="center"/>
          </w:tcPr>
          <w:p>
            <w:pPr>
              <w:widowControl/>
              <w:jc w:val="center"/>
              <w:rPr>
                <w:rFonts w:ascii="宋体" w:cs="宋体"/>
                <w:kern w:val="0"/>
                <w:sz w:val="22"/>
                <w:szCs w:val="22"/>
              </w:rPr>
            </w:pPr>
            <w:r>
              <w:rPr>
                <w:rFonts w:hint="eastAsia" w:ascii="宋体" w:hAnsi="宋体" w:cs="宋体"/>
                <w:kern w:val="0"/>
                <w:sz w:val="22"/>
                <w:szCs w:val="22"/>
              </w:rPr>
              <w:t>中标人名称</w:t>
            </w:r>
          </w:p>
        </w:tc>
      </w:tr>
      <w:tr>
        <w:tblPrEx>
          <w:tblCellMar>
            <w:top w:w="0" w:type="dxa"/>
            <w:left w:w="108" w:type="dxa"/>
            <w:bottom w:w="0" w:type="dxa"/>
            <w:right w:w="108" w:type="dxa"/>
          </w:tblCellMar>
        </w:tblPrEx>
        <w:trPr>
          <w:trHeight w:val="423" w:hRule="atLeast"/>
        </w:trPr>
        <w:tc>
          <w:tcPr>
            <w:tcW w:w="1419" w:type="dxa"/>
            <w:vMerge w:val="continue"/>
            <w:tcBorders>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8079" w:type="dxa"/>
            <w:gridSpan w:val="7"/>
            <w:tcBorders>
              <w:top w:val="single" w:color="auto" w:sz="4" w:space="0"/>
              <w:left w:val="nil"/>
              <w:bottom w:val="single" w:color="auto" w:sz="4" w:space="0"/>
              <w:right w:val="single" w:color="auto" w:sz="4" w:space="0"/>
            </w:tcBorders>
            <w:noWrap/>
            <w:vAlign w:val="center"/>
          </w:tcPr>
          <w:p>
            <w:pPr>
              <w:widowControl/>
              <w:jc w:val="left"/>
              <w:rPr>
                <w:rFonts w:ascii="宋体" w:cs="宋体"/>
                <w:kern w:val="0"/>
                <w:sz w:val="22"/>
                <w:szCs w:val="22"/>
              </w:rPr>
            </w:pPr>
          </w:p>
        </w:tc>
      </w:tr>
      <w:tr>
        <w:tblPrEx>
          <w:tblCellMar>
            <w:top w:w="0" w:type="dxa"/>
            <w:left w:w="108" w:type="dxa"/>
            <w:bottom w:w="0" w:type="dxa"/>
            <w:right w:w="108" w:type="dxa"/>
          </w:tblCellMar>
        </w:tblPrEx>
        <w:trPr>
          <w:trHeight w:val="1593" w:hRule="atLeast"/>
        </w:trPr>
        <w:tc>
          <w:tcPr>
            <w:tcW w:w="9498" w:type="dxa"/>
            <w:gridSpan w:val="8"/>
            <w:tcBorders>
              <w:top w:val="nil"/>
              <w:left w:val="single" w:color="auto" w:sz="4" w:space="0"/>
              <w:bottom w:val="single" w:color="auto" w:sz="4" w:space="0"/>
              <w:right w:val="single" w:color="000000"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r>
              <w:rPr>
                <w:rFonts w:ascii="宋体" w:hAnsi="宋体" w:cs="宋体"/>
                <w:kern w:val="0"/>
                <w:sz w:val="22"/>
                <w:szCs w:val="22"/>
              </w:rPr>
              <w:t xml:space="preserve">    </w:t>
            </w:r>
            <w:r>
              <w:rPr>
                <w:rFonts w:hint="eastAsia" w:ascii="宋体" w:hAnsi="宋体" w:cs="宋体"/>
                <w:kern w:val="0"/>
                <w:sz w:val="22"/>
                <w:szCs w:val="22"/>
              </w:rPr>
              <w:t>招标人：（盖企业</w:t>
            </w:r>
            <w:r>
              <w:rPr>
                <w:rFonts w:ascii="宋体" w:hAnsi="宋体" w:cs="宋体"/>
                <w:kern w:val="0"/>
                <w:sz w:val="22"/>
                <w:szCs w:val="22"/>
              </w:rPr>
              <w:t>CA</w:t>
            </w:r>
            <w:r>
              <w:rPr>
                <w:rFonts w:hint="eastAsia" w:ascii="宋体" w:hAnsi="宋体" w:cs="宋体"/>
                <w:kern w:val="0"/>
                <w:sz w:val="22"/>
                <w:szCs w:val="22"/>
              </w:rPr>
              <w:t>电子印章）</w:t>
            </w:r>
            <w:r>
              <w:rPr>
                <w:rFonts w:ascii="宋体" w:hAnsi="宋体" w:cs="宋体"/>
                <w:kern w:val="0"/>
                <w:sz w:val="22"/>
                <w:szCs w:val="22"/>
              </w:rPr>
              <w:t xml:space="preserve">               </w:t>
            </w:r>
            <w:r>
              <w:rPr>
                <w:rFonts w:hint="eastAsia" w:ascii="宋体" w:hAnsi="宋体" w:cs="宋体"/>
                <w:kern w:val="0"/>
                <w:sz w:val="22"/>
                <w:szCs w:val="22"/>
              </w:rPr>
              <w:t>法定代表人：（盖个人</w:t>
            </w:r>
            <w:r>
              <w:rPr>
                <w:rFonts w:ascii="宋体" w:hAnsi="宋体" w:cs="宋体"/>
                <w:kern w:val="0"/>
                <w:sz w:val="22"/>
                <w:szCs w:val="22"/>
              </w:rPr>
              <w:t>CA</w:t>
            </w:r>
            <w:r>
              <w:rPr>
                <w:rFonts w:hint="eastAsia" w:ascii="宋体" w:hAnsi="宋体" w:cs="宋体"/>
                <w:kern w:val="0"/>
                <w:sz w:val="22"/>
                <w:szCs w:val="22"/>
              </w:rPr>
              <w:t>电子印章）</w:t>
            </w:r>
          </w:p>
          <w:p>
            <w:pPr>
              <w:widowControl/>
              <w:jc w:val="left"/>
              <w:rPr>
                <w:rFonts w:ascii="宋体" w:cs="宋体"/>
                <w:kern w:val="0"/>
                <w:sz w:val="22"/>
                <w:szCs w:val="22"/>
              </w:rPr>
            </w:pPr>
            <w:r>
              <w:rPr>
                <w:rFonts w:hint="eastAsia" w:ascii="宋体" w:hAnsi="宋体" w:cs="宋体"/>
                <w:kern w:val="0"/>
                <w:sz w:val="22"/>
                <w:szCs w:val="22"/>
              </w:rPr>
              <w:t>　</w:t>
            </w:r>
          </w:p>
          <w:p>
            <w:pPr>
              <w:jc w:val="right"/>
              <w:rPr>
                <w:rFonts w:ascii="宋体" w:cs="宋体"/>
                <w:kern w:val="0"/>
                <w:sz w:val="22"/>
                <w:szCs w:val="22"/>
              </w:rPr>
            </w:pPr>
            <w:r>
              <w:rPr>
                <w:rFonts w:ascii="宋体" w:hAnsi="宋体" w:cs="宋体"/>
                <w:kern w:val="0"/>
                <w:sz w:val="22"/>
                <w:szCs w:val="22"/>
              </w:rPr>
              <w:t xml:space="preserve">                                  </w:t>
            </w:r>
            <w:r>
              <w:rPr>
                <w:rFonts w:hint="eastAsia" w:ascii="宋体" w:hAnsi="宋体" w:cs="宋体"/>
                <w:kern w:val="0"/>
                <w:sz w:val="22"/>
                <w:szCs w:val="22"/>
              </w:rPr>
              <w:t>年</w:t>
            </w:r>
            <w:r>
              <w:rPr>
                <w:rFonts w:ascii="宋体" w:hAnsi="宋体" w:cs="宋体"/>
                <w:kern w:val="0"/>
                <w:sz w:val="22"/>
                <w:szCs w:val="22"/>
              </w:rPr>
              <w:t xml:space="preserve">   </w:t>
            </w:r>
            <w:r>
              <w:rPr>
                <w:rFonts w:hint="eastAsia" w:ascii="宋体" w:hAnsi="宋体" w:cs="宋体"/>
                <w:kern w:val="0"/>
                <w:sz w:val="22"/>
                <w:szCs w:val="22"/>
              </w:rPr>
              <w:t>月</w:t>
            </w:r>
            <w:r>
              <w:rPr>
                <w:rFonts w:ascii="宋体" w:hAnsi="宋体" w:cs="宋体"/>
                <w:kern w:val="0"/>
                <w:sz w:val="22"/>
                <w:szCs w:val="22"/>
              </w:rPr>
              <w:t xml:space="preserve">    </w:t>
            </w:r>
            <w:r>
              <w:rPr>
                <w:rFonts w:hint="eastAsia" w:ascii="宋体" w:hAnsi="宋体" w:cs="宋体"/>
                <w:kern w:val="0"/>
                <w:sz w:val="22"/>
                <w:szCs w:val="22"/>
              </w:rPr>
              <w:t>日</w:t>
            </w:r>
            <w:r>
              <w:rPr>
                <w:rFonts w:ascii="宋体" w:hAnsi="宋体" w:cs="宋体"/>
                <w:kern w:val="0"/>
                <w:sz w:val="22"/>
                <w:szCs w:val="22"/>
              </w:rPr>
              <w:t xml:space="preserve">  </w:t>
            </w:r>
          </w:p>
        </w:tc>
      </w:tr>
      <w:tr>
        <w:tblPrEx>
          <w:tblCellMar>
            <w:top w:w="0" w:type="dxa"/>
            <w:left w:w="108" w:type="dxa"/>
            <w:bottom w:w="0" w:type="dxa"/>
            <w:right w:w="108" w:type="dxa"/>
          </w:tblCellMar>
        </w:tblPrEx>
        <w:trPr>
          <w:trHeight w:val="1403" w:hRule="atLeast"/>
        </w:trPr>
        <w:tc>
          <w:tcPr>
            <w:tcW w:w="14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2"/>
                <w:szCs w:val="22"/>
              </w:rPr>
            </w:pPr>
            <w:r>
              <w:rPr>
                <w:rFonts w:hint="eastAsia" w:ascii="宋体" w:hAnsi="宋体" w:cs="宋体"/>
                <w:kern w:val="0"/>
                <w:sz w:val="22"/>
                <w:szCs w:val="22"/>
              </w:rPr>
              <w:t>评标委员会全体成员</w:t>
            </w:r>
          </w:p>
          <w:p>
            <w:pPr>
              <w:widowControl/>
              <w:jc w:val="center"/>
              <w:rPr>
                <w:rFonts w:ascii="宋体" w:cs="宋体"/>
                <w:kern w:val="0"/>
                <w:sz w:val="22"/>
                <w:szCs w:val="22"/>
              </w:rPr>
            </w:pPr>
            <w:r>
              <w:rPr>
                <w:rFonts w:hint="eastAsia" w:ascii="宋体" w:hAnsi="宋体" w:cs="宋体"/>
                <w:kern w:val="0"/>
                <w:sz w:val="22"/>
                <w:szCs w:val="22"/>
              </w:rPr>
              <w:t>签</w:t>
            </w:r>
            <w:r>
              <w:rPr>
                <w:rFonts w:ascii="宋体" w:hAnsi="宋体" w:cs="宋体"/>
                <w:kern w:val="0"/>
                <w:sz w:val="22"/>
                <w:szCs w:val="22"/>
              </w:rPr>
              <w:t xml:space="preserve"> </w:t>
            </w:r>
            <w:r>
              <w:rPr>
                <w:rFonts w:hint="eastAsia" w:ascii="宋体" w:hAnsi="宋体" w:cs="宋体"/>
                <w:kern w:val="0"/>
                <w:sz w:val="22"/>
                <w:szCs w:val="22"/>
              </w:rPr>
              <w:t>名</w:t>
            </w:r>
          </w:p>
        </w:tc>
        <w:tc>
          <w:tcPr>
            <w:tcW w:w="8079" w:type="dxa"/>
            <w:gridSpan w:val="7"/>
            <w:tcBorders>
              <w:top w:val="single" w:color="auto" w:sz="4" w:space="0"/>
              <w:left w:val="nil"/>
              <w:bottom w:val="single" w:color="auto" w:sz="4" w:space="0"/>
              <w:right w:val="single" w:color="auto" w:sz="4" w:space="0"/>
            </w:tcBorders>
          </w:tcPr>
          <w:p>
            <w:pPr>
              <w:widowControl/>
              <w:rPr>
                <w:rFonts w:ascii="宋体" w:cs="宋体"/>
                <w:kern w:val="0"/>
                <w:sz w:val="22"/>
                <w:szCs w:val="22"/>
              </w:rPr>
            </w:pPr>
            <w:r>
              <w:rPr>
                <w:rFonts w:hint="eastAsia" w:ascii="宋体" w:hAnsi="宋体" w:cs="宋体"/>
                <w:kern w:val="0"/>
                <w:sz w:val="22"/>
                <w:szCs w:val="22"/>
              </w:rPr>
              <w:t>兹确认上述评标结果属实，有关评审记录见附件：</w:t>
            </w:r>
          </w:p>
        </w:tc>
      </w:tr>
    </w:tbl>
    <w:p>
      <w:pPr>
        <w:pStyle w:val="4"/>
      </w:pPr>
    </w:p>
    <w:p>
      <w:pPr>
        <w:pStyle w:val="4"/>
        <w:ind w:firstLine="0"/>
      </w:pPr>
    </w:p>
    <w:p>
      <w:pPr>
        <w:pStyle w:val="4"/>
        <w:ind w:firstLine="0"/>
      </w:pPr>
    </w:p>
    <w:p>
      <w:pPr>
        <w:pStyle w:val="4"/>
        <w:ind w:firstLine="0"/>
      </w:pPr>
    </w:p>
    <w:p>
      <w:pPr>
        <w:pStyle w:val="4"/>
        <w:ind w:firstLine="0"/>
      </w:pPr>
    </w:p>
    <w:p>
      <w:pPr>
        <w:pStyle w:val="4"/>
        <w:ind w:firstLine="0"/>
      </w:pPr>
    </w:p>
    <w:p>
      <w:pPr>
        <w:pStyle w:val="5"/>
        <w:jc w:val="left"/>
        <w:rPr>
          <w:rFonts w:ascii="宋体"/>
          <w:sz w:val="28"/>
          <w:szCs w:val="28"/>
        </w:rPr>
      </w:pPr>
      <w:r>
        <w:rPr>
          <w:rFonts w:hint="eastAsia" w:ascii="宋体" w:hAnsi="宋体"/>
          <w:sz w:val="28"/>
          <w:szCs w:val="28"/>
        </w:rPr>
        <w:t>附表</w:t>
      </w:r>
      <w:r>
        <w:rPr>
          <w:rFonts w:ascii="宋体" w:hAnsi="宋体"/>
          <w:sz w:val="28"/>
          <w:szCs w:val="28"/>
        </w:rPr>
        <w:t>-1</w:t>
      </w:r>
      <w:r>
        <w:rPr>
          <w:rFonts w:hint="eastAsia" w:ascii="宋体" w:hAnsi="宋体"/>
          <w:sz w:val="28"/>
          <w:szCs w:val="28"/>
        </w:rPr>
        <w:t>6：不能通过评审情况说明</w:t>
      </w:r>
    </w:p>
    <w:p>
      <w:pPr>
        <w:spacing w:before="156" w:beforeLines="50" w:after="156" w:afterLines="50" w:line="360" w:lineRule="auto"/>
        <w:ind w:right="1331" w:rightChars="634"/>
        <w:jc w:val="center"/>
        <w:rPr>
          <w:rFonts w:ascii="黑体" w:hAnsi="黑体" w:eastAsia="黑体"/>
          <w:sz w:val="28"/>
          <w:szCs w:val="28"/>
        </w:rPr>
      </w:pPr>
      <w:r>
        <w:rPr>
          <w:rFonts w:hint="eastAsia" w:ascii="黑体" w:hAnsi="黑体" w:eastAsia="黑体"/>
          <w:sz w:val="28"/>
          <w:szCs w:val="28"/>
        </w:rPr>
        <w:t>不能通过评审情况说明</w:t>
      </w:r>
    </w:p>
    <w:p>
      <w:pPr>
        <w:spacing w:before="312" w:beforeLines="100" w:after="312" w:afterLines="100" w:line="360" w:lineRule="auto"/>
        <w:jc w:val="left"/>
        <w:rPr>
          <w:rFonts w:ascii="宋体" w:cs="Arial"/>
          <w:bCs/>
          <w:szCs w:val="21"/>
        </w:rPr>
      </w:pPr>
      <w:r>
        <w:rPr>
          <w:rFonts w:hint="eastAsia" w:ascii="宋体" w:hAnsi="宋体" w:cs="Arial"/>
          <w:bCs/>
          <w:szCs w:val="21"/>
        </w:rPr>
        <w:t>工程名称：</w:t>
      </w:r>
      <w:r>
        <w:rPr>
          <w:rFonts w:cs="Arial"/>
          <w:bCs/>
          <w:szCs w:val="21"/>
        </w:rPr>
        <w:t>_________________________</w:t>
      </w:r>
    </w:p>
    <w:tbl>
      <w:tblPr>
        <w:tblStyle w:val="49"/>
        <w:tblW w:w="0" w:type="auto"/>
        <w:tblInd w:w="108" w:type="dxa"/>
        <w:tblLayout w:type="fixed"/>
        <w:tblCellMar>
          <w:top w:w="0" w:type="dxa"/>
          <w:left w:w="108" w:type="dxa"/>
          <w:bottom w:w="0" w:type="dxa"/>
          <w:right w:w="108" w:type="dxa"/>
        </w:tblCellMar>
      </w:tblPr>
      <w:tblGrid>
        <w:gridCol w:w="1843"/>
        <w:gridCol w:w="2977"/>
        <w:gridCol w:w="3544"/>
      </w:tblGrid>
      <w:tr>
        <w:tblPrEx>
          <w:tblCellMar>
            <w:top w:w="0" w:type="dxa"/>
            <w:left w:w="108" w:type="dxa"/>
            <w:bottom w:w="0" w:type="dxa"/>
            <w:right w:w="108" w:type="dxa"/>
          </w:tblCellMar>
        </w:tblPrEx>
        <w:trPr>
          <w:trHeight w:val="752" w:hRule="atLeast"/>
        </w:trPr>
        <w:tc>
          <w:tcPr>
            <w:tcW w:w="1843" w:type="dxa"/>
            <w:tcBorders>
              <w:top w:val="single" w:color="auto" w:sz="4" w:space="0"/>
              <w:left w:val="single" w:color="auto" w:sz="4" w:space="0"/>
              <w:bottom w:val="single" w:color="auto" w:sz="4" w:space="0"/>
              <w:right w:val="single" w:color="auto" w:sz="4" w:space="0"/>
            </w:tcBorders>
            <w:vAlign w:val="center"/>
          </w:tcPr>
          <w:p>
            <w:pPr>
              <w:rPr>
                <w:rFonts w:ascii="宋体"/>
                <w:sz w:val="24"/>
              </w:rPr>
            </w:pPr>
            <w:r>
              <w:rPr>
                <w:rFonts w:hint="eastAsia" w:ascii="宋体" w:hAnsi="宋体"/>
                <w:sz w:val="24"/>
              </w:rPr>
              <w:t>序号</w:t>
            </w: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宋体"/>
                <w:sz w:val="24"/>
              </w:rPr>
            </w:pPr>
            <w:r>
              <w:rPr>
                <w:rFonts w:hint="eastAsia" w:ascii="宋体" w:hAnsi="宋体"/>
                <w:sz w:val="24"/>
              </w:rPr>
              <w:t>未通过评审投标人</w:t>
            </w: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sz w:val="24"/>
              </w:rPr>
            </w:pPr>
            <w:r>
              <w:rPr>
                <w:rFonts w:hint="eastAsia" w:ascii="宋体" w:hAnsi="宋体"/>
                <w:sz w:val="24"/>
              </w:rPr>
              <w:t>未通过原因说明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1843" w:type="dxa"/>
            <w:vAlign w:val="center"/>
          </w:tcPr>
          <w:p>
            <w:pPr>
              <w:spacing w:after="312" w:afterLines="100"/>
              <w:rPr>
                <w:rFonts w:ascii="宋体" w:cs="Arial"/>
                <w:sz w:val="24"/>
              </w:rPr>
            </w:pPr>
          </w:p>
        </w:tc>
        <w:tc>
          <w:tcPr>
            <w:tcW w:w="2977" w:type="dxa"/>
            <w:vAlign w:val="center"/>
          </w:tcPr>
          <w:p>
            <w:pPr>
              <w:spacing w:after="312" w:afterLines="100"/>
              <w:rPr>
                <w:rFonts w:ascii="宋体" w:cs="Arial"/>
                <w:sz w:val="24"/>
              </w:rPr>
            </w:pPr>
          </w:p>
        </w:tc>
        <w:tc>
          <w:tcPr>
            <w:tcW w:w="3544" w:type="dxa"/>
            <w:vAlign w:val="center"/>
          </w:tcPr>
          <w:p>
            <w:pPr>
              <w:spacing w:after="312" w:afterLines="100"/>
              <w:rPr>
                <w:rFonts w:asci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1843" w:type="dxa"/>
            <w:vAlign w:val="center"/>
          </w:tcPr>
          <w:p>
            <w:pPr>
              <w:spacing w:after="312" w:afterLines="100"/>
              <w:rPr>
                <w:rFonts w:ascii="宋体" w:cs="Arial"/>
                <w:sz w:val="24"/>
              </w:rPr>
            </w:pPr>
          </w:p>
        </w:tc>
        <w:tc>
          <w:tcPr>
            <w:tcW w:w="2977" w:type="dxa"/>
            <w:vAlign w:val="center"/>
          </w:tcPr>
          <w:p>
            <w:pPr>
              <w:spacing w:after="312" w:afterLines="100"/>
              <w:rPr>
                <w:rFonts w:ascii="宋体" w:cs="Arial"/>
                <w:sz w:val="24"/>
              </w:rPr>
            </w:pPr>
          </w:p>
        </w:tc>
        <w:tc>
          <w:tcPr>
            <w:tcW w:w="3544" w:type="dxa"/>
            <w:vAlign w:val="center"/>
          </w:tcPr>
          <w:p>
            <w:pPr>
              <w:spacing w:after="312" w:afterLines="100"/>
              <w:rPr>
                <w:rFonts w:asci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1843" w:type="dxa"/>
            <w:vAlign w:val="center"/>
          </w:tcPr>
          <w:p>
            <w:pPr>
              <w:spacing w:after="312" w:afterLines="100"/>
              <w:rPr>
                <w:rFonts w:ascii="宋体" w:cs="Arial"/>
                <w:sz w:val="24"/>
              </w:rPr>
            </w:pPr>
          </w:p>
        </w:tc>
        <w:tc>
          <w:tcPr>
            <w:tcW w:w="2977" w:type="dxa"/>
            <w:vAlign w:val="center"/>
          </w:tcPr>
          <w:p>
            <w:pPr>
              <w:spacing w:after="312" w:afterLines="100"/>
              <w:rPr>
                <w:rFonts w:ascii="宋体" w:cs="Arial"/>
                <w:sz w:val="24"/>
              </w:rPr>
            </w:pPr>
          </w:p>
        </w:tc>
        <w:tc>
          <w:tcPr>
            <w:tcW w:w="3544" w:type="dxa"/>
            <w:vAlign w:val="center"/>
          </w:tcPr>
          <w:p>
            <w:pPr>
              <w:spacing w:after="312" w:afterLines="100"/>
              <w:rPr>
                <w:rFonts w:asci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1843" w:type="dxa"/>
            <w:vAlign w:val="center"/>
          </w:tcPr>
          <w:p>
            <w:pPr>
              <w:spacing w:after="312" w:afterLines="100"/>
              <w:rPr>
                <w:rFonts w:ascii="宋体" w:cs="Arial"/>
                <w:sz w:val="24"/>
              </w:rPr>
            </w:pPr>
          </w:p>
        </w:tc>
        <w:tc>
          <w:tcPr>
            <w:tcW w:w="2977" w:type="dxa"/>
            <w:vAlign w:val="center"/>
          </w:tcPr>
          <w:p>
            <w:pPr>
              <w:spacing w:after="312" w:afterLines="100"/>
              <w:rPr>
                <w:rFonts w:ascii="宋体" w:cs="Arial"/>
                <w:sz w:val="24"/>
              </w:rPr>
            </w:pPr>
          </w:p>
        </w:tc>
        <w:tc>
          <w:tcPr>
            <w:tcW w:w="3544" w:type="dxa"/>
            <w:vAlign w:val="center"/>
          </w:tcPr>
          <w:p>
            <w:pPr>
              <w:spacing w:after="312" w:afterLines="100"/>
              <w:rPr>
                <w:rFonts w:asci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1843" w:type="dxa"/>
            <w:vAlign w:val="center"/>
          </w:tcPr>
          <w:p>
            <w:pPr>
              <w:spacing w:after="312" w:afterLines="100"/>
              <w:rPr>
                <w:rFonts w:ascii="宋体" w:cs="Arial"/>
                <w:sz w:val="24"/>
              </w:rPr>
            </w:pPr>
          </w:p>
        </w:tc>
        <w:tc>
          <w:tcPr>
            <w:tcW w:w="2977" w:type="dxa"/>
            <w:vAlign w:val="center"/>
          </w:tcPr>
          <w:p>
            <w:pPr>
              <w:spacing w:after="312" w:afterLines="100"/>
              <w:rPr>
                <w:rFonts w:ascii="宋体" w:cs="Arial"/>
                <w:sz w:val="24"/>
              </w:rPr>
            </w:pPr>
          </w:p>
        </w:tc>
        <w:tc>
          <w:tcPr>
            <w:tcW w:w="3544" w:type="dxa"/>
            <w:vAlign w:val="center"/>
          </w:tcPr>
          <w:p>
            <w:pPr>
              <w:spacing w:after="312" w:afterLines="100"/>
              <w:rPr>
                <w:rFonts w:ascii="宋体" w:cs="Arial"/>
                <w:sz w:val="24"/>
              </w:rPr>
            </w:pPr>
          </w:p>
        </w:tc>
      </w:tr>
    </w:tbl>
    <w:p>
      <w:pPr>
        <w:spacing w:before="312" w:beforeLines="100" w:line="360" w:lineRule="auto"/>
        <w:jc w:val="left"/>
        <w:rPr>
          <w:rFonts w:ascii="宋体"/>
          <w:szCs w:val="21"/>
        </w:rPr>
      </w:pPr>
      <w:r>
        <w:rPr>
          <w:rFonts w:hint="eastAsia" w:ascii="宋体" w:hAnsi="宋体"/>
          <w:szCs w:val="21"/>
        </w:rPr>
        <w:t>评标委员会全体成员（手写签名）</w:t>
      </w:r>
    </w:p>
    <w:p>
      <w:pPr>
        <w:wordWrap w:val="0"/>
        <w:spacing w:before="936" w:beforeLines="300" w:line="360" w:lineRule="auto"/>
        <w:ind w:right="840"/>
        <w:jc w:val="right"/>
        <w:rPr>
          <w:rFonts w:ascii="宋体"/>
          <w:szCs w:val="21"/>
        </w:rPr>
      </w:pPr>
      <w:r>
        <w:rPr>
          <w:rFonts w:hint="eastAsia" w:ascii="宋体" w:hAnsi="宋体"/>
          <w:szCs w:val="21"/>
        </w:rPr>
        <w:t>日</w:t>
      </w:r>
      <w:r>
        <w:rPr>
          <w:rFonts w:ascii="宋体"/>
          <w:szCs w:val="21"/>
        </w:rPr>
        <w:tab/>
      </w:r>
      <w:r>
        <w:rPr>
          <w:rFonts w:hint="eastAsia" w:ascii="宋体" w:hAnsi="宋体"/>
          <w:szCs w:val="21"/>
        </w:rPr>
        <w:t>期：</w:t>
      </w:r>
      <w:r>
        <w:rPr>
          <w:szCs w:val="21"/>
        </w:rPr>
        <w:t>_______</w:t>
      </w:r>
      <w:r>
        <w:rPr>
          <w:rFonts w:hint="eastAsia" w:ascii="宋体" w:hAnsi="宋体"/>
          <w:szCs w:val="21"/>
        </w:rPr>
        <w:t>年</w:t>
      </w:r>
      <w:r>
        <w:rPr>
          <w:szCs w:val="21"/>
        </w:rPr>
        <w:t>____</w:t>
      </w:r>
      <w:r>
        <w:rPr>
          <w:rFonts w:hint="eastAsia" w:ascii="宋体" w:hAnsi="宋体"/>
          <w:szCs w:val="21"/>
        </w:rPr>
        <w:t>月</w:t>
      </w:r>
      <w:r>
        <w:rPr>
          <w:szCs w:val="21"/>
        </w:rPr>
        <w:t>____</w:t>
      </w:r>
      <w:r>
        <w:rPr>
          <w:rFonts w:hint="eastAsia" w:ascii="宋体" w:hAnsi="宋体"/>
          <w:szCs w:val="21"/>
        </w:rPr>
        <w:t>日</w:t>
      </w:r>
    </w:p>
    <w:p>
      <w:pPr>
        <w:pStyle w:val="5"/>
        <w:ind w:left="720" w:hanging="720"/>
        <w:jc w:val="left"/>
        <w:rPr>
          <w:rFonts w:ascii="宋体"/>
          <w:sz w:val="28"/>
          <w:szCs w:val="28"/>
        </w:rPr>
      </w:pPr>
      <w:r>
        <w:rPr>
          <w:rFonts w:hint="eastAsia" w:ascii="宋体" w:hAnsi="宋体"/>
          <w:sz w:val="28"/>
          <w:szCs w:val="28"/>
        </w:rPr>
        <w:t>附表</w:t>
      </w:r>
      <w:r>
        <w:rPr>
          <w:rFonts w:ascii="宋体" w:hAnsi="宋体"/>
          <w:sz w:val="28"/>
          <w:szCs w:val="28"/>
        </w:rPr>
        <w:t>-1</w:t>
      </w:r>
      <w:r>
        <w:rPr>
          <w:rFonts w:hint="eastAsia" w:ascii="宋体" w:hAnsi="宋体"/>
          <w:sz w:val="28"/>
          <w:szCs w:val="28"/>
        </w:rPr>
        <w:t>7：问题澄清通知</w:t>
      </w:r>
    </w:p>
    <w:p>
      <w:pPr>
        <w:spacing w:line="440" w:lineRule="exact"/>
        <w:jc w:val="center"/>
        <w:rPr>
          <w:rFonts w:ascii="黑体" w:hAnsi="黑体" w:eastAsia="黑体"/>
          <w:sz w:val="28"/>
          <w:szCs w:val="28"/>
        </w:rPr>
      </w:pPr>
      <w:r>
        <w:rPr>
          <w:rFonts w:hint="eastAsia" w:ascii="黑体" w:hAnsi="黑体" w:eastAsia="黑体"/>
          <w:sz w:val="28"/>
          <w:szCs w:val="28"/>
        </w:rPr>
        <w:t>问题澄清通知</w:t>
      </w:r>
    </w:p>
    <w:p>
      <w:pPr>
        <w:spacing w:line="440" w:lineRule="exact"/>
        <w:jc w:val="left"/>
        <w:rPr>
          <w:sz w:val="24"/>
        </w:rPr>
      </w:pPr>
    </w:p>
    <w:p>
      <w:pPr>
        <w:spacing w:line="440" w:lineRule="exact"/>
        <w:ind w:firstLine="5040" w:firstLineChars="2100"/>
        <w:jc w:val="left"/>
        <w:rPr>
          <w:rFonts w:ascii="宋体"/>
          <w:sz w:val="24"/>
        </w:rPr>
      </w:pPr>
      <w:r>
        <w:rPr>
          <w:rFonts w:ascii="宋体" w:hAnsi="宋体"/>
          <w:sz w:val="24"/>
        </w:rPr>
        <w:t xml:space="preserve">  </w:t>
      </w:r>
      <w:r>
        <w:rPr>
          <w:rFonts w:hint="eastAsia" w:ascii="宋体" w:hAnsi="宋体"/>
          <w:sz w:val="24"/>
        </w:rPr>
        <w:t>编号：</w:t>
      </w:r>
      <w:r>
        <w:rPr>
          <w:rFonts w:ascii="宋体" w:hAnsi="宋体"/>
          <w:sz w:val="24"/>
          <w:u w:val="single"/>
        </w:rPr>
        <w:t xml:space="preserve">                     </w:t>
      </w:r>
    </w:p>
    <w:p>
      <w:pPr>
        <w:spacing w:line="440" w:lineRule="exact"/>
        <w:jc w:val="left"/>
        <w:rPr>
          <w:rFonts w:ascii="宋体"/>
          <w:sz w:val="24"/>
        </w:rPr>
      </w:pPr>
    </w:p>
    <w:p>
      <w:pPr>
        <w:spacing w:line="440" w:lineRule="exact"/>
        <w:jc w:val="left"/>
        <w:rPr>
          <w:rFonts w:ascii="宋体"/>
          <w:sz w:val="24"/>
        </w:rPr>
      </w:pPr>
      <w:r>
        <w:rPr>
          <w:rFonts w:ascii="宋体" w:hAnsi="宋体"/>
          <w:sz w:val="24"/>
          <w:u w:val="single"/>
        </w:rPr>
        <w:t xml:space="preserve">                           </w:t>
      </w:r>
      <w:r>
        <w:rPr>
          <w:rFonts w:hint="eastAsia" w:ascii="宋体" w:hAnsi="宋体"/>
          <w:sz w:val="24"/>
        </w:rPr>
        <w:t>（招标人</w:t>
      </w:r>
      <w:r>
        <w:rPr>
          <w:rFonts w:ascii="宋体" w:hAnsi="宋体"/>
          <w:sz w:val="24"/>
        </w:rPr>
        <w:t>/</w:t>
      </w:r>
      <w:r>
        <w:rPr>
          <w:rFonts w:hint="eastAsia" w:ascii="宋体" w:hAnsi="宋体"/>
          <w:sz w:val="24"/>
        </w:rPr>
        <w:t>投标人名称）：</w:t>
      </w:r>
    </w:p>
    <w:p>
      <w:pPr>
        <w:spacing w:line="440" w:lineRule="exact"/>
        <w:jc w:val="left"/>
        <w:rPr>
          <w:rFonts w:ascii="宋体"/>
          <w:sz w:val="24"/>
        </w:rPr>
      </w:pPr>
    </w:p>
    <w:p>
      <w:pPr>
        <w:spacing w:line="440" w:lineRule="exact"/>
        <w:ind w:right="-84" w:rightChars="-40" w:firstLine="513" w:firstLineChars="214"/>
        <w:jc w:val="left"/>
        <w:rPr>
          <w:rFonts w:ascii="宋体"/>
          <w:sz w:val="24"/>
        </w:rPr>
      </w:pPr>
      <w:r>
        <w:rPr>
          <w:rFonts w:hint="eastAsia" w:ascii="宋体" w:hAnsi="宋体"/>
          <w:sz w:val="24"/>
          <w:u w:val="single"/>
        </w:rPr>
        <w:t>　</w:t>
      </w:r>
      <w:r>
        <w:rPr>
          <w:rFonts w:ascii="宋体" w:hAnsi="宋体"/>
          <w:sz w:val="24"/>
          <w:u w:val="single"/>
        </w:rPr>
        <w:t xml:space="preserve">             </w:t>
      </w:r>
      <w:r>
        <w:rPr>
          <w:rFonts w:ascii="宋体" w:hAnsi="宋体"/>
          <w:sz w:val="24"/>
        </w:rPr>
        <w:t xml:space="preserve"> </w:t>
      </w:r>
      <w:r>
        <w:rPr>
          <w:rFonts w:hint="eastAsia" w:ascii="宋体" w:hAnsi="宋体"/>
          <w:sz w:val="24"/>
        </w:rPr>
        <w:t>（工程名称）施工招标的评标委员会，对你方的招标文件</w:t>
      </w:r>
      <w:r>
        <w:rPr>
          <w:rFonts w:ascii="宋体" w:hAnsi="宋体"/>
          <w:sz w:val="24"/>
        </w:rPr>
        <w:t>/</w:t>
      </w:r>
      <w:r>
        <w:rPr>
          <w:rFonts w:hint="eastAsia" w:ascii="宋体" w:hAnsi="宋体"/>
          <w:sz w:val="24"/>
        </w:rPr>
        <w:t>投标文件进行了仔细的审查，现需你方对下列问题以书面形式予以澄清、说明或者补正：</w:t>
      </w:r>
    </w:p>
    <w:p>
      <w:pPr>
        <w:spacing w:line="440" w:lineRule="exact"/>
        <w:ind w:firstLine="513" w:firstLineChars="214"/>
        <w:jc w:val="left"/>
        <w:rPr>
          <w:rFonts w:ascii="宋体" w:hAnsi="宋体"/>
          <w:sz w:val="24"/>
        </w:rPr>
      </w:pPr>
      <w:r>
        <w:rPr>
          <w:rFonts w:ascii="宋体" w:hAnsi="宋体"/>
          <w:sz w:val="24"/>
        </w:rPr>
        <w:t>1.</w:t>
      </w:r>
    </w:p>
    <w:p>
      <w:pPr>
        <w:spacing w:line="440" w:lineRule="exact"/>
        <w:ind w:firstLine="513" w:firstLineChars="214"/>
        <w:jc w:val="left"/>
        <w:rPr>
          <w:rFonts w:ascii="宋体" w:hAnsi="宋体"/>
          <w:sz w:val="24"/>
        </w:rPr>
      </w:pPr>
      <w:r>
        <w:rPr>
          <w:rFonts w:ascii="宋体" w:hAnsi="宋体"/>
          <w:sz w:val="24"/>
        </w:rPr>
        <w:t>2.</w:t>
      </w:r>
    </w:p>
    <w:p>
      <w:pPr>
        <w:spacing w:line="440" w:lineRule="exact"/>
        <w:ind w:firstLine="513" w:firstLineChars="214"/>
        <w:jc w:val="left"/>
        <w:rPr>
          <w:rFonts w:ascii="宋体"/>
          <w:sz w:val="24"/>
        </w:rPr>
      </w:pPr>
      <w:r>
        <w:rPr>
          <w:rFonts w:hint="eastAsia" w:ascii="宋体" w:hAnsi="宋体"/>
          <w:sz w:val="24"/>
        </w:rPr>
        <w:t>……</w:t>
      </w:r>
    </w:p>
    <w:p>
      <w:pPr>
        <w:spacing w:line="440" w:lineRule="exact"/>
        <w:ind w:firstLine="513" w:firstLineChars="214"/>
        <w:jc w:val="left"/>
        <w:rPr>
          <w:rFonts w:ascii="宋体"/>
          <w:sz w:val="24"/>
        </w:rPr>
      </w:pPr>
    </w:p>
    <w:p>
      <w:pPr>
        <w:spacing w:line="440" w:lineRule="exact"/>
        <w:ind w:firstLine="513" w:firstLineChars="214"/>
        <w:jc w:val="left"/>
        <w:rPr>
          <w:rFonts w:ascii="宋体"/>
          <w:sz w:val="24"/>
        </w:rPr>
      </w:pPr>
      <w:r>
        <w:rPr>
          <w:rFonts w:hint="eastAsia" w:ascii="宋体" w:hAnsi="宋体"/>
          <w:sz w:val="24"/>
        </w:rPr>
        <w:t>请将上述问题的澄清、说明或者补正于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r>
        <w:rPr>
          <w:rFonts w:ascii="宋体" w:hAnsi="宋体"/>
          <w:sz w:val="24"/>
          <w:u w:val="single"/>
        </w:rPr>
        <w:t xml:space="preserve">   </w:t>
      </w:r>
      <w:r>
        <w:rPr>
          <w:rFonts w:hint="eastAsia" w:ascii="宋体" w:hAnsi="宋体"/>
          <w:sz w:val="24"/>
        </w:rPr>
        <w:t>时前按照第三章“评标办法”第</w:t>
      </w:r>
      <w:r>
        <w:rPr>
          <w:rFonts w:ascii="宋体" w:hAnsi="宋体"/>
          <w:sz w:val="24"/>
        </w:rPr>
        <w:t>5</w:t>
      </w:r>
      <w:r>
        <w:rPr>
          <w:rFonts w:hint="eastAsia" w:ascii="宋体" w:hAnsi="宋体"/>
          <w:sz w:val="24"/>
        </w:rPr>
        <w:t>款的规定上传至电子化平台。</w:t>
      </w:r>
    </w:p>
    <w:p>
      <w:pPr>
        <w:spacing w:line="440" w:lineRule="exact"/>
        <w:ind w:firstLine="513" w:firstLineChars="214"/>
        <w:jc w:val="left"/>
        <w:rPr>
          <w:rFonts w:ascii="宋体"/>
          <w:sz w:val="24"/>
        </w:rPr>
      </w:pPr>
    </w:p>
    <w:p>
      <w:pPr>
        <w:spacing w:line="440" w:lineRule="exact"/>
        <w:ind w:firstLine="513" w:firstLineChars="214"/>
        <w:jc w:val="left"/>
        <w:rPr>
          <w:rFonts w:ascii="宋体"/>
          <w:sz w:val="24"/>
        </w:rPr>
      </w:pPr>
    </w:p>
    <w:p>
      <w:pPr>
        <w:spacing w:line="440" w:lineRule="exact"/>
        <w:jc w:val="right"/>
        <w:rPr>
          <w:rFonts w:ascii="宋体"/>
          <w:sz w:val="24"/>
        </w:rPr>
      </w:pPr>
      <w:r>
        <w:rPr>
          <w:rFonts w:ascii="宋体" w:hAnsi="宋体"/>
          <w:sz w:val="24"/>
        </w:rPr>
        <w:t xml:space="preserve"> </w:t>
      </w:r>
      <w:r>
        <w:rPr>
          <w:rFonts w:ascii="宋体" w:hAnsi="宋体"/>
          <w:sz w:val="24"/>
          <w:u w:val="single"/>
        </w:rPr>
        <w:t xml:space="preserve">        </w:t>
      </w:r>
      <w:r>
        <w:rPr>
          <w:rFonts w:hint="eastAsia" w:ascii="宋体" w:hAnsi="宋体"/>
          <w:sz w:val="24"/>
          <w:u w:val="single"/>
        </w:rPr>
        <w:t>（</w:t>
      </w:r>
      <w:r>
        <w:rPr>
          <w:rFonts w:hint="eastAsia" w:ascii="宋体" w:hAnsi="宋体"/>
          <w:sz w:val="24"/>
        </w:rPr>
        <w:t>工程名称）施工评标委员会</w:t>
      </w:r>
    </w:p>
    <w:p>
      <w:pPr>
        <w:spacing w:line="400" w:lineRule="exact"/>
        <w:jc w:val="right"/>
        <w:rPr>
          <w:rFonts w:ascii="宋体"/>
          <w:sz w:val="24"/>
        </w:rPr>
      </w:pPr>
    </w:p>
    <w:p>
      <w:pPr>
        <w:spacing w:line="440" w:lineRule="exact"/>
        <w:jc w:val="right"/>
        <w:rPr>
          <w:rFonts w:ascii="宋体"/>
          <w:sz w:val="24"/>
        </w:rPr>
      </w:pPr>
    </w:p>
    <w:p>
      <w:pPr>
        <w:spacing w:line="440" w:lineRule="exact"/>
        <w:jc w:val="right"/>
        <w:rPr>
          <w:rFonts w:ascii="宋体"/>
          <w:sz w:val="24"/>
        </w:rPr>
      </w:pPr>
      <w:r>
        <w:rPr>
          <w:rFonts w:ascii="宋体" w:hAnsi="宋体"/>
          <w:sz w:val="24"/>
        </w:rPr>
        <w:t xml:space="preserve">                                    </w:t>
      </w:r>
      <w:r>
        <w:rPr>
          <w:rFonts w:hint="eastAsia" w:ascii="宋体" w:hAnsi="宋体"/>
          <w:sz w:val="24"/>
        </w:rPr>
        <w:t>日期：</w:t>
      </w:r>
      <w:r>
        <w:rPr>
          <w:rFonts w:ascii="宋体" w:hAnsi="宋体"/>
          <w:sz w:val="24"/>
          <w:u w:val="single"/>
        </w:rPr>
        <w:t xml:space="preserve">      </w:t>
      </w:r>
      <w:r>
        <w:rPr>
          <w:rFonts w:ascii="宋体" w:hAnsi="宋体"/>
          <w:sz w:val="24"/>
        </w:rPr>
        <w:t xml:space="preserve"> </w:t>
      </w:r>
      <w:r>
        <w:rPr>
          <w:rFonts w:hint="eastAsia" w:ascii="宋体" w:hAnsi="宋体"/>
          <w:sz w:val="24"/>
        </w:rPr>
        <w:t>年</w:t>
      </w:r>
      <w:r>
        <w:rPr>
          <w:rFonts w:ascii="宋体" w:hAnsi="宋体"/>
          <w:sz w:val="24"/>
        </w:rPr>
        <w:t xml:space="preserve"> </w:t>
      </w:r>
      <w:r>
        <w:rPr>
          <w:rFonts w:ascii="宋体" w:hAnsi="宋体"/>
          <w:sz w:val="24"/>
          <w:u w:val="single"/>
        </w:rPr>
        <w:t xml:space="preserve">      </w:t>
      </w:r>
      <w:r>
        <w:rPr>
          <w:rFonts w:hint="eastAsia" w:ascii="宋体" w:hAnsi="宋体"/>
          <w:sz w:val="24"/>
        </w:rPr>
        <w:t>月</w:t>
      </w:r>
      <w:r>
        <w:rPr>
          <w:rFonts w:ascii="宋体" w:hAnsi="宋体"/>
          <w:sz w:val="24"/>
        </w:rPr>
        <w:t xml:space="preserve"> </w:t>
      </w:r>
      <w:r>
        <w:rPr>
          <w:rFonts w:ascii="宋体" w:hAnsi="宋体"/>
          <w:sz w:val="24"/>
          <w:u w:val="single"/>
        </w:rPr>
        <w:t xml:space="preserve">      </w:t>
      </w:r>
      <w:r>
        <w:rPr>
          <w:rFonts w:hint="eastAsia" w:ascii="宋体" w:hAnsi="宋体"/>
          <w:sz w:val="24"/>
        </w:rPr>
        <w:t>日</w:t>
      </w:r>
    </w:p>
    <w:p>
      <w:pPr>
        <w:snapToGrid w:val="0"/>
        <w:spacing w:line="440" w:lineRule="exact"/>
        <w:jc w:val="left"/>
        <w:rPr>
          <w:sz w:val="24"/>
        </w:rPr>
      </w:pPr>
    </w:p>
    <w:p>
      <w:pPr>
        <w:snapToGrid w:val="0"/>
        <w:spacing w:line="440" w:lineRule="exact"/>
        <w:jc w:val="left"/>
        <w:rPr>
          <w:sz w:val="24"/>
        </w:rPr>
      </w:pPr>
    </w:p>
    <w:p>
      <w:pPr>
        <w:snapToGrid w:val="0"/>
        <w:spacing w:line="440" w:lineRule="exact"/>
        <w:jc w:val="left"/>
        <w:rPr>
          <w:sz w:val="24"/>
        </w:rPr>
      </w:pPr>
    </w:p>
    <w:p>
      <w:pPr>
        <w:snapToGrid w:val="0"/>
        <w:spacing w:line="440" w:lineRule="exact"/>
        <w:jc w:val="left"/>
        <w:rPr>
          <w:sz w:val="24"/>
        </w:rPr>
      </w:pPr>
    </w:p>
    <w:p>
      <w:pPr>
        <w:snapToGrid w:val="0"/>
        <w:spacing w:line="440" w:lineRule="exact"/>
        <w:jc w:val="left"/>
        <w:rPr>
          <w:sz w:val="24"/>
        </w:rPr>
      </w:pPr>
    </w:p>
    <w:p>
      <w:pPr>
        <w:pStyle w:val="4"/>
        <w:ind w:firstLine="0"/>
      </w:pPr>
    </w:p>
    <w:p>
      <w:pPr>
        <w:pStyle w:val="5"/>
        <w:ind w:left="1140" w:leftChars="200" w:hanging="720"/>
        <w:jc w:val="left"/>
        <w:rPr>
          <w:rFonts w:ascii="宋体"/>
          <w:sz w:val="28"/>
          <w:szCs w:val="28"/>
        </w:rPr>
      </w:pPr>
      <w:r>
        <w:rPr>
          <w:rFonts w:hint="eastAsia" w:ascii="宋体" w:hAnsi="宋体"/>
          <w:sz w:val="28"/>
          <w:szCs w:val="28"/>
        </w:rPr>
        <w:t>附表</w:t>
      </w:r>
      <w:r>
        <w:rPr>
          <w:rFonts w:ascii="宋体" w:hAnsi="宋体"/>
          <w:sz w:val="28"/>
          <w:szCs w:val="28"/>
        </w:rPr>
        <w:t>-1</w:t>
      </w:r>
      <w:r>
        <w:rPr>
          <w:rFonts w:hint="eastAsia" w:ascii="宋体" w:hAnsi="宋体"/>
          <w:sz w:val="28"/>
          <w:szCs w:val="28"/>
        </w:rPr>
        <w:t>8：问题的澄清、说明或补正</w:t>
      </w:r>
    </w:p>
    <w:p>
      <w:pPr>
        <w:spacing w:line="440" w:lineRule="exact"/>
        <w:ind w:left="420" w:leftChars="200"/>
        <w:jc w:val="center"/>
        <w:rPr>
          <w:rFonts w:ascii="黑体" w:hAnsi="黑体" w:eastAsia="黑体"/>
          <w:sz w:val="28"/>
          <w:szCs w:val="28"/>
        </w:rPr>
      </w:pPr>
      <w:r>
        <w:rPr>
          <w:rFonts w:hint="eastAsia" w:ascii="黑体" w:hAnsi="黑体" w:eastAsia="黑体"/>
          <w:sz w:val="28"/>
          <w:szCs w:val="28"/>
        </w:rPr>
        <w:t>问题的澄清、说明或补正</w:t>
      </w:r>
    </w:p>
    <w:p>
      <w:pPr>
        <w:spacing w:line="400" w:lineRule="exact"/>
        <w:ind w:left="420" w:leftChars="200" w:firstLine="5640" w:firstLineChars="2350"/>
        <w:rPr>
          <w:rFonts w:hAnsi="宋体"/>
          <w:sz w:val="24"/>
        </w:rPr>
      </w:pPr>
    </w:p>
    <w:p>
      <w:pPr>
        <w:spacing w:line="400" w:lineRule="exact"/>
        <w:ind w:left="420" w:leftChars="200" w:firstLine="5640" w:firstLineChars="2350"/>
        <w:rPr>
          <w:rFonts w:ascii="宋体"/>
          <w:sz w:val="24"/>
        </w:rPr>
      </w:pPr>
      <w:r>
        <w:rPr>
          <w:rFonts w:hint="eastAsia" w:ascii="宋体" w:hAnsi="宋体"/>
          <w:sz w:val="24"/>
        </w:rPr>
        <w:t>编号：</w:t>
      </w:r>
      <w:r>
        <w:rPr>
          <w:rFonts w:ascii="宋体" w:hAnsi="宋体"/>
          <w:sz w:val="24"/>
          <w:u w:val="single"/>
        </w:rPr>
        <w:t xml:space="preserve">                     </w:t>
      </w:r>
    </w:p>
    <w:p>
      <w:pPr>
        <w:spacing w:line="400" w:lineRule="exact"/>
        <w:ind w:left="420" w:leftChars="200"/>
        <w:rPr>
          <w:rFonts w:ascii="宋体"/>
          <w:sz w:val="24"/>
        </w:rPr>
      </w:pPr>
    </w:p>
    <w:p>
      <w:pPr>
        <w:spacing w:line="440" w:lineRule="exact"/>
        <w:ind w:left="420" w:leftChars="200"/>
        <w:rPr>
          <w:rFonts w:ascii="宋体"/>
          <w:sz w:val="24"/>
        </w:rPr>
      </w:pPr>
      <w:r>
        <w:rPr>
          <w:rFonts w:ascii="宋体" w:hAnsi="宋体"/>
          <w:sz w:val="24"/>
          <w:u w:val="single"/>
        </w:rPr>
        <w:t xml:space="preserve">                  </w:t>
      </w:r>
      <w:r>
        <w:rPr>
          <w:rFonts w:hint="eastAsia" w:ascii="宋体" w:hAnsi="宋体"/>
          <w:sz w:val="24"/>
          <w:u w:val="single"/>
        </w:rPr>
        <w:t>（</w:t>
      </w:r>
      <w:r>
        <w:rPr>
          <w:rFonts w:hint="eastAsia" w:ascii="宋体" w:hAnsi="宋体"/>
          <w:sz w:val="24"/>
        </w:rPr>
        <w:t>工程名称）施工招标评标委员会：</w:t>
      </w:r>
    </w:p>
    <w:p>
      <w:pPr>
        <w:spacing w:line="440" w:lineRule="exact"/>
        <w:ind w:left="420" w:leftChars="200"/>
        <w:rPr>
          <w:rFonts w:ascii="宋体"/>
          <w:sz w:val="24"/>
        </w:rPr>
      </w:pPr>
    </w:p>
    <w:p>
      <w:pPr>
        <w:spacing w:line="440" w:lineRule="exact"/>
        <w:ind w:left="420" w:leftChars="200"/>
        <w:rPr>
          <w:rFonts w:ascii="宋体"/>
          <w:sz w:val="24"/>
        </w:rPr>
      </w:pPr>
      <w:r>
        <w:rPr>
          <w:rFonts w:hint="eastAsia" w:ascii="宋体" w:hAnsi="宋体"/>
          <w:sz w:val="24"/>
        </w:rPr>
        <w:t>　　问题澄清通知（编号：</w:t>
      </w:r>
      <w:r>
        <w:rPr>
          <w:rFonts w:ascii="宋体" w:hAnsi="宋体"/>
          <w:sz w:val="24"/>
          <w:u w:val="single"/>
        </w:rPr>
        <w:t xml:space="preserve">        </w:t>
      </w:r>
      <w:r>
        <w:rPr>
          <w:rFonts w:hint="eastAsia" w:ascii="宋体" w:hAnsi="宋体"/>
          <w:sz w:val="24"/>
        </w:rPr>
        <w:t>）已收悉，现澄清、说明或者补正如下：</w:t>
      </w:r>
    </w:p>
    <w:p>
      <w:pPr>
        <w:spacing w:line="440" w:lineRule="exact"/>
        <w:ind w:left="420" w:leftChars="200"/>
        <w:rPr>
          <w:rFonts w:ascii="宋体" w:hAnsi="宋体"/>
          <w:sz w:val="24"/>
        </w:rPr>
      </w:pPr>
      <w:r>
        <w:rPr>
          <w:rFonts w:hint="eastAsia" w:ascii="宋体" w:hAnsi="宋体"/>
          <w:sz w:val="24"/>
        </w:rPr>
        <w:t>　</w:t>
      </w:r>
      <w:r>
        <w:rPr>
          <w:rFonts w:ascii="宋体" w:hAnsi="宋体"/>
          <w:sz w:val="24"/>
        </w:rPr>
        <w:t xml:space="preserve">     1.</w:t>
      </w:r>
    </w:p>
    <w:p>
      <w:pPr>
        <w:spacing w:line="440" w:lineRule="exact"/>
        <w:ind w:left="420" w:leftChars="200"/>
        <w:rPr>
          <w:rFonts w:ascii="宋体" w:hAnsi="宋体"/>
          <w:sz w:val="24"/>
        </w:rPr>
      </w:pPr>
      <w:r>
        <w:rPr>
          <w:rFonts w:hint="eastAsia" w:ascii="宋体" w:hAnsi="宋体"/>
          <w:sz w:val="24"/>
        </w:rPr>
        <w:t>　</w:t>
      </w:r>
      <w:r>
        <w:rPr>
          <w:rFonts w:ascii="宋体" w:hAnsi="宋体"/>
          <w:sz w:val="24"/>
        </w:rPr>
        <w:t xml:space="preserve">     2.</w:t>
      </w:r>
    </w:p>
    <w:p>
      <w:pPr>
        <w:spacing w:line="440" w:lineRule="exact"/>
        <w:ind w:left="420" w:leftChars="200"/>
        <w:rPr>
          <w:rFonts w:ascii="宋体" w:hAnsi="宋体"/>
          <w:sz w:val="24"/>
        </w:rPr>
      </w:pPr>
      <w:r>
        <w:rPr>
          <w:rFonts w:hint="eastAsia" w:ascii="宋体" w:hAnsi="宋体"/>
          <w:sz w:val="24"/>
        </w:rPr>
        <w:t>　</w:t>
      </w:r>
      <w:r>
        <w:rPr>
          <w:rFonts w:ascii="宋体" w:hAnsi="宋体"/>
          <w:sz w:val="24"/>
        </w:rPr>
        <w:t xml:space="preserve">   </w:t>
      </w:r>
    </w:p>
    <w:p>
      <w:pPr>
        <w:spacing w:line="440" w:lineRule="exact"/>
        <w:ind w:left="420" w:leftChars="200"/>
        <w:rPr>
          <w:rFonts w:ascii="宋体" w:hAnsi="宋体"/>
          <w:sz w:val="24"/>
        </w:rPr>
      </w:pPr>
      <w:r>
        <w:rPr>
          <w:rFonts w:hint="eastAsia" w:ascii="宋体" w:hAnsi="宋体"/>
          <w:sz w:val="24"/>
        </w:rPr>
        <w:t>　</w:t>
      </w:r>
      <w:r>
        <w:rPr>
          <w:rFonts w:ascii="宋体" w:hAnsi="宋体"/>
          <w:sz w:val="24"/>
        </w:rPr>
        <w:t xml:space="preserve">    .....</w:t>
      </w:r>
    </w:p>
    <w:p>
      <w:pPr>
        <w:spacing w:line="440" w:lineRule="exact"/>
        <w:ind w:left="420" w:leftChars="200"/>
        <w:rPr>
          <w:rFonts w:ascii="宋体" w:hAnsi="宋体"/>
          <w:sz w:val="24"/>
        </w:rPr>
      </w:pPr>
      <w:r>
        <w:rPr>
          <w:rFonts w:ascii="宋体" w:hAnsi="宋体"/>
          <w:sz w:val="24"/>
        </w:rPr>
        <w:t xml:space="preserve">                       </w:t>
      </w:r>
    </w:p>
    <w:p>
      <w:pPr>
        <w:spacing w:line="440" w:lineRule="exact"/>
        <w:ind w:left="420" w:leftChars="200"/>
        <w:rPr>
          <w:rFonts w:ascii="宋体" w:hAnsi="宋体"/>
          <w:sz w:val="24"/>
        </w:rPr>
      </w:pPr>
      <w:r>
        <w:rPr>
          <w:rFonts w:hint="eastAsia" w:ascii="宋体" w:hAnsi="宋体"/>
          <w:sz w:val="24"/>
        </w:rPr>
        <w:t>　</w:t>
      </w:r>
      <w:r>
        <w:rPr>
          <w:rFonts w:ascii="宋体" w:hAnsi="宋体"/>
          <w:sz w:val="24"/>
        </w:rPr>
        <w:t xml:space="preserve"> </w:t>
      </w:r>
    </w:p>
    <w:p>
      <w:pPr>
        <w:spacing w:line="440" w:lineRule="exact"/>
        <w:ind w:left="420" w:leftChars="200"/>
        <w:rPr>
          <w:rFonts w:ascii="宋体" w:hAnsi="宋体"/>
          <w:sz w:val="24"/>
        </w:rPr>
      </w:pPr>
    </w:p>
    <w:p>
      <w:pPr>
        <w:spacing w:line="440" w:lineRule="exact"/>
        <w:ind w:left="420" w:leftChars="200"/>
        <w:rPr>
          <w:rFonts w:ascii="宋体" w:hAnsi="宋体"/>
          <w:sz w:val="24"/>
        </w:rPr>
      </w:pPr>
    </w:p>
    <w:p>
      <w:pPr>
        <w:spacing w:line="440" w:lineRule="exact"/>
        <w:ind w:left="420" w:leftChars="200"/>
        <w:rPr>
          <w:rFonts w:ascii="宋体" w:hAnsi="宋体"/>
          <w:sz w:val="24"/>
        </w:rPr>
      </w:pPr>
    </w:p>
    <w:p>
      <w:pPr>
        <w:spacing w:line="440" w:lineRule="exact"/>
        <w:ind w:left="420" w:leftChars="200"/>
        <w:rPr>
          <w:rFonts w:ascii="宋体" w:hAnsi="宋体"/>
          <w:sz w:val="24"/>
        </w:rPr>
      </w:pPr>
    </w:p>
    <w:p>
      <w:pPr>
        <w:wordWrap w:val="0"/>
        <w:spacing w:line="440" w:lineRule="exact"/>
        <w:ind w:left="420" w:leftChars="200"/>
        <w:jc w:val="right"/>
        <w:rPr>
          <w:rFonts w:ascii="宋体"/>
          <w:sz w:val="24"/>
        </w:rPr>
      </w:pPr>
      <w:r>
        <w:rPr>
          <w:rFonts w:ascii="宋体" w:hAnsi="宋体"/>
          <w:sz w:val="24"/>
        </w:rPr>
        <w:t xml:space="preserve">             </w:t>
      </w:r>
      <w:r>
        <w:rPr>
          <w:rFonts w:hint="eastAsia" w:ascii="宋体" w:hAnsi="宋体"/>
          <w:sz w:val="24"/>
        </w:rPr>
        <w:t>招标人</w:t>
      </w:r>
      <w:r>
        <w:rPr>
          <w:rFonts w:ascii="宋体" w:hAnsi="宋体"/>
          <w:sz w:val="24"/>
        </w:rPr>
        <w:t>/</w:t>
      </w:r>
      <w:r>
        <w:rPr>
          <w:rFonts w:hint="eastAsia" w:ascii="宋体" w:hAnsi="宋体"/>
          <w:sz w:val="24"/>
        </w:rPr>
        <w:t>投标人：</w:t>
      </w:r>
      <w:r>
        <w:rPr>
          <w:rFonts w:ascii="宋体" w:hAnsi="宋体"/>
          <w:sz w:val="24"/>
          <w:u w:val="single"/>
        </w:rPr>
        <w:t xml:space="preserve">                 </w:t>
      </w:r>
      <w:r>
        <w:rPr>
          <w:rFonts w:hint="eastAsia" w:ascii="宋体" w:hAnsi="宋体"/>
          <w:sz w:val="24"/>
        </w:rPr>
        <w:t>（盖企业</w:t>
      </w:r>
      <w:r>
        <w:rPr>
          <w:rFonts w:ascii="宋体" w:hAnsi="宋体"/>
          <w:sz w:val="24"/>
        </w:rPr>
        <w:t>CA</w:t>
      </w:r>
      <w:r>
        <w:rPr>
          <w:rFonts w:hint="eastAsia" w:ascii="宋体" w:hAnsi="宋体"/>
          <w:sz w:val="24"/>
        </w:rPr>
        <w:t>电子印章）</w:t>
      </w:r>
    </w:p>
    <w:p>
      <w:pPr>
        <w:spacing w:line="440" w:lineRule="exact"/>
        <w:ind w:left="420" w:leftChars="200"/>
        <w:jc w:val="right"/>
        <w:rPr>
          <w:rFonts w:ascii="宋体"/>
          <w:sz w:val="24"/>
        </w:rPr>
      </w:pPr>
    </w:p>
    <w:p>
      <w:pPr>
        <w:spacing w:line="440" w:lineRule="exact"/>
        <w:ind w:left="420" w:leftChars="200"/>
        <w:jc w:val="right"/>
        <w:rPr>
          <w:rFonts w:ascii="宋体"/>
          <w:sz w:val="24"/>
        </w:rPr>
      </w:pPr>
      <w:r>
        <w:rPr>
          <w:rFonts w:hint="eastAsia" w:ascii="宋体" w:hAnsi="宋体"/>
          <w:sz w:val="24"/>
        </w:rPr>
        <w:t>法定代表人或其委托代理人：</w:t>
      </w:r>
      <w:r>
        <w:rPr>
          <w:rFonts w:ascii="宋体" w:hAnsi="宋体"/>
          <w:sz w:val="24"/>
          <w:u w:val="single"/>
        </w:rPr>
        <w:t xml:space="preserve">       </w:t>
      </w:r>
      <w:r>
        <w:rPr>
          <w:rFonts w:hint="eastAsia" w:ascii="宋体" w:hAnsi="宋体"/>
          <w:sz w:val="24"/>
        </w:rPr>
        <w:t>（盖个人</w:t>
      </w:r>
      <w:r>
        <w:rPr>
          <w:rFonts w:ascii="宋体" w:hAnsi="宋体"/>
          <w:sz w:val="24"/>
        </w:rPr>
        <w:t>CA</w:t>
      </w:r>
      <w:r>
        <w:rPr>
          <w:rFonts w:hint="eastAsia" w:ascii="宋体" w:hAnsi="宋体"/>
          <w:sz w:val="24"/>
        </w:rPr>
        <w:t>电子印章）</w:t>
      </w:r>
    </w:p>
    <w:p>
      <w:pPr>
        <w:pStyle w:val="4"/>
        <w:ind w:left="420" w:leftChars="200"/>
      </w:pPr>
    </w:p>
    <w:p>
      <w:pPr>
        <w:pStyle w:val="4"/>
        <w:ind w:left="420" w:leftChars="200"/>
      </w:pPr>
    </w:p>
    <w:p>
      <w:pPr>
        <w:pStyle w:val="4"/>
        <w:ind w:left="420" w:leftChars="200"/>
      </w:pPr>
    </w:p>
    <w:p>
      <w:pPr>
        <w:pStyle w:val="4"/>
        <w:ind w:left="420" w:leftChars="200"/>
      </w:pPr>
    </w:p>
    <w:p>
      <w:pPr>
        <w:pStyle w:val="4"/>
        <w:ind w:left="420" w:leftChars="200"/>
      </w:pPr>
    </w:p>
    <w:p>
      <w:pPr>
        <w:pStyle w:val="4"/>
        <w:ind w:left="420" w:leftChars="200"/>
      </w:pPr>
    </w:p>
    <w:p>
      <w:pPr>
        <w:pStyle w:val="4"/>
      </w:pPr>
    </w:p>
    <w:p>
      <w:pPr>
        <w:pStyle w:val="4"/>
      </w:pPr>
    </w:p>
    <w:p>
      <w:pPr>
        <w:pStyle w:val="4"/>
      </w:pPr>
    </w:p>
    <w:p>
      <w:pPr>
        <w:pStyle w:val="4"/>
      </w:pPr>
    </w:p>
    <w:p>
      <w:pPr>
        <w:pStyle w:val="4"/>
        <w:ind w:firstLine="0"/>
      </w:pPr>
    </w:p>
    <w:p>
      <w:pPr>
        <w:pStyle w:val="5"/>
        <w:ind w:left="720" w:hanging="720"/>
        <w:jc w:val="left"/>
        <w:rPr>
          <w:rFonts w:ascii="宋体"/>
          <w:sz w:val="28"/>
          <w:szCs w:val="28"/>
        </w:rPr>
      </w:pPr>
      <w:r>
        <w:rPr>
          <w:rFonts w:hint="eastAsia" w:ascii="宋体" w:hAnsi="宋体"/>
          <w:sz w:val="28"/>
          <w:szCs w:val="28"/>
        </w:rPr>
        <w:t>附表</w:t>
      </w:r>
      <w:r>
        <w:rPr>
          <w:rFonts w:ascii="宋体" w:hAnsi="宋体"/>
          <w:sz w:val="28"/>
          <w:szCs w:val="28"/>
        </w:rPr>
        <w:t>-</w:t>
      </w:r>
      <w:r>
        <w:rPr>
          <w:rFonts w:hint="eastAsia" w:ascii="宋体" w:hAnsi="宋体"/>
          <w:sz w:val="28"/>
          <w:szCs w:val="28"/>
        </w:rPr>
        <w:t>19：评审意见表</w:t>
      </w:r>
    </w:p>
    <w:p>
      <w:pPr>
        <w:spacing w:line="360" w:lineRule="auto"/>
        <w:jc w:val="center"/>
        <w:rPr>
          <w:rFonts w:ascii="黑体" w:hAnsi="黑体" w:eastAsia="黑体" w:cs="Arial"/>
          <w:bCs/>
          <w:sz w:val="28"/>
          <w:szCs w:val="28"/>
        </w:rPr>
      </w:pPr>
      <w:r>
        <w:rPr>
          <w:rFonts w:hint="eastAsia" w:ascii="黑体" w:hAnsi="黑体" w:eastAsia="黑体" w:cs="Arial"/>
          <w:bCs/>
          <w:sz w:val="28"/>
          <w:szCs w:val="28"/>
        </w:rPr>
        <w:t>评审意见表</w:t>
      </w:r>
    </w:p>
    <w:p>
      <w:pPr>
        <w:rPr>
          <w:rFonts w:ascii="宋体" w:cs="Arial"/>
          <w:szCs w:val="21"/>
        </w:rPr>
      </w:pPr>
      <w:r>
        <w:rPr>
          <w:rFonts w:hint="eastAsia" w:ascii="宋体" w:hAnsi="宋体" w:cs="Arial"/>
          <w:bCs/>
          <w:szCs w:val="21"/>
        </w:rPr>
        <w:t>工程名称：</w:t>
      </w:r>
      <w:r>
        <w:rPr>
          <w:rFonts w:ascii="宋体" w:hAnsi="宋体" w:cs="Arial"/>
          <w:bCs/>
          <w:szCs w:val="21"/>
          <w:u w:val="single"/>
        </w:rPr>
        <w:t xml:space="preserve">                          </w:t>
      </w:r>
    </w:p>
    <w:tbl>
      <w:tblPr>
        <w:tblStyle w:val="49"/>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5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398" w:hRule="atLeast"/>
        </w:trPr>
        <w:tc>
          <w:tcPr>
            <w:tcW w:w="8528" w:type="dxa"/>
            <w:tcBorders>
              <w:bottom w:val="single" w:color="auto" w:sz="4" w:space="0"/>
            </w:tcBorders>
          </w:tcPr>
          <w:p>
            <w:pPr>
              <w:spacing w:line="360" w:lineRule="auto"/>
              <w:rPr>
                <w:rFonts w:ascii="宋体"/>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34" w:hRule="atLeast"/>
        </w:trPr>
        <w:tc>
          <w:tcPr>
            <w:tcW w:w="8528" w:type="dxa"/>
            <w:tcBorders>
              <w:top w:val="single" w:color="auto" w:sz="4" w:space="0"/>
            </w:tcBorders>
          </w:tcPr>
          <w:p>
            <w:pPr>
              <w:spacing w:line="360" w:lineRule="auto"/>
              <w:rPr>
                <w:rFonts w:ascii="宋体"/>
                <w:szCs w:val="21"/>
              </w:rPr>
            </w:pPr>
            <w:r>
              <w:rPr>
                <w:rFonts w:hint="eastAsia" w:ascii="宋体" w:hAnsi="宋体" w:cs="Arial"/>
              </w:rPr>
              <w:t>评标委员会</w:t>
            </w:r>
            <w:r>
              <w:rPr>
                <w:rFonts w:hint="eastAsia" w:ascii="宋体" w:hAnsi="宋体" w:cs="Arial"/>
                <w:szCs w:val="21"/>
              </w:rPr>
              <w:t>全体</w:t>
            </w:r>
            <w:r>
              <w:rPr>
                <w:rFonts w:hint="eastAsia" w:ascii="宋体" w:hAnsi="宋体" w:cs="Arial"/>
              </w:rPr>
              <w:t>成员</w:t>
            </w:r>
            <w:r>
              <w:rPr>
                <w:rFonts w:hint="eastAsia" w:ascii="宋体" w:hAnsi="宋体" w:cs="Arial"/>
                <w:szCs w:val="21"/>
              </w:rPr>
              <w:t>（手写签名）</w:t>
            </w:r>
          </w:p>
          <w:p>
            <w:pPr>
              <w:spacing w:line="360" w:lineRule="auto"/>
              <w:rPr>
                <w:rFonts w:ascii="宋体"/>
                <w:szCs w:val="21"/>
              </w:rPr>
            </w:pPr>
          </w:p>
          <w:p>
            <w:pPr>
              <w:spacing w:line="360" w:lineRule="auto"/>
              <w:ind w:firstLine="4725" w:firstLineChars="2250"/>
              <w:rPr>
                <w:rFonts w:ascii="宋体"/>
                <w:szCs w:val="21"/>
              </w:rPr>
            </w:pPr>
            <w:r>
              <w:rPr>
                <w:rFonts w:hint="eastAsia"/>
              </w:rPr>
              <w:t>日</w:t>
            </w:r>
            <w:r>
              <w:t xml:space="preserve">  </w:t>
            </w:r>
            <w:r>
              <w:rPr>
                <w:rFonts w:hint="eastAsia"/>
              </w:rPr>
              <w:t>期：</w:t>
            </w:r>
            <w:r>
              <w:rPr>
                <w:u w:val="single"/>
              </w:rPr>
              <w:t xml:space="preserve">      </w:t>
            </w:r>
            <w:r>
              <w:rPr>
                <w:rFonts w:hint="eastAsia"/>
              </w:rPr>
              <w:t>年</w:t>
            </w:r>
            <w:r>
              <w:t xml:space="preserve"> </w:t>
            </w:r>
            <w:r>
              <w:rPr>
                <w:u w:val="single"/>
              </w:rPr>
              <w:t xml:space="preserve">    </w:t>
            </w:r>
            <w:r>
              <w:rPr>
                <w:rFonts w:hint="eastAsia"/>
              </w:rPr>
              <w:t>月</w:t>
            </w:r>
            <w:r>
              <w:rPr>
                <w:u w:val="single"/>
              </w:rPr>
              <w:t xml:space="preserve">    </w:t>
            </w:r>
            <w:r>
              <w:rPr>
                <w:rFonts w:hint="eastAsia"/>
              </w:rPr>
              <w:t>日</w:t>
            </w:r>
          </w:p>
        </w:tc>
      </w:tr>
    </w:tbl>
    <w:p>
      <w:pPr>
        <w:pStyle w:val="4"/>
        <w:ind w:firstLine="0"/>
      </w:pPr>
    </w:p>
    <w:p>
      <w:pPr>
        <w:pStyle w:val="5"/>
        <w:tabs>
          <w:tab w:val="left" w:pos="420"/>
        </w:tabs>
        <w:ind w:left="720" w:hanging="720"/>
        <w:jc w:val="both"/>
        <w:rPr>
          <w:rFonts w:ascii="宋体"/>
          <w:sz w:val="28"/>
          <w:szCs w:val="28"/>
        </w:rPr>
      </w:pPr>
      <w:r>
        <w:rPr>
          <w:rFonts w:hint="eastAsia" w:ascii="宋体" w:hAnsi="宋体"/>
          <w:sz w:val="28"/>
          <w:szCs w:val="28"/>
        </w:rPr>
        <w:t>附表</w:t>
      </w:r>
      <w:r>
        <w:rPr>
          <w:rFonts w:ascii="宋体" w:hAnsi="宋体"/>
          <w:sz w:val="28"/>
          <w:szCs w:val="28"/>
        </w:rPr>
        <w:t>-2</w:t>
      </w:r>
      <w:r>
        <w:rPr>
          <w:rFonts w:hint="eastAsia" w:ascii="宋体" w:hAnsi="宋体"/>
          <w:sz w:val="28"/>
          <w:szCs w:val="28"/>
        </w:rPr>
        <w:t>0：评标委员会成员评分复核意见书</w:t>
      </w:r>
    </w:p>
    <w:p>
      <w:pPr>
        <w:spacing w:line="360" w:lineRule="auto"/>
        <w:jc w:val="center"/>
        <w:rPr>
          <w:rFonts w:ascii="黑体" w:hAnsi="黑体" w:eastAsia="黑体" w:cs="Arial"/>
          <w:bCs/>
          <w:sz w:val="24"/>
        </w:rPr>
      </w:pPr>
      <w:r>
        <w:rPr>
          <w:rFonts w:hint="eastAsia" w:ascii="黑体" w:hAnsi="黑体" w:eastAsia="黑体" w:cs="Arial"/>
          <w:bCs/>
          <w:sz w:val="24"/>
        </w:rPr>
        <w:t>评标委员会成员评标打分复核意见书</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522" w:type="dxa"/>
            <w:vAlign w:val="center"/>
          </w:tcPr>
          <w:p>
            <w:pPr>
              <w:spacing w:line="320" w:lineRule="exact"/>
              <w:rPr>
                <w:rFonts w:ascii="宋体"/>
                <w:sz w:val="24"/>
                <w:szCs w:val="30"/>
              </w:rPr>
            </w:pPr>
            <w:r>
              <w:rPr>
                <w:rFonts w:hint="eastAsia" w:ascii="宋体" w:hAnsi="宋体" w:cs="Arial"/>
                <w:sz w:val="24"/>
                <w:szCs w:val="30"/>
              </w:rPr>
              <w:t>工程名称：</w:t>
            </w:r>
            <w:r>
              <w:rPr>
                <w:rFonts w:ascii="宋体" w:hAnsi="宋体" w:cs="Arial"/>
                <w:sz w:val="24"/>
                <w:szCs w:val="3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trPr>
        <w:tc>
          <w:tcPr>
            <w:tcW w:w="8522" w:type="dxa"/>
          </w:tcPr>
          <w:p>
            <w:pPr>
              <w:spacing w:line="320" w:lineRule="exact"/>
              <w:rPr>
                <w:rFonts w:ascii="宋体"/>
                <w:szCs w:val="21"/>
              </w:rPr>
            </w:pPr>
            <w:r>
              <w:rPr>
                <w:rFonts w:hint="eastAsia" w:ascii="宋体" w:hAnsi="宋体"/>
                <w:szCs w:val="21"/>
              </w:rPr>
              <w:t>我们评标委员会已经对以下内容</w:t>
            </w:r>
            <w:r>
              <w:rPr>
                <w:rFonts w:ascii="宋体"/>
                <w:szCs w:val="21"/>
              </w:rPr>
              <w:t>,</w:t>
            </w:r>
            <w:r>
              <w:rPr>
                <w:rFonts w:hint="eastAsia" w:ascii="宋体" w:hAnsi="宋体"/>
                <w:szCs w:val="21"/>
              </w:rPr>
              <w:t>进行了认真复核</w:t>
            </w:r>
            <w:r>
              <w:rPr>
                <w:rFonts w:ascii="宋体"/>
                <w:szCs w:val="21"/>
              </w:rPr>
              <w:t>,</w:t>
            </w:r>
            <w:r>
              <w:rPr>
                <w:rFonts w:hint="eastAsia" w:ascii="宋体" w:hAnsi="宋体"/>
                <w:szCs w:val="21"/>
              </w:rPr>
              <w:t>并对复核结果承担责任：</w:t>
            </w:r>
          </w:p>
          <w:p>
            <w:pPr>
              <w:spacing w:line="320" w:lineRule="exact"/>
              <w:ind w:left="540" w:leftChars="257"/>
              <w:rPr>
                <w:rFonts w:ascii="宋体"/>
                <w:szCs w:val="21"/>
              </w:rPr>
            </w:pPr>
            <w:r>
              <w:rPr>
                <w:rFonts w:hint="eastAsia" w:ascii="宋体" w:hAnsi="宋体"/>
                <w:szCs w:val="21"/>
              </w:rPr>
              <w:t>形式评审记录表</w:t>
            </w:r>
            <w:r>
              <w:rPr>
                <w:rFonts w:ascii="宋体" w:hAnsi="宋体"/>
                <w:szCs w:val="21"/>
              </w:rPr>
              <w:t xml:space="preserve">                         </w:t>
            </w:r>
            <w:r>
              <w:rPr>
                <w:rFonts w:hint="eastAsia" w:ascii="宋体" w:hAnsi="宋体"/>
                <w:szCs w:val="21"/>
              </w:rPr>
              <w:t>正确□</w:t>
            </w:r>
          </w:p>
          <w:p>
            <w:pPr>
              <w:spacing w:line="320" w:lineRule="exact"/>
              <w:ind w:left="540" w:leftChars="257"/>
              <w:rPr>
                <w:rFonts w:ascii="宋体"/>
                <w:szCs w:val="21"/>
              </w:rPr>
            </w:pPr>
          </w:p>
          <w:p>
            <w:pPr>
              <w:spacing w:line="320" w:lineRule="exact"/>
              <w:ind w:left="540" w:leftChars="257"/>
              <w:rPr>
                <w:rFonts w:ascii="宋体"/>
                <w:szCs w:val="21"/>
              </w:rPr>
            </w:pPr>
            <w:r>
              <w:rPr>
                <w:rFonts w:hint="eastAsia" w:ascii="宋体" w:hAnsi="宋体"/>
                <w:szCs w:val="21"/>
              </w:rPr>
              <w:t>投标人资格审查表</w:t>
            </w:r>
            <w:r>
              <w:rPr>
                <w:rFonts w:ascii="宋体" w:hAnsi="宋体"/>
                <w:szCs w:val="21"/>
              </w:rPr>
              <w:t xml:space="preserve">                       </w:t>
            </w:r>
            <w:r>
              <w:rPr>
                <w:rFonts w:hint="eastAsia" w:ascii="宋体" w:hAnsi="宋体"/>
                <w:szCs w:val="21"/>
              </w:rPr>
              <w:t>正确□</w:t>
            </w:r>
          </w:p>
          <w:p>
            <w:pPr>
              <w:spacing w:line="320" w:lineRule="exact"/>
              <w:ind w:left="540" w:leftChars="257"/>
              <w:rPr>
                <w:rFonts w:ascii="宋体"/>
                <w:szCs w:val="21"/>
              </w:rPr>
            </w:pPr>
          </w:p>
          <w:p>
            <w:pPr>
              <w:spacing w:line="320" w:lineRule="exact"/>
              <w:ind w:left="540" w:leftChars="257"/>
              <w:rPr>
                <w:rFonts w:ascii="宋体"/>
                <w:szCs w:val="21"/>
              </w:rPr>
            </w:pPr>
            <w:r>
              <w:rPr>
                <w:rFonts w:hint="eastAsia" w:ascii="宋体" w:hAnsi="宋体"/>
                <w:szCs w:val="21"/>
              </w:rPr>
              <w:t>响应性评审记录表</w:t>
            </w:r>
            <w:r>
              <w:rPr>
                <w:rFonts w:ascii="宋体" w:hAnsi="宋体"/>
                <w:szCs w:val="21"/>
              </w:rPr>
              <w:t xml:space="preserve">                       </w:t>
            </w:r>
            <w:r>
              <w:rPr>
                <w:rFonts w:hint="eastAsia" w:ascii="宋体" w:hAnsi="宋体"/>
                <w:szCs w:val="21"/>
              </w:rPr>
              <w:t>正确□</w:t>
            </w:r>
          </w:p>
          <w:p>
            <w:pPr>
              <w:spacing w:line="320" w:lineRule="exact"/>
              <w:ind w:left="540" w:leftChars="257"/>
              <w:rPr>
                <w:rFonts w:ascii="宋体"/>
                <w:szCs w:val="21"/>
              </w:rPr>
            </w:pPr>
          </w:p>
          <w:p>
            <w:pPr>
              <w:spacing w:line="320" w:lineRule="exact"/>
              <w:ind w:left="540" w:leftChars="257"/>
              <w:rPr>
                <w:rFonts w:ascii="宋体"/>
                <w:szCs w:val="21"/>
              </w:rPr>
            </w:pPr>
            <w:r>
              <w:rPr>
                <w:rFonts w:hint="eastAsia" w:ascii="宋体" w:hAnsi="宋体"/>
                <w:szCs w:val="21"/>
              </w:rPr>
              <w:t>施工组织设计（暗标）评分汇总表</w:t>
            </w:r>
            <w:r>
              <w:rPr>
                <w:rFonts w:ascii="宋体" w:hAnsi="宋体"/>
                <w:szCs w:val="21"/>
              </w:rPr>
              <w:t xml:space="preserve">         </w:t>
            </w:r>
            <w:r>
              <w:rPr>
                <w:rFonts w:hint="eastAsia" w:ascii="宋体" w:hAnsi="宋体"/>
                <w:szCs w:val="21"/>
              </w:rPr>
              <w:t>正确□</w:t>
            </w:r>
          </w:p>
          <w:p>
            <w:pPr>
              <w:spacing w:line="320" w:lineRule="exact"/>
              <w:ind w:left="540" w:leftChars="257"/>
              <w:rPr>
                <w:rFonts w:ascii="宋体"/>
                <w:szCs w:val="21"/>
              </w:rPr>
            </w:pPr>
          </w:p>
          <w:p>
            <w:pPr>
              <w:spacing w:line="320" w:lineRule="exact"/>
              <w:ind w:left="540" w:leftChars="257"/>
              <w:rPr>
                <w:rFonts w:ascii="宋体"/>
                <w:szCs w:val="21"/>
              </w:rPr>
            </w:pPr>
            <w:r>
              <w:rPr>
                <w:rFonts w:hint="eastAsia" w:ascii="宋体" w:hAnsi="宋体"/>
                <w:szCs w:val="21"/>
              </w:rPr>
              <w:t>企业实力和管理机构评审记录表</w:t>
            </w:r>
            <w:r>
              <w:rPr>
                <w:rFonts w:ascii="宋体" w:hAnsi="宋体"/>
                <w:szCs w:val="21"/>
              </w:rPr>
              <w:t xml:space="preserve">           </w:t>
            </w:r>
            <w:r>
              <w:rPr>
                <w:rFonts w:hint="eastAsia" w:ascii="宋体" w:hAnsi="宋体"/>
                <w:szCs w:val="21"/>
              </w:rPr>
              <w:t>正确□</w:t>
            </w:r>
          </w:p>
          <w:p>
            <w:pPr>
              <w:spacing w:line="320" w:lineRule="exact"/>
              <w:rPr>
                <w:rFonts w:ascii="宋体"/>
                <w:szCs w:val="21"/>
              </w:rPr>
            </w:pPr>
          </w:p>
          <w:p>
            <w:pPr>
              <w:spacing w:line="320" w:lineRule="exact"/>
              <w:ind w:left="540" w:leftChars="257"/>
              <w:rPr>
                <w:rFonts w:ascii="宋体"/>
                <w:szCs w:val="21"/>
              </w:rPr>
            </w:pPr>
            <w:r>
              <w:rPr>
                <w:rFonts w:hint="eastAsia" w:ascii="宋体" w:hAnsi="宋体"/>
                <w:szCs w:val="21"/>
              </w:rPr>
              <w:t>投标报价评分记录表</w:t>
            </w:r>
            <w:r>
              <w:rPr>
                <w:rFonts w:ascii="宋体" w:hAnsi="宋体"/>
                <w:szCs w:val="21"/>
              </w:rPr>
              <w:t xml:space="preserve">                     </w:t>
            </w:r>
            <w:r>
              <w:rPr>
                <w:rFonts w:hint="eastAsia" w:ascii="宋体" w:hAnsi="宋体"/>
                <w:szCs w:val="21"/>
              </w:rPr>
              <w:t>正确□</w:t>
            </w:r>
          </w:p>
          <w:p>
            <w:pPr>
              <w:spacing w:line="320" w:lineRule="exact"/>
              <w:ind w:left="540" w:leftChars="257"/>
              <w:rPr>
                <w:rFonts w:ascii="宋体"/>
                <w:szCs w:val="21"/>
              </w:rPr>
            </w:pPr>
          </w:p>
          <w:p>
            <w:pPr>
              <w:spacing w:line="320" w:lineRule="exact"/>
              <w:ind w:left="540" w:leftChars="257"/>
              <w:rPr>
                <w:rFonts w:ascii="宋体"/>
                <w:szCs w:val="21"/>
              </w:rPr>
            </w:pPr>
            <w:r>
              <w:rPr>
                <w:rFonts w:hint="eastAsia" w:ascii="宋体" w:hAnsi="宋体"/>
                <w:szCs w:val="21"/>
              </w:rPr>
              <w:t>信誉评审记录表</w:t>
            </w:r>
            <w:r>
              <w:rPr>
                <w:rFonts w:ascii="宋体" w:hAnsi="宋体"/>
                <w:szCs w:val="21"/>
              </w:rPr>
              <w:t xml:space="preserve"> </w:t>
            </w:r>
            <w:r>
              <w:rPr>
                <w:rFonts w:hint="eastAsia" w:ascii="宋体" w:hAnsi="宋体"/>
                <w:szCs w:val="21"/>
              </w:rPr>
              <w:t>（如有）</w:t>
            </w:r>
            <w:r>
              <w:rPr>
                <w:rFonts w:ascii="宋体" w:hAnsi="宋体"/>
                <w:szCs w:val="21"/>
              </w:rPr>
              <w:t xml:space="preserve">                </w:t>
            </w:r>
            <w:r>
              <w:rPr>
                <w:rFonts w:hint="eastAsia" w:ascii="宋体" w:hAnsi="宋体"/>
                <w:szCs w:val="21"/>
              </w:rPr>
              <w:t>正确□</w:t>
            </w:r>
          </w:p>
          <w:p>
            <w:pPr>
              <w:spacing w:line="320" w:lineRule="exact"/>
              <w:ind w:left="540" w:leftChars="257"/>
              <w:rPr>
                <w:rFonts w:ascii="宋体"/>
                <w:szCs w:val="21"/>
              </w:rPr>
            </w:pPr>
          </w:p>
          <w:p>
            <w:pPr>
              <w:spacing w:line="320" w:lineRule="exact"/>
              <w:ind w:left="540" w:leftChars="257"/>
              <w:rPr>
                <w:rFonts w:ascii="宋体"/>
                <w:szCs w:val="21"/>
              </w:rPr>
            </w:pPr>
            <w:r>
              <w:rPr>
                <w:rFonts w:hint="eastAsia" w:ascii="宋体" w:hAnsi="宋体"/>
                <w:szCs w:val="21"/>
              </w:rPr>
              <w:t>其他因素评审记录表（如有）</w:t>
            </w:r>
            <w:r>
              <w:rPr>
                <w:rFonts w:ascii="宋体" w:hAnsi="宋体"/>
                <w:szCs w:val="21"/>
              </w:rPr>
              <w:t xml:space="preserve">             </w:t>
            </w:r>
            <w:r>
              <w:rPr>
                <w:rFonts w:hint="eastAsia" w:ascii="宋体" w:hAnsi="宋体"/>
                <w:szCs w:val="21"/>
              </w:rPr>
              <w:t>正确□</w:t>
            </w:r>
          </w:p>
          <w:p>
            <w:pPr>
              <w:spacing w:line="320" w:lineRule="exact"/>
              <w:rPr>
                <w:rFonts w:ascii="宋体"/>
                <w:szCs w:val="21"/>
              </w:rPr>
            </w:pPr>
          </w:p>
          <w:p>
            <w:pPr>
              <w:spacing w:line="320" w:lineRule="exact"/>
              <w:ind w:left="540" w:leftChars="257"/>
              <w:rPr>
                <w:rFonts w:ascii="宋体"/>
                <w:szCs w:val="21"/>
              </w:rPr>
            </w:pPr>
            <w:r>
              <w:rPr>
                <w:rFonts w:hint="eastAsia" w:ascii="宋体" w:hAnsi="宋体"/>
                <w:szCs w:val="21"/>
              </w:rPr>
              <w:t>评标结果汇总及排序表</w:t>
            </w:r>
            <w:r>
              <w:rPr>
                <w:rFonts w:ascii="宋体" w:hAnsi="宋体"/>
                <w:szCs w:val="21"/>
              </w:rPr>
              <w:t xml:space="preserve">                   </w:t>
            </w:r>
            <w:r>
              <w:rPr>
                <w:rFonts w:hint="eastAsia" w:ascii="宋体" w:hAnsi="宋体"/>
                <w:szCs w:val="21"/>
              </w:rPr>
              <w:t>正确□</w:t>
            </w:r>
          </w:p>
          <w:p>
            <w:pPr>
              <w:spacing w:line="320" w:lineRule="exact"/>
              <w:rPr>
                <w:rFonts w:ascii="宋体"/>
                <w:szCs w:val="21"/>
              </w:rPr>
            </w:pPr>
          </w:p>
          <w:p>
            <w:pPr>
              <w:spacing w:line="320" w:lineRule="exact"/>
              <w:ind w:left="540" w:leftChars="257"/>
              <w:rPr>
                <w:rFonts w:ascii="宋体"/>
                <w:szCs w:val="21"/>
              </w:rPr>
            </w:pPr>
            <w:r>
              <w:rPr>
                <w:rFonts w:hint="eastAsia" w:ascii="宋体" w:hAnsi="宋体"/>
                <w:szCs w:val="21"/>
              </w:rPr>
              <w:t>评标报告</w:t>
            </w:r>
            <w:r>
              <w:rPr>
                <w:rFonts w:ascii="宋体" w:hAnsi="宋体"/>
                <w:szCs w:val="21"/>
              </w:rPr>
              <w:t xml:space="preserve">                               </w:t>
            </w:r>
            <w:r>
              <w:rPr>
                <w:rFonts w:hint="eastAsia" w:ascii="宋体" w:hAnsi="宋体"/>
                <w:szCs w:val="21"/>
              </w:rPr>
              <w:t>正确□</w:t>
            </w:r>
          </w:p>
          <w:p>
            <w:pPr>
              <w:spacing w:line="320" w:lineRule="exact"/>
              <w:ind w:left="540" w:leftChars="257"/>
              <w:rPr>
                <w:rFonts w:ascii="宋体"/>
                <w:szCs w:val="21"/>
              </w:rPr>
            </w:pPr>
          </w:p>
          <w:p>
            <w:pPr>
              <w:spacing w:line="320" w:lineRule="exact"/>
              <w:ind w:left="540" w:leftChars="257"/>
              <w:rPr>
                <w:rFonts w:ascii="宋体"/>
                <w:szCs w:val="21"/>
              </w:rPr>
            </w:pPr>
            <w:r>
              <w:rPr>
                <w:rFonts w:hint="eastAsia" w:ascii="宋体" w:hAnsi="宋体"/>
                <w:szCs w:val="21"/>
              </w:rPr>
              <w:t>问题澄清通知</w:t>
            </w:r>
            <w:r>
              <w:rPr>
                <w:rFonts w:ascii="宋体" w:hAnsi="宋体"/>
                <w:szCs w:val="21"/>
              </w:rPr>
              <w:t xml:space="preserve">                           </w:t>
            </w:r>
            <w:r>
              <w:rPr>
                <w:rFonts w:hint="eastAsia" w:ascii="宋体" w:hAnsi="宋体"/>
                <w:szCs w:val="21"/>
              </w:rPr>
              <w:t>正确□</w:t>
            </w:r>
          </w:p>
          <w:p>
            <w:pPr>
              <w:spacing w:line="320" w:lineRule="exact"/>
              <w:ind w:left="540" w:leftChars="257"/>
              <w:rPr>
                <w:rFonts w:ascii="宋体"/>
                <w:szCs w:val="21"/>
              </w:rPr>
            </w:pPr>
          </w:p>
          <w:p>
            <w:pPr>
              <w:spacing w:line="320" w:lineRule="exact"/>
              <w:ind w:left="540" w:leftChars="257"/>
              <w:rPr>
                <w:rFonts w:ascii="宋体"/>
                <w:szCs w:val="21"/>
              </w:rPr>
            </w:pPr>
            <w:r>
              <w:rPr>
                <w:rFonts w:hint="eastAsia" w:ascii="宋体" w:hAnsi="宋体"/>
                <w:szCs w:val="21"/>
              </w:rPr>
              <w:t>问题的澄清、说明或补正</w:t>
            </w:r>
            <w:r>
              <w:rPr>
                <w:rFonts w:ascii="宋体" w:hAnsi="宋体"/>
                <w:szCs w:val="21"/>
              </w:rPr>
              <w:t xml:space="preserve">                 </w:t>
            </w:r>
            <w:r>
              <w:rPr>
                <w:rFonts w:hint="eastAsia" w:ascii="宋体" w:hAnsi="宋体"/>
                <w:szCs w:val="21"/>
              </w:rPr>
              <w:t>正确□</w:t>
            </w:r>
          </w:p>
          <w:p>
            <w:pPr>
              <w:tabs>
                <w:tab w:val="left" w:pos="6390"/>
              </w:tabs>
              <w:spacing w:before="624" w:beforeLines="200" w:line="320" w:lineRule="exact"/>
              <w:ind w:left="540" w:leftChars="257"/>
              <w:rPr>
                <w:rFonts w:ascii="宋体"/>
                <w:szCs w:val="21"/>
              </w:rPr>
            </w:pPr>
            <w:r>
              <w:rPr>
                <w:rFonts w:hint="eastAsia" w:ascii="宋体" w:hAnsi="宋体"/>
                <w:szCs w:val="21"/>
              </w:rPr>
              <w:t>不能通过评审情况说明</w:t>
            </w:r>
            <w:r>
              <w:rPr>
                <w:rFonts w:ascii="宋体" w:hAnsi="宋体"/>
                <w:szCs w:val="21"/>
              </w:rPr>
              <w:t xml:space="preserve">                   </w:t>
            </w:r>
            <w:r>
              <w:rPr>
                <w:rFonts w:hint="eastAsia" w:ascii="宋体" w:hAnsi="宋体"/>
                <w:szCs w:val="21"/>
              </w:rPr>
              <w:t>正确□</w:t>
            </w:r>
          </w:p>
          <w:p>
            <w:pPr>
              <w:spacing w:line="320" w:lineRule="exact"/>
              <w:ind w:left="540" w:leftChars="257"/>
              <w:rPr>
                <w:rFonts w:ascii="宋体"/>
                <w:szCs w:val="21"/>
              </w:rPr>
            </w:pPr>
          </w:p>
          <w:p>
            <w:pPr>
              <w:spacing w:line="320" w:lineRule="exact"/>
              <w:ind w:left="540" w:leftChars="257"/>
              <w:rPr>
                <w:rFonts w:ascii="宋体"/>
                <w:szCs w:val="21"/>
              </w:rPr>
            </w:pPr>
            <w:r>
              <w:rPr>
                <w:rFonts w:hint="eastAsia" w:ascii="宋体" w:hAnsi="宋体"/>
                <w:szCs w:val="21"/>
              </w:rPr>
              <w:t>评审意见表</w:t>
            </w:r>
            <w:r>
              <w:rPr>
                <w:rFonts w:ascii="宋体" w:hAnsi="宋体"/>
                <w:szCs w:val="21"/>
              </w:rPr>
              <w:t xml:space="preserve">                             </w:t>
            </w:r>
            <w:r>
              <w:rPr>
                <w:rFonts w:hint="eastAsia" w:ascii="宋体" w:hAnsi="宋体"/>
                <w:szCs w:val="21"/>
              </w:rPr>
              <w:t>正确□</w:t>
            </w:r>
          </w:p>
          <w:p>
            <w:pPr>
              <w:spacing w:line="320" w:lineRule="exact"/>
              <w:ind w:left="540" w:leftChars="257"/>
              <w:rPr>
                <w:rFonts w:ascii="宋体"/>
                <w:szCs w:val="21"/>
              </w:rPr>
            </w:pPr>
          </w:p>
          <w:p>
            <w:pPr>
              <w:spacing w:line="320" w:lineRule="exact"/>
              <w:rPr>
                <w:rFonts w:ascii="宋体"/>
                <w:szCs w:val="21"/>
              </w:rPr>
            </w:pPr>
          </w:p>
          <w:p>
            <w:pPr>
              <w:spacing w:line="320" w:lineRule="exact"/>
              <w:ind w:left="178" w:leftChars="85"/>
              <w:rPr>
                <w:rFonts w:ascii="宋体"/>
                <w:szCs w:val="21"/>
              </w:rPr>
            </w:pPr>
            <w:r>
              <w:rPr>
                <w:rFonts w:hint="eastAsia" w:ascii="宋体" w:hAnsi="宋体"/>
                <w:szCs w:val="21"/>
              </w:rPr>
              <w:t>评标委员会负责人（</w:t>
            </w:r>
            <w:r>
              <w:rPr>
                <w:rFonts w:hint="eastAsia" w:ascii="宋体" w:hAnsi="宋体" w:cs="Arial"/>
                <w:szCs w:val="21"/>
              </w:rPr>
              <w:t>手写签名</w:t>
            </w:r>
            <w:r>
              <w:rPr>
                <w:rFonts w:hint="eastAsia" w:ascii="宋体" w:hAnsi="宋体"/>
                <w:szCs w:val="21"/>
              </w:rPr>
              <w:t>）</w:t>
            </w:r>
          </w:p>
          <w:p>
            <w:pPr>
              <w:spacing w:line="320" w:lineRule="exact"/>
              <w:ind w:left="178" w:leftChars="85"/>
              <w:rPr>
                <w:rFonts w:ascii="宋体"/>
                <w:szCs w:val="21"/>
              </w:rPr>
            </w:pPr>
            <w:r>
              <w:rPr>
                <w:rFonts w:hint="eastAsia" w:ascii="宋体" w:hAnsi="宋体"/>
                <w:szCs w:val="21"/>
              </w:rPr>
              <w:t>评标委员会成员（</w:t>
            </w:r>
            <w:r>
              <w:rPr>
                <w:rFonts w:hint="eastAsia" w:ascii="宋体" w:hAnsi="宋体" w:cs="Arial"/>
                <w:szCs w:val="21"/>
              </w:rPr>
              <w:t>手写签名</w:t>
            </w:r>
            <w:r>
              <w:rPr>
                <w:rFonts w:hint="eastAsia" w:ascii="宋体" w:hAnsi="宋体"/>
                <w:szCs w:val="21"/>
              </w:rPr>
              <w:t>）</w:t>
            </w:r>
          </w:p>
          <w:p>
            <w:pPr>
              <w:spacing w:line="320" w:lineRule="exact"/>
              <w:ind w:left="178" w:leftChars="85"/>
              <w:jc w:val="right"/>
              <w:rPr>
                <w:rFonts w:ascii="宋体"/>
                <w:sz w:val="24"/>
                <w:szCs w:val="28"/>
              </w:rPr>
            </w:pPr>
            <w:r>
              <w:rPr>
                <w:rFonts w:hint="eastAsia"/>
              </w:rPr>
              <w:t>日</w:t>
            </w:r>
            <w:r>
              <w:t xml:space="preserve">  </w:t>
            </w:r>
            <w:r>
              <w:rPr>
                <w:rFonts w:hint="eastAsia"/>
              </w:rPr>
              <w:t>期：</w:t>
            </w:r>
            <w:r>
              <w:rPr>
                <w:u w:val="single"/>
              </w:rPr>
              <w:t xml:space="preserve">      </w:t>
            </w:r>
            <w:r>
              <w:rPr>
                <w:rFonts w:hint="eastAsia"/>
              </w:rPr>
              <w:t>年</w:t>
            </w:r>
            <w:r>
              <w:rPr>
                <w:b/>
              </w:rPr>
              <w:t xml:space="preserve"> </w:t>
            </w:r>
            <w:r>
              <w:rPr>
                <w:u w:val="single"/>
              </w:rPr>
              <w:t xml:space="preserve">    </w:t>
            </w:r>
            <w:r>
              <w:rPr>
                <w:rFonts w:hint="eastAsia"/>
              </w:rPr>
              <w:t>月</w:t>
            </w:r>
            <w:r>
              <w:rPr>
                <w:u w:val="single"/>
              </w:rPr>
              <w:t xml:space="preserve">    </w:t>
            </w:r>
            <w:r>
              <w:rPr>
                <w:rFonts w:hint="eastAsia"/>
              </w:rPr>
              <w:t>日</w:t>
            </w:r>
          </w:p>
        </w:tc>
      </w:tr>
    </w:tbl>
    <w:p>
      <w:pPr>
        <w:pStyle w:val="4"/>
      </w:pPr>
    </w:p>
    <w:p>
      <w:pPr>
        <w:pStyle w:val="4"/>
      </w:pPr>
    </w:p>
    <w:p>
      <w:pPr>
        <w:pStyle w:val="4"/>
      </w:pPr>
    </w:p>
    <w:p>
      <w:pPr>
        <w:pStyle w:val="4"/>
      </w:pPr>
    </w:p>
    <w:p>
      <w:pPr>
        <w:pStyle w:val="2"/>
        <w:spacing w:before="120" w:after="120" w:line="360" w:lineRule="auto"/>
        <w:ind w:left="431" w:right="46" w:rightChars="22" w:hanging="431"/>
        <w:rPr>
          <w:rFonts w:ascii="宋体" w:hAnsi="宋体" w:eastAsia="宋体"/>
          <w:b/>
          <w:sz w:val="48"/>
          <w:szCs w:val="48"/>
        </w:rPr>
      </w:pPr>
      <w:r>
        <w:rPr>
          <w:rFonts w:hint="eastAsia" w:ascii="宋体" w:hAnsi="宋体" w:eastAsia="宋体"/>
          <w:b/>
          <w:sz w:val="48"/>
          <w:szCs w:val="48"/>
        </w:rPr>
        <w:t>第四章</w:t>
      </w:r>
      <w:r>
        <w:rPr>
          <w:rFonts w:ascii="宋体" w:hAnsi="宋体" w:eastAsia="宋体"/>
          <w:b/>
          <w:sz w:val="48"/>
          <w:szCs w:val="48"/>
        </w:rPr>
        <w:t xml:space="preserve"> </w:t>
      </w:r>
      <w:r>
        <w:rPr>
          <w:rFonts w:hint="eastAsia" w:ascii="宋体" w:hAnsi="宋体" w:eastAsia="宋体"/>
          <w:b/>
          <w:sz w:val="48"/>
          <w:szCs w:val="48"/>
        </w:rPr>
        <w:t>合同条款及格式</w:t>
      </w:r>
      <w:bookmarkEnd w:id="214"/>
    </w:p>
    <w:p>
      <w:pPr>
        <w:spacing w:line="360" w:lineRule="auto"/>
        <w:jc w:val="left"/>
        <w:rPr>
          <w:rFonts w:ascii="宋体" w:hAnsi="宋体" w:cs="宋体"/>
          <w:bCs/>
          <w:sz w:val="30"/>
          <w:szCs w:val="30"/>
        </w:rPr>
      </w:pPr>
      <w:r>
        <w:rPr>
          <w:sz w:val="36"/>
        </w:rPr>
        <w:br w:type="page"/>
      </w:r>
      <w:bookmarkStart w:id="216" w:name="_Toc111482740"/>
      <w:bookmarkStart w:id="217" w:name="_Toc111482809"/>
      <w:r>
        <w:rPr>
          <w:rFonts w:hint="eastAsia" w:ascii="宋体" w:hAnsi="宋体" w:cs="宋体"/>
          <w:bCs/>
          <w:sz w:val="30"/>
          <w:szCs w:val="30"/>
        </w:rPr>
        <w:t>（GF—2020—2605）</w:t>
      </w:r>
    </w:p>
    <w:p>
      <w:pPr>
        <w:spacing w:line="360" w:lineRule="auto"/>
        <w:ind w:firstLine="482"/>
        <w:jc w:val="center"/>
        <w:rPr>
          <w:rFonts w:ascii="仿宋_GB2312" w:eastAsia="仿宋_GB2312"/>
          <w:b/>
          <w:sz w:val="24"/>
        </w:rPr>
      </w:pPr>
    </w:p>
    <w:p>
      <w:pPr>
        <w:spacing w:line="360" w:lineRule="auto"/>
        <w:jc w:val="left"/>
        <w:rPr>
          <w:rFonts w:eastAsia="仿宋_GB2312"/>
          <w:bCs/>
          <w:sz w:val="32"/>
          <w:szCs w:val="32"/>
        </w:rPr>
      </w:pPr>
    </w:p>
    <w:p>
      <w:pPr>
        <w:spacing w:line="360" w:lineRule="auto"/>
        <w:jc w:val="center"/>
        <w:rPr>
          <w:rFonts w:eastAsia="华文中宋"/>
          <w:b/>
          <w:sz w:val="52"/>
          <w:szCs w:val="52"/>
        </w:rPr>
      </w:pPr>
    </w:p>
    <w:p>
      <w:pPr>
        <w:spacing w:line="360" w:lineRule="auto"/>
        <w:jc w:val="center"/>
        <w:rPr>
          <w:rFonts w:eastAsia="华文中宋"/>
          <w:b/>
          <w:sz w:val="52"/>
          <w:szCs w:val="52"/>
        </w:rPr>
      </w:pPr>
    </w:p>
    <w:p>
      <w:pPr>
        <w:spacing w:line="360" w:lineRule="auto"/>
        <w:jc w:val="center"/>
        <w:rPr>
          <w:b/>
          <w:sz w:val="44"/>
          <w:szCs w:val="44"/>
        </w:rPr>
      </w:pPr>
      <w:r>
        <w:rPr>
          <w:rFonts w:hint="eastAsia"/>
          <w:b/>
          <w:sz w:val="44"/>
          <w:szCs w:val="44"/>
        </w:rPr>
        <w:t>园林绿化工程施工合同示范文本（试行）</w:t>
      </w:r>
    </w:p>
    <w:p>
      <w:pPr>
        <w:spacing w:line="360" w:lineRule="auto"/>
        <w:jc w:val="center"/>
        <w:rPr>
          <w:rFonts w:eastAsia="华文中宋"/>
          <w:b/>
          <w:sz w:val="52"/>
          <w:szCs w:val="52"/>
        </w:rPr>
      </w:pPr>
    </w:p>
    <w:p>
      <w:pPr>
        <w:spacing w:line="360" w:lineRule="auto"/>
        <w:jc w:val="center"/>
        <w:rPr>
          <w:rFonts w:eastAsia="华文中宋"/>
          <w:b/>
          <w:sz w:val="52"/>
          <w:szCs w:val="52"/>
        </w:rPr>
      </w:pPr>
    </w:p>
    <w:p>
      <w:pPr>
        <w:spacing w:line="360" w:lineRule="auto"/>
        <w:jc w:val="center"/>
        <w:rPr>
          <w:rFonts w:eastAsia="华文中宋"/>
          <w:b/>
          <w:sz w:val="52"/>
          <w:szCs w:val="52"/>
        </w:rPr>
      </w:pPr>
    </w:p>
    <w:p>
      <w:pPr>
        <w:spacing w:line="360" w:lineRule="auto"/>
        <w:jc w:val="center"/>
        <w:rPr>
          <w:rFonts w:eastAsia="华文中宋"/>
          <w:b/>
          <w:sz w:val="52"/>
          <w:szCs w:val="52"/>
        </w:rPr>
      </w:pPr>
    </w:p>
    <w:p>
      <w:pPr>
        <w:spacing w:line="360" w:lineRule="auto"/>
        <w:jc w:val="center"/>
        <w:rPr>
          <w:rFonts w:eastAsia="黑体"/>
          <w:b/>
          <w:sz w:val="52"/>
          <w:szCs w:val="52"/>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p>
    <w:p>
      <w:pPr>
        <w:spacing w:line="360" w:lineRule="auto"/>
        <w:rPr>
          <w:b/>
          <w:sz w:val="28"/>
          <w:szCs w:val="28"/>
        </w:rPr>
      </w:pPr>
      <w:r>
        <mc:AlternateContent>
          <mc:Choice Requires="wps">
            <w:drawing>
              <wp:anchor distT="0" distB="0" distL="114300" distR="114300" simplePos="0" relativeHeight="251666432" behindDoc="0" locked="0" layoutInCell="1" allowOverlap="1">
                <wp:simplePos x="0" y="0"/>
                <wp:positionH relativeFrom="column">
                  <wp:posOffset>875030</wp:posOffset>
                </wp:positionH>
                <wp:positionV relativeFrom="paragraph">
                  <wp:posOffset>339725</wp:posOffset>
                </wp:positionV>
                <wp:extent cx="3467735" cy="904240"/>
                <wp:effectExtent l="4445" t="4445" r="13970" b="5715"/>
                <wp:wrapNone/>
                <wp:docPr id="23" name="文本框 23"/>
                <wp:cNvGraphicFramePr/>
                <a:graphic xmlns:a="http://schemas.openxmlformats.org/drawingml/2006/main">
                  <a:graphicData uri="http://schemas.microsoft.com/office/word/2010/wordprocessingShape">
                    <wps:wsp>
                      <wps:cNvSpPr txBox="true"/>
                      <wps:spPr>
                        <a:xfrm>
                          <a:off x="0" y="0"/>
                          <a:ext cx="3467735" cy="904240"/>
                        </a:xfrm>
                        <a:prstGeom prst="rect">
                          <a:avLst/>
                        </a:prstGeom>
                        <a:noFill/>
                        <a:ln w="9525" cap="flat" cmpd="sng">
                          <a:solidFill>
                            <a:srgbClr val="FFFFFF"/>
                          </a:solidFill>
                          <a:prstDash val="solid"/>
                          <a:miter/>
                          <a:headEnd type="none" w="med" len="med"/>
                          <a:tailEnd type="none" w="med" len="med"/>
                        </a:ln>
                        <a:effectLst/>
                      </wps:spPr>
                      <wps:txbx>
                        <w:txbxContent>
                          <w:p>
                            <w:pPr>
                              <w:jc w:val="distribute"/>
                              <w:rPr>
                                <w:b/>
                                <w:bCs/>
                                <w:sz w:val="28"/>
                              </w:rPr>
                            </w:pPr>
                            <w:r>
                              <w:rPr>
                                <w:rFonts w:hint="eastAsia"/>
                                <w:b/>
                                <w:bCs/>
                                <w:sz w:val="28"/>
                              </w:rPr>
                              <w:t>中华人民共和国住房和城乡建设部</w:t>
                            </w:r>
                          </w:p>
                          <w:p>
                            <w:pPr>
                              <w:jc w:val="distribute"/>
                              <w:rPr>
                                <w:b/>
                                <w:bCs/>
                                <w:sz w:val="28"/>
                              </w:rPr>
                            </w:pPr>
                            <w:r>
                              <w:rPr>
                                <w:rFonts w:hint="eastAsia"/>
                                <w:b/>
                                <w:bCs/>
                                <w:sz w:val="28"/>
                              </w:rPr>
                              <w:t>国家市场监督管理总局</w:t>
                            </w:r>
                          </w:p>
                        </w:txbxContent>
                      </wps:txbx>
                      <wps:bodyPr wrap="square" upright="true"/>
                    </wps:wsp>
                  </a:graphicData>
                </a:graphic>
              </wp:anchor>
            </w:drawing>
          </mc:Choice>
          <mc:Fallback>
            <w:pict>
              <v:shape id="_x0000_s1026" o:spid="_x0000_s1026" o:spt="202" type="#_x0000_t202" style="position:absolute;left:0pt;margin-left:68.9pt;margin-top:26.75pt;height:71.2pt;width:273.05pt;z-index:251666432;mso-width-relative:page;mso-height-relative:page;" filled="f" stroked="t" coordsize="21600,21600" o:gfxdata="UEsFBgAAAAAAAAAAAAAAAAAAAAAAAFBLAwQKAAAAAACHTuJAAAAAAAAAAAAAAAAABAAAAGRycy9Q&#10;SwMEFAAAAAgAh07iQIZ9FA3ZAAAACgEAAA8AAABkcnMvZG93bnJldi54bWxNj8FOwzAQRO9I/IO1&#10;SFwq6pSQkIQ4PSBx4FCgpR/gxiYO2OsodpLy9ywnOI5mNPOm3p6dZbMeQ+9RwGadANPYetVjJ+D4&#10;/nRTAAtRopLWoxbwrQNsm8uLWlbKL7jX8yF2jEowVFKAiXGoOA+t0U6GtR80kvfhRycjybHjapQL&#10;lTvLb5Mk5072SAtGDvrR6PbrMDkB+2fztsK73c4qPuefx5fpdSlWQlxfbZIHYFGf418YfvEJHRpi&#10;OvkJVWCWdHpP6FFAlmbAKJAXaQnsRE6ZlcCbmv+/0PwAUEsDBBQAAAAIAIdO4kC3DRXr/wEAAOMD&#10;AAAOAAAAZHJzL2Uyb0RvYy54bWytU0uOEzEQ3SNxB8t70pkkMwNROiNBCBsESAMHcOzqbkv+UXbS&#10;nQvADVixYc+5cg7KzocBNgjRC3fZ9fyqXlV5cTdYw3aAUXtX86vRmDNw0ivt2pp/eL9+8pSzmIRT&#10;wngHNd9D5HfLx48WfZjDxHfeKEBGJC7O+1DzLqUwr6ooO7AijnwAR87GoxWJtthWCkVP7NZUk/H4&#10;puo9qoBeQox0ujo6+bLwNw3I9LZpIiRmak65pbJiWTd5rZYLMW9RhE7LUxriH7KwQjsKeqFaiSTY&#10;FvUfVFZL9NE3aSS9rXzTaAlFA6m5Gv+m5r4TAYoWKk4MlzLF/0cr3+zeIdOq5pMpZ05Y6tHhy+fD&#10;1++Hb58YnVGB+hDnhLsPhEzDcz/UPOEWzq5I51n60KDNfxLFCELV3l8qDENikg6ns5vb2+k1Z5J8&#10;z8azyay0oPp5O2BMr8Bblo2aI3WwFFbsXsdEyRD0DMnBnF9rY0oXjWM9kV5PMr2gWWqMSGTaQOqi&#10;awtN9EarfCVfjthuXhhkO0HTsS5fFkUhfoHleCsRuyOuuI5zY3UCLLE7EOqlUyztAxXQ0ajznIwF&#10;xZkBehnZKsgktPkbJCVhXE4SyhSfxOdWHOudrTRsBiLN5sarPbWnp0kmsR+3AimDbUDddlTFc7uq&#10;DKVJKhpPU59H9eGe7Idvc/k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hn0UDdkAAAAKAQAADwAA&#10;AAAAAAABACAAAAA4AAAAZHJzL2Rvd25yZXYueG1sUEsBAhQAFAAAAAgAh07iQLcNFev/AQAA4wMA&#10;AA4AAAAAAAAAAQAgAAAAPgEAAGRycy9lMm9Eb2MueG1sUEsFBgAAAAAGAAYAWQEAAK8FAAAAAA==&#10;">
                <v:fill on="f" focussize="0,0"/>
                <v:stroke color="#FFFFFF" joinstyle="miter"/>
                <v:imagedata o:title=""/>
                <o:lock v:ext="edit" aspectratio="f"/>
                <v:textbox>
                  <w:txbxContent>
                    <w:p>
                      <w:pPr>
                        <w:jc w:val="distribute"/>
                        <w:rPr>
                          <w:b/>
                          <w:bCs/>
                          <w:sz w:val="28"/>
                        </w:rPr>
                      </w:pPr>
                      <w:r>
                        <w:rPr>
                          <w:rFonts w:hint="eastAsia"/>
                          <w:b/>
                          <w:bCs/>
                          <w:sz w:val="28"/>
                        </w:rPr>
                        <w:t>中华人民共和国住房和城乡建设部</w:t>
                      </w:r>
                    </w:p>
                    <w:p>
                      <w:pPr>
                        <w:jc w:val="distribute"/>
                        <w:rPr>
                          <w:b/>
                          <w:bCs/>
                          <w:sz w:val="28"/>
                        </w:rPr>
                      </w:pPr>
                      <w:r>
                        <w:rPr>
                          <w:rFonts w:hint="eastAsia"/>
                          <w:b/>
                          <w:bCs/>
                          <w:sz w:val="28"/>
                        </w:rPr>
                        <w:t>国家市场监督管理总局</w:t>
                      </w:r>
                    </w:p>
                  </w:txbxContent>
                </v:textbox>
              </v:shape>
            </w:pict>
          </mc:Fallback>
        </mc:AlternateContent>
      </w:r>
    </w:p>
    <w:p>
      <w:pPr>
        <w:spacing w:line="360" w:lineRule="auto"/>
        <w:ind w:right="2719" w:rightChars="1295" w:firstLine="2738" w:firstLineChars="1304"/>
        <w:jc w:val="distribute"/>
        <w:rPr>
          <w:b/>
          <w:sz w:val="32"/>
          <w:szCs w:val="28"/>
        </w:rPr>
      </w:pPr>
      <w:r>
        <mc:AlternateContent>
          <mc:Choice Requires="wps">
            <w:drawing>
              <wp:anchor distT="0" distB="0" distL="114300" distR="114300" simplePos="0" relativeHeight="251661312" behindDoc="0" locked="0" layoutInCell="1" allowOverlap="1">
                <wp:simplePos x="0" y="0"/>
                <wp:positionH relativeFrom="column">
                  <wp:posOffset>4360545</wp:posOffset>
                </wp:positionH>
                <wp:positionV relativeFrom="paragraph">
                  <wp:posOffset>129540</wp:posOffset>
                </wp:positionV>
                <wp:extent cx="723900" cy="457200"/>
                <wp:effectExtent l="4445" t="4445" r="14605" b="14605"/>
                <wp:wrapNone/>
                <wp:docPr id="22" name="文本框 22"/>
                <wp:cNvGraphicFramePr/>
                <a:graphic xmlns:a="http://schemas.openxmlformats.org/drawingml/2006/main">
                  <a:graphicData uri="http://schemas.microsoft.com/office/word/2010/wordprocessingShape">
                    <wps:wsp>
                      <wps:cNvSpPr txBox="true"/>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pPr>
                              <w:rPr>
                                <w:b/>
                                <w:bCs/>
                                <w:sz w:val="28"/>
                              </w:rPr>
                            </w:pPr>
                            <w:r>
                              <w:rPr>
                                <w:rFonts w:hint="eastAsia"/>
                                <w:b/>
                                <w:bCs/>
                                <w:sz w:val="28"/>
                              </w:rPr>
                              <w:t>制定</w:t>
                            </w:r>
                          </w:p>
                        </w:txbxContent>
                      </wps:txbx>
                      <wps:bodyPr wrap="square" upright="true"/>
                    </wps:wsp>
                  </a:graphicData>
                </a:graphic>
              </wp:anchor>
            </w:drawing>
          </mc:Choice>
          <mc:Fallback>
            <w:pict>
              <v:shape id="_x0000_s1026" o:spid="_x0000_s1026" o:spt="202" type="#_x0000_t202" style="position:absolute;left:0pt;margin-left:343.35pt;margin-top:10.2pt;height:36pt;width:57pt;z-index:251661312;mso-width-relative:page;mso-height-relative:page;" filled="f" stroked="t" coordsize="21600,21600" o:gfxdata="UEsFBgAAAAAAAAAAAAAAAAAAAAAAAFBLAwQKAAAAAACHTuJAAAAAAAAAAAAAAAAABAAAAGRycy9Q&#10;SwMEFAAAAAgAh07iQCBC8+HYAAAACQEAAA8AAABkcnMvZG93bnJldi54bWxNj0FOwzAQRfdI3MEa&#10;JDYVtRtFIYQ4XSCxYFGgpQdwYxMH7HEUO0m5PcOKLmfm6c/79fbsHZvNGPuAEjZrAcxgG3SPnYTj&#10;x/NdCSwmhVq5gEbCj4mwba6valXpsODezIfUMQrBWCkJNqWh4jy21ngV12EwSLfPMHqVaBw7rke1&#10;ULh3PBOi4F71SB+sGsyTNe33YfIS9i/2fYX5buc0n4uv4+v0tpQrKW9vNuIRWDLn9A/Dnz6pQ0NO&#10;pzChjsxJKMrinlAJmciBEVAKQYuThIcsB97U/LJB8wtQSwMEFAAAAAgAh07iQB3SLrj7AQAA4gMA&#10;AA4AAABkcnMvZTJvRG9jLnhtbK1TS47UMBDdI3EHy3s6mUAzTNTpkaBpNgiQBg5Q7U9iyT9sdyd9&#10;AbgBKzbsOVefg7L7wwAbhMjCqbien+u9qixuJ6PJToSonO3o1aymRFjmuLJ9Rz+8Xz96RklMYDlo&#10;Z0VH9yLS2+XDB4vRt6Jxg9NcBIIkNraj7+iQkm+rKrJBGIgz54XFpHTBQMLP0Fc8wIjsRldNXT+t&#10;Rhe4D46JGHF3dUzSZeGXUrD0VsooEtEdxdpSWUNZN3mtlgto+wB+UOxUBvxDFQaUxUsvVCtIQLZB&#10;/UFlFAsuOplmzJnKSamYKBpQzVX9m5q7AbwoWtCc6C82xf9Hy97s3gWieEebhhILBnt0+PL58PX7&#10;4dsngnto0Ohji7g7j8g0PXdTR1PYinMq4n6WPslg8htFEYSg2/uLw2JKhOHmdfP4psYMw9ST+TV2&#10;MLNUPw/7ENMr4QzJQUcDNrD4CrvXMR2hZ0i+y7q10ro0UVsydvRm3syRHnCUpIaEofEoLtq+0ESn&#10;Fc9H8uEY+s0LHcgOcDjW5TlV8wss37eCOBxxJZVh0BqVRCjRIIC/tJykvUf/LE46zcUYwSnRAn+M&#10;HBVkAqX/BomWaJsvEWWIT+JzJ4525yhNmwlJc7hxfI/dGXGQUezHLQSsYOuD6gd08dytKkNxkIrj&#10;p6HPk3r/G+P7v+by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CBC8+HYAAAACQEAAA8AAAAAAAAA&#10;AQAgAAAAOAAAAGRycy9kb3ducmV2LnhtbFBLAQIUABQAAAAIAIdO4kAd0i64+wEAAOIDAAAOAAAA&#10;AAAAAAEAIAAAAD0BAABkcnMvZTJvRG9jLnhtbFBLBQYAAAAABgAGAFkBAACqBQAAAAA=&#10;">
                <v:fill on="f" focussize="0,0"/>
                <v:stroke color="#FFFFFF" joinstyle="miter"/>
                <v:imagedata o:title=""/>
                <o:lock v:ext="edit" aspectratio="f"/>
                <v:textbox>
                  <w:txbxContent>
                    <w:p>
                      <w:pPr>
                        <w:rPr>
                          <w:b/>
                          <w:bCs/>
                          <w:sz w:val="28"/>
                        </w:rPr>
                      </w:pPr>
                      <w:r>
                        <w:rPr>
                          <w:rFonts w:hint="eastAsia"/>
                          <w:b/>
                          <w:bCs/>
                          <w:sz w:val="28"/>
                        </w:rPr>
                        <w:t>制定</w:t>
                      </w:r>
                    </w:p>
                  </w:txbxContent>
                </v:textbox>
              </v:shape>
            </w:pict>
          </mc:Fallback>
        </mc:AlternateContent>
      </w:r>
    </w:p>
    <w:p>
      <w:pPr>
        <w:snapToGrid w:val="0"/>
        <w:jc w:val="center"/>
        <w:rPr>
          <w:rFonts w:ascii="华文中宋" w:hAnsi="华文中宋" w:eastAsia="华文中宋"/>
          <w:b/>
          <w:sz w:val="44"/>
          <w:szCs w:val="44"/>
        </w:rPr>
        <w:sectPr>
          <w:headerReference r:id="rId14" w:type="first"/>
          <w:footerReference r:id="rId17" w:type="first"/>
          <w:headerReference r:id="rId12" w:type="default"/>
          <w:footerReference r:id="rId15" w:type="default"/>
          <w:headerReference r:id="rId13" w:type="even"/>
          <w:footerReference r:id="rId16" w:type="even"/>
          <w:pgSz w:w="11906" w:h="16838"/>
          <w:pgMar w:top="2098" w:right="1757" w:bottom="1984" w:left="1757" w:header="851" w:footer="992" w:gutter="0"/>
          <w:cols w:space="720" w:num="1"/>
          <w:titlePg/>
          <w:docGrid w:type="lines" w:linePitch="312" w:charSpace="0"/>
        </w:sectPr>
      </w:pPr>
      <w:bookmarkStart w:id="218" w:name="_Toc296890982"/>
      <w:bookmarkStart w:id="219" w:name="_Toc296503025"/>
    </w:p>
    <w:p>
      <w:pPr>
        <w:snapToGrid w:val="0"/>
        <w:spacing w:after="312" w:afterLines="100"/>
        <w:jc w:val="center"/>
        <w:rPr>
          <w:rFonts w:ascii="仿宋" w:hAnsi="仿宋" w:eastAsia="仿宋" w:cs="仿宋"/>
          <w:b/>
          <w:sz w:val="32"/>
          <w:szCs w:val="32"/>
        </w:rPr>
      </w:pPr>
      <w:r>
        <w:rPr>
          <w:rFonts w:hint="eastAsia" w:ascii="仿宋" w:hAnsi="仿宋" w:eastAsia="仿宋"/>
          <w:b/>
          <w:sz w:val="32"/>
          <w:szCs w:val="32"/>
        </w:rPr>
        <w:t>说   明</w:t>
      </w:r>
    </w:p>
    <w:p>
      <w:pPr>
        <w:ind w:firstLine="600"/>
        <w:rPr>
          <w:rFonts w:eastAsia="仿宋_GB2312"/>
          <w:bCs/>
          <w:sz w:val="32"/>
          <w:szCs w:val="30"/>
        </w:rPr>
      </w:pPr>
      <w:r>
        <w:rPr>
          <w:rFonts w:hint="eastAsia" w:ascii="仿宋_GB2312" w:eastAsia="仿宋_GB2312"/>
          <w:sz w:val="32"/>
          <w:szCs w:val="30"/>
        </w:rPr>
        <w:t>为指导园林绿化工程施工合同当事人的签约行为，维护合同当事人的合法权益，依据《中华人民共和国民法典》《中华人民共和国建筑法》《中华人民共和国招标投标法》以及相关法律法规，住房和城乡建设部、市场监管总局组织编制了《园林绿化工程施工合同示范文本（试行）》</w:t>
      </w:r>
      <w:r>
        <w:rPr>
          <w:rFonts w:hint="eastAsia" w:eastAsia="仿宋_GB2312"/>
          <w:bCs/>
          <w:sz w:val="32"/>
          <w:szCs w:val="30"/>
        </w:rPr>
        <w:t>（</w:t>
      </w:r>
      <w:r>
        <w:rPr>
          <w:rFonts w:hint="eastAsia" w:ascii="仿宋" w:hAnsi="仿宋" w:eastAsia="仿宋" w:cs="仿宋"/>
          <w:bCs/>
          <w:sz w:val="32"/>
          <w:szCs w:val="30"/>
        </w:rPr>
        <w:t>GF—2020—2605</w:t>
      </w:r>
      <w:r>
        <w:rPr>
          <w:rFonts w:hint="eastAsia" w:eastAsia="仿宋_GB2312"/>
          <w:bCs/>
          <w:sz w:val="32"/>
          <w:szCs w:val="30"/>
        </w:rPr>
        <w:t>）（以下简称《合同示范文本》）。为便于合同当事人使用，现就有关问题说明如下：</w:t>
      </w:r>
    </w:p>
    <w:p>
      <w:pPr>
        <w:ind w:firstLine="642" w:firstLineChars="200"/>
        <w:rPr>
          <w:rFonts w:ascii="仿宋" w:hAnsi="仿宋" w:eastAsia="仿宋" w:cs="黑体"/>
          <w:b/>
          <w:bCs/>
          <w:sz w:val="32"/>
          <w:szCs w:val="30"/>
        </w:rPr>
      </w:pPr>
      <w:r>
        <w:rPr>
          <w:rFonts w:hint="eastAsia" w:ascii="仿宋" w:hAnsi="仿宋" w:eastAsia="仿宋" w:cs="黑体"/>
          <w:b/>
          <w:bCs/>
          <w:sz w:val="32"/>
          <w:szCs w:val="30"/>
        </w:rPr>
        <w:t>一、《合同示范文本》的组成</w:t>
      </w:r>
    </w:p>
    <w:p>
      <w:pPr>
        <w:ind w:firstLine="600"/>
        <w:rPr>
          <w:rFonts w:eastAsia="仿宋_GB2312"/>
          <w:bCs/>
          <w:sz w:val="32"/>
          <w:szCs w:val="30"/>
        </w:rPr>
      </w:pPr>
      <w:r>
        <w:rPr>
          <w:rFonts w:hint="eastAsia" w:eastAsia="仿宋_GB2312"/>
          <w:bCs/>
          <w:sz w:val="32"/>
          <w:szCs w:val="30"/>
        </w:rPr>
        <w:t>《合同示范文本》由合同协议书、通用合同条款和专用合同条款三部分组成。</w:t>
      </w:r>
    </w:p>
    <w:p>
      <w:pPr>
        <w:numPr>
          <w:ilvl w:val="0"/>
          <w:numId w:val="8"/>
        </w:numPr>
        <w:ind w:left="432" w:hanging="432"/>
        <w:rPr>
          <w:rFonts w:eastAsia="仿宋_GB2312"/>
          <w:bCs/>
          <w:sz w:val="32"/>
          <w:szCs w:val="30"/>
        </w:rPr>
      </w:pPr>
      <w:r>
        <w:rPr>
          <w:rFonts w:hint="eastAsia" w:eastAsia="仿宋_GB2312"/>
          <w:bCs/>
          <w:sz w:val="32"/>
          <w:szCs w:val="30"/>
        </w:rPr>
        <w:t>合同协议书</w:t>
      </w:r>
    </w:p>
    <w:p>
      <w:pPr>
        <w:ind w:firstLine="600"/>
        <w:rPr>
          <w:rFonts w:eastAsia="仿宋_GB2312"/>
          <w:bCs/>
          <w:sz w:val="32"/>
          <w:szCs w:val="30"/>
        </w:rPr>
      </w:pPr>
      <w:r>
        <w:rPr>
          <w:rFonts w:hint="eastAsia" w:eastAsia="仿宋_GB2312"/>
          <w:bCs/>
          <w:sz w:val="32"/>
          <w:szCs w:val="30"/>
        </w:rPr>
        <w:t>合同协议书共计</w:t>
      </w:r>
      <w:r>
        <w:rPr>
          <w:rFonts w:hint="eastAsia" w:ascii="仿宋" w:hAnsi="仿宋" w:eastAsia="仿宋" w:cs="仿宋"/>
          <w:bCs/>
          <w:sz w:val="32"/>
          <w:szCs w:val="30"/>
        </w:rPr>
        <w:t>16</w:t>
      </w:r>
      <w:r>
        <w:rPr>
          <w:rFonts w:hint="eastAsia" w:eastAsia="仿宋_GB2312"/>
          <w:bCs/>
          <w:sz w:val="32"/>
          <w:szCs w:val="30"/>
        </w:rPr>
        <w:t>条，主要包括：工程概况、合同工期、质量标准、签约合同价与合同价格形式、</w:t>
      </w:r>
      <w:r>
        <w:rPr>
          <w:rFonts w:hint="eastAsia" w:ascii="仿宋_GB2312" w:hAnsi="仿宋_GB2312" w:eastAsia="仿宋_GB2312" w:cs="仿宋_GB2312"/>
          <w:bCs/>
          <w:sz w:val="32"/>
          <w:szCs w:val="30"/>
        </w:rPr>
        <w:t>承包人项目负责人、</w:t>
      </w:r>
      <w:r>
        <w:rPr>
          <w:rFonts w:hint="eastAsia" w:eastAsia="仿宋_GB2312"/>
          <w:bCs/>
          <w:sz w:val="32"/>
          <w:szCs w:val="30"/>
        </w:rPr>
        <w:t>预付款、绿化种植及养护要求、其他要求、合同文件构成、</w:t>
      </w:r>
      <w:r>
        <w:rPr>
          <w:rFonts w:hint="eastAsia" w:ascii="仿宋_GB2312" w:eastAsia="仿宋_GB2312"/>
          <w:sz w:val="32"/>
          <w:szCs w:val="30"/>
        </w:rPr>
        <w:t>承诺以及合同生效条件等重要内容，集中约定了合同当事人基本的合同权利义务。</w:t>
      </w:r>
    </w:p>
    <w:p>
      <w:pPr>
        <w:numPr>
          <w:ilvl w:val="0"/>
          <w:numId w:val="8"/>
        </w:numPr>
        <w:ind w:left="432" w:firstLine="640" w:firstLineChars="200"/>
        <w:rPr>
          <w:rFonts w:eastAsia="仿宋_GB2312"/>
          <w:bCs/>
          <w:sz w:val="32"/>
          <w:szCs w:val="30"/>
        </w:rPr>
      </w:pPr>
      <w:r>
        <w:rPr>
          <w:rFonts w:hint="eastAsia" w:eastAsia="仿宋_GB2312"/>
          <w:bCs/>
          <w:sz w:val="32"/>
          <w:szCs w:val="30"/>
        </w:rPr>
        <w:t>通用合同条款</w:t>
      </w:r>
    </w:p>
    <w:p>
      <w:pPr>
        <w:ind w:firstLine="640" w:firstLineChars="200"/>
        <w:rPr>
          <w:rFonts w:eastAsia="仿宋_GB2312"/>
          <w:sz w:val="32"/>
          <w:szCs w:val="30"/>
        </w:rPr>
      </w:pPr>
      <w:r>
        <w:rPr>
          <w:rFonts w:hint="eastAsia" w:eastAsia="仿宋_GB2312"/>
          <w:sz w:val="32"/>
          <w:szCs w:val="30"/>
        </w:rPr>
        <w:t>通用合同条款共计</w:t>
      </w:r>
      <w:r>
        <w:rPr>
          <w:rFonts w:hint="eastAsia" w:ascii="仿宋" w:hAnsi="仿宋" w:eastAsia="仿宋" w:cs="仿宋"/>
          <w:bCs/>
          <w:sz w:val="32"/>
          <w:szCs w:val="30"/>
        </w:rPr>
        <w:t>20</w:t>
      </w:r>
      <w:r>
        <w:rPr>
          <w:rFonts w:hint="eastAsia" w:eastAsia="仿宋_GB2312"/>
          <w:sz w:val="32"/>
          <w:szCs w:val="30"/>
        </w:rPr>
        <w:t>条，采用《建设工程施工合同（示范文本）》（</w:t>
      </w:r>
      <w:r>
        <w:rPr>
          <w:rFonts w:hint="eastAsia" w:ascii="仿宋" w:hAnsi="仿宋" w:eastAsia="仿宋" w:cs="仿宋"/>
          <w:bCs/>
          <w:sz w:val="32"/>
          <w:szCs w:val="30"/>
        </w:rPr>
        <w:t>GF-2017-0201</w:t>
      </w:r>
      <w:r>
        <w:rPr>
          <w:rFonts w:hint="eastAsia" w:eastAsia="仿宋_GB2312"/>
          <w:sz w:val="32"/>
          <w:szCs w:val="30"/>
        </w:rPr>
        <w:t>）的“通用合同条款”。</w:t>
      </w:r>
    </w:p>
    <w:p>
      <w:pPr>
        <w:ind w:firstLine="640" w:firstLineChars="200"/>
        <w:rPr>
          <w:rFonts w:ascii="仿宋_GB2312" w:eastAsia="仿宋_GB2312"/>
          <w:sz w:val="32"/>
          <w:szCs w:val="30"/>
        </w:rPr>
      </w:pPr>
      <w:bookmarkStart w:id="220" w:name="_Toc24841"/>
      <w:r>
        <w:rPr>
          <w:rFonts w:hint="eastAsia" w:ascii="仿宋_GB2312" w:eastAsia="仿宋_GB2312"/>
          <w:sz w:val="32"/>
          <w:szCs w:val="30"/>
        </w:rPr>
        <w:t>（三）专用合同条款</w:t>
      </w:r>
      <w:bookmarkEnd w:id="220"/>
    </w:p>
    <w:p>
      <w:pPr>
        <w:ind w:firstLine="640" w:firstLineChars="200"/>
        <w:rPr>
          <w:rFonts w:ascii="仿宋_GB2312" w:eastAsia="仿宋_GB2312"/>
          <w:sz w:val="32"/>
          <w:szCs w:val="30"/>
        </w:rPr>
      </w:pPr>
      <w:r>
        <w:rPr>
          <w:rFonts w:hint="eastAsia" w:eastAsia="仿宋_GB2312"/>
          <w:sz w:val="32"/>
          <w:szCs w:val="30"/>
        </w:rPr>
        <w:t>专用合同条款共计</w:t>
      </w:r>
      <w:r>
        <w:rPr>
          <w:rFonts w:hint="eastAsia" w:ascii="仿宋" w:hAnsi="仿宋" w:eastAsia="仿宋" w:cs="仿宋"/>
          <w:bCs/>
          <w:sz w:val="32"/>
          <w:szCs w:val="30"/>
        </w:rPr>
        <w:t>20</w:t>
      </w:r>
      <w:r>
        <w:rPr>
          <w:rFonts w:hint="eastAsia" w:eastAsia="仿宋_GB2312"/>
          <w:sz w:val="32"/>
          <w:szCs w:val="30"/>
        </w:rPr>
        <w:t>条，是对通用合同</w:t>
      </w:r>
      <w:r>
        <w:rPr>
          <w:rFonts w:hint="eastAsia" w:ascii="仿宋_GB2312" w:eastAsia="仿宋_GB2312"/>
          <w:sz w:val="32"/>
          <w:szCs w:val="30"/>
        </w:rPr>
        <w:t>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pPr>
        <w:ind w:right="25" w:rightChars="12" w:firstLine="640" w:firstLineChars="200"/>
        <w:rPr>
          <w:rFonts w:ascii="仿宋_GB2312" w:eastAsia="仿宋_GB2312"/>
          <w:sz w:val="32"/>
          <w:szCs w:val="30"/>
        </w:rPr>
      </w:pPr>
      <w:r>
        <w:rPr>
          <w:rFonts w:hint="eastAsia" w:ascii="仿宋_GB2312" w:eastAsia="仿宋_GB2312"/>
          <w:sz w:val="32"/>
          <w:szCs w:val="30"/>
        </w:rPr>
        <w:t>1.专用合同条款的编号应与相应的通用合同条款的编号一致；</w:t>
      </w:r>
    </w:p>
    <w:p>
      <w:pPr>
        <w:ind w:firstLine="640" w:firstLineChars="200"/>
        <w:rPr>
          <w:rFonts w:ascii="仿宋_GB2312" w:eastAsia="仿宋_GB2312"/>
          <w:sz w:val="32"/>
          <w:szCs w:val="30"/>
        </w:rPr>
      </w:pPr>
      <w:r>
        <w:rPr>
          <w:rFonts w:hint="eastAsia" w:ascii="仿宋_GB2312" w:eastAsia="仿宋_GB2312"/>
          <w:sz w:val="32"/>
          <w:szCs w:val="30"/>
        </w:rPr>
        <w:t>2.合同当事人可以通过对专用合同条款的修改，满足具体建设工程的特殊要求，避免直接修改通用合同条款；</w:t>
      </w:r>
    </w:p>
    <w:p>
      <w:pPr>
        <w:ind w:firstLine="640" w:firstLineChars="200"/>
        <w:rPr>
          <w:rFonts w:eastAsia="仿宋_GB2312"/>
          <w:sz w:val="32"/>
          <w:szCs w:val="30"/>
        </w:rPr>
      </w:pPr>
      <w:r>
        <w:rPr>
          <w:rFonts w:hint="eastAsia" w:ascii="仿宋_GB2312" w:eastAsia="仿宋_GB2312"/>
          <w:sz w:val="32"/>
          <w:szCs w:val="30"/>
        </w:rPr>
        <w:t>3.在专用合同条款中有横道线的地方，合同当事人可针对相应的通用合同条款进行细化、完善、补充、修改或另行约定；如无细化、完善、补充、修改或另行约定，则填写“无”或划“/”。</w:t>
      </w:r>
    </w:p>
    <w:p>
      <w:pPr>
        <w:ind w:firstLine="642" w:firstLineChars="200"/>
        <w:rPr>
          <w:rFonts w:ascii="仿宋" w:hAnsi="仿宋" w:eastAsia="仿宋"/>
          <w:b/>
          <w:sz w:val="32"/>
          <w:szCs w:val="30"/>
        </w:rPr>
      </w:pPr>
      <w:bookmarkStart w:id="221" w:name="_Toc22393"/>
      <w:r>
        <w:rPr>
          <w:rFonts w:hint="eastAsia" w:ascii="仿宋" w:hAnsi="仿宋" w:eastAsia="仿宋"/>
          <w:b/>
          <w:bCs/>
          <w:sz w:val="32"/>
          <w:szCs w:val="30"/>
        </w:rPr>
        <w:t>二、《合同示范文本》的性质和适用范围</w:t>
      </w:r>
      <w:bookmarkEnd w:id="221"/>
    </w:p>
    <w:p>
      <w:pPr>
        <w:ind w:firstLine="640" w:firstLineChars="200"/>
        <w:rPr>
          <w:rFonts w:ascii="仿宋_GB2312" w:eastAsia="仿宋_GB2312"/>
          <w:sz w:val="32"/>
          <w:szCs w:val="30"/>
        </w:rPr>
      </w:pPr>
      <w:r>
        <w:rPr>
          <w:rFonts w:hint="eastAsia" w:ascii="仿宋_GB2312" w:eastAsia="仿宋_GB2312"/>
          <w:sz w:val="32"/>
          <w:szCs w:val="30"/>
        </w:rPr>
        <w:t>《合同示范文本》为非强制性使用文本。《合同示范文本》适用于园林绿化工程的施工承发包活动,合同当事人可结合园林绿化工程具体情况，参照本合同示范文本订立合同，并按照法律法规规定和合同约定承担相应的法律责任及合同权利义务。</w:t>
      </w:r>
    </w:p>
    <w:p>
      <w:pPr>
        <w:ind w:firstLine="640" w:firstLineChars="200"/>
        <w:rPr>
          <w:rFonts w:ascii="仿宋_GB2312" w:eastAsia="仿宋_GB2312"/>
          <w:sz w:val="32"/>
          <w:szCs w:val="30"/>
        </w:rPr>
      </w:pPr>
      <w:r>
        <w:rPr>
          <w:rFonts w:hint="eastAsia" w:ascii="仿宋_GB2312" w:eastAsia="仿宋_GB2312"/>
          <w:sz w:val="32"/>
          <w:szCs w:val="30"/>
        </w:rPr>
        <w:t>《合同示范文本》中引用的规范、标准中，未备注编制年号的，均采用现行最新版本。</w:t>
      </w:r>
    </w:p>
    <w:p>
      <w:pPr>
        <w:rPr>
          <w:rFonts w:ascii="仿宋_GB2312" w:eastAsia="仿宋_GB2312"/>
          <w:sz w:val="30"/>
          <w:szCs w:val="30"/>
        </w:rPr>
        <w:sectPr>
          <w:footerReference r:id="rId19" w:type="first"/>
          <w:footerReference r:id="rId18" w:type="default"/>
          <w:pgSz w:w="11906" w:h="16838"/>
          <w:pgMar w:top="1385" w:right="1757" w:bottom="1984" w:left="1757" w:header="851" w:footer="1417" w:gutter="0"/>
          <w:cols w:space="720" w:num="1"/>
          <w:docGrid w:type="lines" w:linePitch="312" w:charSpace="0"/>
        </w:sectPr>
      </w:pPr>
    </w:p>
    <w:bookmarkEnd w:id="218"/>
    <w:bookmarkEnd w:id="219"/>
    <w:sdt>
      <w:sdtPr>
        <w:rPr>
          <w:rFonts w:hint="eastAsia" w:ascii="华文中宋" w:hAnsi="华文中宋" w:eastAsia="华文中宋"/>
          <w:b/>
          <w:kern w:val="0"/>
          <w:sz w:val="44"/>
          <w:szCs w:val="44"/>
        </w:rPr>
        <w:id w:val="1590122658"/>
        <w:docPartObj>
          <w:docPartGallery w:val="Table of Contents"/>
          <w:docPartUnique/>
        </w:docPartObj>
      </w:sdtPr>
      <w:sdtEndPr>
        <w:rPr>
          <w:rFonts w:hint="eastAsia" w:ascii="华文中宋" w:hAnsi="华文中宋" w:eastAsia="华文中宋"/>
          <w:b/>
          <w:kern w:val="0"/>
          <w:sz w:val="20"/>
          <w:szCs w:val="20"/>
        </w:rPr>
      </w:sdtEndPr>
      <w:sdtContent>
        <w:p>
          <w:pPr>
            <w:snapToGrid w:val="0"/>
            <w:spacing w:after="312" w:afterLines="100"/>
            <w:jc w:val="center"/>
            <w:rPr>
              <w:rFonts w:ascii="宋体" w:hAnsi="宋体"/>
              <w:b/>
              <w:sz w:val="32"/>
              <w:szCs w:val="32"/>
            </w:rPr>
          </w:pPr>
          <w:r>
            <w:rPr>
              <w:rFonts w:hint="eastAsia" w:ascii="宋体" w:hAnsi="宋体"/>
              <w:b/>
              <w:sz w:val="32"/>
              <w:szCs w:val="32"/>
            </w:rPr>
            <w:t>目  录</w:t>
          </w:r>
        </w:p>
        <w:p>
          <w:pPr>
            <w:pStyle w:val="258"/>
            <w:tabs>
              <w:tab w:val="right" w:leader="dot" w:pos="8618"/>
            </w:tabs>
            <w:rPr>
              <w:rFonts w:ascii="黑体" w:hAnsi="黑体" w:eastAsia="黑体" w:cs="黑体"/>
              <w:sz w:val="30"/>
              <w:szCs w:val="30"/>
            </w:rPr>
          </w:pPr>
          <w:r>
            <w:fldChar w:fldCharType="begin"/>
          </w:r>
          <w:r>
            <w:instrText xml:space="preserve"> HYPERLINK \l "_Toc2143857470" </w:instrText>
          </w:r>
          <w:r>
            <w:fldChar w:fldCharType="separate"/>
          </w:r>
          <w:sdt>
            <w:sdtPr>
              <w:rPr>
                <w:rFonts w:hint="eastAsia" w:ascii="黑体" w:hAnsi="黑体" w:eastAsia="黑体" w:cs="黑体"/>
                <w:sz w:val="30"/>
                <w:szCs w:val="30"/>
              </w:rPr>
              <w:id w:val="600225795"/>
            </w:sdtPr>
            <w:sdtEndPr>
              <w:rPr>
                <w:rFonts w:hint="eastAsia" w:ascii="黑体" w:hAnsi="黑体" w:eastAsia="黑体" w:cs="黑体"/>
                <w:sz w:val="30"/>
                <w:szCs w:val="30"/>
              </w:rPr>
            </w:sdtEndPr>
            <w:sdtContent>
              <w:r>
                <w:rPr>
                  <w:rFonts w:hint="eastAsia" w:ascii="黑体" w:hAnsi="黑体" w:eastAsia="黑体" w:cs="黑体"/>
                  <w:sz w:val="30"/>
                  <w:szCs w:val="30"/>
                </w:rPr>
                <w:t>第一部分 合同协议书</w:t>
              </w:r>
            </w:sdtContent>
          </w:sdt>
          <w:r>
            <w:rPr>
              <w:rFonts w:hint="eastAsia" w:ascii="黑体" w:hAnsi="黑体" w:eastAsia="黑体" w:cs="黑体"/>
              <w:sz w:val="30"/>
              <w:szCs w:val="30"/>
            </w:rPr>
            <w:tab/>
          </w:r>
          <w:r>
            <w:rPr>
              <w:rFonts w:hint="eastAsia" w:ascii="黑体" w:hAnsi="黑体" w:eastAsia="黑体" w:cs="黑体"/>
              <w:sz w:val="30"/>
              <w:szCs w:val="30"/>
            </w:rPr>
            <w:t>1</w:t>
          </w:r>
          <w:r>
            <w:rPr>
              <w:rFonts w:hint="eastAsia" w:ascii="黑体" w:hAnsi="黑体" w:eastAsia="黑体" w:cs="黑体"/>
              <w:sz w:val="30"/>
              <w:szCs w:val="30"/>
            </w:rPr>
            <w:fldChar w:fldCharType="end"/>
          </w:r>
        </w:p>
        <w:p>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一、工程概况</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w:t>
          </w:r>
        </w:p>
        <w:p>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二、合同工期</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w:t>
          </w:r>
        </w:p>
        <w:p>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三、质量标准</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w:t>
          </w:r>
        </w:p>
        <w:p>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四、签约合同价与合同价格形式</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w:t>
          </w:r>
        </w:p>
        <w:p>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五、承包人项目负责人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w:t>
          </w:r>
        </w:p>
        <w:p>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六、预付款</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w:t>
          </w:r>
        </w:p>
        <w:p>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七、绿化种植及养护要求</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w:t>
          </w:r>
        </w:p>
        <w:p>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八、其他要求</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w:t>
          </w:r>
        </w:p>
        <w:p>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九、合同文件构成</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w:t>
          </w:r>
        </w:p>
        <w:p>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十、承诺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4</w:t>
          </w:r>
        </w:p>
        <w:p>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十一、词语含义</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4</w:t>
          </w:r>
        </w:p>
        <w:p>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十二、签订时间</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5</w:t>
          </w:r>
        </w:p>
        <w:p>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十三、签订地点</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5</w:t>
          </w:r>
        </w:p>
        <w:p>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十四、补充协议</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5</w:t>
          </w:r>
        </w:p>
        <w:p>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十五、合同生效</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5</w:t>
          </w:r>
        </w:p>
        <w:p>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十六、合同份数</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5</w:t>
          </w:r>
        </w:p>
        <w:p>
          <w:pPr>
            <w:pStyle w:val="258"/>
            <w:tabs>
              <w:tab w:val="right" w:leader="dot" w:pos="8618"/>
            </w:tabs>
            <w:rPr>
              <w:rFonts w:ascii="黑体" w:hAnsi="黑体" w:eastAsia="黑体" w:cs="黑体"/>
              <w:sz w:val="30"/>
              <w:szCs w:val="30"/>
            </w:rPr>
          </w:pPr>
          <w:r>
            <w:fldChar w:fldCharType="begin"/>
          </w:r>
          <w:r>
            <w:instrText xml:space="preserve"> HYPERLINK \l "_Toc725136582" </w:instrText>
          </w:r>
          <w:r>
            <w:fldChar w:fldCharType="separate"/>
          </w:r>
          <w:sdt>
            <w:sdtPr>
              <w:rPr>
                <w:rFonts w:hint="eastAsia" w:ascii="黑体" w:hAnsi="黑体" w:eastAsia="黑体" w:cs="黑体"/>
                <w:b/>
                <w:bCs/>
                <w:kern w:val="44"/>
                <w:sz w:val="30"/>
                <w:szCs w:val="30"/>
              </w:rPr>
              <w:id w:val="904068454"/>
            </w:sdtPr>
            <w:sdtEndPr>
              <w:rPr>
                <w:rFonts w:hint="eastAsia" w:ascii="黑体" w:hAnsi="黑体" w:eastAsia="黑体" w:cs="黑体"/>
                <w:b/>
                <w:bCs/>
                <w:kern w:val="44"/>
                <w:sz w:val="30"/>
                <w:szCs w:val="30"/>
              </w:rPr>
            </w:sdtEndPr>
            <w:sdtContent>
              <w:r>
                <w:rPr>
                  <w:rFonts w:hint="eastAsia" w:ascii="黑体" w:hAnsi="黑体" w:eastAsia="黑体" w:cs="黑体"/>
                  <w:sz w:val="30"/>
                  <w:szCs w:val="30"/>
                </w:rPr>
                <w:t>第二部分 通用合同条款</w:t>
              </w:r>
            </w:sdtContent>
          </w:sdt>
          <w:r>
            <w:rPr>
              <w:rFonts w:hint="eastAsia" w:ascii="黑体" w:hAnsi="黑体" w:eastAsia="黑体" w:cs="黑体"/>
              <w:sz w:val="30"/>
              <w:szCs w:val="30"/>
            </w:rPr>
            <w:tab/>
          </w:r>
          <w:r>
            <w:rPr>
              <w:rFonts w:hint="eastAsia" w:ascii="黑体" w:hAnsi="黑体" w:eastAsia="黑体" w:cs="黑体"/>
              <w:sz w:val="30"/>
              <w:szCs w:val="30"/>
            </w:rPr>
            <w:t>7</w:t>
          </w:r>
          <w:r>
            <w:rPr>
              <w:rFonts w:hint="eastAsia" w:ascii="黑体" w:hAnsi="黑体" w:eastAsia="黑体" w:cs="黑体"/>
              <w:sz w:val="30"/>
              <w:szCs w:val="30"/>
            </w:rPr>
            <w:fldChar w:fldCharType="end"/>
          </w:r>
        </w:p>
        <w:p>
          <w:pPr>
            <w:pStyle w:val="258"/>
            <w:tabs>
              <w:tab w:val="right" w:leader="dot" w:pos="8618"/>
            </w:tabs>
            <w:rPr>
              <w:rFonts w:ascii="黑体" w:hAnsi="黑体" w:eastAsia="黑体" w:cs="黑体"/>
              <w:sz w:val="30"/>
              <w:szCs w:val="30"/>
            </w:rPr>
          </w:pPr>
          <w:r>
            <w:fldChar w:fldCharType="begin"/>
          </w:r>
          <w:r>
            <w:instrText xml:space="preserve"> HYPERLINK \l "_Toc538026417" </w:instrText>
          </w:r>
          <w:r>
            <w:fldChar w:fldCharType="separate"/>
          </w:r>
          <w:sdt>
            <w:sdtPr>
              <w:rPr>
                <w:rFonts w:hint="eastAsia" w:ascii="黑体" w:hAnsi="黑体" w:eastAsia="黑体" w:cs="黑体"/>
                <w:b/>
                <w:bCs/>
                <w:kern w:val="44"/>
                <w:sz w:val="30"/>
                <w:szCs w:val="30"/>
              </w:rPr>
              <w:id w:val="930553917"/>
            </w:sdtPr>
            <w:sdtEndPr>
              <w:rPr>
                <w:rFonts w:hint="eastAsia" w:ascii="黑体" w:hAnsi="黑体" w:eastAsia="黑体" w:cs="黑体"/>
                <w:b/>
                <w:bCs/>
                <w:kern w:val="44"/>
                <w:sz w:val="30"/>
                <w:szCs w:val="30"/>
              </w:rPr>
            </w:sdtEndPr>
            <w:sdtContent>
              <w:r>
                <w:rPr>
                  <w:rFonts w:hint="eastAsia" w:ascii="黑体" w:hAnsi="黑体" w:eastAsia="黑体" w:cs="黑体"/>
                  <w:sz w:val="30"/>
                  <w:szCs w:val="30"/>
                </w:rPr>
                <w:t>第三部分 专用合同条款</w:t>
              </w:r>
            </w:sdtContent>
          </w:sdt>
          <w:r>
            <w:rPr>
              <w:rFonts w:hint="eastAsia" w:ascii="黑体" w:hAnsi="黑体" w:eastAsia="黑体" w:cs="黑体"/>
              <w:sz w:val="30"/>
              <w:szCs w:val="30"/>
            </w:rPr>
            <w:tab/>
          </w:r>
          <w:r>
            <w:rPr>
              <w:rFonts w:hint="eastAsia" w:ascii="黑体" w:hAnsi="黑体" w:eastAsia="黑体" w:cs="黑体"/>
              <w:sz w:val="30"/>
              <w:szCs w:val="30"/>
            </w:rPr>
            <w:t>8</w:t>
          </w:r>
          <w:r>
            <w:rPr>
              <w:rFonts w:hint="eastAsia" w:ascii="黑体" w:hAnsi="黑体" w:eastAsia="黑体" w:cs="黑体"/>
              <w:sz w:val="30"/>
              <w:szCs w:val="30"/>
            </w:rPr>
            <w:fldChar w:fldCharType="end"/>
          </w:r>
        </w:p>
        <w:p>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bCs/>
              <w:sz w:val="30"/>
              <w:szCs w:val="30"/>
            </w:rPr>
            <w:t>1</w:t>
          </w:r>
          <w:r>
            <w:rPr>
              <w:rFonts w:hint="eastAsia" w:ascii="仿宋_GB2312" w:hAnsi="仿宋_GB2312" w:eastAsia="仿宋_GB2312" w:cs="仿宋_GB2312"/>
              <w:sz w:val="30"/>
              <w:szCs w:val="30"/>
            </w:rPr>
            <w:t>. 一般约定</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8</w:t>
          </w:r>
        </w:p>
        <w:p>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2. 发包人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13</w:t>
          </w:r>
        </w:p>
        <w:p>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3. 承包人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15</w:t>
          </w:r>
        </w:p>
        <w:p>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4. 监理人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18</w:t>
          </w:r>
        </w:p>
        <w:p>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5. 工程质量</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19</w:t>
          </w:r>
        </w:p>
        <w:p>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6. 安全文明施工与环境保护</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19</w:t>
          </w:r>
        </w:p>
        <w:p>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7. 工期和进度</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20</w:t>
          </w:r>
        </w:p>
        <w:p>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8. 材料与设备</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23</w:t>
          </w:r>
        </w:p>
        <w:p>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9. 试验与检验</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24</w:t>
          </w:r>
        </w:p>
        <w:p>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10. 变更</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24</w:t>
          </w:r>
        </w:p>
        <w:p>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11. 价格调整</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25</w:t>
          </w:r>
        </w:p>
        <w:p>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12. 合同价格、计量与支付</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26</w:t>
          </w:r>
        </w:p>
        <w:p>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13. 验收和工程试车</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30</w:t>
          </w:r>
        </w:p>
        <w:p>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14. 竣工结算</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31</w:t>
          </w:r>
        </w:p>
        <w:p>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15. 缺陷责任期与保修</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33</w:t>
          </w:r>
        </w:p>
        <w:p>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16. 违约</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34</w:t>
          </w:r>
        </w:p>
        <w:p>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17. 不可抗力</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36</w:t>
          </w:r>
        </w:p>
        <w:p>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18. 保险</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36</w:t>
          </w:r>
        </w:p>
        <w:p>
          <w:pPr>
            <w:pStyle w:val="258"/>
            <w:tabs>
              <w:tab w:val="right" w:leader="dot" w:pos="8618"/>
            </w:tabs>
            <w:rPr>
              <w:rFonts w:ascii="仿宋_GB2312" w:hAnsi="仿宋_GB2312" w:eastAsia="仿宋_GB2312" w:cs="仿宋_GB2312"/>
              <w:sz w:val="30"/>
              <w:szCs w:val="30"/>
            </w:rPr>
          </w:pPr>
          <w:r>
            <w:rPr>
              <w:rFonts w:hint="eastAsia" w:ascii="仿宋_GB2312" w:hAnsi="仿宋_GB2312" w:eastAsia="仿宋_GB2312" w:cs="仿宋_GB2312"/>
              <w:sz w:val="30"/>
              <w:szCs w:val="30"/>
            </w:rPr>
            <w:t>20. 争议解决</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37</w:t>
          </w:r>
        </w:p>
        <w:p>
          <w:pPr>
            <w:pStyle w:val="258"/>
            <w:tabs>
              <w:tab w:val="right" w:leader="dot" w:pos="8618"/>
            </w:tabs>
            <w:rPr>
              <w:rFonts w:ascii="仿宋_GB2312" w:hAnsi="仿宋_GB2312" w:eastAsia="仿宋_GB2312" w:cs="仿宋_GB2312"/>
              <w:sz w:val="30"/>
              <w:szCs w:val="30"/>
            </w:rPr>
          </w:pPr>
          <w:r>
            <w:fldChar w:fldCharType="begin"/>
          </w:r>
          <w:r>
            <w:instrText xml:space="preserve"> HYPERLINK \l "_Toc372503870" </w:instrText>
          </w:r>
          <w:r>
            <w:fldChar w:fldCharType="separate"/>
          </w:r>
          <w:sdt>
            <w:sdtPr>
              <w:rPr>
                <w:rFonts w:hint="eastAsia" w:ascii="仿宋_GB2312" w:hAnsi="仿宋_GB2312" w:eastAsia="仿宋_GB2312" w:cs="仿宋_GB2312"/>
                <w:b/>
                <w:bCs/>
                <w:kern w:val="44"/>
                <w:sz w:val="30"/>
                <w:szCs w:val="30"/>
              </w:rPr>
              <w:id w:val="532087285"/>
            </w:sdtPr>
            <w:sdtEndPr>
              <w:rPr>
                <w:rFonts w:hint="eastAsia" w:ascii="仿宋_GB2312" w:hAnsi="仿宋_GB2312" w:eastAsia="仿宋_GB2312" w:cs="仿宋_GB2312"/>
                <w:b/>
                <w:bCs/>
                <w:kern w:val="44"/>
                <w:sz w:val="30"/>
                <w:szCs w:val="30"/>
              </w:rPr>
            </w:sdtEndPr>
            <w:sdtContent>
              <w:r>
                <w:rPr>
                  <w:rFonts w:hint="eastAsia" w:ascii="仿宋_GB2312" w:hAnsi="仿宋_GB2312" w:eastAsia="仿宋_GB2312" w:cs="仿宋_GB2312"/>
                  <w:sz w:val="30"/>
                  <w:szCs w:val="30"/>
                </w:rPr>
                <w:t>附件1：</w:t>
              </w:r>
              <w:r>
                <w:rPr>
                  <w:rFonts w:hint="eastAsia" w:ascii="仿宋_GB2312" w:hAnsi="仿宋_GB2312" w:eastAsia="仿宋_GB2312" w:cs="仿宋_GB2312"/>
                  <w:bCs/>
                  <w:sz w:val="30"/>
                  <w:szCs w:val="30"/>
                </w:rPr>
                <w:t>承包人承揽工程项目一览表</w:t>
              </w:r>
            </w:sdtContent>
          </w:sdt>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39</w:t>
          </w:r>
          <w:r>
            <w:rPr>
              <w:rFonts w:hint="eastAsia" w:ascii="仿宋_GB2312" w:hAnsi="仿宋_GB2312" w:eastAsia="仿宋_GB2312" w:cs="仿宋_GB2312"/>
              <w:sz w:val="30"/>
              <w:szCs w:val="30"/>
            </w:rPr>
            <w:fldChar w:fldCharType="end"/>
          </w:r>
        </w:p>
        <w:p>
          <w:pPr>
            <w:pStyle w:val="258"/>
            <w:tabs>
              <w:tab w:val="right" w:leader="dot" w:pos="8618"/>
            </w:tabs>
            <w:rPr>
              <w:rFonts w:ascii="仿宋_GB2312" w:hAnsi="仿宋_GB2312" w:eastAsia="仿宋_GB2312" w:cs="仿宋_GB2312"/>
              <w:sz w:val="30"/>
              <w:szCs w:val="30"/>
            </w:rPr>
          </w:pPr>
          <w:r>
            <w:fldChar w:fldCharType="begin"/>
          </w:r>
          <w:r>
            <w:instrText xml:space="preserve"> HYPERLINK \l "_Toc87754172" </w:instrText>
          </w:r>
          <w:r>
            <w:fldChar w:fldCharType="separate"/>
          </w:r>
          <w:sdt>
            <w:sdtPr>
              <w:rPr>
                <w:rFonts w:hint="eastAsia" w:ascii="仿宋_GB2312" w:hAnsi="仿宋_GB2312" w:eastAsia="仿宋_GB2312" w:cs="仿宋_GB2312"/>
                <w:b/>
                <w:bCs/>
                <w:kern w:val="44"/>
                <w:sz w:val="30"/>
                <w:szCs w:val="30"/>
              </w:rPr>
              <w:id w:val="1472404583"/>
            </w:sdtPr>
            <w:sdtEndPr>
              <w:rPr>
                <w:rFonts w:hint="eastAsia" w:ascii="仿宋_GB2312" w:hAnsi="仿宋_GB2312" w:eastAsia="仿宋_GB2312" w:cs="仿宋_GB2312"/>
                <w:b/>
                <w:bCs/>
                <w:kern w:val="44"/>
                <w:sz w:val="30"/>
                <w:szCs w:val="30"/>
              </w:rPr>
            </w:sdtEndPr>
            <w:sdtContent>
              <w:r>
                <w:rPr>
                  <w:rFonts w:hint="eastAsia" w:ascii="仿宋_GB2312" w:hAnsi="仿宋_GB2312" w:eastAsia="仿宋_GB2312" w:cs="仿宋_GB2312"/>
                  <w:sz w:val="30"/>
                  <w:szCs w:val="30"/>
                </w:rPr>
                <w:t>附件2：</w:t>
              </w:r>
              <w:r>
                <w:rPr>
                  <w:rFonts w:hint="eastAsia" w:ascii="仿宋_GB2312" w:hAnsi="仿宋_GB2312" w:eastAsia="仿宋_GB2312" w:cs="仿宋_GB2312"/>
                  <w:bCs/>
                  <w:sz w:val="30"/>
                  <w:szCs w:val="30"/>
                </w:rPr>
                <w:t>现状树木一览表</w:t>
              </w:r>
            </w:sdtContent>
          </w:sdt>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40</w:t>
          </w:r>
          <w:r>
            <w:rPr>
              <w:rFonts w:hint="eastAsia" w:ascii="仿宋_GB2312" w:hAnsi="仿宋_GB2312" w:eastAsia="仿宋_GB2312" w:cs="仿宋_GB2312"/>
              <w:sz w:val="30"/>
              <w:szCs w:val="30"/>
            </w:rPr>
            <w:fldChar w:fldCharType="end"/>
          </w:r>
        </w:p>
        <w:p>
          <w:pPr>
            <w:pStyle w:val="258"/>
            <w:tabs>
              <w:tab w:val="right" w:leader="dot" w:pos="8618"/>
            </w:tabs>
            <w:rPr>
              <w:rFonts w:ascii="仿宋_GB2312" w:hAnsi="仿宋_GB2312" w:eastAsia="仿宋_GB2312" w:cs="仿宋_GB2312"/>
              <w:sz w:val="30"/>
              <w:szCs w:val="30"/>
            </w:rPr>
          </w:pPr>
          <w:r>
            <w:fldChar w:fldCharType="begin"/>
          </w:r>
          <w:r>
            <w:instrText xml:space="preserve"> HYPERLINK \l "_Toc935379669" </w:instrText>
          </w:r>
          <w:r>
            <w:fldChar w:fldCharType="separate"/>
          </w:r>
          <w:sdt>
            <w:sdtPr>
              <w:rPr>
                <w:rFonts w:hint="eastAsia" w:ascii="仿宋_GB2312" w:hAnsi="仿宋_GB2312" w:eastAsia="仿宋_GB2312" w:cs="仿宋_GB2312"/>
                <w:b/>
                <w:bCs/>
                <w:kern w:val="44"/>
                <w:sz w:val="30"/>
                <w:szCs w:val="30"/>
              </w:rPr>
              <w:id w:val="-94169945"/>
            </w:sdtPr>
            <w:sdtEndPr>
              <w:rPr>
                <w:rFonts w:hint="eastAsia" w:ascii="仿宋_GB2312" w:hAnsi="仿宋_GB2312" w:eastAsia="仿宋_GB2312" w:cs="仿宋_GB2312"/>
                <w:b/>
                <w:bCs/>
                <w:kern w:val="44"/>
                <w:sz w:val="30"/>
                <w:szCs w:val="30"/>
              </w:rPr>
            </w:sdtEndPr>
            <w:sdtContent>
              <w:r>
                <w:rPr>
                  <w:rFonts w:hint="eastAsia" w:ascii="仿宋_GB2312" w:hAnsi="仿宋_GB2312" w:eastAsia="仿宋_GB2312" w:cs="仿宋_GB2312"/>
                  <w:sz w:val="30"/>
                  <w:szCs w:val="30"/>
                </w:rPr>
                <w:t>附件3：</w:t>
              </w:r>
              <w:r>
                <w:rPr>
                  <w:rFonts w:hint="eastAsia" w:ascii="仿宋_GB2312" w:hAnsi="仿宋_GB2312" w:eastAsia="仿宋_GB2312" w:cs="仿宋_GB2312"/>
                  <w:bCs/>
                  <w:sz w:val="30"/>
                  <w:szCs w:val="30"/>
                </w:rPr>
                <w:t>暂估价一览表</w:t>
              </w:r>
            </w:sdtContent>
          </w:sdt>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41</w:t>
          </w:r>
          <w:r>
            <w:rPr>
              <w:rFonts w:hint="eastAsia" w:ascii="仿宋_GB2312" w:hAnsi="仿宋_GB2312" w:eastAsia="仿宋_GB2312" w:cs="仿宋_GB2312"/>
              <w:sz w:val="30"/>
              <w:szCs w:val="30"/>
            </w:rPr>
            <w:fldChar w:fldCharType="end"/>
          </w:r>
        </w:p>
        <w:p>
          <w:pPr>
            <w:pStyle w:val="258"/>
            <w:tabs>
              <w:tab w:val="right" w:leader="dot" w:pos="8618"/>
            </w:tabs>
            <w:rPr>
              <w:rFonts w:ascii="仿宋_GB2312" w:hAnsi="仿宋_GB2312" w:eastAsia="仿宋_GB2312" w:cs="仿宋_GB2312"/>
              <w:sz w:val="30"/>
              <w:szCs w:val="30"/>
            </w:rPr>
          </w:pPr>
          <w:r>
            <w:fldChar w:fldCharType="begin"/>
          </w:r>
          <w:r>
            <w:instrText xml:space="preserve"> HYPERLINK \l "_Toc245732170" </w:instrText>
          </w:r>
          <w:r>
            <w:fldChar w:fldCharType="separate"/>
          </w:r>
          <w:sdt>
            <w:sdtPr>
              <w:rPr>
                <w:rFonts w:hint="eastAsia" w:ascii="仿宋_GB2312" w:hAnsi="仿宋_GB2312" w:eastAsia="仿宋_GB2312" w:cs="仿宋_GB2312"/>
                <w:b/>
                <w:bCs/>
                <w:kern w:val="44"/>
                <w:sz w:val="30"/>
                <w:szCs w:val="30"/>
              </w:rPr>
              <w:id w:val="-1953229582"/>
            </w:sdtPr>
            <w:sdtEndPr>
              <w:rPr>
                <w:rFonts w:hint="eastAsia" w:ascii="仿宋_GB2312" w:hAnsi="仿宋_GB2312" w:eastAsia="仿宋_GB2312" w:cs="仿宋_GB2312"/>
                <w:b/>
                <w:bCs/>
                <w:kern w:val="44"/>
                <w:sz w:val="30"/>
                <w:szCs w:val="30"/>
              </w:rPr>
            </w:sdtEndPr>
            <w:sdtContent>
              <w:r>
                <w:rPr>
                  <w:rFonts w:hint="eastAsia" w:ascii="仿宋_GB2312" w:hAnsi="仿宋_GB2312" w:eastAsia="仿宋_GB2312" w:cs="仿宋_GB2312"/>
                  <w:sz w:val="30"/>
                  <w:szCs w:val="30"/>
                </w:rPr>
                <w:t>附件4：</w:t>
              </w:r>
              <w:r>
                <w:rPr>
                  <w:rFonts w:hint="eastAsia" w:ascii="仿宋_GB2312" w:hAnsi="仿宋_GB2312" w:eastAsia="仿宋_GB2312" w:cs="仿宋_GB2312"/>
                  <w:bCs/>
                  <w:sz w:val="30"/>
                  <w:szCs w:val="30"/>
                </w:rPr>
                <w:t>发包人供应材料设备一览表</w:t>
              </w:r>
            </w:sdtContent>
          </w:sdt>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42</w:t>
          </w:r>
          <w:r>
            <w:rPr>
              <w:rFonts w:hint="eastAsia" w:ascii="仿宋_GB2312" w:hAnsi="仿宋_GB2312" w:eastAsia="仿宋_GB2312" w:cs="仿宋_GB2312"/>
              <w:sz w:val="30"/>
              <w:szCs w:val="30"/>
            </w:rPr>
            <w:fldChar w:fldCharType="end"/>
          </w:r>
        </w:p>
        <w:p>
          <w:pPr>
            <w:pStyle w:val="258"/>
            <w:tabs>
              <w:tab w:val="right" w:leader="dot" w:pos="8618"/>
            </w:tabs>
            <w:rPr>
              <w:rFonts w:ascii="仿宋_GB2312" w:hAnsi="仿宋_GB2312" w:eastAsia="仿宋_GB2312" w:cs="仿宋_GB2312"/>
              <w:sz w:val="30"/>
              <w:szCs w:val="30"/>
            </w:rPr>
          </w:pPr>
          <w:r>
            <w:fldChar w:fldCharType="begin"/>
          </w:r>
          <w:r>
            <w:instrText xml:space="preserve"> HYPERLINK \l "_Toc1053508749" </w:instrText>
          </w:r>
          <w:r>
            <w:fldChar w:fldCharType="separate"/>
          </w:r>
          <w:sdt>
            <w:sdtPr>
              <w:rPr>
                <w:rFonts w:hint="eastAsia" w:ascii="仿宋_GB2312" w:hAnsi="仿宋_GB2312" w:eastAsia="仿宋_GB2312" w:cs="仿宋_GB2312"/>
                <w:b/>
                <w:bCs/>
                <w:kern w:val="44"/>
                <w:sz w:val="30"/>
                <w:szCs w:val="30"/>
              </w:rPr>
              <w:id w:val="-692910925"/>
            </w:sdtPr>
            <w:sdtEndPr>
              <w:rPr>
                <w:rFonts w:hint="eastAsia" w:ascii="仿宋_GB2312" w:hAnsi="仿宋_GB2312" w:eastAsia="仿宋_GB2312" w:cs="仿宋_GB2312"/>
                <w:b/>
                <w:bCs/>
                <w:kern w:val="44"/>
                <w:sz w:val="30"/>
                <w:szCs w:val="30"/>
              </w:rPr>
            </w:sdtEndPr>
            <w:sdtContent>
              <w:r>
                <w:rPr>
                  <w:rFonts w:hint="eastAsia" w:ascii="仿宋_GB2312" w:hAnsi="仿宋_GB2312" w:eastAsia="仿宋_GB2312" w:cs="仿宋_GB2312"/>
                  <w:sz w:val="30"/>
                  <w:szCs w:val="30"/>
                </w:rPr>
                <w:t>附件5：</w:t>
              </w:r>
              <w:r>
                <w:rPr>
                  <w:rFonts w:hint="eastAsia" w:ascii="仿宋_GB2312" w:hAnsi="仿宋_GB2312" w:eastAsia="仿宋_GB2312" w:cs="仿宋_GB2312"/>
                  <w:bCs/>
                  <w:sz w:val="30"/>
                  <w:szCs w:val="30"/>
                </w:rPr>
                <w:t>发包人供应苗木一览表</w:t>
              </w:r>
            </w:sdtContent>
          </w:sdt>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43</w:t>
          </w:r>
          <w:r>
            <w:rPr>
              <w:rFonts w:hint="eastAsia" w:ascii="仿宋_GB2312" w:hAnsi="仿宋_GB2312" w:eastAsia="仿宋_GB2312" w:cs="仿宋_GB2312"/>
              <w:sz w:val="30"/>
              <w:szCs w:val="30"/>
            </w:rPr>
            <w:fldChar w:fldCharType="end"/>
          </w:r>
        </w:p>
        <w:p>
          <w:pPr>
            <w:pStyle w:val="258"/>
            <w:tabs>
              <w:tab w:val="right" w:leader="dot" w:pos="8618"/>
            </w:tabs>
            <w:rPr>
              <w:rFonts w:ascii="仿宋_GB2312" w:hAnsi="仿宋_GB2312" w:eastAsia="仿宋_GB2312" w:cs="仿宋_GB2312"/>
              <w:sz w:val="30"/>
              <w:szCs w:val="30"/>
            </w:rPr>
          </w:pPr>
          <w:r>
            <w:fldChar w:fldCharType="begin"/>
          </w:r>
          <w:r>
            <w:instrText xml:space="preserve"> HYPERLINK \l "_Toc1357349786" </w:instrText>
          </w:r>
          <w:r>
            <w:fldChar w:fldCharType="separate"/>
          </w:r>
          <w:sdt>
            <w:sdtPr>
              <w:rPr>
                <w:rFonts w:hint="eastAsia" w:ascii="仿宋_GB2312" w:hAnsi="仿宋_GB2312" w:eastAsia="仿宋_GB2312" w:cs="仿宋_GB2312"/>
                <w:b/>
                <w:bCs/>
                <w:kern w:val="44"/>
                <w:sz w:val="30"/>
                <w:szCs w:val="30"/>
              </w:rPr>
              <w:id w:val="-1622141738"/>
            </w:sdtPr>
            <w:sdtEndPr>
              <w:rPr>
                <w:rFonts w:hint="eastAsia" w:ascii="仿宋_GB2312" w:hAnsi="仿宋_GB2312" w:eastAsia="仿宋_GB2312" w:cs="仿宋_GB2312"/>
                <w:b/>
                <w:bCs/>
                <w:kern w:val="44"/>
                <w:sz w:val="30"/>
                <w:szCs w:val="30"/>
              </w:rPr>
            </w:sdtEndPr>
            <w:sdtContent>
              <w:r>
                <w:rPr>
                  <w:rFonts w:hint="eastAsia" w:ascii="仿宋_GB2312" w:hAnsi="仿宋_GB2312" w:eastAsia="仿宋_GB2312" w:cs="仿宋_GB2312"/>
                  <w:sz w:val="30"/>
                  <w:szCs w:val="30"/>
                </w:rPr>
                <w:t xml:space="preserve">附件6: </w:t>
              </w:r>
              <w:r>
                <w:rPr>
                  <w:rFonts w:hint="eastAsia" w:ascii="仿宋_GB2312" w:hAnsi="仿宋_GB2312" w:eastAsia="仿宋_GB2312" w:cs="仿宋_GB2312"/>
                  <w:bCs/>
                  <w:sz w:val="30"/>
                  <w:szCs w:val="30"/>
                </w:rPr>
                <w:t>绿化养护责任书</w:t>
              </w:r>
            </w:sdtContent>
          </w:sdt>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44</w:t>
          </w:r>
          <w:r>
            <w:rPr>
              <w:rFonts w:hint="eastAsia" w:ascii="仿宋_GB2312" w:hAnsi="仿宋_GB2312" w:eastAsia="仿宋_GB2312" w:cs="仿宋_GB2312"/>
              <w:sz w:val="30"/>
              <w:szCs w:val="30"/>
            </w:rPr>
            <w:fldChar w:fldCharType="end"/>
          </w:r>
        </w:p>
        <w:p>
          <w:pPr>
            <w:pStyle w:val="258"/>
            <w:tabs>
              <w:tab w:val="right" w:leader="dot" w:pos="8618"/>
            </w:tabs>
            <w:rPr>
              <w:rFonts w:ascii="仿宋_GB2312" w:hAnsi="仿宋_GB2312" w:eastAsia="仿宋_GB2312" w:cs="仿宋_GB2312"/>
              <w:sz w:val="30"/>
              <w:szCs w:val="30"/>
            </w:rPr>
          </w:pPr>
          <w:r>
            <w:fldChar w:fldCharType="begin"/>
          </w:r>
          <w:r>
            <w:instrText xml:space="preserve"> HYPERLINK \l "_Toc774953693" </w:instrText>
          </w:r>
          <w:r>
            <w:fldChar w:fldCharType="separate"/>
          </w:r>
          <w:sdt>
            <w:sdtPr>
              <w:rPr>
                <w:rFonts w:hint="eastAsia" w:ascii="仿宋_GB2312" w:hAnsi="仿宋_GB2312" w:eastAsia="仿宋_GB2312" w:cs="仿宋_GB2312"/>
                <w:b/>
                <w:bCs/>
                <w:kern w:val="44"/>
                <w:sz w:val="30"/>
                <w:szCs w:val="30"/>
              </w:rPr>
              <w:id w:val="-1845313254"/>
            </w:sdtPr>
            <w:sdtEndPr>
              <w:rPr>
                <w:rFonts w:hint="eastAsia" w:ascii="仿宋_GB2312" w:hAnsi="仿宋_GB2312" w:eastAsia="仿宋_GB2312" w:cs="仿宋_GB2312"/>
                <w:b/>
                <w:bCs/>
                <w:kern w:val="44"/>
                <w:sz w:val="30"/>
                <w:szCs w:val="30"/>
              </w:rPr>
            </w:sdtEndPr>
            <w:sdtContent>
              <w:r>
                <w:rPr>
                  <w:rFonts w:hint="eastAsia" w:ascii="仿宋_GB2312" w:hAnsi="仿宋_GB2312" w:eastAsia="仿宋_GB2312" w:cs="仿宋_GB2312"/>
                  <w:sz w:val="30"/>
                  <w:szCs w:val="30"/>
                </w:rPr>
                <w:t xml:space="preserve">附件7: </w:t>
              </w:r>
              <w:r>
                <w:rPr>
                  <w:rFonts w:hint="eastAsia" w:ascii="仿宋_GB2312" w:hAnsi="仿宋_GB2312" w:eastAsia="仿宋_GB2312" w:cs="仿宋_GB2312"/>
                  <w:bCs/>
                  <w:sz w:val="30"/>
                  <w:szCs w:val="30"/>
                </w:rPr>
                <w:t>工程质量保修书</w:t>
              </w:r>
            </w:sdtContent>
          </w:sdt>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47</w:t>
          </w:r>
          <w:r>
            <w:rPr>
              <w:rFonts w:hint="eastAsia" w:ascii="仿宋_GB2312" w:hAnsi="仿宋_GB2312" w:eastAsia="仿宋_GB2312" w:cs="仿宋_GB2312"/>
              <w:sz w:val="30"/>
              <w:szCs w:val="30"/>
            </w:rPr>
            <w:fldChar w:fldCharType="end"/>
          </w:r>
        </w:p>
        <w:p>
          <w:pPr>
            <w:pStyle w:val="258"/>
            <w:tabs>
              <w:tab w:val="right" w:leader="dot" w:pos="8618"/>
            </w:tabs>
          </w:pPr>
          <w:r>
            <w:fldChar w:fldCharType="begin"/>
          </w:r>
          <w:r>
            <w:instrText xml:space="preserve"> HYPERLINK \l "_Toc362478915" </w:instrText>
          </w:r>
          <w:r>
            <w:fldChar w:fldCharType="separate"/>
          </w:r>
          <w:sdt>
            <w:sdtPr>
              <w:rPr>
                <w:rFonts w:hint="eastAsia" w:ascii="仿宋_GB2312" w:hAnsi="仿宋_GB2312" w:eastAsia="仿宋_GB2312" w:cs="仿宋_GB2312"/>
                <w:b/>
                <w:bCs/>
                <w:kern w:val="44"/>
                <w:sz w:val="30"/>
                <w:szCs w:val="30"/>
              </w:rPr>
              <w:id w:val="1916121709"/>
            </w:sdtPr>
            <w:sdtEndPr>
              <w:rPr>
                <w:rFonts w:hint="eastAsia" w:ascii="仿宋_GB2312" w:hAnsi="仿宋_GB2312" w:eastAsia="仿宋_GB2312" w:cs="仿宋_GB2312"/>
                <w:b/>
                <w:bCs/>
                <w:kern w:val="44"/>
                <w:sz w:val="30"/>
                <w:szCs w:val="30"/>
              </w:rPr>
            </w:sdtEndPr>
            <w:sdtContent>
              <w:r>
                <w:rPr>
                  <w:rFonts w:hint="eastAsia" w:ascii="仿宋_GB2312" w:hAnsi="仿宋_GB2312" w:eastAsia="仿宋_GB2312" w:cs="仿宋_GB2312"/>
                  <w:sz w:val="30"/>
                  <w:szCs w:val="30"/>
                </w:rPr>
                <w:t>附件8：</w:t>
              </w:r>
              <w:r>
                <w:rPr>
                  <w:rFonts w:hint="eastAsia" w:ascii="仿宋_GB2312" w:hAnsi="仿宋_GB2312" w:eastAsia="仿宋_GB2312" w:cs="仿宋_GB2312"/>
                  <w:bCs/>
                  <w:sz w:val="30"/>
                  <w:szCs w:val="30"/>
                </w:rPr>
                <w:t>廉政建设责任书</w:t>
              </w:r>
            </w:sdtContent>
          </w:sdt>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50</w:t>
          </w:r>
          <w:r>
            <w:rPr>
              <w:rFonts w:hint="eastAsia" w:ascii="仿宋_GB2312" w:hAnsi="仿宋_GB2312" w:eastAsia="仿宋_GB2312" w:cs="仿宋_GB2312"/>
              <w:sz w:val="30"/>
              <w:szCs w:val="30"/>
            </w:rPr>
            <w:fldChar w:fldCharType="end"/>
          </w:r>
        </w:p>
      </w:sdtContent>
    </w:sdt>
    <w:p/>
    <w:p/>
    <w:p/>
    <w:p/>
    <w:p/>
    <w:p/>
    <w:p/>
    <w:p/>
    <w:p/>
    <w:p/>
    <w:p/>
    <w:p/>
    <w:p/>
    <w:p/>
    <w:p/>
    <w:p>
      <w:pPr>
        <w:pStyle w:val="2"/>
        <w:numPr>
          <w:ilvl w:val="0"/>
          <w:numId w:val="9"/>
        </w:numPr>
        <w:spacing w:before="260" w:after="260" w:line="360" w:lineRule="auto"/>
        <w:rPr>
          <w:rFonts w:hAnsi="黑体" w:cs="黑体"/>
          <w:b/>
        </w:rPr>
        <w:sectPr>
          <w:footerReference r:id="rId22" w:type="first"/>
          <w:headerReference r:id="rId20" w:type="default"/>
          <w:footerReference r:id="rId21" w:type="default"/>
          <w:pgSz w:w="11906" w:h="16838"/>
          <w:pgMar w:top="2098" w:right="1757" w:bottom="1984" w:left="1757" w:header="851" w:footer="1417" w:gutter="0"/>
          <w:cols w:space="720" w:num="1"/>
          <w:docGrid w:type="lines" w:linePitch="312" w:charSpace="0"/>
        </w:sectPr>
      </w:pPr>
    </w:p>
    <w:p>
      <w:pPr>
        <w:pStyle w:val="2"/>
        <w:numPr>
          <w:ilvl w:val="0"/>
          <w:numId w:val="9"/>
        </w:numPr>
        <w:spacing w:before="260" w:after="260" w:line="360" w:lineRule="auto"/>
        <w:rPr>
          <w:rFonts w:ascii="宋体" w:hAnsi="宋体" w:eastAsia="宋体" w:cs="黑体"/>
          <w:b/>
          <w:sz w:val="30"/>
          <w:szCs w:val="30"/>
        </w:rPr>
      </w:pPr>
      <w:r>
        <w:rPr>
          <w:rFonts w:hint="eastAsia" w:hAnsi="黑体" w:cs="黑体"/>
          <w:b/>
        </w:rPr>
        <w:t xml:space="preserve"> </w:t>
      </w:r>
      <w:bookmarkStart w:id="222" w:name="_Toc2143857470"/>
      <w:bookmarkStart w:id="223" w:name="_Toc2128344692"/>
      <w:bookmarkStart w:id="224" w:name="_Toc509499434"/>
      <w:r>
        <w:rPr>
          <w:rFonts w:hint="eastAsia" w:ascii="宋体" w:hAnsi="宋体" w:eastAsia="宋体" w:cs="黑体"/>
          <w:b/>
          <w:sz w:val="30"/>
          <w:szCs w:val="30"/>
        </w:rPr>
        <w:t>第一</w:t>
      </w:r>
      <w:r>
        <w:rPr>
          <w:rFonts w:ascii="宋体" w:hAnsi="宋体" w:eastAsia="宋体" w:cs="黑体"/>
          <w:b/>
          <w:sz w:val="30"/>
          <w:szCs w:val="30"/>
        </w:rPr>
        <w:t>部分</w:t>
      </w:r>
      <w:r>
        <w:rPr>
          <w:rFonts w:hint="eastAsia" w:ascii="宋体" w:hAnsi="宋体" w:eastAsia="宋体" w:cs="黑体"/>
          <w:b/>
          <w:sz w:val="30"/>
          <w:szCs w:val="30"/>
        </w:rPr>
        <w:t xml:space="preserve"> 合同协议</w:t>
      </w:r>
      <w:r>
        <w:rPr>
          <w:rFonts w:ascii="宋体" w:hAnsi="宋体" w:eastAsia="宋体" w:cs="黑体"/>
          <w:b/>
          <w:sz w:val="30"/>
          <w:szCs w:val="30"/>
        </w:rPr>
        <w:t>书</w:t>
      </w:r>
      <w:bookmarkEnd w:id="222"/>
      <w:bookmarkEnd w:id="223"/>
      <w:bookmarkEnd w:id="224"/>
    </w:p>
    <w:p>
      <w:pPr>
        <w:spacing w:line="460" w:lineRule="exact"/>
        <w:rPr>
          <w:rFonts w:ascii="宋体" w:hAnsi="宋体"/>
          <w:bCs/>
          <w:sz w:val="24"/>
          <w:u w:val="single"/>
        </w:rPr>
      </w:pPr>
      <w:r>
        <w:rPr>
          <w:rFonts w:ascii="宋体" w:hAnsi="宋体"/>
          <w:bCs/>
          <w:sz w:val="24"/>
        </w:rPr>
        <w:t>发包人（全称）：</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 xml:space="preserve">                    </w:t>
      </w:r>
    </w:p>
    <w:p>
      <w:pPr>
        <w:spacing w:line="460" w:lineRule="exact"/>
        <w:rPr>
          <w:rFonts w:ascii="宋体" w:hAnsi="宋体"/>
          <w:bCs/>
          <w:sz w:val="24"/>
          <w:u w:val="single"/>
        </w:rPr>
      </w:pPr>
      <w:r>
        <w:rPr>
          <w:rFonts w:ascii="宋体" w:hAnsi="宋体"/>
          <w:bCs/>
          <w:sz w:val="24"/>
        </w:rPr>
        <w:t>承包人（全称）：</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 xml:space="preserve">          </w:t>
      </w:r>
    </w:p>
    <w:p>
      <w:pPr>
        <w:spacing w:line="460" w:lineRule="exact"/>
        <w:ind w:firstLine="480" w:firstLineChars="200"/>
        <w:jc w:val="left"/>
        <w:rPr>
          <w:rFonts w:ascii="宋体" w:hAnsi="宋体"/>
          <w:bCs/>
          <w:sz w:val="24"/>
        </w:rPr>
      </w:pPr>
      <w:r>
        <w:rPr>
          <w:rFonts w:ascii="宋体" w:hAnsi="宋体"/>
          <w:bCs/>
          <w:sz w:val="24"/>
        </w:rPr>
        <w:t>根据《中华人民共和国</w:t>
      </w:r>
      <w:r>
        <w:rPr>
          <w:rFonts w:hint="eastAsia" w:ascii="宋体" w:hAnsi="宋体"/>
          <w:bCs/>
          <w:sz w:val="24"/>
        </w:rPr>
        <w:t>民</w:t>
      </w:r>
      <w:r>
        <w:rPr>
          <w:rFonts w:ascii="宋体" w:hAnsi="宋体"/>
          <w:bCs/>
          <w:sz w:val="24"/>
        </w:rPr>
        <w:t>法</w:t>
      </w:r>
      <w:r>
        <w:rPr>
          <w:rFonts w:hint="eastAsia" w:ascii="宋体" w:hAnsi="宋体"/>
          <w:bCs/>
          <w:sz w:val="24"/>
        </w:rPr>
        <w:t>典</w:t>
      </w:r>
      <w:r>
        <w:rPr>
          <w:rFonts w:ascii="宋体" w:hAnsi="宋体"/>
          <w:bCs/>
          <w:sz w:val="24"/>
        </w:rPr>
        <w:t>》《中华人民共和国建筑法》及有关法律规定，遵循平等、自愿、公平和诚实信用的原则，双方就</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rPr>
        <w:t>工程施工及有关事项协商一致</w:t>
      </w:r>
      <w:r>
        <w:rPr>
          <w:rFonts w:hint="eastAsia" w:ascii="宋体" w:hAnsi="宋体"/>
          <w:bCs/>
          <w:sz w:val="24"/>
        </w:rPr>
        <w:t>，</w:t>
      </w:r>
      <w:r>
        <w:rPr>
          <w:rFonts w:ascii="宋体" w:hAnsi="宋体"/>
          <w:bCs/>
          <w:sz w:val="24"/>
        </w:rPr>
        <w:t>共同达成如下协议：</w:t>
      </w:r>
    </w:p>
    <w:p>
      <w:pPr>
        <w:pStyle w:val="3"/>
        <w:spacing w:before="0" w:after="0" w:line="460" w:lineRule="exact"/>
        <w:ind w:firstLine="481" w:firstLineChars="200"/>
        <w:jc w:val="left"/>
        <w:rPr>
          <w:rFonts w:ascii="宋体" w:hAnsi="宋体"/>
          <w:sz w:val="24"/>
          <w:szCs w:val="24"/>
        </w:rPr>
      </w:pPr>
      <w:bookmarkStart w:id="225" w:name="_Toc445784615"/>
      <w:bookmarkStart w:id="226" w:name="_Toc1433341455"/>
      <w:r>
        <w:rPr>
          <w:rFonts w:ascii="宋体" w:hAnsi="宋体"/>
          <w:bCs/>
          <w:kern w:val="2"/>
          <w:sz w:val="24"/>
          <w:szCs w:val="24"/>
        </w:rPr>
        <w:t>一、工程概况</w:t>
      </w:r>
      <w:bookmarkEnd w:id="225"/>
      <w:bookmarkEnd w:id="226"/>
    </w:p>
    <w:p>
      <w:pPr>
        <w:spacing w:line="460" w:lineRule="exact"/>
        <w:ind w:firstLine="470" w:firstLineChars="196"/>
        <w:rPr>
          <w:rFonts w:ascii="宋体" w:hAnsi="宋体" w:cs="仿宋_GB2312"/>
          <w:bCs/>
          <w:sz w:val="24"/>
          <w:u w:val="single"/>
        </w:rPr>
      </w:pPr>
      <w:r>
        <w:rPr>
          <w:rFonts w:hint="eastAsia" w:ascii="宋体" w:hAnsi="宋体" w:cs="仿宋_GB2312"/>
          <w:bCs/>
          <w:sz w:val="24"/>
        </w:rPr>
        <w:t>1.工程名称：</w:t>
      </w:r>
      <w:r>
        <w:rPr>
          <w:rFonts w:hint="eastAsia" w:ascii="宋体" w:hAnsi="宋体" w:cs="仿宋_GB2312"/>
          <w:bCs/>
          <w:sz w:val="24"/>
          <w:u w:val="single"/>
        </w:rPr>
        <w:t xml:space="preserve">                                        </w:t>
      </w:r>
      <w:r>
        <w:rPr>
          <w:rFonts w:hint="eastAsia" w:ascii="宋体" w:hAnsi="宋体" w:cs="仿宋_GB2312"/>
          <w:bCs/>
          <w:sz w:val="24"/>
        </w:rPr>
        <w:t>。</w:t>
      </w:r>
    </w:p>
    <w:p>
      <w:pPr>
        <w:spacing w:line="460" w:lineRule="exact"/>
        <w:ind w:firstLine="470" w:firstLineChars="196"/>
        <w:rPr>
          <w:rFonts w:ascii="宋体" w:hAnsi="宋体" w:cs="仿宋_GB2312"/>
          <w:bCs/>
          <w:sz w:val="24"/>
        </w:rPr>
      </w:pPr>
      <w:r>
        <w:rPr>
          <w:rFonts w:hint="eastAsia" w:ascii="宋体" w:hAnsi="宋体" w:cs="仿宋_GB2312"/>
          <w:bCs/>
          <w:sz w:val="24"/>
        </w:rPr>
        <w:t>2.工程地点：</w:t>
      </w:r>
      <w:r>
        <w:rPr>
          <w:rFonts w:hint="eastAsia" w:ascii="宋体" w:hAnsi="宋体" w:cs="仿宋_GB2312"/>
          <w:bCs/>
          <w:sz w:val="24"/>
          <w:u w:val="single"/>
        </w:rPr>
        <w:t xml:space="preserve">                                        </w:t>
      </w:r>
      <w:r>
        <w:rPr>
          <w:rFonts w:hint="eastAsia" w:ascii="宋体" w:hAnsi="宋体" w:cs="仿宋_GB2312"/>
          <w:bCs/>
          <w:sz w:val="24"/>
        </w:rPr>
        <w:t>。</w:t>
      </w:r>
    </w:p>
    <w:p>
      <w:pPr>
        <w:spacing w:line="460" w:lineRule="exact"/>
        <w:ind w:firstLine="470" w:firstLineChars="196"/>
        <w:rPr>
          <w:rFonts w:ascii="宋体" w:hAnsi="宋体" w:cs="仿宋_GB2312"/>
          <w:bCs/>
          <w:sz w:val="24"/>
        </w:rPr>
      </w:pPr>
      <w:r>
        <w:rPr>
          <w:rFonts w:hint="eastAsia" w:ascii="宋体" w:hAnsi="宋体" w:cs="仿宋_GB2312"/>
          <w:bCs/>
          <w:sz w:val="24"/>
        </w:rPr>
        <w:t>3.工程立项批准文号：</w:t>
      </w:r>
      <w:r>
        <w:rPr>
          <w:rFonts w:hint="eastAsia" w:ascii="宋体" w:hAnsi="宋体" w:cs="仿宋_GB2312"/>
          <w:bCs/>
          <w:sz w:val="24"/>
          <w:u w:val="single"/>
        </w:rPr>
        <w:t xml:space="preserve">                                </w:t>
      </w:r>
      <w:r>
        <w:rPr>
          <w:rFonts w:hint="eastAsia" w:ascii="宋体" w:hAnsi="宋体" w:cs="仿宋_GB2312"/>
          <w:bCs/>
          <w:sz w:val="24"/>
        </w:rPr>
        <w:t>。</w:t>
      </w:r>
    </w:p>
    <w:p>
      <w:pPr>
        <w:spacing w:line="460" w:lineRule="exact"/>
        <w:ind w:firstLine="470" w:firstLineChars="196"/>
        <w:rPr>
          <w:rFonts w:ascii="宋体" w:hAnsi="宋体" w:cs="仿宋_GB2312"/>
          <w:bCs/>
          <w:sz w:val="24"/>
        </w:rPr>
      </w:pPr>
      <w:r>
        <w:rPr>
          <w:rFonts w:hint="eastAsia" w:ascii="宋体" w:hAnsi="宋体" w:cs="仿宋_GB2312"/>
          <w:bCs/>
          <w:sz w:val="24"/>
        </w:rPr>
        <w:t>4.资金来源：</w:t>
      </w:r>
      <w:r>
        <w:rPr>
          <w:rFonts w:hint="eastAsia" w:ascii="宋体" w:hAnsi="宋体" w:cs="仿宋_GB2312"/>
          <w:bCs/>
          <w:sz w:val="24"/>
          <w:u w:val="single"/>
        </w:rPr>
        <w:t xml:space="preserve">                                        </w:t>
      </w:r>
      <w:r>
        <w:rPr>
          <w:rFonts w:hint="eastAsia" w:ascii="宋体" w:hAnsi="宋体" w:cs="仿宋_GB2312"/>
          <w:bCs/>
          <w:sz w:val="24"/>
        </w:rPr>
        <w:t>。</w:t>
      </w:r>
    </w:p>
    <w:p>
      <w:pPr>
        <w:spacing w:line="460" w:lineRule="exact"/>
        <w:ind w:firstLine="470" w:firstLineChars="196"/>
        <w:rPr>
          <w:rFonts w:ascii="宋体" w:hAnsi="宋体" w:cs="仿宋_GB2312"/>
          <w:bCs/>
          <w:sz w:val="24"/>
        </w:rPr>
      </w:pPr>
      <w:r>
        <w:rPr>
          <w:rFonts w:hint="eastAsia" w:ascii="宋体" w:hAnsi="宋体" w:cs="仿宋_GB2312"/>
          <w:bCs/>
          <w:sz w:val="24"/>
        </w:rPr>
        <w:t>5.工程规模：</w:t>
      </w:r>
      <w:r>
        <w:rPr>
          <w:rFonts w:hint="eastAsia" w:ascii="宋体" w:hAnsi="宋体" w:cs="仿宋_GB2312"/>
          <w:bCs/>
          <w:sz w:val="24"/>
          <w:u w:val="single"/>
        </w:rPr>
        <w:t xml:space="preserve">                                        </w:t>
      </w:r>
      <w:r>
        <w:rPr>
          <w:rFonts w:hint="eastAsia" w:ascii="宋体" w:hAnsi="宋体" w:cs="仿宋_GB2312"/>
          <w:bCs/>
          <w:sz w:val="24"/>
        </w:rPr>
        <w:t>。</w:t>
      </w:r>
    </w:p>
    <w:p>
      <w:pPr>
        <w:spacing w:line="460" w:lineRule="exact"/>
        <w:ind w:firstLine="470" w:firstLineChars="196"/>
        <w:rPr>
          <w:rFonts w:ascii="宋体" w:hAnsi="宋体" w:cs="仿宋_GB2312"/>
          <w:bCs/>
          <w:sz w:val="24"/>
        </w:rPr>
      </w:pPr>
      <w:r>
        <w:rPr>
          <w:rFonts w:hint="eastAsia" w:ascii="宋体" w:hAnsi="宋体" w:cs="仿宋_GB2312"/>
          <w:bCs/>
          <w:sz w:val="24"/>
        </w:rPr>
        <w:t>群体工程应附《承包人承揽工程项目一览表》（附件1）。</w:t>
      </w:r>
    </w:p>
    <w:p>
      <w:pPr>
        <w:spacing w:line="460" w:lineRule="exact"/>
        <w:ind w:firstLine="470" w:firstLineChars="196"/>
        <w:rPr>
          <w:rFonts w:ascii="宋体" w:hAnsi="宋体" w:cs="仿宋_GB2312"/>
          <w:bCs/>
          <w:sz w:val="24"/>
        </w:rPr>
      </w:pPr>
      <w:r>
        <w:rPr>
          <w:rFonts w:hint="eastAsia" w:ascii="宋体" w:hAnsi="宋体" w:cs="仿宋_GB2312"/>
          <w:bCs/>
          <w:sz w:val="24"/>
        </w:rPr>
        <w:t>6.工程承包范围：</w:t>
      </w:r>
      <w:r>
        <w:rPr>
          <w:rFonts w:hint="eastAsia" w:ascii="宋体" w:hAnsi="宋体" w:cs="仿宋_GB2312"/>
          <w:bCs/>
          <w:sz w:val="24"/>
          <w:u w:val="single"/>
        </w:rPr>
        <w:t xml:space="preserve">                                    </w:t>
      </w:r>
      <w:r>
        <w:rPr>
          <w:rFonts w:hint="eastAsia" w:ascii="宋体" w:hAnsi="宋体" w:cs="仿宋_GB2312"/>
          <w:bCs/>
          <w:sz w:val="24"/>
        </w:rPr>
        <w:t>。</w:t>
      </w:r>
    </w:p>
    <w:p>
      <w:pPr>
        <w:pStyle w:val="3"/>
        <w:spacing w:before="0" w:after="0" w:line="460" w:lineRule="exact"/>
        <w:ind w:firstLine="481" w:firstLineChars="200"/>
        <w:jc w:val="left"/>
        <w:rPr>
          <w:rFonts w:ascii="宋体" w:hAnsi="宋体"/>
          <w:bCs/>
          <w:kern w:val="2"/>
          <w:sz w:val="24"/>
          <w:szCs w:val="24"/>
        </w:rPr>
      </w:pPr>
      <w:bookmarkStart w:id="227" w:name="_Toc712002224"/>
      <w:bookmarkStart w:id="228" w:name="_Toc1515347488"/>
      <w:r>
        <w:rPr>
          <w:rFonts w:ascii="宋体" w:hAnsi="宋体"/>
          <w:bCs/>
          <w:kern w:val="2"/>
          <w:sz w:val="24"/>
          <w:szCs w:val="24"/>
        </w:rPr>
        <w:t>二、合同工期</w:t>
      </w:r>
      <w:bookmarkEnd w:id="227"/>
      <w:bookmarkEnd w:id="228"/>
    </w:p>
    <w:p>
      <w:pPr>
        <w:spacing w:line="460" w:lineRule="exact"/>
        <w:ind w:firstLine="480" w:firstLineChars="200"/>
        <w:rPr>
          <w:rFonts w:ascii="宋体" w:hAnsi="宋体"/>
          <w:bCs/>
          <w:sz w:val="24"/>
        </w:rPr>
      </w:pPr>
      <w:r>
        <w:rPr>
          <w:rFonts w:ascii="宋体" w:hAnsi="宋体"/>
          <w:bCs/>
          <w:sz w:val="24"/>
        </w:rPr>
        <w:t>计划开工日期：</w:t>
      </w:r>
      <w:r>
        <w:rPr>
          <w:rFonts w:hint="eastAsia" w:ascii="宋体" w:hAnsi="宋体"/>
          <w:bCs/>
          <w:sz w:val="24"/>
          <w:u w:val="single"/>
        </w:rPr>
        <w:t xml:space="preserve">        </w:t>
      </w:r>
      <w:r>
        <w:rPr>
          <w:rFonts w:ascii="宋体" w:hAnsi="宋体"/>
          <w:bCs/>
          <w:sz w:val="24"/>
        </w:rPr>
        <w:t>年</w:t>
      </w:r>
      <w:r>
        <w:rPr>
          <w:rFonts w:hint="eastAsia" w:ascii="宋体" w:hAnsi="宋体"/>
          <w:bCs/>
          <w:sz w:val="24"/>
          <w:u w:val="single"/>
        </w:rPr>
        <w:t xml:space="preserve">    </w:t>
      </w:r>
      <w:r>
        <w:rPr>
          <w:rFonts w:ascii="宋体" w:hAnsi="宋体"/>
          <w:bCs/>
          <w:sz w:val="24"/>
        </w:rPr>
        <w:t>月</w:t>
      </w:r>
      <w:r>
        <w:rPr>
          <w:rFonts w:hint="eastAsia" w:ascii="宋体" w:hAnsi="宋体"/>
          <w:bCs/>
          <w:sz w:val="24"/>
          <w:u w:val="single"/>
        </w:rPr>
        <w:t xml:space="preserve">    </w:t>
      </w:r>
      <w:r>
        <w:rPr>
          <w:rFonts w:ascii="宋体" w:hAnsi="宋体"/>
          <w:bCs/>
          <w:sz w:val="24"/>
        </w:rPr>
        <w:t>日。</w:t>
      </w:r>
    </w:p>
    <w:p>
      <w:pPr>
        <w:spacing w:line="460" w:lineRule="exact"/>
        <w:ind w:firstLine="480" w:firstLineChars="200"/>
        <w:rPr>
          <w:rFonts w:ascii="宋体" w:hAnsi="宋体"/>
          <w:bCs/>
          <w:sz w:val="24"/>
        </w:rPr>
      </w:pPr>
      <w:r>
        <w:rPr>
          <w:rFonts w:ascii="宋体" w:hAnsi="宋体"/>
          <w:bCs/>
          <w:sz w:val="24"/>
        </w:rPr>
        <w:t>计划竣工日期：</w:t>
      </w:r>
      <w:r>
        <w:rPr>
          <w:rFonts w:hint="eastAsia" w:ascii="宋体" w:hAnsi="宋体"/>
          <w:bCs/>
          <w:sz w:val="24"/>
          <w:u w:val="single"/>
        </w:rPr>
        <w:t xml:space="preserve">        </w:t>
      </w:r>
      <w:r>
        <w:rPr>
          <w:rFonts w:ascii="宋体" w:hAnsi="宋体"/>
          <w:bCs/>
          <w:sz w:val="24"/>
        </w:rPr>
        <w:t>年</w:t>
      </w:r>
      <w:r>
        <w:rPr>
          <w:rFonts w:hint="eastAsia" w:ascii="宋体" w:hAnsi="宋体"/>
          <w:bCs/>
          <w:sz w:val="24"/>
          <w:u w:val="single"/>
        </w:rPr>
        <w:t xml:space="preserve">    </w:t>
      </w:r>
      <w:r>
        <w:rPr>
          <w:rFonts w:ascii="宋体" w:hAnsi="宋体"/>
          <w:bCs/>
          <w:sz w:val="24"/>
        </w:rPr>
        <w:t>月</w:t>
      </w:r>
      <w:r>
        <w:rPr>
          <w:rFonts w:hint="eastAsia" w:ascii="宋体" w:hAnsi="宋体"/>
          <w:bCs/>
          <w:sz w:val="24"/>
          <w:u w:val="single"/>
        </w:rPr>
        <w:t xml:space="preserve">    </w:t>
      </w:r>
      <w:r>
        <w:rPr>
          <w:rFonts w:ascii="宋体" w:hAnsi="宋体"/>
          <w:bCs/>
          <w:sz w:val="24"/>
        </w:rPr>
        <w:t>日。</w:t>
      </w:r>
    </w:p>
    <w:p>
      <w:pPr>
        <w:spacing w:line="460" w:lineRule="exact"/>
        <w:ind w:firstLine="480" w:firstLineChars="200"/>
        <w:rPr>
          <w:rFonts w:ascii="宋体" w:hAnsi="宋体"/>
          <w:bCs/>
          <w:sz w:val="24"/>
        </w:rPr>
      </w:pPr>
      <w:r>
        <w:rPr>
          <w:rFonts w:ascii="宋体" w:hAnsi="宋体"/>
          <w:bCs/>
          <w:sz w:val="24"/>
        </w:rPr>
        <w:t>工期总日历天数：</w:t>
      </w:r>
      <w:r>
        <w:rPr>
          <w:rFonts w:hint="eastAsia" w:ascii="宋体" w:hAnsi="宋体"/>
          <w:bCs/>
          <w:sz w:val="24"/>
          <w:u w:val="single"/>
        </w:rPr>
        <w:t xml:space="preserve">      </w:t>
      </w:r>
      <w:r>
        <w:rPr>
          <w:rFonts w:ascii="宋体" w:hAnsi="宋体"/>
          <w:bCs/>
          <w:sz w:val="24"/>
        </w:rPr>
        <w:t>天</w:t>
      </w:r>
      <w:r>
        <w:rPr>
          <w:rFonts w:hint="eastAsia" w:ascii="宋体" w:hAnsi="宋体"/>
          <w:bCs/>
          <w:sz w:val="24"/>
        </w:rPr>
        <w:t>，阶段性工期：</w:t>
      </w:r>
      <w:r>
        <w:rPr>
          <w:rFonts w:hint="eastAsia" w:ascii="宋体" w:hAnsi="宋体"/>
          <w:bCs/>
          <w:sz w:val="24"/>
          <w:u w:val="single"/>
        </w:rPr>
        <w:t xml:space="preserve">             </w:t>
      </w:r>
      <w:r>
        <w:rPr>
          <w:rFonts w:ascii="宋体" w:hAnsi="宋体"/>
          <w:bCs/>
          <w:sz w:val="24"/>
        </w:rPr>
        <w:t>。</w:t>
      </w:r>
    </w:p>
    <w:p>
      <w:pPr>
        <w:spacing w:line="460" w:lineRule="exact"/>
        <w:ind w:firstLine="480" w:firstLineChars="200"/>
        <w:rPr>
          <w:rFonts w:ascii="宋体" w:hAnsi="宋体"/>
          <w:bCs/>
          <w:sz w:val="24"/>
        </w:rPr>
      </w:pPr>
      <w:r>
        <w:rPr>
          <w:rFonts w:ascii="宋体" w:hAnsi="宋体"/>
          <w:bCs/>
          <w:sz w:val="24"/>
        </w:rPr>
        <w:t>工期总日历天数与根据前述计划开竣工日期计算的工期天数不一致的，以工期总日历天数为准。</w:t>
      </w:r>
    </w:p>
    <w:p>
      <w:pPr>
        <w:pStyle w:val="3"/>
        <w:spacing w:before="0" w:after="0" w:line="460" w:lineRule="exact"/>
        <w:ind w:firstLine="481" w:firstLineChars="200"/>
        <w:jc w:val="left"/>
        <w:rPr>
          <w:rFonts w:ascii="宋体" w:hAnsi="宋体"/>
          <w:bCs/>
          <w:kern w:val="2"/>
          <w:sz w:val="24"/>
          <w:szCs w:val="24"/>
        </w:rPr>
      </w:pPr>
      <w:bookmarkStart w:id="229" w:name="_Toc385210886"/>
      <w:bookmarkStart w:id="230" w:name="_Toc1520902222"/>
      <w:r>
        <w:rPr>
          <w:rFonts w:ascii="宋体" w:hAnsi="宋体"/>
          <w:bCs/>
          <w:kern w:val="2"/>
          <w:sz w:val="24"/>
          <w:szCs w:val="24"/>
        </w:rPr>
        <w:t>三、质量标准</w:t>
      </w:r>
      <w:bookmarkEnd w:id="229"/>
      <w:bookmarkEnd w:id="230"/>
    </w:p>
    <w:p>
      <w:pPr>
        <w:spacing w:line="460" w:lineRule="exact"/>
        <w:ind w:firstLine="480" w:firstLineChars="200"/>
        <w:jc w:val="left"/>
        <w:rPr>
          <w:rFonts w:ascii="宋体" w:hAnsi="宋体"/>
          <w:bCs/>
          <w:sz w:val="24"/>
        </w:rPr>
      </w:pPr>
      <w:r>
        <w:rPr>
          <w:rFonts w:ascii="宋体" w:hAnsi="宋体"/>
          <w:bCs/>
          <w:sz w:val="24"/>
        </w:rPr>
        <w:t>工程质量符合</w:t>
      </w:r>
      <w:r>
        <w:rPr>
          <w:rFonts w:hint="eastAsia" w:ascii="宋体" w:hAnsi="宋体"/>
          <w:bCs/>
          <w:sz w:val="24"/>
          <w:u w:val="single"/>
        </w:rPr>
        <w:t xml:space="preserve">                                   </w:t>
      </w:r>
      <w:r>
        <w:rPr>
          <w:rFonts w:ascii="宋体" w:hAnsi="宋体"/>
          <w:bCs/>
          <w:sz w:val="24"/>
        </w:rPr>
        <w:t>标准</w:t>
      </w:r>
      <w:r>
        <w:rPr>
          <w:rFonts w:hint="eastAsia" w:ascii="宋体" w:hAnsi="宋体"/>
          <w:bCs/>
          <w:sz w:val="24"/>
        </w:rPr>
        <w:t>；</w:t>
      </w:r>
    </w:p>
    <w:p>
      <w:pPr>
        <w:spacing w:line="460" w:lineRule="exact"/>
        <w:ind w:firstLine="480" w:firstLineChars="200"/>
        <w:rPr>
          <w:rFonts w:ascii="宋体" w:hAnsi="宋体"/>
          <w:bCs/>
          <w:sz w:val="24"/>
        </w:rPr>
      </w:pPr>
      <w:r>
        <w:rPr>
          <w:rFonts w:hint="eastAsia" w:ascii="宋体" w:hAnsi="宋体"/>
          <w:bCs/>
          <w:sz w:val="24"/>
        </w:rPr>
        <w:t>园林绿化养护</w:t>
      </w:r>
      <w:r>
        <w:rPr>
          <w:rFonts w:ascii="宋体" w:hAnsi="宋体"/>
          <w:bCs/>
          <w:sz w:val="24"/>
        </w:rPr>
        <w:t>质量符合</w:t>
      </w:r>
      <w:r>
        <w:rPr>
          <w:rFonts w:ascii="宋体" w:hAnsi="宋体"/>
          <w:bCs/>
          <w:sz w:val="24"/>
        </w:rPr>
        <w:sym w:font="Wingdings" w:char="00A8"/>
      </w:r>
      <w:r>
        <w:rPr>
          <w:rFonts w:ascii="宋体" w:hAnsi="宋体"/>
          <w:bCs/>
          <w:sz w:val="24"/>
        </w:rPr>
        <w:t>《园林绿化养护标准》</w:t>
      </w:r>
      <w:r>
        <w:rPr>
          <w:rFonts w:hint="eastAsia" w:ascii="宋体" w:hAnsi="宋体"/>
          <w:bCs/>
          <w:sz w:val="24"/>
        </w:rPr>
        <w:t>（</w:t>
      </w:r>
      <w:r>
        <w:rPr>
          <w:rFonts w:hint="eastAsia" w:ascii="宋体" w:hAnsi="宋体" w:cs="仿宋_GB2312"/>
          <w:bCs/>
          <w:sz w:val="24"/>
        </w:rPr>
        <w:t>CJJ/T287</w:t>
      </w:r>
      <w:r>
        <w:rPr>
          <w:rFonts w:hint="eastAsia" w:ascii="宋体" w:hAnsi="宋体"/>
          <w:bCs/>
          <w:sz w:val="24"/>
        </w:rPr>
        <w:t>）或</w:t>
      </w:r>
      <w:r>
        <w:rPr>
          <w:rFonts w:ascii="宋体" w:hAnsi="宋体"/>
          <w:bCs/>
          <w:sz w:val="24"/>
        </w:rPr>
        <w:sym w:font="Wingdings" w:char="00A8"/>
      </w:r>
      <w:r>
        <w:rPr>
          <w:rFonts w:hint="eastAsia" w:ascii="宋体" w:hAnsi="宋体"/>
          <w:bCs/>
          <w:sz w:val="24"/>
          <w:u w:val="single"/>
        </w:rPr>
        <w:t xml:space="preserve">                            </w:t>
      </w:r>
      <w:r>
        <w:rPr>
          <w:rFonts w:hint="eastAsia" w:ascii="宋体" w:hAnsi="宋体"/>
          <w:bCs/>
          <w:sz w:val="24"/>
        </w:rPr>
        <w:t>（地方标准）中</w:t>
      </w:r>
      <w:r>
        <w:rPr>
          <w:rFonts w:hint="eastAsia" w:ascii="宋体" w:hAnsi="宋体"/>
          <w:bCs/>
          <w:sz w:val="24"/>
          <w:u w:val="single"/>
        </w:rPr>
        <w:t xml:space="preserve">     </w:t>
      </w:r>
      <w:r>
        <w:rPr>
          <w:rFonts w:ascii="宋体" w:hAnsi="宋体"/>
          <w:bCs/>
          <w:sz w:val="24"/>
        </w:rPr>
        <w:t>级</w:t>
      </w:r>
      <w:r>
        <w:rPr>
          <w:rFonts w:hint="eastAsia" w:ascii="宋体" w:hAnsi="宋体"/>
          <w:bCs/>
          <w:sz w:val="24"/>
        </w:rPr>
        <w:t>标准</w:t>
      </w:r>
      <w:r>
        <w:rPr>
          <w:rFonts w:ascii="宋体" w:hAnsi="宋体"/>
          <w:bCs/>
          <w:sz w:val="24"/>
        </w:rPr>
        <w:t xml:space="preserve">。  </w:t>
      </w:r>
    </w:p>
    <w:p>
      <w:pPr>
        <w:spacing w:line="460" w:lineRule="exact"/>
        <w:ind w:firstLine="481" w:firstLineChars="200"/>
        <w:outlineLvl w:val="1"/>
        <w:rPr>
          <w:rFonts w:ascii="宋体" w:hAnsi="宋体"/>
          <w:b/>
          <w:bCs/>
          <w:sz w:val="24"/>
        </w:rPr>
      </w:pPr>
      <w:bookmarkStart w:id="231" w:name="_Toc1032760150"/>
      <w:bookmarkStart w:id="232" w:name="_Toc204832942"/>
      <w:r>
        <w:rPr>
          <w:rFonts w:ascii="宋体" w:hAnsi="宋体"/>
          <w:b/>
          <w:bCs/>
          <w:sz w:val="24"/>
        </w:rPr>
        <w:t>四、签约合同价与合同价格形式</w:t>
      </w:r>
      <w:bookmarkEnd w:id="231"/>
      <w:bookmarkEnd w:id="232"/>
      <w:r>
        <w:rPr>
          <w:rFonts w:ascii="宋体" w:hAnsi="宋体"/>
          <w:b/>
          <w:bCs/>
          <w:sz w:val="24"/>
        </w:rPr>
        <w:tab/>
      </w:r>
    </w:p>
    <w:p>
      <w:pPr>
        <w:spacing w:line="460" w:lineRule="exact"/>
        <w:ind w:firstLine="480" w:firstLineChars="200"/>
        <w:jc w:val="left"/>
        <w:rPr>
          <w:rFonts w:ascii="宋体" w:hAnsi="宋体" w:cs="仿宋_GB2312"/>
          <w:bCs/>
          <w:sz w:val="24"/>
        </w:rPr>
      </w:pPr>
      <w:r>
        <w:rPr>
          <w:rFonts w:hint="eastAsia" w:ascii="宋体" w:hAnsi="宋体" w:cs="仿宋_GB2312"/>
          <w:bCs/>
          <w:sz w:val="24"/>
        </w:rPr>
        <w:t>1.签约合同价（不含税）为：</w:t>
      </w:r>
    </w:p>
    <w:p>
      <w:pPr>
        <w:spacing w:line="460" w:lineRule="exact"/>
        <w:ind w:firstLine="480" w:firstLineChars="200"/>
        <w:jc w:val="left"/>
        <w:rPr>
          <w:rFonts w:ascii="宋体" w:hAnsi="宋体" w:cs="仿宋_GB2312"/>
          <w:bCs/>
          <w:sz w:val="24"/>
        </w:rPr>
      </w:pPr>
      <w:r>
        <w:rPr>
          <w:rFonts w:hint="eastAsia" w:ascii="宋体" w:hAnsi="宋体" w:cs="仿宋_GB2312"/>
          <w:bCs/>
          <w:sz w:val="24"/>
        </w:rPr>
        <w:t>人民币（大写）</w:t>
      </w:r>
      <w:r>
        <w:rPr>
          <w:rFonts w:hint="eastAsia" w:ascii="宋体" w:hAnsi="宋体" w:cs="仿宋_GB2312"/>
          <w:bCs/>
          <w:sz w:val="24"/>
          <w:u w:val="single"/>
        </w:rPr>
        <w:t xml:space="preserve">                        </w:t>
      </w:r>
      <w:r>
        <w:rPr>
          <w:rFonts w:hint="eastAsia" w:ascii="宋体" w:hAnsi="宋体" w:cs="仿宋_GB2312"/>
          <w:bCs/>
          <w:sz w:val="24"/>
        </w:rPr>
        <w:t>(¥</w:t>
      </w:r>
      <w:r>
        <w:rPr>
          <w:rFonts w:hint="eastAsia" w:ascii="宋体" w:hAnsi="宋体" w:cs="仿宋_GB2312"/>
          <w:bCs/>
          <w:sz w:val="24"/>
          <w:u w:val="single"/>
        </w:rPr>
        <w:t xml:space="preserve">        </w:t>
      </w:r>
      <w:r>
        <w:rPr>
          <w:rFonts w:hint="eastAsia" w:ascii="宋体" w:hAnsi="宋体" w:cs="仿宋_GB2312"/>
          <w:bCs/>
          <w:sz w:val="24"/>
        </w:rPr>
        <w:t>元)；税率：</w:t>
      </w:r>
      <w:r>
        <w:rPr>
          <w:rFonts w:hint="eastAsia" w:ascii="宋体" w:hAnsi="宋体" w:cs="仿宋_GB2312"/>
          <w:bCs/>
          <w:sz w:val="24"/>
          <w:u w:val="single"/>
        </w:rPr>
        <w:t xml:space="preserve">    </w:t>
      </w:r>
      <w:r>
        <w:rPr>
          <w:rFonts w:hint="eastAsia" w:ascii="宋体" w:hAnsi="宋体" w:cs="仿宋_GB2312"/>
          <w:bCs/>
          <w:sz w:val="24"/>
        </w:rPr>
        <w:t>%；</w:t>
      </w:r>
    </w:p>
    <w:p>
      <w:pPr>
        <w:spacing w:line="460" w:lineRule="exact"/>
        <w:ind w:firstLine="480" w:firstLineChars="200"/>
        <w:jc w:val="left"/>
        <w:rPr>
          <w:rFonts w:ascii="宋体" w:hAnsi="宋体" w:cs="仿宋_GB2312"/>
          <w:bCs/>
          <w:sz w:val="24"/>
        </w:rPr>
      </w:pPr>
      <w:r>
        <w:rPr>
          <w:rFonts w:hint="eastAsia" w:ascii="宋体" w:hAnsi="宋体" w:cs="仿宋_GB2312"/>
          <w:bCs/>
          <w:sz w:val="24"/>
        </w:rPr>
        <w:t>含税金额：人民币（大写）</w:t>
      </w:r>
      <w:r>
        <w:rPr>
          <w:rFonts w:hint="eastAsia" w:ascii="宋体" w:hAnsi="宋体" w:cs="仿宋_GB2312"/>
          <w:bCs/>
          <w:sz w:val="24"/>
          <w:u w:val="single"/>
        </w:rPr>
        <w:t xml:space="preserve">               </w:t>
      </w:r>
      <w:r>
        <w:rPr>
          <w:rFonts w:hint="eastAsia" w:ascii="宋体" w:hAnsi="宋体" w:cs="仿宋_GB2312"/>
          <w:bCs/>
          <w:sz w:val="24"/>
        </w:rPr>
        <w:t>(¥</w:t>
      </w:r>
      <w:r>
        <w:rPr>
          <w:rFonts w:hint="eastAsia" w:ascii="宋体" w:hAnsi="宋体" w:cs="仿宋_GB2312"/>
          <w:bCs/>
          <w:sz w:val="24"/>
          <w:u w:val="single"/>
        </w:rPr>
        <w:t xml:space="preserve">        </w:t>
      </w:r>
      <w:r>
        <w:rPr>
          <w:rFonts w:hint="eastAsia" w:ascii="宋体" w:hAnsi="宋体" w:cs="仿宋_GB2312"/>
          <w:bCs/>
          <w:sz w:val="24"/>
        </w:rPr>
        <w:t>元)。</w:t>
      </w:r>
    </w:p>
    <w:p>
      <w:pPr>
        <w:spacing w:line="460" w:lineRule="exact"/>
        <w:jc w:val="left"/>
        <w:rPr>
          <w:rFonts w:ascii="宋体" w:hAnsi="宋体" w:cs="仿宋_GB2312"/>
          <w:bCs/>
          <w:sz w:val="24"/>
        </w:rPr>
      </w:pPr>
      <w:r>
        <w:rPr>
          <w:rFonts w:hint="eastAsia" w:ascii="宋体" w:hAnsi="宋体" w:cs="仿宋_GB2312"/>
          <w:bCs/>
          <w:sz w:val="24"/>
        </w:rPr>
        <w:t>其中：</w:t>
      </w:r>
    </w:p>
    <w:p>
      <w:pPr>
        <w:spacing w:line="460" w:lineRule="exact"/>
        <w:ind w:firstLine="480" w:firstLineChars="200"/>
        <w:jc w:val="left"/>
        <w:rPr>
          <w:rFonts w:ascii="宋体" w:hAnsi="宋体" w:cs="仿宋_GB2312"/>
          <w:bCs/>
          <w:sz w:val="24"/>
        </w:rPr>
      </w:pPr>
      <w:r>
        <w:rPr>
          <w:rFonts w:hint="eastAsia" w:ascii="宋体" w:hAnsi="宋体" w:cs="仿宋_GB2312"/>
          <w:bCs/>
          <w:sz w:val="24"/>
        </w:rPr>
        <w:t>（1）安全文明施工费（含税）：</w:t>
      </w:r>
    </w:p>
    <w:p>
      <w:pPr>
        <w:spacing w:line="460" w:lineRule="exact"/>
        <w:ind w:firstLine="480" w:firstLineChars="200"/>
        <w:jc w:val="left"/>
        <w:rPr>
          <w:rFonts w:ascii="宋体" w:hAnsi="宋体" w:cs="仿宋_GB2312"/>
          <w:bCs/>
          <w:sz w:val="24"/>
        </w:rPr>
      </w:pPr>
      <w:r>
        <w:rPr>
          <w:rFonts w:hint="eastAsia" w:ascii="宋体" w:hAnsi="宋体" w:cs="仿宋_GB2312"/>
          <w:bCs/>
          <w:sz w:val="24"/>
        </w:rPr>
        <w:t>人民币（大写）</w:t>
      </w:r>
      <w:r>
        <w:rPr>
          <w:rFonts w:hint="eastAsia" w:ascii="宋体" w:hAnsi="宋体" w:cs="仿宋_GB2312"/>
          <w:bCs/>
          <w:sz w:val="24"/>
          <w:u w:val="single"/>
        </w:rPr>
        <w:t xml:space="preserve">                        </w:t>
      </w:r>
      <w:r>
        <w:rPr>
          <w:rFonts w:hint="eastAsia" w:ascii="宋体" w:hAnsi="宋体" w:cs="仿宋_GB2312"/>
          <w:bCs/>
          <w:sz w:val="24"/>
        </w:rPr>
        <w:t>(¥</w:t>
      </w:r>
      <w:r>
        <w:rPr>
          <w:rFonts w:hint="eastAsia" w:ascii="宋体" w:hAnsi="宋体" w:cs="仿宋_GB2312"/>
          <w:bCs/>
          <w:sz w:val="24"/>
          <w:u w:val="single"/>
        </w:rPr>
        <w:t xml:space="preserve">        </w:t>
      </w:r>
      <w:r>
        <w:rPr>
          <w:rFonts w:hint="eastAsia" w:ascii="宋体" w:hAnsi="宋体" w:cs="仿宋_GB2312"/>
          <w:bCs/>
          <w:sz w:val="24"/>
        </w:rPr>
        <w:t>元)；</w:t>
      </w:r>
    </w:p>
    <w:p>
      <w:pPr>
        <w:spacing w:line="460" w:lineRule="exact"/>
        <w:ind w:firstLine="480" w:firstLineChars="200"/>
        <w:jc w:val="left"/>
        <w:rPr>
          <w:rFonts w:ascii="宋体" w:hAnsi="宋体" w:cs="仿宋_GB2312"/>
          <w:bCs/>
          <w:sz w:val="24"/>
        </w:rPr>
      </w:pPr>
      <w:r>
        <w:rPr>
          <w:rFonts w:hint="eastAsia" w:ascii="宋体" w:hAnsi="宋体" w:cs="仿宋_GB2312"/>
          <w:bCs/>
          <w:sz w:val="24"/>
        </w:rPr>
        <w:t>（2）暂估价金额（含税）：</w:t>
      </w:r>
    </w:p>
    <w:p>
      <w:pPr>
        <w:spacing w:line="460" w:lineRule="exact"/>
        <w:ind w:firstLine="480" w:firstLineChars="200"/>
        <w:jc w:val="left"/>
        <w:rPr>
          <w:rFonts w:ascii="宋体" w:hAnsi="宋体" w:cs="仿宋_GB2312"/>
          <w:bCs/>
          <w:sz w:val="24"/>
        </w:rPr>
      </w:pPr>
      <w:r>
        <w:rPr>
          <w:rFonts w:hint="eastAsia" w:ascii="宋体" w:hAnsi="宋体" w:cs="仿宋_GB2312"/>
          <w:bCs/>
          <w:sz w:val="24"/>
        </w:rPr>
        <w:t>人民币（大写）</w:t>
      </w:r>
      <w:r>
        <w:rPr>
          <w:rFonts w:hint="eastAsia" w:ascii="宋体" w:hAnsi="宋体" w:cs="仿宋_GB2312"/>
          <w:bCs/>
          <w:sz w:val="24"/>
          <w:u w:val="single"/>
        </w:rPr>
        <w:t xml:space="preserve">                        </w:t>
      </w:r>
      <w:r>
        <w:rPr>
          <w:rFonts w:hint="eastAsia" w:ascii="宋体" w:hAnsi="宋体" w:cs="仿宋_GB2312"/>
          <w:bCs/>
          <w:sz w:val="24"/>
        </w:rPr>
        <w:t>(¥</w:t>
      </w:r>
      <w:r>
        <w:rPr>
          <w:rFonts w:hint="eastAsia" w:ascii="宋体" w:hAnsi="宋体" w:cs="仿宋_GB2312"/>
          <w:bCs/>
          <w:sz w:val="24"/>
          <w:u w:val="single"/>
        </w:rPr>
        <w:t xml:space="preserve">        </w:t>
      </w:r>
      <w:r>
        <w:rPr>
          <w:rFonts w:hint="eastAsia" w:ascii="宋体" w:hAnsi="宋体" w:cs="仿宋_GB2312"/>
          <w:bCs/>
          <w:sz w:val="24"/>
        </w:rPr>
        <w:t>元)；</w:t>
      </w:r>
    </w:p>
    <w:p>
      <w:pPr>
        <w:spacing w:line="460" w:lineRule="exact"/>
        <w:ind w:firstLine="480" w:firstLineChars="200"/>
        <w:rPr>
          <w:rFonts w:ascii="宋体" w:hAnsi="宋体" w:cs="仿宋_GB2312"/>
          <w:bCs/>
          <w:sz w:val="24"/>
        </w:rPr>
      </w:pPr>
      <w:r>
        <w:rPr>
          <w:rFonts w:hint="eastAsia" w:ascii="宋体" w:hAnsi="宋体" w:cs="仿宋_GB2312"/>
          <w:bCs/>
          <w:sz w:val="24"/>
        </w:rPr>
        <w:t>（3）暂列金额（含税）：</w:t>
      </w:r>
    </w:p>
    <w:p>
      <w:pPr>
        <w:spacing w:line="460" w:lineRule="exact"/>
        <w:ind w:firstLine="480" w:firstLineChars="200"/>
        <w:jc w:val="left"/>
        <w:rPr>
          <w:rFonts w:ascii="宋体" w:hAnsi="宋体" w:cs="仿宋_GB2312"/>
          <w:bCs/>
          <w:sz w:val="24"/>
        </w:rPr>
      </w:pPr>
      <w:r>
        <w:rPr>
          <w:rFonts w:hint="eastAsia" w:ascii="宋体" w:hAnsi="宋体" w:cs="仿宋_GB2312"/>
          <w:bCs/>
          <w:sz w:val="24"/>
        </w:rPr>
        <w:t>人民币（大写）</w:t>
      </w:r>
      <w:r>
        <w:rPr>
          <w:rFonts w:hint="eastAsia" w:ascii="宋体" w:hAnsi="宋体" w:cs="仿宋_GB2312"/>
          <w:bCs/>
          <w:sz w:val="24"/>
          <w:u w:val="single"/>
        </w:rPr>
        <w:t xml:space="preserve">                        </w:t>
      </w:r>
      <w:r>
        <w:rPr>
          <w:rFonts w:hint="eastAsia" w:ascii="宋体" w:hAnsi="宋体" w:cs="仿宋_GB2312"/>
          <w:bCs/>
          <w:sz w:val="24"/>
        </w:rPr>
        <w:t>(¥</w:t>
      </w:r>
      <w:r>
        <w:rPr>
          <w:rFonts w:hint="eastAsia" w:ascii="宋体" w:hAnsi="宋体" w:cs="仿宋_GB2312"/>
          <w:bCs/>
          <w:sz w:val="24"/>
          <w:u w:val="single"/>
        </w:rPr>
        <w:t xml:space="preserve">        </w:t>
      </w:r>
      <w:r>
        <w:rPr>
          <w:rFonts w:hint="eastAsia" w:ascii="宋体" w:hAnsi="宋体" w:cs="仿宋_GB2312"/>
          <w:bCs/>
          <w:sz w:val="24"/>
        </w:rPr>
        <w:t>元)；</w:t>
      </w:r>
    </w:p>
    <w:p>
      <w:pPr>
        <w:spacing w:line="460" w:lineRule="exact"/>
        <w:ind w:firstLine="480" w:firstLineChars="200"/>
        <w:rPr>
          <w:rFonts w:ascii="宋体" w:hAnsi="宋体" w:cs="仿宋_GB2312"/>
          <w:bCs/>
          <w:sz w:val="24"/>
        </w:rPr>
      </w:pPr>
      <w:r>
        <w:rPr>
          <w:rFonts w:hint="eastAsia" w:ascii="宋体" w:hAnsi="宋体" w:cs="仿宋_GB2312"/>
          <w:bCs/>
          <w:sz w:val="24"/>
        </w:rPr>
        <w:t>（4）农民工工伤保险（含税）：</w:t>
      </w:r>
    </w:p>
    <w:p>
      <w:pPr>
        <w:spacing w:line="460" w:lineRule="exact"/>
        <w:ind w:firstLine="480" w:firstLineChars="200"/>
        <w:jc w:val="left"/>
        <w:rPr>
          <w:rFonts w:ascii="宋体" w:hAnsi="宋体" w:cs="仿宋_GB2312"/>
          <w:bCs/>
          <w:sz w:val="24"/>
        </w:rPr>
      </w:pPr>
      <w:r>
        <w:rPr>
          <w:rFonts w:hint="eastAsia" w:ascii="宋体" w:hAnsi="宋体" w:cs="仿宋_GB2312"/>
          <w:bCs/>
          <w:sz w:val="24"/>
        </w:rPr>
        <w:t>人民币（大写）</w:t>
      </w:r>
      <w:r>
        <w:rPr>
          <w:rFonts w:hint="eastAsia" w:ascii="宋体" w:hAnsi="宋体" w:cs="仿宋_GB2312"/>
          <w:bCs/>
          <w:sz w:val="24"/>
          <w:u w:val="single"/>
        </w:rPr>
        <w:t xml:space="preserve">                        </w:t>
      </w:r>
      <w:r>
        <w:rPr>
          <w:rFonts w:hint="eastAsia" w:ascii="宋体" w:hAnsi="宋体" w:cs="仿宋_GB2312"/>
          <w:bCs/>
          <w:sz w:val="24"/>
        </w:rPr>
        <w:t>(¥</w:t>
      </w:r>
      <w:r>
        <w:rPr>
          <w:rFonts w:hint="eastAsia" w:ascii="宋体" w:hAnsi="宋体" w:cs="仿宋_GB2312"/>
          <w:bCs/>
          <w:sz w:val="24"/>
          <w:u w:val="single"/>
        </w:rPr>
        <w:t xml:space="preserve">        </w:t>
      </w:r>
      <w:r>
        <w:rPr>
          <w:rFonts w:hint="eastAsia" w:ascii="宋体" w:hAnsi="宋体" w:cs="仿宋_GB2312"/>
          <w:bCs/>
          <w:sz w:val="24"/>
        </w:rPr>
        <w:t>元)。</w:t>
      </w:r>
    </w:p>
    <w:p>
      <w:pPr>
        <w:spacing w:line="460" w:lineRule="exact"/>
        <w:ind w:firstLine="480" w:firstLineChars="200"/>
        <w:rPr>
          <w:rFonts w:ascii="宋体" w:hAnsi="宋体" w:cs="仿宋_GB2312"/>
          <w:bCs/>
          <w:sz w:val="24"/>
        </w:rPr>
      </w:pPr>
      <w:r>
        <w:rPr>
          <w:rFonts w:hint="eastAsia" w:ascii="宋体" w:hAnsi="宋体" w:cs="仿宋_GB2312"/>
          <w:bCs/>
          <w:sz w:val="24"/>
        </w:rPr>
        <w:t>2.合同价格形式：</w:t>
      </w:r>
      <w:r>
        <w:rPr>
          <w:rFonts w:hint="eastAsia" w:ascii="宋体" w:hAnsi="宋体" w:cs="仿宋_GB2312"/>
          <w:bCs/>
          <w:sz w:val="24"/>
          <w:u w:val="single"/>
        </w:rPr>
        <w:t xml:space="preserve">                                   </w:t>
      </w:r>
      <w:r>
        <w:rPr>
          <w:rFonts w:hint="eastAsia" w:ascii="宋体" w:hAnsi="宋体" w:cs="仿宋_GB2312"/>
          <w:bCs/>
          <w:sz w:val="24"/>
        </w:rPr>
        <w:t>。</w:t>
      </w:r>
    </w:p>
    <w:p>
      <w:pPr>
        <w:spacing w:line="460" w:lineRule="exact"/>
        <w:ind w:firstLine="481" w:firstLineChars="200"/>
        <w:outlineLvl w:val="1"/>
        <w:rPr>
          <w:rFonts w:ascii="宋体" w:hAnsi="宋体"/>
          <w:b/>
          <w:bCs/>
          <w:sz w:val="24"/>
        </w:rPr>
      </w:pPr>
      <w:bookmarkStart w:id="233" w:name="_Toc1266145827"/>
      <w:bookmarkStart w:id="234" w:name="_Toc578358000"/>
      <w:r>
        <w:rPr>
          <w:rFonts w:hint="eastAsia" w:ascii="宋体" w:hAnsi="宋体"/>
          <w:b/>
          <w:bCs/>
          <w:sz w:val="24"/>
        </w:rPr>
        <w:t>五</w:t>
      </w:r>
      <w:r>
        <w:rPr>
          <w:rFonts w:ascii="宋体" w:hAnsi="宋体"/>
          <w:b/>
          <w:bCs/>
          <w:sz w:val="24"/>
        </w:rPr>
        <w:t>、</w:t>
      </w:r>
      <w:r>
        <w:rPr>
          <w:rFonts w:hint="eastAsia" w:ascii="宋体" w:hAnsi="宋体"/>
          <w:b/>
          <w:bCs/>
          <w:sz w:val="24"/>
        </w:rPr>
        <w:t>承包人</w:t>
      </w:r>
      <w:r>
        <w:rPr>
          <w:rFonts w:ascii="宋体" w:hAnsi="宋体"/>
          <w:b/>
          <w:bCs/>
          <w:sz w:val="24"/>
        </w:rPr>
        <w:t>项目负责人</w:t>
      </w:r>
      <w:bookmarkEnd w:id="233"/>
      <w:bookmarkEnd w:id="234"/>
    </w:p>
    <w:p>
      <w:pPr>
        <w:spacing w:line="460" w:lineRule="exact"/>
        <w:ind w:firstLine="480" w:firstLineChars="200"/>
        <w:rPr>
          <w:rFonts w:ascii="宋体" w:hAnsi="宋体"/>
          <w:bCs/>
          <w:sz w:val="24"/>
        </w:rPr>
      </w:pPr>
      <w:r>
        <w:rPr>
          <w:rFonts w:hint="eastAsia" w:ascii="宋体" w:hAnsi="宋体"/>
          <w:bCs/>
          <w:sz w:val="24"/>
        </w:rPr>
        <w:t>姓名</w:t>
      </w:r>
      <w:r>
        <w:rPr>
          <w:rFonts w:ascii="宋体" w:hAnsi="宋体"/>
          <w:bCs/>
          <w:sz w:val="24"/>
        </w:rPr>
        <w:t>：</w:t>
      </w:r>
      <w:r>
        <w:rPr>
          <w:rFonts w:hint="eastAsia" w:ascii="宋体" w:hAnsi="宋体"/>
          <w:bCs/>
          <w:sz w:val="24"/>
          <w:u w:val="single"/>
        </w:rPr>
        <w:t xml:space="preserve">            </w:t>
      </w:r>
      <w:r>
        <w:rPr>
          <w:rFonts w:hint="eastAsia" w:ascii="宋体" w:hAnsi="宋体"/>
          <w:bCs/>
          <w:sz w:val="24"/>
        </w:rPr>
        <w:t>；</w:t>
      </w:r>
      <w:r>
        <w:rPr>
          <w:rFonts w:ascii="宋体" w:hAnsi="宋体"/>
          <w:bCs/>
          <w:sz w:val="24"/>
        </w:rPr>
        <w:t>身份证号：</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cs="仿宋_GB2312"/>
          <w:bCs/>
          <w:sz w:val="24"/>
        </w:rPr>
        <w:t>。</w:t>
      </w:r>
      <w:r>
        <w:rPr>
          <w:rFonts w:ascii="宋体" w:hAnsi="宋体"/>
          <w:bCs/>
          <w:sz w:val="24"/>
        </w:rPr>
        <w:t xml:space="preserve"> </w:t>
      </w:r>
    </w:p>
    <w:p>
      <w:pPr>
        <w:spacing w:line="460" w:lineRule="exact"/>
        <w:ind w:firstLine="481" w:firstLineChars="200"/>
        <w:outlineLvl w:val="1"/>
        <w:rPr>
          <w:rFonts w:ascii="宋体" w:hAnsi="宋体"/>
          <w:b/>
          <w:bCs/>
          <w:sz w:val="24"/>
        </w:rPr>
      </w:pPr>
      <w:bookmarkStart w:id="235" w:name="_Toc1315372893"/>
      <w:bookmarkStart w:id="236" w:name="_Toc565350378"/>
      <w:r>
        <w:rPr>
          <w:rFonts w:hint="eastAsia" w:ascii="宋体" w:hAnsi="宋体"/>
          <w:b/>
          <w:bCs/>
          <w:sz w:val="24"/>
        </w:rPr>
        <w:t>六、预付款</w:t>
      </w:r>
      <w:bookmarkEnd w:id="235"/>
      <w:bookmarkEnd w:id="236"/>
    </w:p>
    <w:p>
      <w:pPr>
        <w:spacing w:line="460" w:lineRule="exact"/>
        <w:ind w:firstLine="480" w:firstLineChars="200"/>
        <w:rPr>
          <w:rFonts w:ascii="宋体" w:hAnsi="宋体"/>
          <w:bCs/>
          <w:sz w:val="24"/>
        </w:rPr>
      </w:pPr>
      <w:r>
        <w:rPr>
          <w:rFonts w:hint="eastAsia" w:ascii="宋体" w:hAnsi="宋体"/>
          <w:bCs/>
          <w:sz w:val="24"/>
        </w:rPr>
        <w:t>预付款：</w:t>
      </w:r>
      <w:r>
        <w:rPr>
          <w:rFonts w:ascii="宋体" w:hAnsi="宋体"/>
          <w:bCs/>
          <w:sz w:val="24"/>
        </w:rPr>
        <w:t>发包人在合同</w:t>
      </w:r>
      <w:r>
        <w:rPr>
          <w:rFonts w:hint="eastAsia" w:ascii="宋体" w:hAnsi="宋体"/>
          <w:bCs/>
          <w:sz w:val="24"/>
        </w:rPr>
        <w:t>签订</w:t>
      </w:r>
      <w:r>
        <w:rPr>
          <w:rFonts w:ascii="宋体" w:hAnsi="宋体"/>
          <w:bCs/>
          <w:sz w:val="24"/>
        </w:rPr>
        <w:t>后，</w:t>
      </w:r>
      <w:r>
        <w:rPr>
          <w:rFonts w:ascii="宋体" w:hAnsi="宋体"/>
          <w:bCs/>
          <w:sz w:val="24"/>
          <w:u w:val="single"/>
        </w:rPr>
        <w:t xml:space="preserve">    </w:t>
      </w:r>
      <w:r>
        <w:rPr>
          <w:rFonts w:hint="eastAsia" w:ascii="宋体" w:hAnsi="宋体"/>
          <w:bCs/>
          <w:sz w:val="24"/>
        </w:rPr>
        <w:t>个</w:t>
      </w:r>
      <w:r>
        <w:rPr>
          <w:rFonts w:ascii="宋体" w:hAnsi="宋体"/>
          <w:bCs/>
          <w:sz w:val="24"/>
        </w:rPr>
        <w:t>工作日内</w:t>
      </w:r>
      <w:r>
        <w:rPr>
          <w:rFonts w:hint="eastAsia" w:ascii="宋体" w:hAnsi="宋体"/>
          <w:bCs/>
          <w:sz w:val="24"/>
        </w:rPr>
        <w:t>支</w:t>
      </w:r>
      <w:r>
        <w:rPr>
          <w:rFonts w:ascii="宋体" w:hAnsi="宋体"/>
          <w:bCs/>
          <w:sz w:val="24"/>
        </w:rPr>
        <w:t>付合同价</w:t>
      </w:r>
      <w:r>
        <w:rPr>
          <w:rFonts w:hint="eastAsia" w:ascii="宋体" w:hAnsi="宋体" w:cs="仿宋_GB2312"/>
          <w:bCs/>
          <w:sz w:val="24"/>
        </w:rPr>
        <w:t>的</w:t>
      </w:r>
      <w:r>
        <w:rPr>
          <w:rFonts w:hint="eastAsia" w:ascii="宋体" w:hAnsi="宋体" w:cs="仿宋_GB2312"/>
          <w:bCs/>
          <w:sz w:val="24"/>
          <w:u w:val="single"/>
        </w:rPr>
        <w:t xml:space="preserve">     </w:t>
      </w:r>
      <w:r>
        <w:rPr>
          <w:rFonts w:hint="eastAsia" w:ascii="宋体" w:hAnsi="宋体" w:cs="仿宋_GB2312"/>
          <w:bCs/>
          <w:sz w:val="24"/>
        </w:rPr>
        <w:t>%作为工程预付款。</w:t>
      </w:r>
    </w:p>
    <w:p>
      <w:pPr>
        <w:spacing w:line="460" w:lineRule="exact"/>
        <w:ind w:firstLine="481" w:firstLineChars="200"/>
        <w:jc w:val="left"/>
        <w:outlineLvl w:val="1"/>
        <w:rPr>
          <w:rFonts w:ascii="宋体" w:hAnsi="宋体"/>
          <w:b/>
          <w:bCs/>
          <w:sz w:val="24"/>
        </w:rPr>
      </w:pPr>
      <w:bookmarkStart w:id="237" w:name="_Toc1430992058"/>
      <w:bookmarkStart w:id="238" w:name="_Toc1555190768"/>
      <w:r>
        <w:rPr>
          <w:rFonts w:hint="eastAsia" w:ascii="宋体" w:hAnsi="宋体"/>
          <w:b/>
          <w:bCs/>
          <w:sz w:val="24"/>
        </w:rPr>
        <w:t>七</w:t>
      </w:r>
      <w:r>
        <w:rPr>
          <w:rFonts w:ascii="宋体" w:hAnsi="宋体"/>
          <w:b/>
          <w:bCs/>
          <w:sz w:val="24"/>
        </w:rPr>
        <w:t>、绿化</w:t>
      </w:r>
      <w:r>
        <w:rPr>
          <w:rFonts w:hint="eastAsia" w:ascii="宋体" w:hAnsi="宋体"/>
          <w:b/>
          <w:bCs/>
          <w:sz w:val="24"/>
        </w:rPr>
        <w:t>种植及养护要求</w:t>
      </w:r>
      <w:bookmarkEnd w:id="237"/>
      <w:bookmarkEnd w:id="238"/>
    </w:p>
    <w:p>
      <w:pPr>
        <w:spacing w:line="460" w:lineRule="exact"/>
        <w:ind w:firstLine="480" w:firstLineChars="200"/>
        <w:rPr>
          <w:rFonts w:ascii="宋体" w:hAnsi="宋体" w:cs="仿宋_GB2312"/>
          <w:bCs/>
          <w:sz w:val="24"/>
        </w:rPr>
      </w:pPr>
      <w:r>
        <w:rPr>
          <w:rFonts w:hint="eastAsia" w:ascii="宋体" w:hAnsi="宋体" w:cs="仿宋_GB2312"/>
          <w:bCs/>
          <w:sz w:val="24"/>
        </w:rPr>
        <w:t>1.在施工过程及绿化养护期内植物死亡，须按原设计品种和规格更换，更换费用由承包人承担。</w:t>
      </w:r>
    </w:p>
    <w:p>
      <w:pPr>
        <w:spacing w:line="460" w:lineRule="exact"/>
        <w:ind w:firstLine="480" w:firstLineChars="200"/>
        <w:rPr>
          <w:rFonts w:ascii="宋体" w:hAnsi="宋体" w:cs="仿宋_GB2312"/>
          <w:bCs/>
          <w:sz w:val="24"/>
        </w:rPr>
      </w:pPr>
      <w:r>
        <w:rPr>
          <w:rFonts w:hint="eastAsia" w:ascii="宋体" w:hAnsi="宋体" w:cs="仿宋_GB2312"/>
          <w:bCs/>
          <w:sz w:val="24"/>
        </w:rPr>
        <w:t>2.竣工验收时苗木成活率约定（乔木、灌木、地被、草坪等）：</w:t>
      </w:r>
    </w:p>
    <w:p>
      <w:pPr>
        <w:spacing w:line="460" w:lineRule="exact"/>
        <w:rPr>
          <w:rFonts w:ascii="宋体" w:hAnsi="宋体" w:cs="仿宋_GB2312"/>
          <w:bCs/>
          <w:sz w:val="24"/>
          <w:u w:val="single"/>
        </w:rPr>
      </w:pPr>
      <w:r>
        <w:rPr>
          <w:rFonts w:hint="eastAsia" w:ascii="宋体" w:hAnsi="宋体" w:cs="仿宋_GB2312"/>
          <w:bCs/>
          <w:sz w:val="24"/>
          <w:u w:val="single"/>
        </w:rPr>
        <w:t xml:space="preserve">                                                      </w:t>
      </w:r>
      <w:r>
        <w:rPr>
          <w:rFonts w:hint="eastAsia" w:ascii="宋体" w:hAnsi="宋体" w:cs="仿宋_GB2312"/>
          <w:bCs/>
          <w:sz w:val="24"/>
        </w:rPr>
        <w:t>。</w:t>
      </w:r>
    </w:p>
    <w:p>
      <w:pPr>
        <w:spacing w:line="460" w:lineRule="exact"/>
        <w:ind w:firstLine="480" w:firstLineChars="200"/>
        <w:rPr>
          <w:rFonts w:ascii="宋体" w:hAnsi="宋体" w:cs="仿宋_GB2312"/>
          <w:bCs/>
          <w:sz w:val="24"/>
          <w:u w:val="single"/>
        </w:rPr>
      </w:pPr>
      <w:r>
        <w:rPr>
          <w:rFonts w:hint="eastAsia" w:ascii="宋体" w:hAnsi="宋体" w:cs="仿宋_GB2312"/>
          <w:bCs/>
          <w:sz w:val="24"/>
        </w:rPr>
        <w:t>3.养护期满移交时苗木成活率约定（乔木、灌木、地被、草坪等）：</w:t>
      </w:r>
      <w:r>
        <w:rPr>
          <w:rFonts w:hint="eastAsia" w:ascii="宋体" w:hAnsi="宋体" w:cs="仿宋_GB2312"/>
          <w:bCs/>
          <w:sz w:val="24"/>
          <w:u w:val="single"/>
        </w:rPr>
        <w:t xml:space="preserve">                                                </w:t>
      </w:r>
      <w:r>
        <w:rPr>
          <w:rFonts w:hint="eastAsia" w:ascii="宋体" w:hAnsi="宋体" w:cs="仿宋_GB2312"/>
          <w:bCs/>
          <w:sz w:val="24"/>
        </w:rPr>
        <w:t>。</w:t>
      </w:r>
    </w:p>
    <w:p>
      <w:pPr>
        <w:spacing w:line="460" w:lineRule="exact"/>
        <w:ind w:firstLine="481" w:firstLineChars="200"/>
        <w:jc w:val="left"/>
        <w:outlineLvl w:val="1"/>
        <w:rPr>
          <w:rFonts w:ascii="宋体" w:hAnsi="宋体"/>
          <w:b/>
          <w:bCs/>
          <w:sz w:val="24"/>
        </w:rPr>
      </w:pPr>
      <w:bookmarkStart w:id="239" w:name="_Toc1430684837"/>
      <w:bookmarkStart w:id="240" w:name="_Toc367134989"/>
      <w:r>
        <w:rPr>
          <w:rFonts w:hint="eastAsia" w:ascii="宋体" w:hAnsi="宋体"/>
          <w:b/>
          <w:bCs/>
          <w:sz w:val="24"/>
        </w:rPr>
        <w:t>八、其他要求：</w:t>
      </w:r>
      <w:bookmarkEnd w:id="239"/>
      <w:bookmarkEnd w:id="240"/>
      <w:r>
        <w:rPr>
          <w:rFonts w:hint="eastAsia" w:ascii="宋体" w:hAnsi="宋体"/>
          <w:b/>
          <w:bCs/>
          <w:sz w:val="24"/>
          <w:u w:val="single"/>
        </w:rPr>
        <w:t xml:space="preserve">                                    </w:t>
      </w:r>
      <w:r>
        <w:rPr>
          <w:rFonts w:hint="eastAsia" w:ascii="宋体" w:hAnsi="宋体" w:cs="仿宋_GB2312"/>
          <w:b/>
          <w:bCs/>
          <w:sz w:val="24"/>
        </w:rPr>
        <w:t>。</w:t>
      </w:r>
    </w:p>
    <w:p>
      <w:pPr>
        <w:spacing w:line="460" w:lineRule="exact"/>
        <w:ind w:firstLine="481" w:firstLineChars="200"/>
        <w:jc w:val="left"/>
        <w:outlineLvl w:val="1"/>
        <w:rPr>
          <w:rFonts w:ascii="宋体" w:hAnsi="宋体"/>
          <w:b/>
          <w:bCs/>
          <w:sz w:val="24"/>
        </w:rPr>
      </w:pPr>
      <w:bookmarkStart w:id="241" w:name="_Toc1318737122"/>
      <w:bookmarkStart w:id="242" w:name="_Toc184090255"/>
      <w:r>
        <w:rPr>
          <w:rFonts w:hint="eastAsia" w:ascii="宋体" w:hAnsi="宋体"/>
          <w:b/>
          <w:bCs/>
          <w:sz w:val="24"/>
        </w:rPr>
        <w:t>九</w:t>
      </w:r>
      <w:r>
        <w:rPr>
          <w:rFonts w:ascii="宋体" w:hAnsi="宋体"/>
          <w:b/>
          <w:bCs/>
          <w:sz w:val="24"/>
        </w:rPr>
        <w:t>、</w:t>
      </w:r>
      <w:r>
        <w:rPr>
          <w:rFonts w:hint="eastAsia" w:ascii="宋体" w:hAnsi="宋体"/>
          <w:b/>
          <w:bCs/>
          <w:sz w:val="24"/>
        </w:rPr>
        <w:t>合同</w:t>
      </w:r>
      <w:r>
        <w:rPr>
          <w:rFonts w:ascii="宋体" w:hAnsi="宋体"/>
          <w:b/>
          <w:bCs/>
          <w:sz w:val="24"/>
        </w:rPr>
        <w:t>文件构成</w:t>
      </w:r>
      <w:bookmarkEnd w:id="241"/>
      <w:bookmarkEnd w:id="242"/>
    </w:p>
    <w:p>
      <w:pPr>
        <w:spacing w:line="460" w:lineRule="exact"/>
        <w:ind w:firstLine="480" w:firstLineChars="200"/>
        <w:rPr>
          <w:rFonts w:ascii="宋体" w:hAnsi="宋体"/>
          <w:bCs/>
          <w:sz w:val="24"/>
        </w:rPr>
      </w:pPr>
      <w:r>
        <w:rPr>
          <w:rFonts w:ascii="宋体" w:hAnsi="宋体"/>
          <w:bCs/>
          <w:sz w:val="24"/>
        </w:rPr>
        <w:t>本协议书与下列文件一起构成合同文件：</w:t>
      </w:r>
    </w:p>
    <w:p>
      <w:pPr>
        <w:autoSpaceDE w:val="0"/>
        <w:autoSpaceDN w:val="0"/>
        <w:adjustRightInd w:val="0"/>
        <w:spacing w:line="460" w:lineRule="exact"/>
        <w:ind w:firstLine="480" w:firstLineChars="200"/>
        <w:jc w:val="left"/>
        <w:rPr>
          <w:rFonts w:ascii="宋体" w:hAnsi="宋体" w:cs="仿宋_GB2312"/>
          <w:bCs/>
          <w:sz w:val="24"/>
          <w:u w:val="single"/>
        </w:rPr>
      </w:pPr>
      <w:r>
        <w:rPr>
          <w:rFonts w:hint="eastAsia" w:ascii="宋体" w:hAnsi="宋体" w:cs="仿宋_GB2312"/>
          <w:bCs/>
          <w:sz w:val="24"/>
        </w:rPr>
        <w:t>（1）中标通知书（如果有）；（2）投标函及其附录（如果有）；（3）专用合同条款及其附件；（4）通用合同条款；（5）技术标准和要求；（6）图纸；（7）已标价工程量清单或预算书；（8）其他合同文件。</w:t>
      </w:r>
    </w:p>
    <w:p>
      <w:pPr>
        <w:autoSpaceDE w:val="0"/>
        <w:autoSpaceDN w:val="0"/>
        <w:adjustRightInd w:val="0"/>
        <w:spacing w:line="460" w:lineRule="exact"/>
        <w:ind w:firstLine="480" w:firstLineChars="200"/>
        <w:rPr>
          <w:rFonts w:ascii="宋体" w:hAnsi="宋体"/>
          <w:bCs/>
          <w:sz w:val="24"/>
        </w:rPr>
      </w:pPr>
      <w:r>
        <w:rPr>
          <w:rFonts w:ascii="宋体" w:hAnsi="宋体"/>
          <w:bCs/>
          <w:sz w:val="24"/>
        </w:rPr>
        <w:t>在合同订立及履行过程中形成的与合同有关的文件均构成合同文件组成部分。</w:t>
      </w:r>
    </w:p>
    <w:p>
      <w:pPr>
        <w:autoSpaceDE w:val="0"/>
        <w:autoSpaceDN w:val="0"/>
        <w:adjustRightInd w:val="0"/>
        <w:spacing w:line="460" w:lineRule="exact"/>
        <w:ind w:firstLine="480" w:firstLineChars="200"/>
        <w:rPr>
          <w:rFonts w:ascii="宋体" w:hAnsi="宋体"/>
          <w:bCs/>
          <w:sz w:val="24"/>
        </w:rPr>
      </w:pPr>
      <w:r>
        <w:rPr>
          <w:rFonts w:ascii="宋体" w:hAnsi="宋体"/>
          <w:bCs/>
          <w:sz w:val="24"/>
        </w:rPr>
        <w:t>上述各项合同文件包括合同当事人就该项合同文件所作出的补充和修改，属于同一类内容的文件，应以最新签署的为准。</w:t>
      </w:r>
      <w:r>
        <w:rPr>
          <w:rFonts w:hint="eastAsia" w:ascii="宋体" w:hAnsi="宋体"/>
          <w:bCs/>
          <w:sz w:val="24"/>
        </w:rPr>
        <w:t>专用合同条款及其附件须经合同当事人签字或盖章。</w:t>
      </w:r>
    </w:p>
    <w:p>
      <w:pPr>
        <w:spacing w:line="460" w:lineRule="exact"/>
        <w:ind w:firstLine="481" w:firstLineChars="200"/>
        <w:jc w:val="left"/>
        <w:outlineLvl w:val="1"/>
        <w:rPr>
          <w:rFonts w:ascii="宋体" w:hAnsi="宋体"/>
          <w:b/>
          <w:bCs/>
          <w:sz w:val="24"/>
        </w:rPr>
      </w:pPr>
      <w:bookmarkStart w:id="243" w:name="_Toc1718441829"/>
      <w:bookmarkStart w:id="244" w:name="_Toc410640064"/>
      <w:r>
        <w:rPr>
          <w:rFonts w:hint="eastAsia" w:ascii="宋体" w:hAnsi="宋体"/>
          <w:b/>
          <w:bCs/>
          <w:sz w:val="24"/>
        </w:rPr>
        <w:t>十、承诺</w:t>
      </w:r>
      <w:bookmarkEnd w:id="243"/>
      <w:bookmarkEnd w:id="244"/>
    </w:p>
    <w:p>
      <w:pPr>
        <w:spacing w:line="460" w:lineRule="exact"/>
        <w:ind w:firstLine="480" w:firstLineChars="200"/>
        <w:rPr>
          <w:rFonts w:ascii="宋体" w:hAnsi="宋体" w:cs="仿宋_GB2312"/>
          <w:bCs/>
          <w:sz w:val="24"/>
        </w:rPr>
      </w:pPr>
      <w:r>
        <w:rPr>
          <w:rFonts w:hint="eastAsia" w:ascii="宋体" w:hAnsi="宋体" w:cs="仿宋_GB2312"/>
          <w:bCs/>
          <w:sz w:val="24"/>
        </w:rPr>
        <w:t>1.发包人承诺按照法律规定履行项目审批手续、筹集工程建设资金并按照合同约定的期限和方式支付合同价款，及时足额支付人工费用至农民工工资专用账户，并加强对施工总承包单位按时足额支付农民工工资的监督。</w:t>
      </w:r>
    </w:p>
    <w:p>
      <w:pPr>
        <w:spacing w:line="460" w:lineRule="exact"/>
        <w:ind w:firstLine="480" w:firstLineChars="200"/>
        <w:rPr>
          <w:rFonts w:ascii="宋体" w:hAnsi="宋体" w:cs="仿宋_GB2312"/>
          <w:bCs/>
          <w:sz w:val="24"/>
        </w:rPr>
      </w:pPr>
      <w:r>
        <w:rPr>
          <w:rFonts w:hint="eastAsia" w:ascii="宋体" w:hAnsi="宋体" w:cs="仿宋_GB2312"/>
          <w:bCs/>
          <w:sz w:val="24"/>
        </w:rPr>
        <w:t>2.承包人承诺按照法律规定及合同约定组织完成工程施工，确保工程质量和安全，不进行转包及违法分包，并在缺陷责任期及保修期内承担相应的工程维修责任；按照有关规定开设农民工工资专用账户，专项用于支付本工程农民工工资。农民工工资拨付周期不超过1个月。</w:t>
      </w:r>
    </w:p>
    <w:p>
      <w:pPr>
        <w:spacing w:line="460" w:lineRule="exact"/>
        <w:ind w:firstLine="480" w:firstLineChars="200"/>
        <w:rPr>
          <w:rFonts w:ascii="宋体" w:hAnsi="宋体" w:cs="仿宋_GB2312"/>
          <w:bCs/>
          <w:sz w:val="24"/>
        </w:rPr>
      </w:pPr>
      <w:r>
        <w:rPr>
          <w:rFonts w:hint="eastAsia" w:ascii="宋体" w:hAnsi="宋体" w:cs="仿宋_GB2312"/>
          <w:bCs/>
          <w:sz w:val="24"/>
        </w:rPr>
        <w:t>3.发包人和承包人通过招投标形式签订合同的，双方理解并承诺不再就同一工程另行签订与合同实质性内容相背离的协议。</w:t>
      </w:r>
    </w:p>
    <w:p>
      <w:pPr>
        <w:spacing w:line="460" w:lineRule="exact"/>
        <w:outlineLvl w:val="1"/>
        <w:rPr>
          <w:rFonts w:ascii="宋体" w:hAnsi="宋体"/>
          <w:b/>
          <w:bCs/>
          <w:sz w:val="24"/>
        </w:rPr>
      </w:pPr>
      <w:r>
        <w:rPr>
          <w:rFonts w:hint="eastAsia" w:ascii="宋体" w:hAnsi="宋体"/>
          <w:bCs/>
          <w:sz w:val="24"/>
        </w:rPr>
        <w:t xml:space="preserve">    </w:t>
      </w:r>
      <w:bookmarkStart w:id="245" w:name="_Toc1209713496"/>
      <w:bookmarkStart w:id="246" w:name="_Toc1094819545"/>
      <w:r>
        <w:rPr>
          <w:rFonts w:hint="eastAsia" w:ascii="宋体" w:hAnsi="宋体"/>
          <w:b/>
          <w:bCs/>
          <w:sz w:val="24"/>
        </w:rPr>
        <w:t>十一</w:t>
      </w:r>
      <w:r>
        <w:rPr>
          <w:rFonts w:ascii="宋体" w:hAnsi="宋体"/>
          <w:b/>
          <w:bCs/>
          <w:sz w:val="24"/>
        </w:rPr>
        <w:t>、词语含义</w:t>
      </w:r>
      <w:bookmarkEnd w:id="245"/>
      <w:bookmarkEnd w:id="246"/>
    </w:p>
    <w:p>
      <w:pPr>
        <w:spacing w:line="460" w:lineRule="exact"/>
        <w:ind w:firstLine="480" w:firstLineChars="200"/>
        <w:jc w:val="left"/>
        <w:rPr>
          <w:rFonts w:ascii="宋体" w:hAnsi="宋体"/>
          <w:bCs/>
          <w:sz w:val="24"/>
        </w:rPr>
      </w:pPr>
      <w:r>
        <w:rPr>
          <w:rFonts w:ascii="宋体" w:hAnsi="宋体"/>
          <w:bCs/>
          <w:sz w:val="24"/>
        </w:rPr>
        <w:t>本</w:t>
      </w:r>
      <w:r>
        <w:rPr>
          <w:rFonts w:hint="eastAsia" w:ascii="宋体" w:hAnsi="宋体"/>
          <w:bCs/>
          <w:sz w:val="24"/>
        </w:rPr>
        <w:t>协议书</w:t>
      </w:r>
      <w:r>
        <w:rPr>
          <w:rFonts w:ascii="宋体" w:hAnsi="宋体"/>
          <w:bCs/>
          <w:sz w:val="24"/>
        </w:rPr>
        <w:t>中词语含义与通用合同条款</w:t>
      </w:r>
      <w:r>
        <w:rPr>
          <w:rFonts w:hint="eastAsia" w:ascii="宋体" w:hAnsi="宋体"/>
          <w:bCs/>
          <w:sz w:val="24"/>
        </w:rPr>
        <w:t>、专用合同条款</w:t>
      </w:r>
      <w:r>
        <w:rPr>
          <w:rFonts w:ascii="宋体" w:hAnsi="宋体"/>
          <w:bCs/>
          <w:sz w:val="24"/>
        </w:rPr>
        <w:t>中赋予的含义相同。</w:t>
      </w:r>
    </w:p>
    <w:p>
      <w:pPr>
        <w:spacing w:line="460" w:lineRule="exact"/>
        <w:outlineLvl w:val="1"/>
        <w:rPr>
          <w:rFonts w:ascii="宋体" w:hAnsi="宋体"/>
          <w:b/>
          <w:sz w:val="24"/>
        </w:rPr>
      </w:pPr>
      <w:r>
        <w:rPr>
          <w:rFonts w:ascii="宋体" w:hAnsi="宋体"/>
          <w:b/>
          <w:sz w:val="24"/>
        </w:rPr>
        <w:t xml:space="preserve">    </w:t>
      </w:r>
      <w:bookmarkStart w:id="247" w:name="_Toc1302915076"/>
      <w:bookmarkStart w:id="248" w:name="_Toc1843922025"/>
      <w:r>
        <w:rPr>
          <w:rFonts w:ascii="宋体" w:hAnsi="宋体"/>
          <w:b/>
          <w:bCs/>
          <w:sz w:val="24"/>
        </w:rPr>
        <w:t>十</w:t>
      </w:r>
      <w:r>
        <w:rPr>
          <w:rFonts w:hint="eastAsia" w:ascii="宋体" w:hAnsi="宋体"/>
          <w:b/>
          <w:bCs/>
          <w:sz w:val="24"/>
        </w:rPr>
        <w:t>二</w:t>
      </w:r>
      <w:r>
        <w:rPr>
          <w:rFonts w:ascii="宋体" w:hAnsi="宋体"/>
          <w:b/>
          <w:bCs/>
          <w:sz w:val="24"/>
        </w:rPr>
        <w:t>、签订时间</w:t>
      </w:r>
      <w:bookmarkEnd w:id="247"/>
      <w:bookmarkEnd w:id="248"/>
    </w:p>
    <w:p>
      <w:pPr>
        <w:keepLines/>
        <w:spacing w:line="460" w:lineRule="exact"/>
        <w:ind w:firstLine="480" w:firstLineChars="200"/>
        <w:jc w:val="left"/>
        <w:rPr>
          <w:rFonts w:ascii="宋体" w:hAnsi="宋体"/>
          <w:bCs/>
          <w:sz w:val="24"/>
        </w:rPr>
      </w:pPr>
      <w:r>
        <w:rPr>
          <w:rFonts w:ascii="宋体" w:hAnsi="宋体"/>
          <w:bCs/>
          <w:sz w:val="24"/>
        </w:rPr>
        <w:t>本合同于</w:t>
      </w:r>
      <w:r>
        <w:rPr>
          <w:rFonts w:ascii="宋体" w:hAnsi="宋体"/>
          <w:bCs/>
          <w:sz w:val="24"/>
          <w:u w:val="single"/>
        </w:rPr>
        <w:t xml:space="preserve">        </w:t>
      </w:r>
      <w:r>
        <w:rPr>
          <w:rFonts w:ascii="宋体" w:hAnsi="宋体"/>
          <w:bCs/>
          <w:sz w:val="24"/>
        </w:rPr>
        <w:t>年</w:t>
      </w:r>
      <w:r>
        <w:rPr>
          <w:rFonts w:ascii="宋体" w:hAnsi="宋体"/>
          <w:bCs/>
          <w:sz w:val="24"/>
          <w:u w:val="single"/>
        </w:rPr>
        <w:t xml:space="preserve">    </w:t>
      </w:r>
      <w:r>
        <w:rPr>
          <w:rFonts w:ascii="宋体" w:hAnsi="宋体"/>
          <w:bCs/>
          <w:sz w:val="24"/>
        </w:rPr>
        <w:t>月</w:t>
      </w:r>
      <w:r>
        <w:rPr>
          <w:rFonts w:ascii="宋体" w:hAnsi="宋体"/>
          <w:bCs/>
          <w:sz w:val="24"/>
          <w:u w:val="single"/>
        </w:rPr>
        <w:t xml:space="preserve">    </w:t>
      </w:r>
      <w:r>
        <w:rPr>
          <w:rFonts w:ascii="宋体" w:hAnsi="宋体"/>
          <w:bCs/>
          <w:sz w:val="24"/>
        </w:rPr>
        <w:t>日签订。</w:t>
      </w:r>
    </w:p>
    <w:p>
      <w:pPr>
        <w:spacing w:line="460" w:lineRule="exact"/>
        <w:outlineLvl w:val="1"/>
        <w:rPr>
          <w:rFonts w:ascii="宋体" w:hAnsi="宋体"/>
          <w:b/>
          <w:sz w:val="24"/>
        </w:rPr>
      </w:pPr>
      <w:r>
        <w:rPr>
          <w:rFonts w:ascii="宋体" w:hAnsi="宋体"/>
          <w:b/>
          <w:sz w:val="24"/>
        </w:rPr>
        <w:t xml:space="preserve">   </w:t>
      </w:r>
      <w:r>
        <w:rPr>
          <w:rFonts w:ascii="宋体" w:hAnsi="宋体"/>
          <w:b/>
          <w:bCs/>
          <w:sz w:val="24"/>
        </w:rPr>
        <w:t xml:space="preserve"> </w:t>
      </w:r>
      <w:bookmarkStart w:id="249" w:name="_Toc251726425"/>
      <w:bookmarkStart w:id="250" w:name="_Toc441671965"/>
      <w:r>
        <w:rPr>
          <w:rFonts w:ascii="宋体" w:hAnsi="宋体"/>
          <w:b/>
          <w:bCs/>
          <w:sz w:val="24"/>
        </w:rPr>
        <w:t>十</w:t>
      </w:r>
      <w:r>
        <w:rPr>
          <w:rFonts w:hint="eastAsia" w:ascii="宋体" w:hAnsi="宋体"/>
          <w:b/>
          <w:bCs/>
          <w:sz w:val="24"/>
        </w:rPr>
        <w:t>三</w:t>
      </w:r>
      <w:r>
        <w:rPr>
          <w:rFonts w:ascii="宋体" w:hAnsi="宋体"/>
          <w:b/>
          <w:bCs/>
          <w:sz w:val="24"/>
        </w:rPr>
        <w:t>、签订地</w:t>
      </w:r>
      <w:r>
        <w:rPr>
          <w:rFonts w:ascii="宋体" w:hAnsi="宋体"/>
          <w:bCs/>
          <w:sz w:val="24"/>
        </w:rPr>
        <w:t>点</w:t>
      </w:r>
      <w:bookmarkEnd w:id="249"/>
      <w:bookmarkEnd w:id="250"/>
    </w:p>
    <w:p>
      <w:pPr>
        <w:spacing w:line="460" w:lineRule="exact"/>
        <w:ind w:firstLine="480" w:firstLineChars="200"/>
        <w:jc w:val="left"/>
        <w:rPr>
          <w:rFonts w:ascii="宋体" w:hAnsi="宋体"/>
          <w:bCs/>
          <w:sz w:val="24"/>
        </w:rPr>
      </w:pPr>
      <w:r>
        <w:rPr>
          <w:rFonts w:ascii="宋体" w:hAnsi="宋体"/>
          <w:bCs/>
          <w:sz w:val="24"/>
        </w:rPr>
        <w:t>本合同在</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ascii="宋体" w:hAnsi="宋体"/>
          <w:bCs/>
          <w:sz w:val="24"/>
        </w:rPr>
        <w:t>签订。</w:t>
      </w:r>
    </w:p>
    <w:p>
      <w:pPr>
        <w:spacing w:line="460" w:lineRule="exact"/>
        <w:outlineLvl w:val="1"/>
        <w:rPr>
          <w:rFonts w:ascii="宋体" w:hAnsi="宋体"/>
          <w:b/>
          <w:sz w:val="24"/>
        </w:rPr>
      </w:pPr>
      <w:r>
        <w:rPr>
          <w:rFonts w:ascii="宋体" w:hAnsi="宋体"/>
          <w:b/>
          <w:sz w:val="24"/>
        </w:rPr>
        <w:t xml:space="preserve">   </w:t>
      </w:r>
      <w:r>
        <w:rPr>
          <w:rFonts w:ascii="宋体" w:hAnsi="宋体"/>
          <w:bCs/>
          <w:sz w:val="24"/>
        </w:rPr>
        <w:t xml:space="preserve"> </w:t>
      </w:r>
      <w:bookmarkStart w:id="251" w:name="_Toc1799890158"/>
      <w:bookmarkStart w:id="252" w:name="_Toc1858176615"/>
      <w:r>
        <w:rPr>
          <w:rFonts w:ascii="宋体" w:hAnsi="宋体"/>
          <w:b/>
          <w:bCs/>
          <w:sz w:val="24"/>
        </w:rPr>
        <w:t>十</w:t>
      </w:r>
      <w:r>
        <w:rPr>
          <w:rFonts w:hint="eastAsia" w:ascii="宋体" w:hAnsi="宋体"/>
          <w:b/>
          <w:bCs/>
          <w:sz w:val="24"/>
        </w:rPr>
        <w:t>四</w:t>
      </w:r>
      <w:r>
        <w:rPr>
          <w:rFonts w:ascii="宋体" w:hAnsi="宋体"/>
          <w:b/>
          <w:bCs/>
          <w:sz w:val="24"/>
        </w:rPr>
        <w:t>、补充协议</w:t>
      </w:r>
      <w:bookmarkEnd w:id="251"/>
      <w:bookmarkEnd w:id="252"/>
    </w:p>
    <w:p>
      <w:pPr>
        <w:spacing w:line="460" w:lineRule="exact"/>
        <w:ind w:firstLine="480" w:firstLineChars="200"/>
        <w:jc w:val="left"/>
        <w:rPr>
          <w:rFonts w:ascii="宋体" w:hAnsi="宋体"/>
          <w:bCs/>
          <w:sz w:val="24"/>
        </w:rPr>
      </w:pPr>
      <w:r>
        <w:rPr>
          <w:rFonts w:ascii="宋体" w:hAnsi="宋体"/>
          <w:bCs/>
          <w:sz w:val="24"/>
        </w:rPr>
        <w:t>合同未尽事宜，合同当事人另行签订补充协议</w:t>
      </w:r>
      <w:r>
        <w:rPr>
          <w:rFonts w:hint="eastAsia" w:ascii="宋体" w:hAnsi="宋体"/>
          <w:bCs/>
          <w:sz w:val="24"/>
        </w:rPr>
        <w:t>，</w:t>
      </w:r>
      <w:r>
        <w:rPr>
          <w:rFonts w:ascii="宋体" w:hAnsi="宋体"/>
          <w:bCs/>
          <w:sz w:val="24"/>
        </w:rPr>
        <w:t>补充协议是合同的组成部分。</w:t>
      </w:r>
    </w:p>
    <w:p>
      <w:pPr>
        <w:spacing w:line="460" w:lineRule="exact"/>
        <w:outlineLvl w:val="1"/>
        <w:rPr>
          <w:rFonts w:ascii="宋体" w:hAnsi="宋体"/>
          <w:b/>
          <w:sz w:val="24"/>
        </w:rPr>
      </w:pPr>
      <w:r>
        <w:rPr>
          <w:rFonts w:ascii="宋体" w:hAnsi="宋体"/>
          <w:b/>
          <w:sz w:val="24"/>
        </w:rPr>
        <w:t xml:space="preserve">  </w:t>
      </w:r>
      <w:r>
        <w:rPr>
          <w:rFonts w:ascii="宋体" w:hAnsi="宋体"/>
          <w:bCs/>
          <w:sz w:val="24"/>
        </w:rPr>
        <w:t xml:space="preserve"> </w:t>
      </w:r>
      <w:r>
        <w:rPr>
          <w:rFonts w:hint="eastAsia" w:ascii="宋体" w:hAnsi="宋体"/>
          <w:bCs/>
          <w:sz w:val="24"/>
        </w:rPr>
        <w:t xml:space="preserve"> </w:t>
      </w:r>
      <w:bookmarkStart w:id="253" w:name="_Toc1600665821"/>
      <w:bookmarkStart w:id="254" w:name="_Toc111240637"/>
      <w:r>
        <w:rPr>
          <w:rFonts w:ascii="宋体" w:hAnsi="宋体"/>
          <w:b/>
          <w:bCs/>
          <w:sz w:val="24"/>
        </w:rPr>
        <w:t>十</w:t>
      </w:r>
      <w:r>
        <w:rPr>
          <w:rFonts w:hint="eastAsia" w:ascii="宋体" w:hAnsi="宋体"/>
          <w:b/>
          <w:bCs/>
          <w:sz w:val="24"/>
        </w:rPr>
        <w:t>五</w:t>
      </w:r>
      <w:r>
        <w:rPr>
          <w:rFonts w:ascii="宋体" w:hAnsi="宋体"/>
          <w:b/>
          <w:bCs/>
          <w:sz w:val="24"/>
        </w:rPr>
        <w:t>、合同生效</w:t>
      </w:r>
      <w:bookmarkEnd w:id="253"/>
      <w:bookmarkEnd w:id="254"/>
    </w:p>
    <w:p>
      <w:pPr>
        <w:spacing w:line="460" w:lineRule="exact"/>
        <w:ind w:firstLine="480" w:firstLineChars="200"/>
        <w:jc w:val="left"/>
        <w:rPr>
          <w:rFonts w:ascii="宋体" w:hAnsi="宋体"/>
          <w:bCs/>
          <w:sz w:val="24"/>
        </w:rPr>
      </w:pPr>
      <w:r>
        <w:rPr>
          <w:rFonts w:ascii="宋体" w:hAnsi="宋体"/>
          <w:bCs/>
          <w:sz w:val="24"/>
        </w:rPr>
        <w:t>本合同自</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ascii="宋体" w:hAnsi="宋体"/>
          <w:bCs/>
          <w:sz w:val="24"/>
        </w:rPr>
        <w:t>生效。</w:t>
      </w:r>
    </w:p>
    <w:p>
      <w:pPr>
        <w:spacing w:line="460" w:lineRule="exact"/>
        <w:outlineLvl w:val="1"/>
        <w:rPr>
          <w:rFonts w:ascii="宋体" w:hAnsi="宋体"/>
          <w:b/>
          <w:sz w:val="24"/>
        </w:rPr>
      </w:pPr>
      <w:r>
        <w:rPr>
          <w:rFonts w:ascii="宋体" w:hAnsi="宋体"/>
          <w:b/>
          <w:sz w:val="24"/>
        </w:rPr>
        <w:t xml:space="preserve">    </w:t>
      </w:r>
      <w:bookmarkStart w:id="255" w:name="_Toc273056816"/>
      <w:bookmarkStart w:id="256" w:name="_Toc118154563"/>
      <w:r>
        <w:rPr>
          <w:rFonts w:hint="eastAsia" w:ascii="宋体" w:hAnsi="宋体"/>
          <w:b/>
          <w:bCs/>
          <w:sz w:val="24"/>
        </w:rPr>
        <w:t>十六</w:t>
      </w:r>
      <w:r>
        <w:rPr>
          <w:rFonts w:ascii="宋体" w:hAnsi="宋体"/>
          <w:b/>
          <w:bCs/>
          <w:sz w:val="24"/>
        </w:rPr>
        <w:t>、合同份数</w:t>
      </w:r>
      <w:bookmarkEnd w:id="255"/>
      <w:bookmarkEnd w:id="256"/>
    </w:p>
    <w:p>
      <w:pPr>
        <w:spacing w:line="460" w:lineRule="exact"/>
        <w:ind w:firstLine="480" w:firstLineChars="200"/>
        <w:jc w:val="left"/>
        <w:rPr>
          <w:rFonts w:ascii="宋体" w:hAnsi="宋体"/>
          <w:bCs/>
          <w:sz w:val="24"/>
        </w:rPr>
      </w:pPr>
      <w:r>
        <w:rPr>
          <w:rFonts w:ascii="宋体" w:hAnsi="宋体"/>
          <w:bCs/>
          <w:sz w:val="24"/>
        </w:rPr>
        <w:t>本合同一式</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ascii="宋体" w:hAnsi="宋体"/>
          <w:bCs/>
          <w:sz w:val="24"/>
        </w:rPr>
        <w:t>份，均具有同等法律效力，发包人执</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ascii="宋体" w:hAnsi="宋体"/>
          <w:bCs/>
          <w:sz w:val="24"/>
        </w:rPr>
        <w:t>份，承包人执</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rPr>
        <w:t>份。</w:t>
      </w: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r>
        <w:rPr>
          <w:rFonts w:ascii="宋体" w:hAnsi="宋体"/>
          <w:sz w:val="24"/>
        </w:rPr>
        <w:t>发包人</w:t>
      </w:r>
      <w:r>
        <w:rPr>
          <w:rFonts w:hint="eastAsia" w:ascii="宋体" w:hAnsi="宋体"/>
          <w:sz w:val="24"/>
        </w:rPr>
        <w:t>：（</w:t>
      </w:r>
      <w:r>
        <w:rPr>
          <w:rFonts w:ascii="宋体" w:hAnsi="宋体"/>
          <w:sz w:val="24"/>
        </w:rPr>
        <w:t>公章</w:t>
      </w:r>
      <w:r>
        <w:rPr>
          <w:rFonts w:hint="eastAsia" w:ascii="宋体" w:hAnsi="宋体"/>
          <w:sz w:val="24"/>
        </w:rPr>
        <w:t xml:space="preserve">）              </w:t>
      </w:r>
      <w:r>
        <w:rPr>
          <w:rFonts w:ascii="宋体" w:hAnsi="宋体"/>
          <w:sz w:val="24"/>
        </w:rPr>
        <w:t>承包人</w:t>
      </w:r>
      <w:r>
        <w:rPr>
          <w:rFonts w:hint="eastAsia" w:ascii="宋体" w:hAnsi="宋体"/>
          <w:sz w:val="24"/>
        </w:rPr>
        <w:t>：（</w:t>
      </w:r>
      <w:r>
        <w:rPr>
          <w:rFonts w:ascii="宋体" w:hAnsi="宋体"/>
          <w:sz w:val="24"/>
        </w:rPr>
        <w:t>公章</w:t>
      </w:r>
      <w:r>
        <w:rPr>
          <w:rFonts w:hint="eastAsia" w:ascii="宋体" w:hAnsi="宋体"/>
          <w:sz w:val="24"/>
        </w:rPr>
        <w:t>）</w:t>
      </w:r>
    </w:p>
    <w:p>
      <w:pPr>
        <w:spacing w:line="460" w:lineRule="exact"/>
        <w:rPr>
          <w:rFonts w:ascii="宋体" w:hAnsi="宋体"/>
          <w:sz w:val="24"/>
        </w:rPr>
      </w:pPr>
      <w:r>
        <w:rPr>
          <w:rFonts w:hint="eastAsia" w:ascii="宋体" w:hAnsi="宋体"/>
          <w:sz w:val="24"/>
        </w:rPr>
        <w:t xml:space="preserve">                                 </w:t>
      </w:r>
    </w:p>
    <w:p>
      <w:pPr>
        <w:spacing w:line="460" w:lineRule="exact"/>
        <w:rPr>
          <w:rFonts w:ascii="宋体" w:hAnsi="宋体"/>
          <w:sz w:val="24"/>
          <w:u w:val="single"/>
        </w:rPr>
      </w:pPr>
    </w:p>
    <w:p>
      <w:pPr>
        <w:spacing w:line="460" w:lineRule="exact"/>
        <w:rPr>
          <w:rFonts w:ascii="宋体" w:hAnsi="宋体"/>
          <w:sz w:val="24"/>
        </w:rPr>
      </w:pPr>
      <w:r>
        <w:rPr>
          <w:rFonts w:hint="eastAsia" w:ascii="宋体" w:hAnsi="宋体"/>
          <w:sz w:val="24"/>
        </w:rPr>
        <w:t>法定代表人或其委托代理人：    法定代表人或其委托代理人：</w:t>
      </w:r>
    </w:p>
    <w:p>
      <w:pPr>
        <w:spacing w:line="460" w:lineRule="exact"/>
        <w:rPr>
          <w:rFonts w:ascii="宋体" w:hAnsi="宋体"/>
          <w:sz w:val="24"/>
        </w:rPr>
      </w:pPr>
      <w:r>
        <w:rPr>
          <w:rFonts w:hint="eastAsia" w:ascii="宋体" w:hAnsi="宋体"/>
          <w:sz w:val="24"/>
        </w:rPr>
        <w:t>（签字）                      （签字）</w:t>
      </w:r>
    </w:p>
    <w:p>
      <w:pPr>
        <w:tabs>
          <w:tab w:val="left" w:pos="4410"/>
        </w:tabs>
        <w:spacing w:line="460" w:lineRule="exact"/>
        <w:rPr>
          <w:rFonts w:ascii="宋体" w:hAnsi="宋体"/>
          <w:sz w:val="24"/>
        </w:rPr>
      </w:pPr>
    </w:p>
    <w:p>
      <w:pPr>
        <w:tabs>
          <w:tab w:val="left" w:pos="4410"/>
        </w:tabs>
        <w:spacing w:line="460" w:lineRule="exact"/>
        <w:rPr>
          <w:rFonts w:ascii="宋体" w:hAnsi="宋体"/>
          <w:sz w:val="24"/>
        </w:rPr>
      </w:pPr>
    </w:p>
    <w:p>
      <w:pPr>
        <w:tabs>
          <w:tab w:val="left" w:pos="4410"/>
        </w:tabs>
        <w:spacing w:line="460" w:lineRule="exact"/>
        <w:rPr>
          <w:rFonts w:ascii="宋体" w:hAnsi="宋体"/>
          <w:sz w:val="24"/>
        </w:rPr>
      </w:pPr>
      <w:r>
        <w:rPr>
          <w:rFonts w:hint="eastAsia" w:ascii="宋体" w:hAnsi="宋体"/>
          <w:sz w:val="24"/>
          <w:lang w:eastAsia="zh-CN"/>
        </w:rPr>
        <w:t>统一社会信用代码</w:t>
      </w:r>
      <w:r>
        <w:rPr>
          <w:rFonts w:hint="eastAsia"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eastAsia="zh-CN"/>
        </w:rPr>
        <w:t>统一社会信用代码</w:t>
      </w:r>
      <w:r>
        <w:rPr>
          <w:rFonts w:hint="eastAsia"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460" w:lineRule="exact"/>
        <w:rPr>
          <w:rFonts w:ascii="宋体" w:hAnsi="宋体"/>
          <w:sz w:val="24"/>
        </w:rPr>
      </w:pPr>
      <w:r>
        <w:rPr>
          <w:rFonts w:ascii="宋体" w:hAnsi="宋体"/>
          <w:sz w:val="24"/>
        </w:rPr>
        <w:t>地  址：</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 xml:space="preserve">  </w:t>
      </w:r>
      <w:r>
        <w:rPr>
          <w:rFonts w:ascii="宋体" w:hAnsi="宋体"/>
          <w:sz w:val="24"/>
        </w:rPr>
        <w:t>地  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spacing w:line="460" w:lineRule="exact"/>
        <w:rPr>
          <w:rFonts w:ascii="宋体" w:hAnsi="宋体"/>
          <w:sz w:val="24"/>
        </w:rPr>
      </w:pPr>
      <w:r>
        <w:rPr>
          <w:rFonts w:ascii="宋体" w:hAnsi="宋体"/>
          <w:sz w:val="24"/>
        </w:rPr>
        <w:t>邮政编码：</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邮政编码：</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spacing w:line="460" w:lineRule="exact"/>
        <w:rPr>
          <w:rFonts w:ascii="宋体" w:hAnsi="宋体"/>
          <w:sz w:val="24"/>
        </w:rPr>
      </w:pPr>
      <w:r>
        <w:rPr>
          <w:rFonts w:ascii="宋体" w:hAnsi="宋体"/>
          <w:sz w:val="24"/>
        </w:rPr>
        <w:t>法定代表人：</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法定代表人：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spacing w:line="460" w:lineRule="exact"/>
        <w:rPr>
          <w:rFonts w:ascii="宋体" w:hAnsi="宋体"/>
          <w:sz w:val="24"/>
        </w:rPr>
      </w:pPr>
      <w:r>
        <w:rPr>
          <w:rFonts w:ascii="宋体" w:hAnsi="宋体"/>
          <w:sz w:val="24"/>
        </w:rPr>
        <w:t>委托代理人：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委托代理人：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spacing w:line="460" w:lineRule="exact"/>
        <w:rPr>
          <w:rFonts w:ascii="宋体" w:hAnsi="宋体"/>
          <w:sz w:val="24"/>
        </w:rPr>
      </w:pPr>
      <w:r>
        <w:rPr>
          <w:rFonts w:ascii="宋体" w:hAnsi="宋体"/>
          <w:sz w:val="24"/>
        </w:rPr>
        <w:t>电  话：</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电  话：</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spacing w:line="460" w:lineRule="exact"/>
        <w:rPr>
          <w:rFonts w:ascii="宋体" w:hAnsi="宋体"/>
          <w:sz w:val="24"/>
        </w:rPr>
      </w:pPr>
      <w:r>
        <w:rPr>
          <w:rFonts w:ascii="宋体" w:hAnsi="宋体"/>
          <w:sz w:val="24"/>
        </w:rPr>
        <w:t>传  真：</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传  真：</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spacing w:line="460" w:lineRule="exact"/>
        <w:rPr>
          <w:rFonts w:ascii="宋体" w:hAnsi="宋体"/>
          <w:sz w:val="24"/>
        </w:rPr>
      </w:pPr>
      <w:r>
        <w:rPr>
          <w:rFonts w:ascii="宋体" w:hAnsi="宋体"/>
          <w:sz w:val="24"/>
        </w:rPr>
        <w:t>电子信箱：</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电子信箱：</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spacing w:line="460" w:lineRule="exact"/>
        <w:rPr>
          <w:rFonts w:ascii="宋体" w:hAnsi="宋体"/>
          <w:sz w:val="24"/>
        </w:rPr>
      </w:pPr>
      <w:r>
        <w:rPr>
          <w:rFonts w:ascii="宋体" w:hAnsi="宋体"/>
          <w:sz w:val="24"/>
        </w:rPr>
        <w:t>开户银行：</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开户银行：</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spacing w:line="460" w:lineRule="exact"/>
        <w:rPr>
          <w:rFonts w:eastAsia="仿宋_GB2312"/>
          <w:sz w:val="30"/>
          <w:szCs w:val="30"/>
        </w:rPr>
      </w:pPr>
      <w:r>
        <w:rPr>
          <w:rFonts w:ascii="宋体" w:hAnsi="宋体"/>
          <w:sz w:val="24"/>
        </w:rPr>
        <w:t>账  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 xml:space="preserve">  </w:t>
      </w:r>
      <w:r>
        <w:rPr>
          <w:rFonts w:ascii="宋体" w:hAnsi="宋体"/>
          <w:sz w:val="24"/>
        </w:rPr>
        <w:t>账</w:t>
      </w:r>
      <w:r>
        <w:rPr>
          <w:rFonts w:hint="eastAsia" w:ascii="宋体" w:hAnsi="宋体"/>
          <w:sz w:val="24"/>
        </w:rPr>
        <w:t xml:space="preserve"> </w:t>
      </w:r>
      <w:r>
        <w:rPr>
          <w:rFonts w:ascii="宋体" w:hAnsi="宋体"/>
          <w:sz w:val="24"/>
        </w:rPr>
        <w:t xml:space="preserve"> 号：</w:t>
      </w:r>
      <w:r>
        <w:rPr>
          <w:rFonts w:hint="eastAsia" w:ascii="宋体" w:hAnsi="宋体"/>
          <w:sz w:val="24"/>
          <w:u w:val="single"/>
        </w:rPr>
        <w:t xml:space="preserve">                  </w:t>
      </w:r>
      <w:r>
        <w:rPr>
          <w:rFonts w:eastAsia="仿宋_GB2312"/>
          <w:sz w:val="30"/>
          <w:szCs w:val="30"/>
          <w:u w:val="single"/>
        </w:rPr>
        <w:t xml:space="preserve">  </w:t>
      </w:r>
      <w:r>
        <w:rPr>
          <w:rFonts w:hint="eastAsia" w:eastAsia="仿宋_GB2312"/>
          <w:sz w:val="30"/>
          <w:szCs w:val="30"/>
          <w:u w:val="single"/>
        </w:rPr>
        <w:t xml:space="preserve"> </w:t>
      </w:r>
    </w:p>
    <w:p>
      <w:pPr>
        <w:pStyle w:val="3"/>
        <w:spacing w:line="360" w:lineRule="auto"/>
        <w:rPr>
          <w:rFonts w:ascii="黑体" w:hAnsi="黑体" w:eastAsia="黑体" w:cs="黑体"/>
          <w:b w:val="0"/>
          <w:bCs/>
          <w:szCs w:val="44"/>
        </w:rPr>
        <w:sectPr>
          <w:footerReference r:id="rId23" w:type="default"/>
          <w:pgSz w:w="11906" w:h="16838"/>
          <w:pgMar w:top="2098" w:right="1757" w:bottom="1984" w:left="1757" w:header="851" w:footer="1417" w:gutter="0"/>
          <w:cols w:space="720" w:num="1"/>
          <w:docGrid w:type="lines" w:linePitch="312" w:charSpace="0"/>
        </w:sectPr>
      </w:pPr>
      <w:bookmarkStart w:id="257" w:name="_Toc26547"/>
      <w:bookmarkStart w:id="258" w:name="_Toc10868"/>
      <w:bookmarkStart w:id="259" w:name="_Toc12223"/>
      <w:bookmarkStart w:id="260" w:name="_Toc16153"/>
    </w:p>
    <w:p>
      <w:pPr>
        <w:pStyle w:val="2"/>
        <w:numPr>
          <w:ilvl w:val="0"/>
          <w:numId w:val="9"/>
        </w:numPr>
        <w:spacing w:before="260" w:after="260" w:line="360" w:lineRule="auto"/>
        <w:ind w:left="0" w:firstLine="0"/>
        <w:rPr>
          <w:rFonts w:ascii="宋体" w:hAnsi="宋体" w:eastAsia="宋体" w:cs="黑体"/>
          <w:b/>
          <w:sz w:val="30"/>
          <w:szCs w:val="30"/>
        </w:rPr>
      </w:pPr>
      <w:bookmarkStart w:id="261" w:name="_Toc1772115747"/>
      <w:bookmarkStart w:id="262" w:name="_Toc1081549402"/>
      <w:bookmarkStart w:id="263" w:name="_Toc725136582"/>
      <w:r>
        <w:rPr>
          <w:rFonts w:hint="eastAsia" w:ascii="宋体" w:hAnsi="宋体" w:eastAsia="宋体" w:cs="黑体"/>
          <w:b/>
          <w:sz w:val="30"/>
          <w:szCs w:val="30"/>
        </w:rPr>
        <w:t>第二部分 通用合同条款</w:t>
      </w:r>
      <w:bookmarkEnd w:id="261"/>
      <w:bookmarkEnd w:id="262"/>
      <w:bookmarkEnd w:id="263"/>
    </w:p>
    <w:p>
      <w:pPr>
        <w:spacing w:line="460" w:lineRule="exact"/>
        <w:ind w:firstLine="480" w:firstLineChars="200"/>
        <w:jc w:val="left"/>
        <w:rPr>
          <w:rFonts w:ascii="宋体" w:hAnsi="宋体"/>
          <w:bCs/>
          <w:sz w:val="24"/>
        </w:rPr>
        <w:sectPr>
          <w:pgSz w:w="11906" w:h="16838"/>
          <w:pgMar w:top="2098" w:right="1701" w:bottom="1984" w:left="1701" w:header="851" w:footer="1417" w:gutter="0"/>
          <w:cols w:space="720" w:num="1"/>
          <w:docGrid w:type="lines" w:linePitch="312" w:charSpace="0"/>
        </w:sectPr>
      </w:pPr>
      <w:r>
        <w:rPr>
          <w:rFonts w:ascii="宋体" w:hAnsi="宋体"/>
          <w:bCs/>
          <w:sz w:val="24"/>
        </w:rPr>
        <w:t>通用合同条款共计</w:t>
      </w:r>
      <w:r>
        <w:rPr>
          <w:rFonts w:hint="eastAsia" w:ascii="宋体" w:hAnsi="宋体"/>
          <w:bCs/>
          <w:sz w:val="24"/>
        </w:rPr>
        <w:t>20条，采用《建设工程施工合同（示范文本）》（GF-2017-0201）的“通用合同条款”。</w:t>
      </w:r>
    </w:p>
    <w:bookmarkEnd w:id="257"/>
    <w:bookmarkEnd w:id="258"/>
    <w:bookmarkEnd w:id="259"/>
    <w:bookmarkEnd w:id="260"/>
    <w:p>
      <w:pPr>
        <w:pStyle w:val="2"/>
        <w:numPr>
          <w:ilvl w:val="0"/>
          <w:numId w:val="9"/>
        </w:numPr>
        <w:spacing w:before="260" w:after="260" w:line="360" w:lineRule="auto"/>
        <w:ind w:left="0" w:firstLine="0"/>
        <w:rPr>
          <w:rFonts w:ascii="宋体" w:hAnsi="宋体" w:eastAsia="宋体" w:cs="黑体"/>
          <w:b/>
          <w:sz w:val="30"/>
          <w:szCs w:val="30"/>
        </w:rPr>
      </w:pPr>
      <w:bookmarkStart w:id="264" w:name="_Toc1254421522"/>
      <w:bookmarkStart w:id="265" w:name="_Toc13192"/>
      <w:bookmarkStart w:id="266" w:name="_Toc538026417"/>
      <w:bookmarkStart w:id="267" w:name="_Toc20668"/>
      <w:bookmarkStart w:id="268" w:name="_Toc1439523315"/>
      <w:bookmarkStart w:id="269" w:name="_Toc24563"/>
      <w:bookmarkStart w:id="270" w:name="_Toc25120"/>
      <w:r>
        <w:rPr>
          <w:rFonts w:hint="eastAsia" w:ascii="宋体" w:hAnsi="宋体" w:eastAsia="宋体" w:cs="黑体"/>
          <w:b/>
          <w:sz w:val="30"/>
          <w:szCs w:val="30"/>
        </w:rPr>
        <w:t>第三部分 专用合同条款</w:t>
      </w:r>
      <w:bookmarkEnd w:id="264"/>
      <w:bookmarkEnd w:id="265"/>
      <w:bookmarkEnd w:id="266"/>
      <w:bookmarkEnd w:id="267"/>
      <w:bookmarkEnd w:id="268"/>
      <w:bookmarkEnd w:id="269"/>
      <w:bookmarkEnd w:id="270"/>
    </w:p>
    <w:p>
      <w:pPr>
        <w:pStyle w:val="3"/>
        <w:spacing w:line="460" w:lineRule="exact"/>
        <w:jc w:val="left"/>
        <w:rPr>
          <w:rFonts w:ascii="宋体" w:hAnsi="宋体"/>
          <w:sz w:val="24"/>
          <w:szCs w:val="24"/>
        </w:rPr>
      </w:pPr>
      <w:bookmarkStart w:id="271" w:name="_Toc1742251250"/>
      <w:bookmarkStart w:id="272" w:name="_Toc1281606529"/>
      <w:r>
        <w:rPr>
          <w:rFonts w:ascii="宋体" w:hAnsi="宋体"/>
          <w:sz w:val="24"/>
          <w:szCs w:val="24"/>
        </w:rPr>
        <w:t>1</w:t>
      </w:r>
      <w:bookmarkStart w:id="273" w:name="_Toc296347155"/>
      <w:bookmarkStart w:id="274" w:name="_Toc296891196"/>
      <w:bookmarkStart w:id="275" w:name="_Toc296503156"/>
      <w:bookmarkStart w:id="276" w:name="_Toc297048342"/>
      <w:bookmarkStart w:id="277" w:name="_Toc292559866"/>
      <w:bookmarkStart w:id="278" w:name="_Toc292559361"/>
      <w:bookmarkStart w:id="279" w:name="_Toc297120456"/>
      <w:bookmarkStart w:id="280" w:name="_Toc296346657"/>
      <w:bookmarkStart w:id="281" w:name="_Toc296890984"/>
      <w:bookmarkStart w:id="282" w:name="_Toc296944495"/>
      <w:r>
        <w:rPr>
          <w:rFonts w:ascii="宋体" w:hAnsi="宋体"/>
          <w:sz w:val="24"/>
          <w:szCs w:val="24"/>
        </w:rPr>
        <w:t>. 一般约定</w:t>
      </w:r>
      <w:bookmarkEnd w:id="271"/>
      <w:bookmarkEnd w:id="272"/>
    </w:p>
    <w:bookmarkEnd w:id="273"/>
    <w:bookmarkEnd w:id="274"/>
    <w:bookmarkEnd w:id="275"/>
    <w:bookmarkEnd w:id="276"/>
    <w:bookmarkEnd w:id="277"/>
    <w:bookmarkEnd w:id="278"/>
    <w:bookmarkEnd w:id="279"/>
    <w:bookmarkEnd w:id="280"/>
    <w:bookmarkEnd w:id="281"/>
    <w:bookmarkEnd w:id="282"/>
    <w:p>
      <w:pPr>
        <w:spacing w:line="460" w:lineRule="exact"/>
        <w:ind w:firstLine="481" w:firstLineChars="200"/>
        <w:outlineLvl w:val="2"/>
        <w:rPr>
          <w:rFonts w:ascii="宋体" w:hAnsi="宋体"/>
          <w:b/>
          <w:sz w:val="24"/>
        </w:rPr>
      </w:pPr>
      <w:bookmarkStart w:id="283" w:name="_Toc1772939203"/>
      <w:bookmarkStart w:id="284" w:name="_Toc276302670"/>
      <w:bookmarkStart w:id="285" w:name="_Toc28755"/>
      <w:r>
        <w:rPr>
          <w:rFonts w:ascii="宋体" w:hAnsi="宋体"/>
          <w:b/>
          <w:sz w:val="24"/>
        </w:rPr>
        <w:t>1.1 词语定义</w:t>
      </w:r>
      <w:bookmarkEnd w:id="283"/>
      <w:bookmarkEnd w:id="284"/>
      <w:bookmarkEnd w:id="285"/>
    </w:p>
    <w:p>
      <w:pPr>
        <w:spacing w:after="120" w:line="460" w:lineRule="exact"/>
        <w:ind w:firstLine="480" w:firstLineChars="200"/>
        <w:rPr>
          <w:rFonts w:ascii="宋体" w:hAnsi="宋体" w:cs="仿宋_GB2312"/>
          <w:sz w:val="24"/>
        </w:rPr>
      </w:pPr>
      <w:bookmarkStart w:id="286" w:name="_Toc29853"/>
      <w:bookmarkStart w:id="287" w:name="_Toc27949"/>
      <w:bookmarkStart w:id="288" w:name="_Toc2479"/>
      <w:r>
        <w:rPr>
          <w:rFonts w:hint="eastAsia" w:ascii="宋体" w:hAnsi="宋体" w:cs="仿宋_GB2312"/>
          <w:kern w:val="0"/>
          <w:sz w:val="24"/>
        </w:rPr>
        <w:t>本款修改1.1.2.4、1.1.2.5，补充1.1.3.11、</w:t>
      </w:r>
      <w:r>
        <w:rPr>
          <w:rFonts w:hint="eastAsia" w:ascii="宋体" w:hAnsi="宋体" w:cs="仿宋_GB2312"/>
          <w:sz w:val="24"/>
        </w:rPr>
        <w:t>1.1.3.12、1.1.3.13</w:t>
      </w:r>
      <w:r>
        <w:rPr>
          <w:rFonts w:hint="eastAsia" w:ascii="宋体" w:hAnsi="宋体" w:cs="仿宋_GB2312"/>
          <w:kern w:val="0"/>
          <w:sz w:val="24"/>
        </w:rPr>
        <w:t>、1.1.4.8。</w:t>
      </w:r>
      <w:bookmarkEnd w:id="286"/>
      <w:bookmarkEnd w:id="287"/>
      <w:bookmarkEnd w:id="288"/>
    </w:p>
    <w:p>
      <w:pPr>
        <w:spacing w:line="460" w:lineRule="exact"/>
        <w:ind w:firstLine="480" w:firstLineChars="200"/>
        <w:rPr>
          <w:rFonts w:ascii="宋体" w:hAnsi="宋体" w:cs="仿宋_GB2312"/>
          <w:kern w:val="0"/>
          <w:sz w:val="24"/>
        </w:rPr>
      </w:pPr>
      <w:r>
        <w:rPr>
          <w:rFonts w:hint="eastAsia" w:ascii="宋体" w:hAnsi="宋体" w:cs="仿宋_GB2312"/>
          <w:kern w:val="0"/>
          <w:sz w:val="24"/>
        </w:rPr>
        <w:t>1.1.1合同</w:t>
      </w:r>
    </w:p>
    <w:p>
      <w:pPr>
        <w:spacing w:line="460" w:lineRule="exact"/>
        <w:ind w:firstLine="480" w:firstLineChars="200"/>
        <w:rPr>
          <w:rFonts w:ascii="宋体" w:hAnsi="宋体" w:cs="仿宋_GB2312"/>
          <w:kern w:val="0"/>
          <w:sz w:val="24"/>
        </w:rPr>
      </w:pPr>
      <w:r>
        <w:rPr>
          <w:rFonts w:hint="eastAsia" w:ascii="宋体" w:hAnsi="宋体" w:cs="仿宋_GB2312"/>
          <w:kern w:val="0"/>
          <w:sz w:val="24"/>
        </w:rPr>
        <w:t>1.1.1.10 其他合同文件包括：</w:t>
      </w:r>
      <w:r>
        <w:rPr>
          <w:rFonts w:hint="eastAsia" w:ascii="宋体" w:hAnsi="宋体" w:cs="仿宋_GB2312"/>
          <w:sz w:val="24"/>
          <w:u w:val="single"/>
        </w:rPr>
        <w:t xml:space="preserve">                          </w:t>
      </w:r>
    </w:p>
    <w:p>
      <w:pPr>
        <w:spacing w:line="460" w:lineRule="exact"/>
        <w:ind w:left="1320" w:hanging="1320" w:hangingChars="550"/>
        <w:rPr>
          <w:rFonts w:ascii="宋体" w:hAnsi="宋体" w:cs="仿宋_GB2312"/>
          <w:kern w:val="0"/>
          <w:sz w:val="24"/>
        </w:rPr>
      </w:pP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rPr>
          <w:rFonts w:ascii="宋体" w:hAnsi="宋体" w:cs="仿宋_GB2312"/>
          <w:sz w:val="24"/>
        </w:rPr>
      </w:pPr>
      <w:r>
        <w:rPr>
          <w:rFonts w:hint="eastAsia" w:ascii="宋体" w:hAnsi="宋体" w:cs="仿宋_GB2312"/>
          <w:sz w:val="24"/>
        </w:rPr>
        <w:t>1.1.2 合同当事人及其他相关方</w:t>
      </w:r>
    </w:p>
    <w:p>
      <w:pPr>
        <w:spacing w:line="460" w:lineRule="exact"/>
        <w:ind w:firstLine="480" w:firstLineChars="200"/>
        <w:rPr>
          <w:rFonts w:ascii="宋体" w:hAnsi="宋体" w:cs="仿宋_GB2312"/>
          <w:sz w:val="24"/>
        </w:rPr>
      </w:pPr>
      <w:r>
        <w:rPr>
          <w:rFonts w:hint="eastAsia" w:ascii="宋体" w:hAnsi="宋体" w:cs="仿宋_GB2312"/>
          <w:sz w:val="24"/>
        </w:rPr>
        <w:t>1.1.2.4 监理人和总监理工程师：</w:t>
      </w:r>
    </w:p>
    <w:p>
      <w:pPr>
        <w:spacing w:line="460" w:lineRule="exact"/>
        <w:ind w:firstLine="480" w:firstLineChars="200"/>
        <w:rPr>
          <w:rFonts w:ascii="宋体" w:hAnsi="宋体" w:cs="仿宋_GB2312"/>
          <w:sz w:val="24"/>
        </w:rPr>
      </w:pPr>
      <w:r>
        <w:rPr>
          <w:rFonts w:hint="eastAsia" w:ascii="宋体" w:hAnsi="宋体" w:cs="仿宋_GB2312"/>
          <w:sz w:val="24"/>
        </w:rPr>
        <w:t>名    称：</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rPr>
          <w:rFonts w:ascii="宋体" w:hAnsi="宋体" w:cs="仿宋_GB2312"/>
          <w:sz w:val="24"/>
        </w:rPr>
      </w:pPr>
      <w:r>
        <w:rPr>
          <w:rFonts w:hint="eastAsia" w:ascii="宋体" w:hAnsi="宋体" w:cs="仿宋_GB2312"/>
          <w:sz w:val="24"/>
        </w:rPr>
        <w:t>资质类别和等级：</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left="596" w:leftChars="284"/>
        <w:rPr>
          <w:rFonts w:ascii="宋体" w:hAnsi="宋体" w:cs="仿宋_GB2312"/>
          <w:sz w:val="24"/>
        </w:rPr>
      </w:pPr>
      <w:r>
        <w:rPr>
          <w:rFonts w:hint="eastAsia" w:ascii="宋体" w:hAnsi="宋体" w:cs="仿宋_GB2312"/>
          <w:sz w:val="24"/>
        </w:rPr>
        <w:t>总监理工程师姓名：</w:t>
      </w:r>
      <w:r>
        <w:rPr>
          <w:rFonts w:hint="eastAsia" w:ascii="宋体" w:hAnsi="宋体" w:cs="仿宋_GB2312"/>
          <w:sz w:val="24"/>
          <w:u w:val="single"/>
        </w:rPr>
        <w:t xml:space="preserve">        </w:t>
      </w:r>
      <w:r>
        <w:rPr>
          <w:rFonts w:hint="eastAsia" w:ascii="宋体" w:hAnsi="宋体" w:cs="仿宋_GB2312"/>
          <w:sz w:val="24"/>
        </w:rPr>
        <w:t>；联系电话：</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left="596" w:leftChars="284"/>
        <w:rPr>
          <w:rFonts w:ascii="宋体" w:hAnsi="宋体" w:cs="仿宋_GB2312"/>
          <w:sz w:val="24"/>
        </w:rPr>
      </w:pPr>
      <w:r>
        <w:rPr>
          <w:rFonts w:hint="eastAsia" w:ascii="宋体" w:hAnsi="宋体" w:cs="仿宋_GB2312"/>
          <w:sz w:val="24"/>
        </w:rPr>
        <w:t>总监理工程师执业资格证书号：</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left="596" w:leftChars="284"/>
        <w:rPr>
          <w:rFonts w:ascii="宋体" w:hAnsi="宋体" w:cs="仿宋_GB2312"/>
          <w:sz w:val="24"/>
        </w:rPr>
      </w:pPr>
      <w:r>
        <w:rPr>
          <w:rFonts w:hint="eastAsia" w:ascii="宋体" w:hAnsi="宋体" w:cs="仿宋_GB2312"/>
          <w:sz w:val="24"/>
        </w:rPr>
        <w:t>电子信箱：</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rPr>
          <w:rFonts w:ascii="宋体" w:hAnsi="宋体" w:cs="仿宋_GB2312"/>
          <w:sz w:val="24"/>
        </w:rPr>
      </w:pPr>
      <w:r>
        <w:rPr>
          <w:rFonts w:hint="eastAsia" w:ascii="宋体" w:hAnsi="宋体" w:cs="仿宋_GB2312"/>
          <w:sz w:val="24"/>
        </w:rPr>
        <w:t>通信地址：</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rPr>
          <w:rFonts w:ascii="宋体" w:hAnsi="宋体" w:cs="仿宋_GB2312"/>
          <w:sz w:val="24"/>
        </w:rPr>
      </w:pPr>
      <w:r>
        <w:rPr>
          <w:rFonts w:hint="eastAsia" w:ascii="宋体" w:hAnsi="宋体" w:cs="仿宋_GB2312"/>
          <w:sz w:val="24"/>
        </w:rPr>
        <w:t xml:space="preserve">1.1.2.5 设计人和设计项目负责人： </w:t>
      </w:r>
    </w:p>
    <w:p>
      <w:pPr>
        <w:spacing w:line="460" w:lineRule="exact"/>
        <w:ind w:firstLine="480" w:firstLineChars="200"/>
        <w:rPr>
          <w:rFonts w:ascii="宋体" w:hAnsi="宋体" w:cs="仿宋_GB2312"/>
          <w:sz w:val="24"/>
        </w:rPr>
      </w:pPr>
      <w:r>
        <w:rPr>
          <w:rFonts w:hint="eastAsia" w:ascii="宋体" w:hAnsi="宋体" w:cs="仿宋_GB2312"/>
          <w:sz w:val="24"/>
        </w:rPr>
        <w:t>名    称：</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rPr>
          <w:rFonts w:ascii="宋体" w:hAnsi="宋体" w:cs="仿宋_GB2312"/>
          <w:sz w:val="24"/>
        </w:rPr>
      </w:pPr>
      <w:r>
        <w:rPr>
          <w:rFonts w:hint="eastAsia" w:ascii="宋体" w:hAnsi="宋体" w:cs="仿宋_GB2312"/>
          <w:sz w:val="24"/>
        </w:rPr>
        <w:t>资质类别和等级：</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rPr>
          <w:rFonts w:ascii="宋体" w:hAnsi="宋体" w:cs="仿宋_GB2312"/>
          <w:sz w:val="24"/>
        </w:rPr>
      </w:pPr>
      <w:r>
        <w:rPr>
          <w:rFonts w:hint="eastAsia" w:ascii="宋体" w:hAnsi="宋体" w:cs="仿宋_GB2312"/>
          <w:sz w:val="24"/>
        </w:rPr>
        <w:t>项目负责人姓名：</w:t>
      </w:r>
      <w:r>
        <w:rPr>
          <w:rFonts w:hint="eastAsia" w:ascii="宋体" w:hAnsi="宋体" w:cs="仿宋_GB2312"/>
          <w:sz w:val="24"/>
          <w:u w:val="single"/>
        </w:rPr>
        <w:t xml:space="preserve">         </w:t>
      </w:r>
      <w:r>
        <w:rPr>
          <w:rFonts w:hint="eastAsia" w:ascii="宋体" w:hAnsi="宋体" w:cs="仿宋_GB2312"/>
          <w:sz w:val="24"/>
        </w:rPr>
        <w:t>；联系电话：</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rPr>
          <w:rFonts w:ascii="宋体" w:hAnsi="宋体" w:cs="仿宋_GB2312"/>
          <w:sz w:val="24"/>
        </w:rPr>
      </w:pPr>
      <w:r>
        <w:rPr>
          <w:rFonts w:hint="eastAsia" w:ascii="宋体" w:hAnsi="宋体" w:cs="仿宋_GB2312"/>
          <w:sz w:val="24"/>
        </w:rPr>
        <w:t>电子信箱：</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rPr>
          <w:rFonts w:ascii="宋体" w:hAnsi="宋体" w:cs="仿宋_GB2312"/>
          <w:sz w:val="24"/>
        </w:rPr>
      </w:pPr>
      <w:r>
        <w:rPr>
          <w:rFonts w:hint="eastAsia" w:ascii="宋体" w:hAnsi="宋体" w:cs="仿宋_GB2312"/>
          <w:sz w:val="24"/>
        </w:rPr>
        <w:t>通信地址：</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rPr>
          <w:rFonts w:ascii="宋体" w:hAnsi="宋体" w:cs="仿宋_GB2312"/>
          <w:sz w:val="24"/>
        </w:rPr>
      </w:pPr>
      <w:r>
        <w:rPr>
          <w:rFonts w:hint="eastAsia" w:ascii="宋体" w:hAnsi="宋体" w:cs="仿宋_GB2312"/>
          <w:sz w:val="24"/>
        </w:rPr>
        <w:t>1.1.3 工程和设备</w:t>
      </w:r>
    </w:p>
    <w:p>
      <w:pPr>
        <w:spacing w:line="460" w:lineRule="exact"/>
        <w:ind w:firstLine="480" w:firstLineChars="200"/>
        <w:rPr>
          <w:rFonts w:ascii="宋体" w:hAnsi="宋体" w:cs="仿宋_GB2312"/>
          <w:sz w:val="24"/>
          <w:u w:val="single"/>
        </w:rPr>
      </w:pPr>
      <w:r>
        <w:rPr>
          <w:rFonts w:hint="eastAsia" w:ascii="宋体" w:hAnsi="宋体" w:cs="仿宋_GB2312"/>
          <w:sz w:val="24"/>
        </w:rPr>
        <w:t>1.1.3.7 作为施工现场组成部分的其他场所包括：</w:t>
      </w:r>
      <w:r>
        <w:rPr>
          <w:rFonts w:hint="eastAsia" w:ascii="宋体" w:hAnsi="宋体" w:cs="仿宋_GB2312"/>
          <w:sz w:val="24"/>
          <w:u w:val="single"/>
        </w:rPr>
        <w:t xml:space="preserve">        </w:t>
      </w:r>
    </w:p>
    <w:p>
      <w:pPr>
        <w:spacing w:line="460" w:lineRule="exact"/>
        <w:rPr>
          <w:rFonts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jc w:val="left"/>
        <w:rPr>
          <w:rFonts w:ascii="宋体" w:hAnsi="宋体" w:cs="仿宋_GB2312"/>
          <w:kern w:val="0"/>
          <w:sz w:val="24"/>
        </w:rPr>
      </w:pPr>
      <w:r>
        <w:rPr>
          <w:rFonts w:hint="eastAsia" w:ascii="宋体" w:hAnsi="宋体" w:cs="仿宋_GB2312"/>
          <w:kern w:val="0"/>
          <w:sz w:val="24"/>
        </w:rPr>
        <w:t>1.1.3.9 永久占地包括：</w:t>
      </w:r>
      <w:r>
        <w:rPr>
          <w:rFonts w:hint="eastAsia" w:ascii="宋体" w:hAnsi="宋体" w:cs="仿宋_GB2312"/>
          <w:sz w:val="24"/>
          <w:u w:val="single"/>
        </w:rPr>
        <w:t xml:space="preserve">                             </w:t>
      </w:r>
      <w:r>
        <w:rPr>
          <w:rFonts w:hint="eastAsia" w:ascii="宋体" w:hAnsi="宋体" w:cs="仿宋_GB2312"/>
          <w:kern w:val="0"/>
          <w:sz w:val="24"/>
        </w:rPr>
        <w:t>。</w:t>
      </w:r>
    </w:p>
    <w:p>
      <w:pPr>
        <w:spacing w:line="460" w:lineRule="exact"/>
        <w:ind w:firstLine="480" w:firstLineChars="200"/>
        <w:jc w:val="left"/>
        <w:rPr>
          <w:rFonts w:ascii="宋体" w:hAnsi="宋体" w:cs="仿宋_GB2312"/>
          <w:kern w:val="0"/>
          <w:sz w:val="24"/>
        </w:rPr>
      </w:pPr>
      <w:r>
        <w:rPr>
          <w:rFonts w:hint="eastAsia" w:ascii="宋体" w:hAnsi="宋体" w:cs="仿宋_GB2312"/>
          <w:kern w:val="0"/>
          <w:sz w:val="24"/>
        </w:rPr>
        <w:t>1.1.3.10 临时占地包括：</w:t>
      </w:r>
      <w:r>
        <w:rPr>
          <w:rFonts w:hint="eastAsia" w:ascii="宋体" w:hAnsi="宋体" w:cs="仿宋_GB2312"/>
          <w:sz w:val="24"/>
          <w:u w:val="single"/>
        </w:rPr>
        <w:t xml:space="preserve">                            </w:t>
      </w:r>
      <w:r>
        <w:rPr>
          <w:rFonts w:hint="eastAsia" w:ascii="宋体" w:hAnsi="宋体" w:cs="仿宋_GB2312"/>
          <w:kern w:val="0"/>
          <w:sz w:val="24"/>
        </w:rPr>
        <w:t>。</w:t>
      </w:r>
    </w:p>
    <w:p>
      <w:pPr>
        <w:spacing w:line="460" w:lineRule="exact"/>
        <w:ind w:firstLine="480" w:firstLineChars="200"/>
        <w:rPr>
          <w:rFonts w:ascii="宋体" w:hAnsi="宋体" w:cs="仿宋_GB2312"/>
          <w:sz w:val="24"/>
        </w:rPr>
      </w:pPr>
      <w:r>
        <w:rPr>
          <w:rFonts w:hint="eastAsia" w:ascii="宋体" w:hAnsi="宋体" w:cs="仿宋_GB2312"/>
          <w:sz w:val="24"/>
        </w:rPr>
        <w:t>1.1.3.11 园林绿化工程：是指新建、改建、扩建公园绿地、防护绿地、广场用地、附属绿地、区域绿地，以及对城市生态和景观影响较大建设项目的配套绿化，主要包括园林绿化植物栽植、地形整理、园林设施设备安装及园林建筑、小品、花坛、园路、水系、喷泉、假山、雕塑、绿地广场、驳岸、园林景观桥梁等。</w:t>
      </w:r>
    </w:p>
    <w:p>
      <w:pPr>
        <w:spacing w:line="460" w:lineRule="exact"/>
        <w:ind w:firstLine="480" w:firstLineChars="200"/>
        <w:rPr>
          <w:rFonts w:ascii="宋体" w:hAnsi="宋体" w:cs="仿宋_GB2312"/>
          <w:sz w:val="24"/>
        </w:rPr>
      </w:pPr>
      <w:r>
        <w:rPr>
          <w:rFonts w:hint="eastAsia" w:ascii="宋体" w:hAnsi="宋体" w:cs="仿宋_GB2312"/>
          <w:sz w:val="24"/>
        </w:rPr>
        <w:t>1.1.3.12 绿化工程：是指树木、花卉、草坪、地被植物等的种植工程。</w:t>
      </w:r>
    </w:p>
    <w:p>
      <w:pPr>
        <w:spacing w:line="460" w:lineRule="exact"/>
        <w:ind w:firstLine="480" w:firstLineChars="200"/>
        <w:rPr>
          <w:rFonts w:ascii="宋体" w:hAnsi="宋体" w:cs="仿宋_GB2312"/>
          <w:sz w:val="24"/>
        </w:rPr>
      </w:pPr>
      <w:r>
        <w:rPr>
          <w:rFonts w:hint="eastAsia" w:ascii="宋体" w:hAnsi="宋体" w:cs="仿宋_GB2312"/>
          <w:bCs/>
          <w:sz w:val="24"/>
        </w:rPr>
        <w:t>1.1.3.13 绿化养护：</w:t>
      </w:r>
      <w:r>
        <w:rPr>
          <w:rFonts w:hint="eastAsia" w:ascii="宋体" w:hAnsi="宋体" w:cs="仿宋_GB2312"/>
          <w:sz w:val="24"/>
        </w:rPr>
        <w:t>是指对绿地内植物采取的整形修剪、松土除草、灌溉与排水、施肥、有害生物防治、改植与补植、绿地防护（如防台风、防寒）等技术措施。</w:t>
      </w:r>
    </w:p>
    <w:p>
      <w:pPr>
        <w:spacing w:line="460" w:lineRule="exact"/>
        <w:ind w:firstLine="480" w:firstLineChars="200"/>
        <w:rPr>
          <w:rFonts w:ascii="宋体" w:hAnsi="宋体" w:cs="仿宋_GB2312"/>
          <w:sz w:val="24"/>
        </w:rPr>
      </w:pPr>
      <w:r>
        <w:rPr>
          <w:rFonts w:hint="eastAsia" w:ascii="宋体" w:hAnsi="宋体" w:cs="仿宋_GB2312"/>
          <w:kern w:val="0"/>
          <w:sz w:val="24"/>
        </w:rPr>
        <w:t xml:space="preserve">1.1.4 </w:t>
      </w:r>
      <w:r>
        <w:rPr>
          <w:rFonts w:hint="eastAsia" w:ascii="宋体" w:hAnsi="宋体" w:cs="仿宋_GB2312"/>
          <w:sz w:val="24"/>
        </w:rPr>
        <w:t>日期和期限</w:t>
      </w:r>
    </w:p>
    <w:p>
      <w:pPr>
        <w:spacing w:line="460" w:lineRule="exact"/>
        <w:ind w:firstLine="480" w:firstLineChars="200"/>
        <w:rPr>
          <w:rFonts w:ascii="宋体" w:hAnsi="宋体" w:cs="仿宋_GB2312"/>
          <w:bCs/>
          <w:kern w:val="0"/>
          <w:sz w:val="24"/>
        </w:rPr>
      </w:pPr>
      <w:r>
        <w:rPr>
          <w:rFonts w:hint="eastAsia" w:ascii="宋体" w:hAnsi="宋体" w:cs="仿宋_GB2312"/>
          <w:kern w:val="0"/>
          <w:sz w:val="24"/>
        </w:rPr>
        <w:t>1.1.4.8</w:t>
      </w:r>
      <w:r>
        <w:rPr>
          <w:rFonts w:hint="eastAsia" w:ascii="宋体" w:hAnsi="宋体" w:cs="仿宋_GB2312"/>
          <w:bCs/>
          <w:kern w:val="0"/>
          <w:sz w:val="24"/>
        </w:rPr>
        <w:t xml:space="preserve"> </w:t>
      </w:r>
      <w:r>
        <w:rPr>
          <w:rFonts w:hint="eastAsia" w:ascii="宋体" w:hAnsi="宋体" w:cs="仿宋_GB2312"/>
          <w:kern w:val="0"/>
          <w:sz w:val="24"/>
        </w:rPr>
        <w:t>绿化养护期：是指承包人按照合同约定进行绿化养护的期限，从工程竣工验收合格之日起计算。</w:t>
      </w:r>
      <w:r>
        <w:rPr>
          <w:rFonts w:hint="eastAsia" w:ascii="宋体" w:hAnsi="宋体" w:cs="仿宋_GB2312"/>
          <w:bCs/>
          <w:kern w:val="0"/>
          <w:sz w:val="24"/>
        </w:rPr>
        <w:t>绿化养护期最长不得超过24个月。</w:t>
      </w:r>
    </w:p>
    <w:p>
      <w:pPr>
        <w:spacing w:line="460" w:lineRule="exact"/>
        <w:ind w:firstLine="481" w:firstLineChars="200"/>
        <w:outlineLvl w:val="2"/>
        <w:rPr>
          <w:rFonts w:ascii="宋体" w:hAnsi="宋体"/>
          <w:b/>
          <w:sz w:val="24"/>
        </w:rPr>
      </w:pPr>
      <w:bookmarkStart w:id="289" w:name="_Toc857078921"/>
      <w:bookmarkStart w:id="290" w:name="_Toc28173"/>
      <w:bookmarkStart w:id="291" w:name="_Toc859792571"/>
      <w:r>
        <w:rPr>
          <w:rFonts w:ascii="宋体" w:hAnsi="宋体"/>
          <w:b/>
          <w:sz w:val="24"/>
        </w:rPr>
        <w:t>1.3</w:t>
      </w:r>
      <w:r>
        <w:rPr>
          <w:rFonts w:hint="eastAsia" w:ascii="宋体" w:hAnsi="宋体"/>
          <w:b/>
          <w:sz w:val="24"/>
        </w:rPr>
        <w:t xml:space="preserve"> </w:t>
      </w:r>
      <w:r>
        <w:rPr>
          <w:rFonts w:ascii="宋体" w:hAnsi="宋体"/>
          <w:b/>
          <w:sz w:val="24"/>
        </w:rPr>
        <w:t>法律</w:t>
      </w:r>
      <w:bookmarkEnd w:id="289"/>
      <w:bookmarkEnd w:id="290"/>
      <w:bookmarkEnd w:id="291"/>
      <w:r>
        <w:rPr>
          <w:rFonts w:ascii="宋体" w:hAnsi="宋体"/>
          <w:b/>
          <w:sz w:val="24"/>
        </w:rPr>
        <w:t xml:space="preserve"> </w:t>
      </w:r>
    </w:p>
    <w:p>
      <w:pPr>
        <w:autoSpaceDE w:val="0"/>
        <w:autoSpaceDN w:val="0"/>
        <w:adjustRightInd w:val="0"/>
        <w:spacing w:line="460" w:lineRule="exact"/>
        <w:ind w:left="596" w:leftChars="284"/>
        <w:jc w:val="left"/>
        <w:rPr>
          <w:rFonts w:ascii="宋体" w:hAnsi="宋体"/>
          <w:sz w:val="24"/>
          <w:u w:val="single"/>
        </w:rPr>
      </w:pPr>
      <w:r>
        <w:rPr>
          <w:rFonts w:ascii="宋体" w:hAnsi="宋体"/>
          <w:sz w:val="24"/>
        </w:rPr>
        <w:t>适用于合同的其他规范性文件：</w:t>
      </w:r>
      <w:r>
        <w:rPr>
          <w:rFonts w:hint="eastAsia" w:ascii="宋体" w:hAnsi="宋体"/>
          <w:sz w:val="24"/>
          <w:u w:val="single"/>
        </w:rPr>
        <w:t xml:space="preserve">                        </w:t>
      </w:r>
    </w:p>
    <w:p>
      <w:pPr>
        <w:autoSpaceDE w:val="0"/>
        <w:autoSpaceDN w:val="0"/>
        <w:adjustRightInd w:val="0"/>
        <w:spacing w:line="460" w:lineRule="exact"/>
        <w:jc w:val="left"/>
        <w:rPr>
          <w:rFonts w:ascii="宋体" w:hAnsi="宋体"/>
          <w:sz w:val="24"/>
          <w:u w:val="single"/>
        </w:rPr>
      </w:pP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autoSpaceDE w:val="0"/>
        <w:autoSpaceDN w:val="0"/>
        <w:adjustRightInd w:val="0"/>
        <w:spacing w:line="460" w:lineRule="exact"/>
        <w:jc w:val="left"/>
        <w:rPr>
          <w:rFonts w:ascii="宋体" w:hAnsi="宋体"/>
          <w:sz w:val="24"/>
        </w:rPr>
      </w:pPr>
      <w:r>
        <w:rPr>
          <w:rFonts w:hint="eastAsia" w:ascii="宋体" w:hAnsi="宋体"/>
          <w:sz w:val="24"/>
          <w:u w:val="single"/>
        </w:rPr>
        <w:t xml:space="preserve">                                                      </w:t>
      </w:r>
      <w:r>
        <w:rPr>
          <w:rFonts w:ascii="宋体" w:hAnsi="宋体"/>
          <w:sz w:val="24"/>
        </w:rPr>
        <w:t>。</w:t>
      </w:r>
    </w:p>
    <w:p>
      <w:pPr>
        <w:spacing w:line="460" w:lineRule="exact"/>
        <w:ind w:firstLine="481" w:firstLineChars="200"/>
        <w:outlineLvl w:val="2"/>
        <w:rPr>
          <w:rFonts w:ascii="宋体" w:hAnsi="宋体"/>
          <w:b/>
          <w:sz w:val="24"/>
        </w:rPr>
      </w:pPr>
      <w:bookmarkStart w:id="292" w:name="_Toc1984547573"/>
      <w:bookmarkStart w:id="293" w:name="_Toc20831"/>
      <w:bookmarkStart w:id="294" w:name="_Toc1028117936"/>
      <w:r>
        <w:rPr>
          <w:rFonts w:ascii="宋体" w:hAnsi="宋体"/>
          <w:b/>
          <w:sz w:val="24"/>
        </w:rPr>
        <w:t>1.4 标准和规范</w:t>
      </w:r>
      <w:bookmarkEnd w:id="292"/>
      <w:bookmarkEnd w:id="293"/>
      <w:bookmarkEnd w:id="294"/>
    </w:p>
    <w:p>
      <w:pPr>
        <w:spacing w:line="460" w:lineRule="exact"/>
        <w:ind w:left="596" w:leftChars="284"/>
        <w:rPr>
          <w:rFonts w:ascii="宋体" w:hAnsi="宋体" w:cs="仿宋_GB2312"/>
          <w:sz w:val="24"/>
        </w:rPr>
      </w:pPr>
      <w:r>
        <w:rPr>
          <w:rFonts w:hint="eastAsia" w:ascii="宋体" w:hAnsi="宋体" w:cs="仿宋_GB2312"/>
          <w:sz w:val="24"/>
        </w:rPr>
        <w:t>本款修改1.4.1、1.4.2。</w:t>
      </w:r>
    </w:p>
    <w:p>
      <w:pPr>
        <w:spacing w:line="460" w:lineRule="exact"/>
        <w:ind w:left="596" w:leftChars="284"/>
        <w:rPr>
          <w:rFonts w:ascii="宋体" w:hAnsi="宋体" w:cs="仿宋_GB2312"/>
          <w:sz w:val="24"/>
        </w:rPr>
      </w:pPr>
      <w:r>
        <w:rPr>
          <w:rFonts w:hint="eastAsia" w:ascii="宋体" w:hAnsi="宋体" w:cs="仿宋_GB2312"/>
          <w:sz w:val="24"/>
        </w:rPr>
        <w:t>1.4.1适用于工程的标准规范包括：</w:t>
      </w:r>
    </w:p>
    <w:p>
      <w:pPr>
        <w:widowControl/>
        <w:spacing w:line="460" w:lineRule="exact"/>
        <w:ind w:left="596" w:leftChars="284"/>
        <w:rPr>
          <w:rFonts w:ascii="宋体" w:hAnsi="宋体" w:cs="仿宋_GB2312"/>
          <w:sz w:val="24"/>
        </w:rPr>
      </w:pPr>
      <w:r>
        <w:rPr>
          <w:rFonts w:hint="eastAsia" w:ascii="宋体" w:hAnsi="宋体" w:cs="仿宋_GB2312"/>
          <w:sz w:val="24"/>
        </w:rPr>
        <w:t>园林绿化工程施工及验收规范（CJJ82）；</w:t>
      </w:r>
    </w:p>
    <w:p>
      <w:pPr>
        <w:spacing w:line="460" w:lineRule="exact"/>
        <w:ind w:left="596" w:leftChars="284"/>
        <w:rPr>
          <w:rFonts w:ascii="宋体" w:hAnsi="宋体" w:cs="仿宋_GB2312"/>
          <w:sz w:val="24"/>
        </w:rPr>
      </w:pPr>
      <w:r>
        <w:rPr>
          <w:rFonts w:hint="eastAsia" w:ascii="宋体" w:hAnsi="宋体" w:cs="仿宋_GB2312"/>
          <w:sz w:val="24"/>
        </w:rPr>
        <w:t>园林绿化养护标准（CJJ/T287）；</w:t>
      </w:r>
    </w:p>
    <w:p>
      <w:pPr>
        <w:spacing w:line="460" w:lineRule="exact"/>
        <w:ind w:left="596" w:leftChars="284"/>
        <w:rPr>
          <w:rFonts w:ascii="宋体" w:hAnsi="宋体" w:cs="仿宋_GB2312"/>
          <w:sz w:val="24"/>
        </w:rPr>
      </w:pPr>
      <w:r>
        <w:rPr>
          <w:rFonts w:hint="eastAsia" w:ascii="宋体" w:hAnsi="宋体" w:cs="仿宋_GB2312"/>
          <w:sz w:val="24"/>
        </w:rPr>
        <w:t>建设工程工程量清单计价规范（GB50500）；</w:t>
      </w:r>
    </w:p>
    <w:p>
      <w:pPr>
        <w:spacing w:line="460" w:lineRule="exact"/>
        <w:ind w:left="596" w:leftChars="284"/>
        <w:rPr>
          <w:rFonts w:ascii="宋体" w:hAnsi="宋体" w:cs="仿宋_GB2312"/>
          <w:sz w:val="24"/>
        </w:rPr>
      </w:pPr>
      <w:r>
        <w:rPr>
          <w:rFonts w:hint="eastAsia" w:ascii="宋体" w:hAnsi="宋体" w:cs="仿宋_GB2312"/>
          <w:sz w:val="24"/>
        </w:rPr>
        <w:t>园林绿化工程工程量计算规范（GB50858）；</w:t>
      </w:r>
    </w:p>
    <w:p>
      <w:pPr>
        <w:spacing w:line="460" w:lineRule="exact"/>
        <w:ind w:left="596" w:leftChars="284"/>
        <w:rPr>
          <w:rFonts w:ascii="宋体" w:hAnsi="宋体" w:cs="仿宋_GB2312"/>
          <w:sz w:val="24"/>
          <w:u w:val="single"/>
        </w:rPr>
      </w:pPr>
      <w:r>
        <w:rPr>
          <w:rFonts w:hint="eastAsia" w:ascii="宋体" w:hAnsi="宋体" w:cs="仿宋_GB2312"/>
          <w:sz w:val="24"/>
        </w:rPr>
        <w:t>与园林绿化行业相关的行业标准、地方标准：</w:t>
      </w:r>
      <w:r>
        <w:rPr>
          <w:rFonts w:hint="eastAsia" w:ascii="宋体" w:hAnsi="宋体" w:cs="仿宋_GB2312"/>
          <w:sz w:val="24"/>
          <w:u w:val="single"/>
        </w:rPr>
        <w:t xml:space="preserve">            </w:t>
      </w:r>
    </w:p>
    <w:p>
      <w:pPr>
        <w:spacing w:line="460" w:lineRule="exact"/>
        <w:rPr>
          <w:rFonts w:ascii="宋体" w:hAnsi="宋体" w:cs="仿宋_GB2312"/>
          <w:sz w:val="24"/>
        </w:rPr>
      </w:pPr>
      <w:r>
        <w:rPr>
          <w:rFonts w:hint="eastAsia" w:ascii="宋体" w:hAnsi="宋体" w:cs="仿宋_GB2312"/>
          <w:kern w:val="0"/>
          <w:sz w:val="24"/>
          <w:u w:val="single"/>
        </w:rPr>
        <w:t xml:space="preserve">                                                      </w:t>
      </w:r>
      <w:r>
        <w:rPr>
          <w:rFonts w:hint="eastAsia" w:ascii="宋体" w:hAnsi="宋体" w:cs="仿宋_GB2312"/>
          <w:kern w:val="0"/>
          <w:sz w:val="24"/>
        </w:rPr>
        <w:t>。</w:t>
      </w:r>
    </w:p>
    <w:p>
      <w:pPr>
        <w:spacing w:line="460" w:lineRule="exact"/>
        <w:ind w:left="596" w:leftChars="284"/>
        <w:rPr>
          <w:rFonts w:ascii="宋体" w:hAnsi="宋体" w:cs="仿宋_GB2312"/>
          <w:kern w:val="0"/>
          <w:sz w:val="24"/>
          <w:u w:val="single"/>
        </w:rPr>
      </w:pPr>
      <w:bookmarkStart w:id="295" w:name="_Toc29821"/>
      <w:bookmarkStart w:id="296" w:name="_Toc2729"/>
      <w:bookmarkStart w:id="297" w:name="_Toc1033"/>
      <w:r>
        <w:rPr>
          <w:rFonts w:hint="eastAsia" w:ascii="宋体" w:hAnsi="宋体" w:cs="仿宋_GB2312"/>
          <w:sz w:val="24"/>
        </w:rPr>
        <w:t>1.4.2 发包人提供国外标准、规范的名称：</w:t>
      </w:r>
      <w:bookmarkEnd w:id="295"/>
      <w:bookmarkEnd w:id="296"/>
      <w:bookmarkEnd w:id="297"/>
      <w:r>
        <w:rPr>
          <w:rFonts w:hint="eastAsia" w:ascii="宋体" w:hAnsi="宋体" w:cs="仿宋_GB2312"/>
          <w:sz w:val="24"/>
          <w:u w:val="single"/>
        </w:rPr>
        <w:t xml:space="preserve">           </w:t>
      </w:r>
      <w:r>
        <w:rPr>
          <w:rFonts w:hint="eastAsia" w:ascii="宋体" w:hAnsi="宋体" w:cs="仿宋_GB2312"/>
          <w:kern w:val="0"/>
          <w:sz w:val="24"/>
          <w:u w:val="single"/>
        </w:rPr>
        <w:t xml:space="preserve">   </w:t>
      </w:r>
    </w:p>
    <w:p>
      <w:pPr>
        <w:spacing w:line="460" w:lineRule="exact"/>
        <w:rPr>
          <w:rFonts w:ascii="宋体" w:hAnsi="宋体" w:cs="仿宋_GB2312"/>
          <w:kern w:val="0"/>
          <w:sz w:val="24"/>
        </w:rPr>
      </w:pPr>
      <w:r>
        <w:rPr>
          <w:rFonts w:hint="eastAsia" w:ascii="宋体" w:hAnsi="宋体" w:cs="仿宋_GB2312"/>
          <w:kern w:val="0"/>
          <w:sz w:val="24"/>
          <w:u w:val="single"/>
        </w:rPr>
        <w:t xml:space="preserve">                                                      </w:t>
      </w:r>
      <w:r>
        <w:rPr>
          <w:rFonts w:hint="eastAsia" w:ascii="宋体" w:hAnsi="宋体" w:cs="仿宋_GB2312"/>
          <w:kern w:val="0"/>
          <w:sz w:val="24"/>
        </w:rPr>
        <w:t>；</w:t>
      </w:r>
    </w:p>
    <w:p>
      <w:pPr>
        <w:spacing w:line="460" w:lineRule="exact"/>
        <w:ind w:firstLine="480" w:firstLineChars="200"/>
        <w:rPr>
          <w:rFonts w:ascii="宋体" w:hAnsi="宋体" w:cs="仿宋_GB2312"/>
          <w:kern w:val="0"/>
          <w:sz w:val="24"/>
        </w:rPr>
      </w:pPr>
      <w:r>
        <w:rPr>
          <w:rFonts w:hint="eastAsia" w:ascii="宋体" w:hAnsi="宋体" w:cs="仿宋_GB2312"/>
          <w:kern w:val="0"/>
          <w:sz w:val="24"/>
        </w:rPr>
        <w:t>发包人提供国外标准、规范的份数：</w:t>
      </w:r>
      <w:r>
        <w:rPr>
          <w:rFonts w:hint="eastAsia" w:ascii="宋体" w:hAnsi="宋体" w:cs="仿宋_GB2312"/>
          <w:kern w:val="0"/>
          <w:sz w:val="24"/>
          <w:u w:val="single"/>
        </w:rPr>
        <w:t xml:space="preserve">                   </w:t>
      </w:r>
      <w:r>
        <w:rPr>
          <w:rFonts w:hint="eastAsia" w:ascii="宋体" w:hAnsi="宋体" w:cs="仿宋_GB2312"/>
          <w:kern w:val="0"/>
          <w:sz w:val="24"/>
        </w:rPr>
        <w:t>。</w:t>
      </w:r>
    </w:p>
    <w:p>
      <w:pPr>
        <w:spacing w:line="460" w:lineRule="exact"/>
        <w:ind w:left="596" w:leftChars="284"/>
        <w:rPr>
          <w:rFonts w:ascii="宋体" w:hAnsi="宋体" w:cs="仿宋_GB2312"/>
          <w:sz w:val="24"/>
          <w:u w:val="single"/>
        </w:rPr>
      </w:pPr>
      <w:r>
        <w:rPr>
          <w:rFonts w:hint="eastAsia" w:ascii="宋体" w:hAnsi="宋体" w:cs="仿宋_GB2312"/>
          <w:sz w:val="24"/>
        </w:rPr>
        <w:t>1.4.3 发包人对工程的技术标准和功能要求的特殊要求：</w:t>
      </w:r>
      <w:r>
        <w:rPr>
          <w:rFonts w:hint="eastAsia" w:ascii="宋体" w:hAnsi="宋体" w:cs="仿宋_GB2312"/>
          <w:sz w:val="24"/>
          <w:u w:val="single"/>
        </w:rPr>
        <w:t xml:space="preserve">  </w:t>
      </w:r>
    </w:p>
    <w:p>
      <w:pPr>
        <w:spacing w:line="460" w:lineRule="exact"/>
        <w:rPr>
          <w:rFonts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1" w:firstLineChars="200"/>
        <w:outlineLvl w:val="2"/>
        <w:rPr>
          <w:rFonts w:ascii="宋体" w:hAnsi="宋体"/>
          <w:b/>
          <w:sz w:val="24"/>
        </w:rPr>
      </w:pPr>
      <w:bookmarkStart w:id="298" w:name="_Toc21978"/>
      <w:bookmarkStart w:id="299" w:name="_Toc498019564"/>
      <w:bookmarkStart w:id="300" w:name="_Toc659781100"/>
      <w:r>
        <w:rPr>
          <w:rFonts w:ascii="宋体" w:hAnsi="宋体"/>
          <w:b/>
          <w:sz w:val="24"/>
        </w:rPr>
        <w:t>1.5 合同文件的优先顺序</w:t>
      </w:r>
      <w:bookmarkEnd w:id="298"/>
      <w:bookmarkEnd w:id="299"/>
      <w:bookmarkEnd w:id="300"/>
    </w:p>
    <w:p>
      <w:pPr>
        <w:spacing w:line="460" w:lineRule="exact"/>
        <w:ind w:firstLine="480" w:firstLineChars="200"/>
        <w:rPr>
          <w:rFonts w:ascii="宋体" w:hAnsi="宋体"/>
          <w:sz w:val="24"/>
        </w:rPr>
      </w:pPr>
      <w:r>
        <w:rPr>
          <w:rFonts w:ascii="宋体" w:hAnsi="宋体"/>
          <w:sz w:val="24"/>
        </w:rPr>
        <w:t>合同文件组成及优先顺序为：</w:t>
      </w:r>
      <w:r>
        <w:rPr>
          <w:rFonts w:hint="eastAsia" w:ascii="宋体" w:hAnsi="宋体"/>
          <w:sz w:val="24"/>
          <w:u w:val="single"/>
        </w:rPr>
        <w:t xml:space="preserve">                         </w:t>
      </w:r>
      <w:r>
        <w:rPr>
          <w:rFonts w:ascii="宋体" w:hAnsi="宋体"/>
          <w:sz w:val="24"/>
        </w:rPr>
        <w:t>。</w:t>
      </w:r>
    </w:p>
    <w:p>
      <w:pPr>
        <w:spacing w:line="460" w:lineRule="exact"/>
        <w:ind w:firstLine="481" w:firstLineChars="200"/>
        <w:outlineLvl w:val="2"/>
        <w:rPr>
          <w:rFonts w:ascii="宋体" w:hAnsi="宋体"/>
          <w:b/>
          <w:sz w:val="24"/>
        </w:rPr>
      </w:pPr>
      <w:bookmarkStart w:id="301" w:name="_Toc1984271900"/>
      <w:bookmarkStart w:id="302" w:name="_Toc12618"/>
      <w:bookmarkStart w:id="303" w:name="_Toc1088158122"/>
      <w:r>
        <w:rPr>
          <w:rFonts w:ascii="宋体" w:hAnsi="宋体"/>
          <w:b/>
          <w:sz w:val="24"/>
        </w:rPr>
        <w:t>1.6 图纸和承包人文件</w:t>
      </w:r>
      <w:bookmarkEnd w:id="301"/>
      <w:bookmarkEnd w:id="302"/>
      <w:bookmarkEnd w:id="303"/>
      <w:r>
        <w:rPr>
          <w:rFonts w:ascii="宋体" w:hAnsi="宋体"/>
          <w:b/>
          <w:sz w:val="24"/>
        </w:rPr>
        <w:tab/>
      </w:r>
    </w:p>
    <w:p>
      <w:pPr>
        <w:spacing w:line="460" w:lineRule="exact"/>
        <w:ind w:firstLine="480" w:firstLineChars="200"/>
        <w:rPr>
          <w:rFonts w:ascii="宋体" w:hAnsi="宋体" w:cs="仿宋_GB2312"/>
          <w:sz w:val="24"/>
        </w:rPr>
      </w:pPr>
      <w:r>
        <w:rPr>
          <w:rFonts w:hint="eastAsia" w:ascii="宋体" w:hAnsi="宋体" w:cs="仿宋_GB2312"/>
          <w:sz w:val="24"/>
        </w:rPr>
        <w:t>1.6.1 图纸的提供</w:t>
      </w:r>
    </w:p>
    <w:p>
      <w:pPr>
        <w:spacing w:line="460" w:lineRule="exact"/>
        <w:ind w:firstLine="480" w:firstLineChars="200"/>
        <w:rPr>
          <w:rFonts w:ascii="宋体" w:hAnsi="宋体" w:cs="仿宋_GB2312"/>
          <w:sz w:val="24"/>
        </w:rPr>
      </w:pPr>
      <w:r>
        <w:rPr>
          <w:rFonts w:hint="eastAsia" w:ascii="宋体" w:hAnsi="宋体" w:cs="仿宋_GB2312"/>
          <w:sz w:val="24"/>
        </w:rPr>
        <w:t>发包人向承包人提供图纸的期限：</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rPr>
          <w:rFonts w:ascii="宋体" w:hAnsi="宋体" w:cs="仿宋_GB2312"/>
          <w:sz w:val="24"/>
        </w:rPr>
      </w:pPr>
      <w:r>
        <w:rPr>
          <w:rFonts w:hint="eastAsia" w:ascii="宋体" w:hAnsi="宋体" w:cs="仿宋_GB2312"/>
          <w:sz w:val="24"/>
        </w:rPr>
        <w:t>发包人向承包人提供图纸的数量：</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rPr>
          <w:rFonts w:ascii="宋体" w:hAnsi="宋体" w:cs="仿宋_GB2312"/>
          <w:sz w:val="24"/>
        </w:rPr>
      </w:pPr>
      <w:r>
        <w:rPr>
          <w:rFonts w:hint="eastAsia" w:ascii="宋体" w:hAnsi="宋体" w:cs="仿宋_GB2312"/>
          <w:sz w:val="24"/>
        </w:rPr>
        <w:t>发包人向承包人提供图纸的内容：</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rPr>
          <w:rFonts w:ascii="宋体" w:hAnsi="宋体" w:cs="仿宋_GB2312"/>
          <w:sz w:val="24"/>
        </w:rPr>
      </w:pPr>
      <w:r>
        <w:rPr>
          <w:rFonts w:hint="eastAsia" w:ascii="宋体" w:hAnsi="宋体" w:cs="仿宋_GB2312"/>
          <w:sz w:val="24"/>
        </w:rPr>
        <w:t>1.6.4 承包人文件</w:t>
      </w:r>
    </w:p>
    <w:p>
      <w:pPr>
        <w:spacing w:line="460" w:lineRule="exact"/>
        <w:ind w:left="596" w:leftChars="284"/>
        <w:jc w:val="left"/>
        <w:rPr>
          <w:rFonts w:ascii="宋体" w:hAnsi="宋体" w:cs="仿宋_GB2312"/>
          <w:sz w:val="24"/>
        </w:rPr>
      </w:pPr>
      <w:r>
        <w:rPr>
          <w:rFonts w:hint="eastAsia" w:ascii="宋体" w:hAnsi="宋体" w:cs="仿宋_GB2312"/>
          <w:sz w:val="24"/>
        </w:rPr>
        <w:t>需要由承包人提供的文件，包括：</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rPr>
          <w:rFonts w:ascii="宋体" w:hAnsi="宋体" w:cs="仿宋_GB2312"/>
          <w:sz w:val="24"/>
        </w:rPr>
      </w:pPr>
      <w:r>
        <w:rPr>
          <w:rFonts w:hint="eastAsia" w:ascii="宋体" w:hAnsi="宋体" w:cs="仿宋_GB2312"/>
          <w:sz w:val="24"/>
        </w:rPr>
        <w:t>承包人提供的文件的期限为：</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rPr>
          <w:rFonts w:ascii="宋体" w:hAnsi="宋体" w:cs="仿宋_GB2312"/>
          <w:sz w:val="24"/>
        </w:rPr>
      </w:pPr>
      <w:r>
        <w:rPr>
          <w:rFonts w:hint="eastAsia" w:ascii="宋体" w:hAnsi="宋体" w:cs="仿宋_GB2312"/>
          <w:sz w:val="24"/>
        </w:rPr>
        <w:t>承包人提供的文件的数量为：</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rPr>
          <w:rFonts w:ascii="宋体" w:hAnsi="宋体" w:cs="仿宋_GB2312"/>
          <w:sz w:val="24"/>
        </w:rPr>
      </w:pPr>
      <w:r>
        <w:rPr>
          <w:rFonts w:hint="eastAsia" w:ascii="宋体" w:hAnsi="宋体" w:cs="仿宋_GB2312"/>
          <w:sz w:val="24"/>
        </w:rPr>
        <w:t>承包人提供的文件的形式为：</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rPr>
          <w:rFonts w:ascii="宋体" w:hAnsi="宋体" w:cs="仿宋_GB2312"/>
          <w:sz w:val="24"/>
        </w:rPr>
      </w:pPr>
      <w:r>
        <w:rPr>
          <w:rFonts w:hint="eastAsia" w:ascii="宋体" w:hAnsi="宋体" w:cs="仿宋_GB2312"/>
          <w:sz w:val="24"/>
        </w:rPr>
        <w:t>发包人审批承包人文件的期限：</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rPr>
          <w:rFonts w:ascii="宋体" w:hAnsi="宋体" w:cs="仿宋_GB2312"/>
          <w:sz w:val="24"/>
        </w:rPr>
      </w:pPr>
      <w:r>
        <w:rPr>
          <w:rFonts w:hint="eastAsia" w:ascii="宋体" w:hAnsi="宋体" w:cs="仿宋_GB2312"/>
          <w:sz w:val="24"/>
        </w:rPr>
        <w:t>1.6.5 现场图纸准备</w:t>
      </w:r>
    </w:p>
    <w:p>
      <w:pPr>
        <w:spacing w:line="460" w:lineRule="exact"/>
        <w:ind w:firstLine="480" w:firstLineChars="200"/>
        <w:rPr>
          <w:rFonts w:ascii="宋体" w:hAnsi="宋体" w:cs="仿宋_GB2312"/>
          <w:sz w:val="24"/>
        </w:rPr>
      </w:pPr>
      <w:r>
        <w:rPr>
          <w:rFonts w:hint="eastAsia" w:ascii="宋体" w:hAnsi="宋体" w:cs="仿宋_GB2312"/>
          <w:sz w:val="24"/>
        </w:rPr>
        <w:t>关于现场图纸准备的约定：</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1" w:firstLineChars="200"/>
        <w:outlineLvl w:val="2"/>
        <w:rPr>
          <w:rFonts w:ascii="宋体" w:hAnsi="宋体"/>
          <w:b/>
          <w:sz w:val="24"/>
        </w:rPr>
      </w:pPr>
      <w:bookmarkStart w:id="304" w:name="_Toc18371"/>
      <w:bookmarkStart w:id="305" w:name="_Toc280711937"/>
      <w:bookmarkStart w:id="306" w:name="_Toc13200089"/>
      <w:r>
        <w:rPr>
          <w:rFonts w:ascii="宋体" w:hAnsi="宋体"/>
          <w:b/>
          <w:sz w:val="24"/>
        </w:rPr>
        <w:t>1.7 联络</w:t>
      </w:r>
      <w:bookmarkEnd w:id="304"/>
      <w:bookmarkEnd w:id="305"/>
      <w:bookmarkEnd w:id="306"/>
    </w:p>
    <w:p>
      <w:pPr>
        <w:spacing w:line="460" w:lineRule="exact"/>
        <w:ind w:firstLine="480" w:firstLineChars="200"/>
        <w:rPr>
          <w:rFonts w:ascii="宋体" w:hAnsi="宋体" w:cs="仿宋_GB2312"/>
          <w:kern w:val="0"/>
          <w:sz w:val="24"/>
        </w:rPr>
      </w:pPr>
      <w:r>
        <w:rPr>
          <w:rFonts w:hint="eastAsia" w:ascii="宋体" w:hAnsi="宋体" w:cs="仿宋_GB2312"/>
          <w:kern w:val="0"/>
          <w:sz w:val="24"/>
        </w:rPr>
        <w:t>1.7.1 发包人和承包人应当在</w:t>
      </w:r>
      <w:r>
        <w:rPr>
          <w:rFonts w:hint="eastAsia" w:ascii="宋体" w:hAnsi="宋体" w:cs="仿宋_GB2312"/>
          <w:sz w:val="24"/>
          <w:u w:val="single"/>
        </w:rPr>
        <w:t xml:space="preserve">    </w:t>
      </w:r>
      <w:r>
        <w:rPr>
          <w:rFonts w:hint="eastAsia" w:ascii="宋体" w:hAnsi="宋体" w:cs="仿宋_GB2312"/>
          <w:kern w:val="0"/>
          <w:sz w:val="24"/>
        </w:rPr>
        <w:t>天内将与合同有关的通知、批准、证明、证书、指示、指令、要求、请求、同意、意见、确定和决定等书面函件送达对方当事人。</w:t>
      </w:r>
    </w:p>
    <w:p>
      <w:pPr>
        <w:spacing w:line="460" w:lineRule="exact"/>
        <w:ind w:firstLine="480" w:firstLineChars="200"/>
        <w:rPr>
          <w:rFonts w:ascii="宋体" w:hAnsi="宋体" w:cs="仿宋_GB2312"/>
          <w:kern w:val="0"/>
          <w:sz w:val="24"/>
        </w:rPr>
      </w:pPr>
      <w:r>
        <w:rPr>
          <w:rFonts w:hint="eastAsia" w:ascii="宋体" w:hAnsi="宋体" w:cs="仿宋_GB2312"/>
          <w:kern w:val="0"/>
          <w:sz w:val="24"/>
        </w:rPr>
        <w:t>1.7.2 发包人接收文件的地点：</w:t>
      </w:r>
      <w:r>
        <w:rPr>
          <w:rFonts w:hint="eastAsia" w:ascii="宋体" w:hAnsi="宋体" w:cs="仿宋_GB2312"/>
          <w:sz w:val="24"/>
          <w:u w:val="single"/>
        </w:rPr>
        <w:t xml:space="preserve">                       </w:t>
      </w:r>
      <w:r>
        <w:rPr>
          <w:rFonts w:hint="eastAsia" w:ascii="宋体" w:hAnsi="宋体" w:cs="仿宋_GB2312"/>
          <w:kern w:val="0"/>
          <w:sz w:val="24"/>
        </w:rPr>
        <w:t>；</w:t>
      </w:r>
    </w:p>
    <w:p>
      <w:pPr>
        <w:spacing w:line="460" w:lineRule="exact"/>
        <w:ind w:firstLine="480" w:firstLineChars="200"/>
        <w:rPr>
          <w:rFonts w:ascii="宋体" w:hAnsi="宋体" w:cs="仿宋_GB2312"/>
          <w:kern w:val="0"/>
          <w:sz w:val="24"/>
        </w:rPr>
      </w:pPr>
      <w:r>
        <w:rPr>
          <w:rFonts w:hint="eastAsia" w:ascii="宋体" w:hAnsi="宋体" w:cs="仿宋_GB2312"/>
          <w:kern w:val="0"/>
          <w:sz w:val="24"/>
        </w:rPr>
        <w:t>发包人指定的接收人为：</w:t>
      </w:r>
      <w:r>
        <w:rPr>
          <w:rFonts w:hint="eastAsia" w:ascii="宋体" w:hAnsi="宋体" w:cs="仿宋_GB2312"/>
          <w:sz w:val="24"/>
          <w:u w:val="single"/>
        </w:rPr>
        <w:t xml:space="preserve">                             </w:t>
      </w:r>
      <w:r>
        <w:rPr>
          <w:rFonts w:hint="eastAsia" w:ascii="宋体" w:hAnsi="宋体" w:cs="仿宋_GB2312"/>
          <w:kern w:val="0"/>
          <w:sz w:val="24"/>
        </w:rPr>
        <w:t>。</w:t>
      </w:r>
    </w:p>
    <w:p>
      <w:pPr>
        <w:spacing w:line="460" w:lineRule="exact"/>
        <w:ind w:firstLine="480" w:firstLineChars="200"/>
        <w:rPr>
          <w:rFonts w:ascii="宋体" w:hAnsi="宋体" w:cs="仿宋_GB2312"/>
          <w:kern w:val="0"/>
          <w:sz w:val="24"/>
        </w:rPr>
      </w:pPr>
      <w:r>
        <w:rPr>
          <w:rFonts w:hint="eastAsia" w:ascii="宋体" w:hAnsi="宋体" w:cs="仿宋_GB2312"/>
          <w:kern w:val="0"/>
          <w:sz w:val="24"/>
        </w:rPr>
        <w:t>承包人接收文件的地点：</w:t>
      </w:r>
      <w:r>
        <w:rPr>
          <w:rFonts w:hint="eastAsia" w:ascii="宋体" w:hAnsi="宋体" w:cs="仿宋_GB2312"/>
          <w:sz w:val="24"/>
          <w:u w:val="single"/>
        </w:rPr>
        <w:t xml:space="preserve">                             </w:t>
      </w:r>
      <w:r>
        <w:rPr>
          <w:rFonts w:hint="eastAsia" w:ascii="宋体" w:hAnsi="宋体" w:cs="仿宋_GB2312"/>
          <w:kern w:val="0"/>
          <w:sz w:val="24"/>
        </w:rPr>
        <w:t>；</w:t>
      </w:r>
    </w:p>
    <w:p>
      <w:pPr>
        <w:spacing w:line="460" w:lineRule="exact"/>
        <w:ind w:firstLine="480" w:firstLineChars="200"/>
        <w:rPr>
          <w:rFonts w:ascii="宋体" w:hAnsi="宋体" w:cs="仿宋_GB2312"/>
          <w:kern w:val="0"/>
          <w:sz w:val="24"/>
        </w:rPr>
      </w:pPr>
      <w:r>
        <w:rPr>
          <w:rFonts w:hint="eastAsia" w:ascii="宋体" w:hAnsi="宋体" w:cs="仿宋_GB2312"/>
          <w:kern w:val="0"/>
          <w:sz w:val="24"/>
        </w:rPr>
        <w:t>承包人指定的接收人为：</w:t>
      </w:r>
      <w:r>
        <w:rPr>
          <w:rFonts w:hint="eastAsia" w:ascii="宋体" w:hAnsi="宋体" w:cs="仿宋_GB2312"/>
          <w:sz w:val="24"/>
          <w:u w:val="single"/>
        </w:rPr>
        <w:t xml:space="preserve">                             </w:t>
      </w:r>
      <w:r>
        <w:rPr>
          <w:rFonts w:hint="eastAsia" w:ascii="宋体" w:hAnsi="宋体" w:cs="仿宋_GB2312"/>
          <w:kern w:val="0"/>
          <w:sz w:val="24"/>
        </w:rPr>
        <w:t>。</w:t>
      </w:r>
    </w:p>
    <w:p>
      <w:pPr>
        <w:spacing w:line="460" w:lineRule="exact"/>
        <w:ind w:firstLine="480" w:firstLineChars="200"/>
        <w:rPr>
          <w:rFonts w:ascii="宋体" w:hAnsi="宋体" w:cs="仿宋_GB2312"/>
          <w:kern w:val="0"/>
          <w:sz w:val="24"/>
        </w:rPr>
      </w:pPr>
      <w:r>
        <w:rPr>
          <w:rFonts w:hint="eastAsia" w:ascii="宋体" w:hAnsi="宋体" w:cs="仿宋_GB2312"/>
          <w:kern w:val="0"/>
          <w:sz w:val="24"/>
        </w:rPr>
        <w:t>监理人接收文件的地点：</w:t>
      </w:r>
      <w:r>
        <w:rPr>
          <w:rFonts w:hint="eastAsia" w:ascii="宋体" w:hAnsi="宋体" w:cs="仿宋_GB2312"/>
          <w:sz w:val="24"/>
          <w:u w:val="single"/>
        </w:rPr>
        <w:t xml:space="preserve">                             </w:t>
      </w:r>
      <w:r>
        <w:rPr>
          <w:rFonts w:hint="eastAsia" w:ascii="宋体" w:hAnsi="宋体" w:cs="仿宋_GB2312"/>
          <w:kern w:val="0"/>
          <w:sz w:val="24"/>
        </w:rPr>
        <w:t>；</w:t>
      </w:r>
    </w:p>
    <w:p>
      <w:pPr>
        <w:spacing w:line="460" w:lineRule="exact"/>
        <w:ind w:firstLine="480" w:firstLineChars="200"/>
        <w:rPr>
          <w:rFonts w:ascii="宋体" w:hAnsi="宋体"/>
          <w:kern w:val="0"/>
          <w:sz w:val="24"/>
        </w:rPr>
      </w:pPr>
      <w:r>
        <w:rPr>
          <w:rFonts w:hint="eastAsia" w:ascii="宋体" w:hAnsi="宋体" w:cs="仿宋_GB2312"/>
          <w:kern w:val="0"/>
          <w:sz w:val="24"/>
        </w:rPr>
        <w:t>监理人指定的接收人为：</w:t>
      </w:r>
      <w:r>
        <w:rPr>
          <w:rFonts w:hint="eastAsia" w:ascii="宋体" w:hAnsi="宋体" w:cs="仿宋_GB2312"/>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kern w:val="0"/>
          <w:sz w:val="24"/>
        </w:rPr>
        <w:t>。</w:t>
      </w:r>
    </w:p>
    <w:p>
      <w:pPr>
        <w:spacing w:line="460" w:lineRule="exact"/>
        <w:ind w:firstLine="481" w:firstLineChars="200"/>
        <w:outlineLvl w:val="2"/>
        <w:rPr>
          <w:rFonts w:ascii="宋体" w:hAnsi="宋体"/>
          <w:b/>
          <w:sz w:val="24"/>
        </w:rPr>
      </w:pPr>
      <w:bookmarkStart w:id="307" w:name="_Toc1289155066"/>
      <w:bookmarkStart w:id="308" w:name="_Toc1023515055"/>
      <w:bookmarkStart w:id="309" w:name="_Toc8108"/>
      <w:r>
        <w:rPr>
          <w:rFonts w:ascii="宋体" w:hAnsi="宋体"/>
          <w:b/>
          <w:sz w:val="24"/>
        </w:rPr>
        <w:t>1.10 交通运输</w:t>
      </w:r>
      <w:bookmarkEnd w:id="307"/>
      <w:bookmarkEnd w:id="308"/>
      <w:bookmarkEnd w:id="309"/>
    </w:p>
    <w:p>
      <w:pPr>
        <w:spacing w:line="460" w:lineRule="exact"/>
        <w:ind w:firstLine="480" w:firstLineChars="200"/>
        <w:rPr>
          <w:rFonts w:ascii="宋体" w:hAnsi="宋体" w:cs="仿宋_GB2312"/>
          <w:sz w:val="24"/>
        </w:rPr>
      </w:pPr>
      <w:bookmarkStart w:id="310" w:name="_Toc9787"/>
      <w:bookmarkStart w:id="311" w:name="_Toc8013"/>
      <w:bookmarkStart w:id="312" w:name="_Toc17087"/>
      <w:r>
        <w:rPr>
          <w:rFonts w:hint="eastAsia" w:ascii="宋体" w:hAnsi="宋体" w:cs="仿宋_GB2312"/>
          <w:sz w:val="24"/>
        </w:rPr>
        <w:t>1</w:t>
      </w:r>
      <w:bookmarkStart w:id="313" w:name="_Toc303539100"/>
      <w:bookmarkStart w:id="314" w:name="_Toc312677986"/>
      <w:bookmarkStart w:id="315" w:name="_Toc318581155"/>
      <w:bookmarkStart w:id="316" w:name="_Toc300934943"/>
      <w:bookmarkStart w:id="317" w:name="_Toc304295521"/>
      <w:r>
        <w:rPr>
          <w:rFonts w:hint="eastAsia" w:ascii="宋体" w:hAnsi="宋体" w:cs="仿宋_GB2312"/>
          <w:sz w:val="24"/>
        </w:rPr>
        <w:t>.10.1 出入现场的权利</w:t>
      </w:r>
      <w:bookmarkEnd w:id="310"/>
      <w:bookmarkEnd w:id="311"/>
      <w:bookmarkEnd w:id="312"/>
    </w:p>
    <w:p>
      <w:pPr>
        <w:spacing w:line="460" w:lineRule="exact"/>
        <w:ind w:left="596" w:leftChars="284"/>
        <w:rPr>
          <w:rFonts w:ascii="宋体" w:hAnsi="宋体" w:cs="仿宋_GB2312"/>
          <w:sz w:val="24"/>
        </w:rPr>
      </w:pPr>
      <w:r>
        <w:rPr>
          <w:rFonts w:hint="eastAsia" w:ascii="宋体" w:hAnsi="宋体" w:cs="仿宋_GB2312"/>
          <w:sz w:val="24"/>
        </w:rPr>
        <w:t>关于出入现场的权利的约定：</w:t>
      </w:r>
      <w:r>
        <w:rPr>
          <w:rFonts w:hint="eastAsia" w:ascii="宋体" w:hAnsi="宋体" w:cs="仿宋_GB2312"/>
          <w:sz w:val="24"/>
          <w:u w:val="single"/>
        </w:rPr>
        <w:t xml:space="preserve">                         </w:t>
      </w:r>
      <w:r>
        <w:rPr>
          <w:rFonts w:hint="eastAsia" w:ascii="宋体" w:hAnsi="宋体" w:cs="仿宋_GB2312"/>
          <w:sz w:val="24"/>
        </w:rPr>
        <w:t>。</w:t>
      </w:r>
    </w:p>
    <w:bookmarkEnd w:id="313"/>
    <w:bookmarkEnd w:id="314"/>
    <w:bookmarkEnd w:id="315"/>
    <w:bookmarkEnd w:id="316"/>
    <w:bookmarkEnd w:id="317"/>
    <w:p>
      <w:pPr>
        <w:spacing w:line="460" w:lineRule="exact"/>
        <w:ind w:firstLine="480" w:firstLineChars="200"/>
        <w:jc w:val="left"/>
        <w:rPr>
          <w:rFonts w:ascii="宋体" w:hAnsi="宋体" w:cs="仿宋_GB2312"/>
          <w:sz w:val="24"/>
        </w:rPr>
      </w:pPr>
      <w:bookmarkStart w:id="318" w:name="_Toc30188"/>
      <w:bookmarkStart w:id="319" w:name="_Toc4066"/>
      <w:bookmarkStart w:id="320" w:name="_Toc3062"/>
      <w:r>
        <w:rPr>
          <w:rFonts w:hint="eastAsia" w:ascii="宋体" w:hAnsi="宋体" w:cs="仿宋_GB2312"/>
          <w:sz w:val="24"/>
        </w:rPr>
        <w:t>1</w:t>
      </w:r>
      <w:bookmarkStart w:id="321" w:name="_Toc318581156"/>
      <w:bookmarkStart w:id="322" w:name="_Toc304295522"/>
      <w:bookmarkStart w:id="323" w:name="_Toc312677987"/>
      <w:bookmarkStart w:id="324" w:name="_Toc303539101"/>
      <w:bookmarkStart w:id="325" w:name="_Toc300934944"/>
      <w:r>
        <w:rPr>
          <w:rFonts w:hint="eastAsia" w:ascii="宋体" w:hAnsi="宋体" w:cs="仿宋_GB2312"/>
          <w:sz w:val="24"/>
        </w:rPr>
        <w:t>.10.3 场内交通</w:t>
      </w:r>
      <w:bookmarkEnd w:id="318"/>
      <w:bookmarkEnd w:id="319"/>
      <w:bookmarkEnd w:id="320"/>
    </w:p>
    <w:p>
      <w:pPr>
        <w:spacing w:line="460" w:lineRule="exact"/>
        <w:ind w:firstLine="480" w:firstLineChars="200"/>
        <w:jc w:val="left"/>
        <w:rPr>
          <w:rFonts w:ascii="宋体" w:hAnsi="宋体" w:cs="仿宋_GB2312"/>
          <w:kern w:val="0"/>
          <w:sz w:val="24"/>
        </w:rPr>
      </w:pPr>
      <w:r>
        <w:rPr>
          <w:rFonts w:hint="eastAsia" w:ascii="宋体" w:hAnsi="宋体" w:cs="仿宋_GB2312"/>
          <w:kern w:val="0"/>
          <w:sz w:val="24"/>
        </w:rPr>
        <w:t>关于场外交通和场内交通的边界的约定：</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rPr>
          <w:rFonts w:ascii="宋体" w:hAnsi="宋体" w:cs="仿宋_GB2312"/>
          <w:sz w:val="24"/>
        </w:rPr>
      </w:pPr>
      <w:r>
        <w:rPr>
          <w:rFonts w:hint="eastAsia" w:ascii="宋体" w:hAnsi="宋体" w:cs="仿宋_GB2312"/>
          <w:sz w:val="24"/>
        </w:rPr>
        <w:t>关于发包人向承包人免费提供满足工程施工需要的场内道路和交通设施的约定：</w:t>
      </w:r>
      <w:r>
        <w:rPr>
          <w:rFonts w:hint="eastAsia" w:ascii="宋体" w:hAnsi="宋体" w:cs="仿宋_GB2312"/>
          <w:sz w:val="24"/>
          <w:u w:val="single"/>
        </w:rPr>
        <w:t xml:space="preserve">                                   </w:t>
      </w:r>
      <w:r>
        <w:rPr>
          <w:rFonts w:hint="eastAsia" w:ascii="宋体" w:hAnsi="宋体" w:cs="仿宋_GB2312"/>
          <w:sz w:val="24"/>
        </w:rPr>
        <w:t>。</w:t>
      </w:r>
      <w:bookmarkEnd w:id="321"/>
      <w:bookmarkEnd w:id="322"/>
      <w:bookmarkEnd w:id="323"/>
      <w:bookmarkEnd w:id="324"/>
      <w:bookmarkEnd w:id="325"/>
      <w:r>
        <w:rPr>
          <w:rFonts w:hint="eastAsia" w:ascii="宋体" w:hAnsi="宋体" w:cs="仿宋_GB2312"/>
          <w:sz w:val="24"/>
        </w:rPr>
        <w:t xml:space="preserve">  </w:t>
      </w:r>
      <w:bookmarkStart w:id="326" w:name="_Toc318581157"/>
    </w:p>
    <w:p>
      <w:pPr>
        <w:spacing w:line="460" w:lineRule="exact"/>
        <w:ind w:firstLine="480" w:firstLineChars="200"/>
        <w:jc w:val="left"/>
        <w:rPr>
          <w:rFonts w:ascii="宋体" w:hAnsi="宋体" w:cs="仿宋_GB2312"/>
          <w:sz w:val="24"/>
        </w:rPr>
      </w:pPr>
      <w:r>
        <w:rPr>
          <w:rFonts w:hint="eastAsia" w:ascii="宋体" w:hAnsi="宋体" w:cs="仿宋_GB2312"/>
          <w:sz w:val="24"/>
        </w:rPr>
        <w:t>1.10.4 超大件和超重件的运输</w:t>
      </w:r>
    </w:p>
    <w:p>
      <w:pPr>
        <w:spacing w:line="460" w:lineRule="exact"/>
        <w:ind w:firstLine="480" w:firstLineChars="200"/>
        <w:rPr>
          <w:rFonts w:ascii="宋体" w:hAnsi="宋体" w:cs="仿宋_GB2312"/>
          <w:sz w:val="24"/>
        </w:rPr>
      </w:pPr>
      <w:r>
        <w:rPr>
          <w:rFonts w:hint="eastAsia" w:ascii="宋体" w:hAnsi="宋体" w:cs="仿宋_GB2312"/>
          <w:sz w:val="24"/>
        </w:rPr>
        <w:t>运输超大件或超重件所需的道路和桥梁临时加固改造费用和其他有关费用由</w:t>
      </w:r>
      <w:r>
        <w:rPr>
          <w:rFonts w:hint="eastAsia" w:ascii="宋体" w:hAnsi="宋体" w:cs="仿宋_GB2312"/>
          <w:sz w:val="24"/>
          <w:u w:val="single"/>
        </w:rPr>
        <w:t xml:space="preserve">         </w:t>
      </w:r>
      <w:r>
        <w:rPr>
          <w:rFonts w:hint="eastAsia" w:ascii="宋体" w:hAnsi="宋体" w:cs="仿宋_GB2312"/>
          <w:sz w:val="24"/>
        </w:rPr>
        <w:t>承担。</w:t>
      </w:r>
    </w:p>
    <w:bookmarkEnd w:id="326"/>
    <w:p>
      <w:pPr>
        <w:spacing w:line="460" w:lineRule="exact"/>
        <w:ind w:firstLine="481" w:firstLineChars="200"/>
        <w:outlineLvl w:val="2"/>
        <w:rPr>
          <w:rFonts w:ascii="宋体" w:hAnsi="宋体"/>
          <w:b/>
          <w:sz w:val="24"/>
        </w:rPr>
      </w:pPr>
      <w:bookmarkStart w:id="327" w:name="_Toc869890155"/>
      <w:bookmarkStart w:id="328" w:name="_Toc17638"/>
      <w:bookmarkStart w:id="329" w:name="_Toc1760605217"/>
      <w:r>
        <w:rPr>
          <w:rFonts w:ascii="宋体" w:hAnsi="宋体"/>
          <w:b/>
          <w:sz w:val="24"/>
        </w:rPr>
        <w:t>1.11 知识产权</w:t>
      </w:r>
      <w:bookmarkEnd w:id="327"/>
      <w:bookmarkEnd w:id="328"/>
      <w:bookmarkEnd w:id="329"/>
    </w:p>
    <w:p>
      <w:pPr>
        <w:spacing w:line="460" w:lineRule="exact"/>
        <w:ind w:firstLine="480" w:firstLineChars="200"/>
        <w:rPr>
          <w:rFonts w:ascii="宋体" w:hAnsi="宋体" w:cs="仿宋_GB2312"/>
          <w:sz w:val="24"/>
        </w:rPr>
      </w:pPr>
      <w:r>
        <w:rPr>
          <w:rFonts w:hint="eastAsia" w:ascii="宋体" w:hAnsi="宋体" w:cs="仿宋_GB2312"/>
          <w:sz w:val="24"/>
        </w:rPr>
        <w:t>1.11.1 关于发包人提供给承包人的图纸、发包人为实施工程自行编制或委托编制的技术规范以及反映发包人关于合同要求或其他类似性质的文件的著作权的归属：</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left="596" w:leftChars="284"/>
        <w:rPr>
          <w:rFonts w:ascii="宋体" w:hAnsi="宋体" w:cs="仿宋_GB2312"/>
          <w:sz w:val="24"/>
        </w:rPr>
      </w:pPr>
      <w:r>
        <w:rPr>
          <w:rFonts w:hint="eastAsia" w:ascii="宋体" w:hAnsi="宋体" w:cs="仿宋_GB2312"/>
          <w:sz w:val="24"/>
        </w:rPr>
        <w:t>关于发包人提供的上述文件的使用限制的要求：</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left="141" w:leftChars="67" w:firstLine="362" w:firstLineChars="151"/>
        <w:rPr>
          <w:rFonts w:ascii="宋体" w:hAnsi="宋体" w:cs="仿宋_GB2312"/>
          <w:sz w:val="24"/>
        </w:rPr>
      </w:pPr>
      <w:r>
        <w:rPr>
          <w:rFonts w:hint="eastAsia" w:ascii="宋体" w:hAnsi="宋体" w:cs="仿宋_GB2312"/>
          <w:sz w:val="24"/>
        </w:rPr>
        <w:t>1.11.2 关于承包人为实施工程所编制文件的著作权的归属：</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rPr>
          <w:rFonts w:ascii="宋体" w:hAnsi="宋体" w:cs="仿宋_GB2312"/>
          <w:sz w:val="24"/>
          <w:u w:val="single"/>
        </w:rPr>
      </w:pPr>
      <w:r>
        <w:rPr>
          <w:rFonts w:hint="eastAsia" w:ascii="宋体" w:hAnsi="宋体" w:cs="仿宋_GB2312"/>
          <w:sz w:val="24"/>
        </w:rPr>
        <w:t>关于承包人提供的上述文件的使用限制的要求：</w:t>
      </w:r>
      <w:r>
        <w:rPr>
          <w:rFonts w:hint="eastAsia" w:ascii="宋体" w:hAnsi="宋体" w:cs="仿宋_GB2312"/>
          <w:sz w:val="24"/>
          <w:u w:val="single"/>
        </w:rPr>
        <w:t xml:space="preserve">             </w:t>
      </w:r>
    </w:p>
    <w:p>
      <w:pPr>
        <w:spacing w:line="460" w:lineRule="exact"/>
        <w:rPr>
          <w:rFonts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rPr>
          <w:rFonts w:ascii="宋体" w:hAnsi="宋体" w:cs="仿宋_GB2312"/>
          <w:kern w:val="0"/>
          <w:sz w:val="24"/>
        </w:rPr>
      </w:pPr>
      <w:bookmarkStart w:id="330" w:name="_Toc13562"/>
      <w:bookmarkStart w:id="331" w:name="_Toc4666"/>
      <w:bookmarkStart w:id="332" w:name="_Toc22809"/>
      <w:r>
        <w:rPr>
          <w:rFonts w:hint="eastAsia" w:ascii="宋体" w:hAnsi="宋体" w:cs="仿宋_GB2312"/>
          <w:sz w:val="24"/>
        </w:rPr>
        <w:t>1.11.4 承包人在施工过程中所采用的专利、专有技术、技术秘密的使用费的承担方式：</w:t>
      </w:r>
      <w:r>
        <w:rPr>
          <w:rFonts w:hint="eastAsia" w:ascii="宋体" w:hAnsi="宋体" w:cs="仿宋_GB2312"/>
          <w:sz w:val="24"/>
          <w:u w:val="single"/>
        </w:rPr>
        <w:t xml:space="preserve">                             </w:t>
      </w:r>
      <w:r>
        <w:rPr>
          <w:rFonts w:hint="eastAsia" w:ascii="宋体" w:hAnsi="宋体" w:cs="仿宋_GB2312"/>
          <w:kern w:val="0"/>
          <w:sz w:val="24"/>
        </w:rPr>
        <w:t>。</w:t>
      </w:r>
      <w:bookmarkEnd w:id="330"/>
      <w:bookmarkEnd w:id="331"/>
      <w:bookmarkEnd w:id="332"/>
      <w:bookmarkStart w:id="333" w:name="_Toc4484"/>
    </w:p>
    <w:p>
      <w:pPr>
        <w:spacing w:line="460" w:lineRule="exact"/>
        <w:ind w:firstLine="480" w:firstLineChars="200"/>
        <w:rPr>
          <w:rFonts w:ascii="宋体" w:hAnsi="宋体"/>
          <w:sz w:val="24"/>
        </w:rPr>
      </w:pPr>
      <w:r>
        <w:rPr>
          <w:rFonts w:ascii="宋体" w:hAnsi="宋体"/>
          <w:sz w:val="24"/>
        </w:rPr>
        <w:t>1.13</w:t>
      </w:r>
      <w:r>
        <w:rPr>
          <w:rFonts w:hint="eastAsia" w:ascii="宋体" w:hAnsi="宋体"/>
          <w:sz w:val="24"/>
        </w:rPr>
        <w:t xml:space="preserve"> </w:t>
      </w:r>
      <w:r>
        <w:rPr>
          <w:rFonts w:ascii="宋体" w:hAnsi="宋体"/>
          <w:sz w:val="24"/>
        </w:rPr>
        <w:t>工程量清单错误的修正</w:t>
      </w:r>
      <w:bookmarkEnd w:id="333"/>
    </w:p>
    <w:p>
      <w:pPr>
        <w:spacing w:line="460" w:lineRule="exact"/>
        <w:ind w:firstLine="480" w:firstLineChars="200"/>
        <w:rPr>
          <w:rFonts w:ascii="宋体" w:hAnsi="宋体"/>
          <w:sz w:val="24"/>
        </w:rPr>
      </w:pPr>
      <w:r>
        <w:rPr>
          <w:rFonts w:hint="eastAsia" w:ascii="宋体" w:hAnsi="宋体"/>
          <w:sz w:val="24"/>
        </w:rPr>
        <w:t>本款修改为：</w:t>
      </w:r>
    </w:p>
    <w:p>
      <w:pPr>
        <w:spacing w:line="460" w:lineRule="exact"/>
        <w:ind w:firstLine="480" w:firstLineChars="200"/>
        <w:rPr>
          <w:rFonts w:ascii="宋体" w:hAnsi="宋体" w:cs="仿宋"/>
          <w:kern w:val="0"/>
          <w:sz w:val="24"/>
        </w:rPr>
      </w:pPr>
      <w:r>
        <w:rPr>
          <w:rFonts w:hint="eastAsia" w:ascii="宋体" w:hAnsi="宋体" w:cs="仿宋"/>
          <w:sz w:val="24"/>
        </w:rPr>
        <w:t>承包人应在合同签订后对发包人提供的工程量清单、</w:t>
      </w:r>
      <w:r>
        <w:rPr>
          <w:rFonts w:ascii="宋体" w:hAnsi="宋体" w:cs="仿宋"/>
          <w:sz w:val="24"/>
        </w:rPr>
        <w:t>图纸</w:t>
      </w:r>
      <w:r>
        <w:rPr>
          <w:rFonts w:hint="eastAsia" w:ascii="宋体" w:hAnsi="宋体" w:cs="仿宋"/>
          <w:sz w:val="24"/>
        </w:rPr>
        <w:t>和现场进行核查和踏察，如发现</w:t>
      </w:r>
      <w:r>
        <w:rPr>
          <w:rFonts w:ascii="宋体" w:hAnsi="宋体" w:cs="仿宋"/>
          <w:sz w:val="24"/>
        </w:rPr>
        <w:t>差异</w:t>
      </w:r>
      <w:r>
        <w:rPr>
          <w:rFonts w:hint="eastAsia" w:ascii="宋体" w:hAnsi="宋体" w:cs="仿宋"/>
          <w:sz w:val="24"/>
        </w:rPr>
        <w:t>，应在</w:t>
      </w:r>
      <w:r>
        <w:rPr>
          <w:rFonts w:hint="eastAsia" w:ascii="宋体" w:hAnsi="宋体" w:cs="仿宋"/>
          <w:sz w:val="24"/>
          <w:u w:val="single"/>
        </w:rPr>
        <w:t xml:space="preserve">    </w:t>
      </w:r>
      <w:r>
        <w:rPr>
          <w:rFonts w:hint="eastAsia" w:ascii="宋体" w:hAnsi="宋体" w:cs="仿宋"/>
          <w:sz w:val="24"/>
        </w:rPr>
        <w:t>天内以书面形式向发包人提出；有下列情形之一时，发包人应予以修正，并相应调整合同价格：</w:t>
      </w:r>
    </w:p>
    <w:p>
      <w:pPr>
        <w:spacing w:line="460" w:lineRule="exact"/>
        <w:ind w:firstLine="480" w:firstLineChars="200"/>
        <w:rPr>
          <w:rFonts w:ascii="宋体" w:hAnsi="宋体"/>
          <w:sz w:val="24"/>
        </w:rPr>
      </w:pPr>
      <w:r>
        <w:rPr>
          <w:rFonts w:hint="eastAsia" w:ascii="宋体" w:hAnsi="宋体"/>
          <w:sz w:val="24"/>
        </w:rPr>
        <w:t>出现工程量清单错误时，是否调整合同价格：</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kern w:val="0"/>
          <w:sz w:val="24"/>
        </w:rPr>
        <w:t>。</w:t>
      </w:r>
    </w:p>
    <w:p>
      <w:pPr>
        <w:spacing w:line="460" w:lineRule="exact"/>
        <w:ind w:firstLine="480" w:firstLineChars="200"/>
        <w:rPr>
          <w:rFonts w:ascii="宋体" w:hAnsi="宋体"/>
          <w:sz w:val="24"/>
        </w:rPr>
      </w:pPr>
      <w:r>
        <w:rPr>
          <w:rFonts w:ascii="宋体" w:hAnsi="宋体"/>
          <w:sz w:val="24"/>
        </w:rPr>
        <w:t>允许调整合同价格的工程量偏差范围：</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kern w:val="0"/>
          <w:sz w:val="24"/>
        </w:rPr>
        <w:t>。</w:t>
      </w:r>
    </w:p>
    <w:p>
      <w:pPr>
        <w:pStyle w:val="3"/>
        <w:spacing w:line="460" w:lineRule="exact"/>
        <w:jc w:val="left"/>
        <w:rPr>
          <w:rFonts w:ascii="宋体" w:hAnsi="宋体"/>
          <w:sz w:val="24"/>
          <w:szCs w:val="24"/>
        </w:rPr>
      </w:pPr>
      <w:bookmarkStart w:id="334" w:name="_Toc125523837"/>
      <w:bookmarkStart w:id="335" w:name="_Toc2049858434"/>
      <w:r>
        <w:rPr>
          <w:rFonts w:ascii="宋体" w:hAnsi="宋体"/>
          <w:sz w:val="24"/>
          <w:szCs w:val="24"/>
        </w:rPr>
        <w:t>2</w:t>
      </w:r>
      <w:bookmarkStart w:id="336" w:name="_Toc296347156"/>
      <w:bookmarkStart w:id="337" w:name="_Toc297120457"/>
      <w:bookmarkStart w:id="338" w:name="_Toc297048343"/>
      <w:bookmarkStart w:id="339" w:name="_Toc292559362"/>
      <w:bookmarkStart w:id="340" w:name="_Toc296891197"/>
      <w:bookmarkStart w:id="341" w:name="_Toc296346658"/>
      <w:bookmarkStart w:id="342" w:name="_Toc296503157"/>
      <w:bookmarkStart w:id="343" w:name="_Toc296944496"/>
      <w:bookmarkStart w:id="344" w:name="_Toc292559867"/>
      <w:bookmarkStart w:id="345" w:name="_Toc296890985"/>
      <w:r>
        <w:rPr>
          <w:rFonts w:ascii="宋体" w:hAnsi="宋体"/>
          <w:sz w:val="24"/>
          <w:szCs w:val="24"/>
        </w:rPr>
        <w:t>. 发包人</w:t>
      </w:r>
      <w:bookmarkEnd w:id="334"/>
      <w:bookmarkEnd w:id="335"/>
    </w:p>
    <w:p>
      <w:pPr>
        <w:spacing w:line="460" w:lineRule="exact"/>
        <w:ind w:firstLine="481" w:firstLineChars="200"/>
        <w:outlineLvl w:val="2"/>
        <w:rPr>
          <w:rFonts w:ascii="宋体" w:hAnsi="宋体"/>
          <w:b/>
          <w:sz w:val="24"/>
        </w:rPr>
      </w:pPr>
      <w:bookmarkStart w:id="346" w:name="_Toc493482386"/>
      <w:bookmarkStart w:id="347" w:name="_Toc29214"/>
      <w:bookmarkStart w:id="348" w:name="_Toc1613310203"/>
      <w:bookmarkStart w:id="349" w:name="_Toc351203510"/>
      <w:r>
        <w:rPr>
          <w:rFonts w:hint="eastAsia" w:ascii="宋体" w:hAnsi="宋体"/>
          <w:b/>
          <w:sz w:val="24"/>
        </w:rPr>
        <w:t>2.1 许可或批准</w:t>
      </w:r>
      <w:bookmarkEnd w:id="346"/>
      <w:bookmarkEnd w:id="347"/>
      <w:bookmarkEnd w:id="348"/>
      <w:bookmarkEnd w:id="349"/>
    </w:p>
    <w:p>
      <w:pPr>
        <w:spacing w:line="460" w:lineRule="exact"/>
        <w:ind w:firstLine="480" w:firstLineChars="200"/>
        <w:outlineLvl w:val="2"/>
        <w:rPr>
          <w:rFonts w:ascii="宋体" w:hAnsi="宋体"/>
          <w:sz w:val="24"/>
        </w:rPr>
      </w:pPr>
      <w:bookmarkStart w:id="350" w:name="_Toc850751199"/>
      <w:bookmarkStart w:id="351" w:name="_Toc122621003"/>
      <w:r>
        <w:rPr>
          <w:rFonts w:hint="eastAsia" w:ascii="宋体" w:hAnsi="宋体" w:cs="仿宋"/>
          <w:kern w:val="0"/>
          <w:sz w:val="24"/>
        </w:rPr>
        <w:t>本款补充2.1.1、2.4.3。</w:t>
      </w:r>
      <w:bookmarkEnd w:id="350"/>
      <w:bookmarkEnd w:id="351"/>
    </w:p>
    <w:p>
      <w:pPr>
        <w:snapToGrid w:val="0"/>
        <w:spacing w:before="120" w:after="120" w:line="460" w:lineRule="exact"/>
        <w:ind w:firstLine="480" w:firstLineChars="200"/>
        <w:rPr>
          <w:rFonts w:ascii="宋体" w:hAnsi="宋体" w:cs="仿宋"/>
          <w:kern w:val="0"/>
          <w:sz w:val="24"/>
        </w:rPr>
      </w:pPr>
      <w:r>
        <w:rPr>
          <w:rFonts w:hint="eastAsia" w:ascii="宋体" w:hAnsi="宋体" w:cs="仿宋"/>
          <w:kern w:val="0"/>
          <w:sz w:val="24"/>
        </w:rPr>
        <w:t>2.1.1 根据相关规定提供园林绿化施工所需的许可或批准。</w:t>
      </w:r>
      <w:bookmarkEnd w:id="336"/>
      <w:bookmarkEnd w:id="337"/>
      <w:bookmarkEnd w:id="338"/>
      <w:bookmarkEnd w:id="339"/>
      <w:bookmarkEnd w:id="340"/>
      <w:bookmarkEnd w:id="341"/>
      <w:bookmarkEnd w:id="342"/>
      <w:bookmarkEnd w:id="343"/>
      <w:bookmarkEnd w:id="344"/>
      <w:bookmarkEnd w:id="345"/>
      <w:bookmarkStart w:id="352" w:name="_Toc17753"/>
    </w:p>
    <w:p>
      <w:pPr>
        <w:snapToGrid w:val="0"/>
        <w:spacing w:line="460" w:lineRule="exact"/>
        <w:ind w:firstLine="481" w:firstLineChars="200"/>
        <w:rPr>
          <w:rFonts w:ascii="宋体" w:hAnsi="宋体"/>
          <w:b/>
          <w:sz w:val="24"/>
        </w:rPr>
      </w:pPr>
      <w:r>
        <w:rPr>
          <w:rFonts w:hint="eastAsia" w:ascii="宋体" w:hAnsi="宋体"/>
          <w:b/>
          <w:sz w:val="24"/>
        </w:rPr>
        <w:t>2.2 发包人代表</w:t>
      </w:r>
      <w:bookmarkEnd w:id="352"/>
    </w:p>
    <w:p>
      <w:pPr>
        <w:snapToGrid w:val="0"/>
        <w:spacing w:line="460" w:lineRule="exact"/>
        <w:ind w:firstLine="480" w:firstLineChars="200"/>
        <w:rPr>
          <w:rFonts w:ascii="宋体" w:hAnsi="宋体"/>
          <w:sz w:val="24"/>
          <w:u w:val="single"/>
        </w:rPr>
      </w:pPr>
      <w:r>
        <w:rPr>
          <w:rFonts w:ascii="宋体" w:hAnsi="宋体"/>
          <w:sz w:val="24"/>
        </w:rPr>
        <w:t>发包人代表：</w:t>
      </w:r>
    </w:p>
    <w:p>
      <w:pPr>
        <w:spacing w:line="460" w:lineRule="exact"/>
        <w:ind w:firstLine="480" w:firstLineChars="200"/>
        <w:rPr>
          <w:rFonts w:ascii="宋体" w:hAnsi="宋体"/>
          <w:sz w:val="24"/>
        </w:rPr>
      </w:pPr>
      <w:r>
        <w:rPr>
          <w:rFonts w:ascii="宋体" w:hAnsi="宋体"/>
          <w:sz w:val="24"/>
        </w:rPr>
        <w:t>姓    名：</w:t>
      </w:r>
      <w:r>
        <w:rPr>
          <w:rFonts w:hint="eastAsia" w:ascii="宋体" w:hAnsi="宋体"/>
          <w:sz w:val="24"/>
          <w:u w:val="single"/>
        </w:rPr>
        <w:t xml:space="preserve">          </w:t>
      </w:r>
      <w:r>
        <w:rPr>
          <w:rFonts w:ascii="宋体" w:hAnsi="宋体"/>
          <w:sz w:val="24"/>
        </w:rPr>
        <w:t>；身份证号：</w:t>
      </w:r>
      <w:r>
        <w:rPr>
          <w:rFonts w:hint="eastAsia" w:ascii="宋体" w:hAnsi="宋体"/>
          <w:sz w:val="24"/>
          <w:u w:val="single"/>
        </w:rPr>
        <w:t xml:space="preserve">                   </w:t>
      </w:r>
      <w:r>
        <w:rPr>
          <w:rFonts w:ascii="宋体" w:hAnsi="宋体"/>
          <w:sz w:val="24"/>
        </w:rPr>
        <w:t>；</w:t>
      </w:r>
    </w:p>
    <w:p>
      <w:pPr>
        <w:spacing w:line="460" w:lineRule="exact"/>
        <w:ind w:firstLine="480" w:firstLineChars="200"/>
        <w:rPr>
          <w:rFonts w:ascii="宋体" w:hAnsi="宋体"/>
          <w:sz w:val="24"/>
        </w:rPr>
      </w:pPr>
      <w:r>
        <w:rPr>
          <w:rFonts w:ascii="宋体" w:hAnsi="宋体"/>
          <w:sz w:val="24"/>
        </w:rPr>
        <w:t>职    务：</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rPr>
        <w:t>；</w:t>
      </w:r>
    </w:p>
    <w:p>
      <w:pPr>
        <w:spacing w:line="460" w:lineRule="exact"/>
        <w:ind w:firstLine="480" w:firstLineChars="200"/>
        <w:rPr>
          <w:rFonts w:ascii="宋体" w:hAnsi="宋体"/>
          <w:sz w:val="24"/>
        </w:rPr>
      </w:pPr>
      <w:r>
        <w:rPr>
          <w:rFonts w:ascii="宋体" w:hAnsi="宋体"/>
          <w:sz w:val="24"/>
        </w:rPr>
        <w:t>联系电话：</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rPr>
        <w:t>；</w:t>
      </w:r>
    </w:p>
    <w:p>
      <w:pPr>
        <w:spacing w:line="460" w:lineRule="exact"/>
        <w:ind w:firstLine="480" w:firstLineChars="200"/>
        <w:rPr>
          <w:rFonts w:ascii="宋体" w:hAnsi="宋体"/>
          <w:sz w:val="24"/>
        </w:rPr>
      </w:pPr>
      <w:r>
        <w:rPr>
          <w:rFonts w:ascii="宋体" w:hAnsi="宋体"/>
          <w:sz w:val="24"/>
        </w:rPr>
        <w:t>电子信箱：</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rPr>
        <w:t>；</w:t>
      </w:r>
    </w:p>
    <w:p>
      <w:pPr>
        <w:spacing w:line="460" w:lineRule="exact"/>
        <w:ind w:firstLine="480" w:firstLineChars="200"/>
        <w:rPr>
          <w:rFonts w:ascii="宋体" w:hAnsi="宋体"/>
          <w:sz w:val="24"/>
        </w:rPr>
      </w:pPr>
      <w:r>
        <w:rPr>
          <w:rFonts w:ascii="宋体" w:hAnsi="宋体"/>
          <w:sz w:val="24"/>
        </w:rPr>
        <w:t>通信地址：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w:t>
      </w:r>
    </w:p>
    <w:p>
      <w:pPr>
        <w:spacing w:line="460" w:lineRule="exact"/>
        <w:ind w:firstLine="480" w:firstLineChars="200"/>
        <w:rPr>
          <w:rFonts w:ascii="宋体" w:hAnsi="宋体"/>
          <w:b/>
          <w:sz w:val="24"/>
        </w:rPr>
      </w:pPr>
      <w:r>
        <w:rPr>
          <w:rFonts w:ascii="宋体" w:hAnsi="宋体"/>
          <w:sz w:val="24"/>
        </w:rPr>
        <w:t>发包人对发包人代表的授权范围如下：</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rPr>
        <w:t>。</w:t>
      </w:r>
    </w:p>
    <w:p>
      <w:pPr>
        <w:spacing w:line="460" w:lineRule="exact"/>
        <w:ind w:firstLine="481" w:firstLineChars="200"/>
        <w:outlineLvl w:val="2"/>
        <w:rPr>
          <w:rFonts w:ascii="宋体" w:hAnsi="宋体"/>
          <w:b/>
          <w:sz w:val="24"/>
        </w:rPr>
      </w:pPr>
      <w:bookmarkStart w:id="353" w:name="_Toc1335716241"/>
      <w:bookmarkStart w:id="354" w:name="_Toc571308452"/>
      <w:bookmarkStart w:id="355" w:name="_Toc26646"/>
      <w:r>
        <w:rPr>
          <w:rFonts w:hint="eastAsia" w:ascii="宋体" w:hAnsi="宋体"/>
          <w:b/>
          <w:sz w:val="24"/>
        </w:rPr>
        <w:t>2.4 施工现场、施工条件和基础资料的提供</w:t>
      </w:r>
      <w:bookmarkEnd w:id="353"/>
      <w:bookmarkEnd w:id="354"/>
      <w:bookmarkEnd w:id="355"/>
    </w:p>
    <w:p>
      <w:pPr>
        <w:spacing w:line="460" w:lineRule="exact"/>
        <w:ind w:firstLine="480" w:firstLineChars="200"/>
        <w:rPr>
          <w:rFonts w:ascii="宋体" w:hAnsi="宋体" w:cs="仿宋_GB2312"/>
          <w:sz w:val="24"/>
        </w:rPr>
      </w:pPr>
      <w:r>
        <w:rPr>
          <w:rFonts w:hint="eastAsia" w:ascii="宋体" w:hAnsi="宋体" w:cs="仿宋_GB2312"/>
          <w:sz w:val="24"/>
        </w:rPr>
        <w:t>2.4.1 提供施工现场</w:t>
      </w:r>
    </w:p>
    <w:p>
      <w:pPr>
        <w:spacing w:line="460" w:lineRule="exact"/>
        <w:ind w:firstLine="480" w:firstLineChars="200"/>
        <w:jc w:val="left"/>
        <w:rPr>
          <w:rFonts w:ascii="宋体" w:hAnsi="宋体" w:cs="仿宋_GB2312"/>
          <w:sz w:val="24"/>
        </w:rPr>
      </w:pPr>
      <w:r>
        <w:rPr>
          <w:rFonts w:hint="eastAsia" w:ascii="宋体" w:hAnsi="宋体" w:cs="仿宋_GB2312"/>
          <w:sz w:val="24"/>
        </w:rPr>
        <w:t>关于发包人移交施工现场的期限要求：</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rPr>
          <w:rFonts w:ascii="宋体" w:hAnsi="宋体" w:cs="仿宋_GB2312"/>
          <w:sz w:val="24"/>
        </w:rPr>
      </w:pPr>
      <w:r>
        <w:rPr>
          <w:rFonts w:hint="eastAsia" w:ascii="宋体" w:hAnsi="宋体" w:cs="仿宋_GB2312"/>
          <w:sz w:val="24"/>
        </w:rPr>
        <w:t>2.4.2 提供施工条件</w:t>
      </w:r>
    </w:p>
    <w:p>
      <w:pPr>
        <w:spacing w:line="460" w:lineRule="exact"/>
        <w:ind w:firstLine="480" w:firstLineChars="200"/>
        <w:jc w:val="left"/>
        <w:rPr>
          <w:rFonts w:ascii="宋体" w:hAnsi="宋体"/>
          <w:sz w:val="24"/>
          <w:u w:val="single"/>
        </w:rPr>
      </w:pPr>
      <w:r>
        <w:rPr>
          <w:rFonts w:ascii="宋体" w:hAnsi="宋体"/>
          <w:sz w:val="24"/>
        </w:rPr>
        <w:t>关于发包人应负责提供施工</w:t>
      </w:r>
      <w:r>
        <w:rPr>
          <w:rFonts w:hint="eastAsia" w:ascii="宋体" w:hAnsi="宋体"/>
          <w:sz w:val="24"/>
        </w:rPr>
        <w:t>所需要的条件，</w:t>
      </w:r>
      <w:r>
        <w:rPr>
          <w:rFonts w:ascii="宋体" w:hAnsi="宋体"/>
          <w:sz w:val="24"/>
        </w:rPr>
        <w:t>包括：</w:t>
      </w:r>
      <w:r>
        <w:rPr>
          <w:rFonts w:hint="eastAsia" w:ascii="宋体" w:hAnsi="宋体" w:cs="仿宋_GB2312"/>
          <w:sz w:val="24"/>
          <w:u w:val="single"/>
        </w:rPr>
        <w:t xml:space="preserve">         </w:t>
      </w:r>
    </w:p>
    <w:p>
      <w:pPr>
        <w:spacing w:line="460" w:lineRule="exact"/>
        <w:jc w:val="left"/>
        <w:rPr>
          <w:rFonts w:ascii="宋体" w:hAnsi="宋体"/>
          <w:sz w:val="24"/>
        </w:rPr>
      </w:pP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rPr>
        <w:t>。</w:t>
      </w:r>
    </w:p>
    <w:p>
      <w:pPr>
        <w:spacing w:line="460" w:lineRule="exact"/>
        <w:ind w:firstLine="480" w:firstLineChars="200"/>
        <w:rPr>
          <w:rFonts w:ascii="宋体" w:hAnsi="宋体" w:cs="仿宋_GB2312"/>
          <w:sz w:val="24"/>
        </w:rPr>
      </w:pPr>
      <w:r>
        <w:rPr>
          <w:rFonts w:hint="eastAsia" w:ascii="宋体" w:hAnsi="宋体" w:cs="仿宋_GB2312"/>
          <w:sz w:val="24"/>
        </w:rPr>
        <w:t>2.4.3 提供基础资料</w:t>
      </w:r>
    </w:p>
    <w:p>
      <w:pPr>
        <w:spacing w:line="460" w:lineRule="exact"/>
        <w:ind w:firstLine="480" w:firstLineChars="200"/>
        <w:rPr>
          <w:rFonts w:ascii="宋体" w:hAnsi="宋体" w:cs="仿宋_GB2312"/>
          <w:sz w:val="24"/>
        </w:rPr>
      </w:pPr>
      <w:r>
        <w:rPr>
          <w:rFonts w:hint="eastAsia" w:ascii="宋体" w:hAnsi="宋体" w:cs="仿宋_GB2312"/>
          <w:sz w:val="24"/>
        </w:rPr>
        <w:t>发包人还应提供项目施工区域内现状树木一览表（附件2）、现状土壤指标、</w:t>
      </w:r>
      <w:r>
        <w:rPr>
          <w:rFonts w:hint="eastAsia" w:ascii="宋体" w:hAnsi="宋体" w:cs="仿宋_GB2312"/>
          <w:sz w:val="24"/>
          <w:u w:val="single"/>
        </w:rPr>
        <w:t xml:space="preserve">                          </w:t>
      </w:r>
      <w:r>
        <w:rPr>
          <w:rFonts w:hint="eastAsia" w:ascii="宋体" w:hAnsi="宋体" w:cs="仿宋_GB2312"/>
          <w:sz w:val="24"/>
        </w:rPr>
        <w:t xml:space="preserve">等。 </w:t>
      </w:r>
    </w:p>
    <w:p>
      <w:pPr>
        <w:spacing w:line="460" w:lineRule="exact"/>
        <w:ind w:firstLine="481" w:firstLineChars="200"/>
        <w:outlineLvl w:val="2"/>
        <w:rPr>
          <w:rFonts w:ascii="宋体" w:hAnsi="宋体"/>
          <w:b/>
          <w:sz w:val="24"/>
        </w:rPr>
      </w:pPr>
      <w:bookmarkStart w:id="356" w:name="_Toc981174043"/>
      <w:bookmarkStart w:id="357" w:name="_Toc1205484610"/>
      <w:bookmarkStart w:id="358" w:name="_Toc9218"/>
      <w:r>
        <w:rPr>
          <w:rFonts w:hint="eastAsia" w:ascii="宋体" w:hAnsi="宋体"/>
          <w:b/>
          <w:sz w:val="24"/>
        </w:rPr>
        <w:t>2.5 资金来源证明及支付担保</w:t>
      </w:r>
      <w:bookmarkEnd w:id="356"/>
      <w:bookmarkEnd w:id="357"/>
      <w:bookmarkEnd w:id="358"/>
    </w:p>
    <w:p>
      <w:pPr>
        <w:spacing w:line="460" w:lineRule="exact"/>
        <w:ind w:firstLine="480" w:firstLineChars="200"/>
        <w:rPr>
          <w:rFonts w:ascii="宋体" w:hAnsi="宋体"/>
          <w:sz w:val="24"/>
        </w:rPr>
      </w:pPr>
      <w:r>
        <w:rPr>
          <w:rFonts w:hint="eastAsia" w:ascii="宋体" w:hAnsi="宋体"/>
          <w:sz w:val="24"/>
        </w:rPr>
        <w:t>本款修改为：</w:t>
      </w:r>
    </w:p>
    <w:p>
      <w:pPr>
        <w:spacing w:line="460" w:lineRule="exact"/>
        <w:ind w:left="596" w:leftChars="284"/>
        <w:rPr>
          <w:rFonts w:ascii="宋体" w:hAnsi="宋体"/>
          <w:sz w:val="24"/>
          <w:u w:val="single"/>
        </w:rPr>
      </w:pPr>
      <w:r>
        <w:rPr>
          <w:rFonts w:ascii="宋体" w:hAnsi="宋体"/>
          <w:sz w:val="24"/>
        </w:rPr>
        <w:t>发包人提供资金来源证明的期限要求：</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460" w:lineRule="exact"/>
        <w:jc w:val="left"/>
        <w:rPr>
          <w:rFonts w:ascii="宋体" w:hAnsi="宋体"/>
          <w:sz w:val="24"/>
        </w:rPr>
      </w:pP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rPr>
        <w:t>。</w:t>
      </w:r>
    </w:p>
    <w:p>
      <w:pPr>
        <w:keepLines/>
        <w:spacing w:line="460" w:lineRule="exact"/>
        <w:ind w:firstLine="600"/>
        <w:rPr>
          <w:rFonts w:ascii="宋体" w:hAnsi="宋体" w:cs="仿宋"/>
          <w:kern w:val="0"/>
          <w:sz w:val="24"/>
          <w:u w:val="single"/>
        </w:rPr>
      </w:pPr>
      <w:r>
        <w:rPr>
          <w:rFonts w:hint="eastAsia" w:ascii="宋体" w:hAnsi="宋体" w:cs="仿宋"/>
          <w:kern w:val="0"/>
          <w:sz w:val="24"/>
        </w:rPr>
        <w:t>发包人提供支付担保期限及方式：发包人应在签订合同后</w:t>
      </w:r>
      <w:r>
        <w:rPr>
          <w:rFonts w:hint="eastAsia" w:ascii="宋体" w:hAnsi="宋体" w:cs="仿宋"/>
          <w:kern w:val="0"/>
          <w:sz w:val="24"/>
          <w:u w:val="single"/>
        </w:rPr>
        <w:t xml:space="preserve">  </w:t>
      </w:r>
    </w:p>
    <w:p>
      <w:pPr>
        <w:keepLines/>
        <w:spacing w:line="460" w:lineRule="exact"/>
        <w:rPr>
          <w:rFonts w:ascii="宋体" w:hAnsi="宋体"/>
          <w:sz w:val="24"/>
        </w:rPr>
      </w:pPr>
      <w:r>
        <w:rPr>
          <w:rFonts w:hint="eastAsia" w:ascii="宋体" w:hAnsi="宋体"/>
          <w:sz w:val="24"/>
          <w:u w:val="single"/>
        </w:rPr>
        <w:t xml:space="preserve">    </w:t>
      </w:r>
      <w:r>
        <w:rPr>
          <w:rFonts w:hint="eastAsia" w:ascii="宋体" w:hAnsi="宋体" w:cs="仿宋"/>
          <w:kern w:val="0"/>
          <w:sz w:val="24"/>
        </w:rPr>
        <w:t>天内，向承包人提供</w:t>
      </w:r>
      <w:r>
        <w:rPr>
          <w:rFonts w:hint="eastAsia" w:ascii="宋体" w:hAnsi="宋体"/>
          <w:sz w:val="24"/>
        </w:rPr>
        <w:t>工程款</w:t>
      </w:r>
      <w:r>
        <w:rPr>
          <w:rFonts w:hint="eastAsia" w:ascii="宋体" w:hAnsi="宋体" w:cs="仿宋"/>
          <w:kern w:val="0"/>
          <w:sz w:val="24"/>
        </w:rPr>
        <w:t>支付担保，</w:t>
      </w:r>
      <w:r>
        <w:rPr>
          <w:rFonts w:hint="eastAsia" w:ascii="宋体" w:hAnsi="宋体"/>
          <w:sz w:val="24"/>
        </w:rPr>
        <w:t>确保农民工工资按时足额支付</w:t>
      </w:r>
      <w:r>
        <w:rPr>
          <w:rFonts w:hint="eastAsia" w:ascii="宋体" w:hAnsi="宋体" w:cs="仿宋"/>
          <w:kern w:val="0"/>
          <w:sz w:val="24"/>
        </w:rPr>
        <w:t>。</w:t>
      </w:r>
      <w:r>
        <w:rPr>
          <w:rFonts w:hint="eastAsia" w:ascii="宋体" w:hAnsi="宋体"/>
          <w:sz w:val="24"/>
        </w:rPr>
        <w:t>发包人提供支付担保的形式：</w:t>
      </w:r>
      <w:r>
        <w:rPr>
          <w:rFonts w:hint="eastAsia" w:ascii="宋体" w:hAnsi="宋体"/>
          <w:sz w:val="24"/>
          <w:u w:val="single"/>
        </w:rPr>
        <w:t xml:space="preserve">                   </w:t>
      </w:r>
      <w:r>
        <w:rPr>
          <w:rFonts w:hint="eastAsia" w:ascii="宋体" w:hAnsi="宋体"/>
          <w:sz w:val="24"/>
        </w:rPr>
        <w:t>，担保有效期至工程款拨付完成为止（不含质量保证金）。</w:t>
      </w:r>
    </w:p>
    <w:p>
      <w:pPr>
        <w:pStyle w:val="3"/>
        <w:spacing w:line="460" w:lineRule="exact"/>
        <w:jc w:val="left"/>
        <w:rPr>
          <w:rFonts w:ascii="宋体" w:hAnsi="宋体"/>
          <w:sz w:val="24"/>
          <w:szCs w:val="24"/>
        </w:rPr>
      </w:pPr>
      <w:bookmarkStart w:id="359" w:name="_Toc507831889"/>
      <w:bookmarkStart w:id="360" w:name="_Toc224169773"/>
      <w:r>
        <w:rPr>
          <w:rFonts w:ascii="宋体" w:hAnsi="宋体"/>
          <w:sz w:val="24"/>
          <w:szCs w:val="24"/>
        </w:rPr>
        <w:t>3</w:t>
      </w:r>
      <w:bookmarkStart w:id="361" w:name="_Toc296891198"/>
      <w:bookmarkStart w:id="362" w:name="_Toc296503158"/>
      <w:bookmarkStart w:id="363" w:name="_Toc292559868"/>
      <w:bookmarkStart w:id="364" w:name="_Toc297120458"/>
      <w:bookmarkStart w:id="365" w:name="_Toc296890986"/>
      <w:bookmarkStart w:id="366" w:name="_Toc296347157"/>
      <w:bookmarkStart w:id="367" w:name="_Toc297048344"/>
      <w:bookmarkStart w:id="368" w:name="_Toc292559363"/>
      <w:bookmarkStart w:id="369" w:name="_Toc296346659"/>
      <w:bookmarkStart w:id="370" w:name="_Toc296944497"/>
      <w:r>
        <w:rPr>
          <w:rFonts w:ascii="宋体" w:hAnsi="宋体"/>
          <w:sz w:val="24"/>
          <w:szCs w:val="24"/>
        </w:rPr>
        <w:t>. 承包人</w:t>
      </w:r>
      <w:bookmarkEnd w:id="359"/>
      <w:bookmarkEnd w:id="360"/>
    </w:p>
    <w:bookmarkEnd w:id="361"/>
    <w:bookmarkEnd w:id="362"/>
    <w:bookmarkEnd w:id="363"/>
    <w:bookmarkEnd w:id="364"/>
    <w:bookmarkEnd w:id="365"/>
    <w:bookmarkEnd w:id="366"/>
    <w:bookmarkEnd w:id="367"/>
    <w:bookmarkEnd w:id="368"/>
    <w:bookmarkEnd w:id="369"/>
    <w:bookmarkEnd w:id="370"/>
    <w:p>
      <w:pPr>
        <w:spacing w:line="460" w:lineRule="exact"/>
        <w:ind w:firstLine="481" w:firstLineChars="200"/>
        <w:outlineLvl w:val="2"/>
        <w:rPr>
          <w:rFonts w:ascii="宋体" w:hAnsi="宋体"/>
          <w:b/>
          <w:sz w:val="24"/>
        </w:rPr>
      </w:pPr>
      <w:bookmarkStart w:id="371" w:name="_Toc19452"/>
      <w:bookmarkStart w:id="372" w:name="_Toc1540549183"/>
      <w:bookmarkStart w:id="373" w:name="_Toc1604068603"/>
      <w:r>
        <w:rPr>
          <w:rFonts w:ascii="宋体" w:hAnsi="宋体"/>
          <w:b/>
          <w:sz w:val="24"/>
        </w:rPr>
        <w:t>3.1 承包人的一般义务</w:t>
      </w:r>
      <w:bookmarkEnd w:id="371"/>
      <w:bookmarkEnd w:id="372"/>
      <w:bookmarkEnd w:id="373"/>
    </w:p>
    <w:p>
      <w:pPr>
        <w:spacing w:line="460" w:lineRule="exact"/>
        <w:ind w:firstLine="480" w:firstLineChars="200"/>
        <w:jc w:val="left"/>
        <w:rPr>
          <w:rFonts w:ascii="宋体" w:hAnsi="宋体" w:cs="仿宋_GB2312"/>
          <w:sz w:val="24"/>
        </w:rPr>
      </w:pPr>
      <w:r>
        <w:rPr>
          <w:rFonts w:hint="eastAsia" w:ascii="宋体" w:hAnsi="宋体" w:cs="仿宋_GB2312"/>
          <w:sz w:val="24"/>
        </w:rPr>
        <w:t>（9）承包人提交的竣工资料的内容：</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jc w:val="left"/>
        <w:rPr>
          <w:rFonts w:ascii="宋体" w:hAnsi="宋体" w:cs="仿宋_GB2312"/>
          <w:sz w:val="24"/>
        </w:rPr>
      </w:pPr>
      <w:r>
        <w:rPr>
          <w:rFonts w:hint="eastAsia" w:ascii="宋体" w:hAnsi="宋体" w:cs="仿宋_GB2312"/>
          <w:sz w:val="24"/>
        </w:rPr>
        <w:t>承包人需要提交的竣工资料套数：</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jc w:val="left"/>
        <w:rPr>
          <w:rFonts w:ascii="宋体" w:hAnsi="宋体" w:cs="仿宋_GB2312"/>
          <w:sz w:val="24"/>
        </w:rPr>
      </w:pPr>
      <w:r>
        <w:rPr>
          <w:rFonts w:hint="eastAsia" w:ascii="宋体" w:hAnsi="宋体" w:cs="仿宋_GB2312"/>
          <w:sz w:val="24"/>
        </w:rPr>
        <w:t>承包人提交的竣工资料的费用承担：</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jc w:val="left"/>
        <w:rPr>
          <w:rFonts w:ascii="宋体" w:hAnsi="宋体" w:cs="仿宋_GB2312"/>
          <w:sz w:val="24"/>
        </w:rPr>
      </w:pPr>
      <w:r>
        <w:rPr>
          <w:rFonts w:hint="eastAsia" w:ascii="宋体" w:hAnsi="宋体" w:cs="仿宋_GB2312"/>
          <w:sz w:val="24"/>
        </w:rPr>
        <w:t>承包人提交的竣工资料移交时间：</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jc w:val="left"/>
        <w:rPr>
          <w:rFonts w:ascii="宋体" w:hAnsi="宋体" w:cs="仿宋_GB2312"/>
          <w:sz w:val="24"/>
        </w:rPr>
      </w:pPr>
      <w:r>
        <w:rPr>
          <w:rFonts w:hint="eastAsia" w:ascii="宋体" w:hAnsi="宋体" w:cs="仿宋_GB2312"/>
          <w:sz w:val="24"/>
        </w:rPr>
        <w:t>承包人提交的竣工资料形式要求：</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rPr>
          <w:rFonts w:ascii="宋体" w:hAnsi="宋体"/>
          <w:sz w:val="24"/>
        </w:rPr>
      </w:pPr>
      <w:r>
        <w:rPr>
          <w:rFonts w:hint="eastAsia" w:ascii="宋体" w:hAnsi="宋体" w:cs="仿宋_GB2312"/>
          <w:kern w:val="0"/>
          <w:sz w:val="24"/>
        </w:rPr>
        <w:t>（10）承包人应履行的其他义务：</w:t>
      </w:r>
      <w:r>
        <w:rPr>
          <w:rFonts w:hint="eastAsia" w:ascii="宋体" w:hAnsi="宋体" w:cs="仿宋_GB2312"/>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p>
    <w:p>
      <w:pPr>
        <w:spacing w:line="460" w:lineRule="exact"/>
        <w:ind w:firstLine="481" w:firstLineChars="200"/>
        <w:outlineLvl w:val="2"/>
        <w:rPr>
          <w:rFonts w:ascii="宋体" w:hAnsi="宋体"/>
          <w:b/>
          <w:sz w:val="24"/>
        </w:rPr>
      </w:pPr>
      <w:bookmarkStart w:id="374" w:name="_Toc12983"/>
      <w:bookmarkStart w:id="375" w:name="_Toc1559532044"/>
      <w:bookmarkStart w:id="376" w:name="_Toc324146790"/>
      <w:r>
        <w:rPr>
          <w:rFonts w:ascii="宋体" w:hAnsi="宋体"/>
          <w:b/>
          <w:sz w:val="24"/>
        </w:rPr>
        <w:t>3.2 项目</w:t>
      </w:r>
      <w:r>
        <w:rPr>
          <w:rFonts w:hint="eastAsia" w:ascii="宋体" w:hAnsi="宋体"/>
          <w:b/>
          <w:sz w:val="24"/>
        </w:rPr>
        <w:t>经理</w:t>
      </w:r>
      <w:bookmarkEnd w:id="374"/>
      <w:bookmarkEnd w:id="375"/>
      <w:bookmarkEnd w:id="376"/>
    </w:p>
    <w:p>
      <w:pPr>
        <w:spacing w:line="460" w:lineRule="exact"/>
        <w:ind w:firstLine="480" w:firstLineChars="200"/>
        <w:rPr>
          <w:rFonts w:ascii="宋体" w:hAnsi="宋体" w:cs="仿宋_GB2312"/>
          <w:sz w:val="24"/>
        </w:rPr>
      </w:pPr>
      <w:r>
        <w:rPr>
          <w:rFonts w:hint="eastAsia" w:ascii="宋体" w:hAnsi="宋体" w:cs="仿宋_GB2312"/>
          <w:sz w:val="24"/>
        </w:rPr>
        <w:t>本款修改为：</w:t>
      </w:r>
    </w:p>
    <w:p>
      <w:pPr>
        <w:spacing w:line="460" w:lineRule="exact"/>
        <w:ind w:firstLine="480" w:firstLineChars="200"/>
        <w:rPr>
          <w:rFonts w:ascii="宋体" w:hAnsi="宋体" w:cs="仿宋_GB2312"/>
          <w:sz w:val="24"/>
        </w:rPr>
      </w:pPr>
      <w:r>
        <w:rPr>
          <w:rFonts w:hint="eastAsia" w:ascii="宋体" w:hAnsi="宋体" w:cs="仿宋_GB2312"/>
          <w:kern w:val="0"/>
          <w:sz w:val="24"/>
        </w:rPr>
        <w:t xml:space="preserve">3.2.1 </w:t>
      </w:r>
      <w:r>
        <w:rPr>
          <w:rFonts w:hint="eastAsia" w:ascii="宋体" w:hAnsi="宋体" w:cs="仿宋_GB2312"/>
          <w:sz w:val="24"/>
        </w:rPr>
        <w:t>项目负责人：</w:t>
      </w:r>
    </w:p>
    <w:p>
      <w:pPr>
        <w:spacing w:line="460" w:lineRule="exact"/>
        <w:ind w:firstLine="480" w:firstLineChars="200"/>
        <w:rPr>
          <w:rFonts w:ascii="宋体" w:hAnsi="宋体" w:cs="仿宋_GB2312"/>
          <w:sz w:val="24"/>
        </w:rPr>
      </w:pPr>
      <w:r>
        <w:rPr>
          <w:rFonts w:hint="eastAsia" w:ascii="宋体" w:hAnsi="宋体" w:cs="仿宋_GB2312"/>
          <w:sz w:val="24"/>
        </w:rPr>
        <w:t>姓    名：</w:t>
      </w:r>
      <w:r>
        <w:rPr>
          <w:rFonts w:hint="eastAsia" w:ascii="宋体" w:hAnsi="宋体" w:cs="仿宋_GB2312"/>
          <w:sz w:val="24"/>
          <w:u w:val="single"/>
        </w:rPr>
        <w:t xml:space="preserve">          </w:t>
      </w:r>
      <w:r>
        <w:rPr>
          <w:rFonts w:hint="eastAsia" w:ascii="宋体" w:hAnsi="宋体" w:cs="仿宋_GB2312"/>
          <w:sz w:val="24"/>
        </w:rPr>
        <w:t>；身份证号：</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rPr>
          <w:rFonts w:ascii="宋体" w:hAnsi="宋体" w:cs="仿宋_GB2312"/>
          <w:sz w:val="24"/>
        </w:rPr>
      </w:pPr>
      <w:r>
        <w:rPr>
          <w:rFonts w:hint="eastAsia" w:ascii="宋体" w:hAnsi="宋体" w:cs="仿宋_GB2312"/>
          <w:sz w:val="24"/>
        </w:rPr>
        <w:t>相关证书及编号：</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rPr>
          <w:rFonts w:ascii="宋体" w:hAnsi="宋体" w:cs="仿宋_GB2312"/>
          <w:sz w:val="24"/>
        </w:rPr>
      </w:pPr>
      <w:r>
        <w:rPr>
          <w:rFonts w:hint="eastAsia" w:ascii="宋体" w:hAnsi="宋体" w:cs="仿宋_GB2312"/>
          <w:sz w:val="24"/>
        </w:rPr>
        <w:t>联系电话：</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rPr>
          <w:rFonts w:ascii="宋体" w:hAnsi="宋体" w:cs="仿宋_GB2312"/>
          <w:sz w:val="24"/>
        </w:rPr>
      </w:pPr>
      <w:r>
        <w:rPr>
          <w:rFonts w:hint="eastAsia" w:ascii="宋体" w:hAnsi="宋体" w:cs="仿宋_GB2312"/>
          <w:sz w:val="24"/>
        </w:rPr>
        <w:t>电子信箱：</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rPr>
          <w:rFonts w:ascii="宋体" w:hAnsi="宋体"/>
          <w:sz w:val="24"/>
        </w:rPr>
      </w:pPr>
      <w:r>
        <w:rPr>
          <w:rFonts w:ascii="宋体" w:hAnsi="宋体"/>
          <w:sz w:val="24"/>
        </w:rPr>
        <w:t>通信地址：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rPr>
        <w:t>；</w:t>
      </w:r>
    </w:p>
    <w:p>
      <w:pPr>
        <w:spacing w:line="460" w:lineRule="exact"/>
        <w:ind w:firstLine="480" w:firstLineChars="200"/>
        <w:rPr>
          <w:rFonts w:ascii="宋体" w:hAnsi="宋体"/>
          <w:sz w:val="24"/>
        </w:rPr>
      </w:pPr>
      <w:r>
        <w:rPr>
          <w:rFonts w:ascii="宋体" w:hAnsi="宋体"/>
          <w:sz w:val="24"/>
        </w:rPr>
        <w:t>承包人对项目负责人的授权范围如下：</w:t>
      </w:r>
      <w:r>
        <w:rPr>
          <w:rFonts w:hint="eastAsia" w:ascii="宋体" w:hAnsi="宋体"/>
          <w:sz w:val="24"/>
          <w:u w:val="single"/>
        </w:rPr>
        <w:t xml:space="preserve">                 </w:t>
      </w:r>
      <w:r>
        <w:rPr>
          <w:rFonts w:ascii="宋体" w:hAnsi="宋体"/>
          <w:sz w:val="24"/>
        </w:rPr>
        <w:t>。</w:t>
      </w:r>
    </w:p>
    <w:p>
      <w:pPr>
        <w:spacing w:line="460" w:lineRule="exact"/>
        <w:ind w:firstLine="480" w:firstLineChars="200"/>
        <w:jc w:val="left"/>
        <w:rPr>
          <w:rFonts w:ascii="宋体" w:hAnsi="宋体"/>
          <w:kern w:val="0"/>
          <w:sz w:val="24"/>
        </w:rPr>
      </w:pPr>
      <w:r>
        <w:rPr>
          <w:rFonts w:ascii="宋体" w:hAnsi="宋体"/>
          <w:kern w:val="0"/>
          <w:sz w:val="24"/>
        </w:rPr>
        <w:t>关于项目负责人每月在施工现场的时间要求：</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p>
    <w:p>
      <w:pPr>
        <w:spacing w:line="460" w:lineRule="exact"/>
        <w:ind w:firstLine="480" w:firstLineChars="200"/>
        <w:rPr>
          <w:rFonts w:ascii="宋体" w:hAnsi="宋体"/>
          <w:kern w:val="0"/>
          <w:sz w:val="24"/>
        </w:rPr>
      </w:pPr>
      <w:r>
        <w:rPr>
          <w:rFonts w:ascii="宋体" w:hAnsi="宋体"/>
          <w:kern w:val="0"/>
          <w:sz w:val="24"/>
        </w:rPr>
        <w:t>承包人未提交劳动合同，以及没有为项目负责人缴纳社会保险证明的违约责任：</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rPr>
        <w:t>。</w:t>
      </w:r>
    </w:p>
    <w:p>
      <w:pPr>
        <w:spacing w:line="460" w:lineRule="exact"/>
        <w:ind w:firstLine="480" w:firstLineChars="200"/>
        <w:jc w:val="left"/>
        <w:rPr>
          <w:rFonts w:ascii="宋体" w:hAnsi="宋体"/>
          <w:kern w:val="0"/>
          <w:sz w:val="24"/>
        </w:rPr>
      </w:pPr>
      <w:r>
        <w:rPr>
          <w:rFonts w:ascii="宋体" w:hAnsi="宋体"/>
          <w:kern w:val="0"/>
          <w:sz w:val="24"/>
        </w:rPr>
        <w:t>项目负责人未经批准，擅自离开施工现场的违约责任：</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460" w:lineRule="exact"/>
        <w:jc w:val="left"/>
        <w:rPr>
          <w:rFonts w:ascii="宋体" w:hAnsi="宋体"/>
          <w:sz w:val="24"/>
          <w:u w:val="single"/>
        </w:rPr>
      </w:pP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p>
    <w:p>
      <w:pPr>
        <w:spacing w:line="460" w:lineRule="exact"/>
        <w:ind w:firstLine="480" w:firstLineChars="200"/>
        <w:rPr>
          <w:rFonts w:ascii="宋体" w:hAnsi="宋体" w:cs="仿宋_GB2312"/>
          <w:sz w:val="24"/>
        </w:rPr>
      </w:pPr>
      <w:r>
        <w:rPr>
          <w:rFonts w:hint="eastAsia" w:ascii="宋体" w:hAnsi="宋体" w:cs="仿宋_GB2312"/>
          <w:sz w:val="24"/>
        </w:rPr>
        <w:t>3.2.3 承包人擅自更换项目负责人的违约责任：</w:t>
      </w:r>
      <w:r>
        <w:rPr>
          <w:rFonts w:hint="eastAsia" w:ascii="宋体" w:hAnsi="宋体" w:cs="仿宋_GB2312"/>
          <w:sz w:val="24"/>
          <w:u w:val="single"/>
        </w:rPr>
        <w:t xml:space="preserve">             </w:t>
      </w:r>
    </w:p>
    <w:p>
      <w:pPr>
        <w:spacing w:line="460" w:lineRule="exact"/>
        <w:rPr>
          <w:rFonts w:ascii="宋体" w:hAnsi="宋体" w:cs="仿宋_GB2312"/>
          <w:sz w:val="24"/>
          <w:u w:val="single"/>
        </w:rPr>
      </w:pP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600"/>
        <w:jc w:val="left"/>
        <w:rPr>
          <w:rFonts w:ascii="宋体" w:hAnsi="宋体"/>
          <w:sz w:val="24"/>
          <w:u w:val="single"/>
        </w:rPr>
      </w:pPr>
      <w:r>
        <w:rPr>
          <w:rFonts w:hint="eastAsia" w:ascii="宋体" w:hAnsi="宋体" w:cs="仿宋_GB2312"/>
          <w:sz w:val="24"/>
        </w:rPr>
        <w:t>3.2.4 承包人无正当理</w:t>
      </w:r>
      <w:r>
        <w:rPr>
          <w:rFonts w:ascii="宋体" w:hAnsi="宋体"/>
          <w:sz w:val="24"/>
        </w:rPr>
        <w:t>由拒绝更换项目负责人的违约责任：</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spacing w:after="120" w:line="460" w:lineRule="exact"/>
        <w:rPr>
          <w:rFonts w:ascii="宋体" w:hAnsi="宋体"/>
          <w:sz w:val="24"/>
          <w:u w:val="single"/>
        </w:rPr>
      </w:pPr>
      <w:r>
        <w:rPr>
          <w:rFonts w:hint="eastAsia" w:ascii="宋体" w:hAnsi="宋体"/>
          <w:sz w:val="24"/>
          <w:u w:val="single"/>
        </w:rPr>
        <w:t xml:space="preserve">                                                      </w:t>
      </w:r>
      <w:r>
        <w:rPr>
          <w:rFonts w:hint="eastAsia" w:ascii="宋体" w:hAnsi="宋体" w:cs="仿宋_GB2312"/>
          <w:sz w:val="24"/>
        </w:rPr>
        <w:t>。</w:t>
      </w:r>
    </w:p>
    <w:p>
      <w:pPr>
        <w:spacing w:line="460" w:lineRule="exact"/>
        <w:ind w:firstLine="481" w:firstLineChars="200"/>
        <w:outlineLvl w:val="2"/>
        <w:rPr>
          <w:rFonts w:ascii="宋体" w:hAnsi="宋体"/>
          <w:b/>
          <w:sz w:val="24"/>
        </w:rPr>
      </w:pPr>
      <w:bookmarkStart w:id="377" w:name="_Toc1073182267"/>
      <w:bookmarkStart w:id="378" w:name="_Toc7876"/>
      <w:bookmarkStart w:id="379" w:name="_Toc1539542666"/>
      <w:r>
        <w:rPr>
          <w:rFonts w:ascii="宋体" w:hAnsi="宋体"/>
          <w:b/>
          <w:sz w:val="24"/>
        </w:rPr>
        <w:t>3.3 承包人人员</w:t>
      </w:r>
      <w:bookmarkEnd w:id="377"/>
      <w:bookmarkEnd w:id="378"/>
      <w:bookmarkEnd w:id="379"/>
    </w:p>
    <w:p>
      <w:pPr>
        <w:spacing w:line="460" w:lineRule="exact"/>
        <w:ind w:firstLine="480" w:firstLineChars="200"/>
        <w:rPr>
          <w:rFonts w:ascii="宋体" w:hAnsi="宋体" w:cs="仿宋_GB2312"/>
          <w:sz w:val="24"/>
        </w:rPr>
      </w:pPr>
      <w:r>
        <w:rPr>
          <w:rFonts w:hint="eastAsia" w:ascii="宋体" w:hAnsi="宋体" w:cs="仿宋_GB2312"/>
          <w:sz w:val="24"/>
        </w:rPr>
        <w:t>本款补充3.3.6。</w:t>
      </w:r>
    </w:p>
    <w:p>
      <w:pPr>
        <w:spacing w:line="460" w:lineRule="exact"/>
        <w:ind w:firstLine="480" w:firstLineChars="200"/>
        <w:rPr>
          <w:rFonts w:ascii="宋体" w:hAnsi="宋体" w:cs="仿宋_GB2312"/>
          <w:sz w:val="24"/>
        </w:rPr>
      </w:pPr>
      <w:r>
        <w:rPr>
          <w:rFonts w:hint="eastAsia" w:ascii="宋体" w:hAnsi="宋体" w:cs="仿宋_GB2312"/>
          <w:sz w:val="24"/>
        </w:rPr>
        <w:t>3.3.1 承包人提交项目管理机构及施工现场管理人员安排报告的期限：</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rPr>
          <w:rFonts w:ascii="宋体" w:hAnsi="宋体" w:cs="仿宋_GB2312"/>
          <w:sz w:val="24"/>
        </w:rPr>
      </w:pPr>
      <w:r>
        <w:rPr>
          <w:rFonts w:hint="eastAsia" w:ascii="宋体" w:hAnsi="宋体" w:cs="仿宋_GB2312"/>
          <w:sz w:val="24"/>
        </w:rPr>
        <w:t>3.3.3 承包人无正当理由拒绝撤换主要施工管理人员的违约责任：</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jc w:val="left"/>
        <w:rPr>
          <w:rFonts w:ascii="宋体" w:hAnsi="宋体" w:cs="仿宋_GB2312"/>
          <w:sz w:val="24"/>
        </w:rPr>
      </w:pPr>
      <w:r>
        <w:rPr>
          <w:rFonts w:hint="eastAsia" w:ascii="宋体" w:hAnsi="宋体" w:cs="仿宋_GB2312"/>
          <w:sz w:val="24"/>
        </w:rPr>
        <w:t>3.3.4 承包人主要施工管理人员离开施工现场的批准要求：</w:t>
      </w:r>
      <w:r>
        <w:rPr>
          <w:rFonts w:ascii="宋体" w:hAnsi="宋体"/>
          <w:sz w:val="24"/>
          <w:u w:val="single"/>
        </w:rPr>
        <w:t xml:space="preserve"> </w:t>
      </w:r>
      <w:r>
        <w:rPr>
          <w:rFonts w:hint="eastAsia" w:ascii="宋体" w:hAnsi="宋体"/>
          <w:sz w:val="24"/>
          <w:u w:val="single"/>
        </w:rPr>
        <w:t xml:space="preserve">  </w:t>
      </w:r>
    </w:p>
    <w:p>
      <w:pPr>
        <w:spacing w:line="460" w:lineRule="exact"/>
        <w:jc w:val="left"/>
        <w:rPr>
          <w:rFonts w:ascii="宋体" w:hAnsi="宋体" w:cs="仿宋_GB2312"/>
          <w:sz w:val="24"/>
          <w:u w:val="single"/>
        </w:rPr>
      </w:pP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jc w:val="left"/>
        <w:rPr>
          <w:rFonts w:ascii="宋体" w:hAnsi="宋体" w:cs="仿宋_GB2312"/>
          <w:sz w:val="24"/>
        </w:rPr>
      </w:pPr>
      <w:r>
        <w:rPr>
          <w:rFonts w:hint="eastAsia" w:ascii="宋体" w:hAnsi="宋体" w:cs="仿宋_GB2312"/>
          <w:sz w:val="24"/>
        </w:rPr>
        <w:t>3.3.5 承包人擅自更换主要施工管理人员的违约责任：</w:t>
      </w:r>
      <w:r>
        <w:rPr>
          <w:rFonts w:ascii="宋体" w:hAnsi="宋体"/>
          <w:sz w:val="24"/>
          <w:u w:val="single"/>
        </w:rPr>
        <w:t xml:space="preserve"> </w:t>
      </w:r>
      <w:r>
        <w:rPr>
          <w:rFonts w:hint="eastAsia" w:ascii="宋体" w:hAnsi="宋体"/>
          <w:sz w:val="24"/>
          <w:u w:val="single"/>
        </w:rPr>
        <w:t xml:space="preserve">       </w:t>
      </w:r>
    </w:p>
    <w:p>
      <w:pPr>
        <w:spacing w:line="460" w:lineRule="exact"/>
        <w:jc w:val="left"/>
        <w:rPr>
          <w:rFonts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jc w:val="left"/>
        <w:rPr>
          <w:rFonts w:ascii="宋体" w:hAnsi="宋体" w:cs="仿宋_GB2312"/>
          <w:sz w:val="24"/>
        </w:rPr>
      </w:pPr>
      <w:r>
        <w:rPr>
          <w:rFonts w:hint="eastAsia" w:ascii="宋体" w:hAnsi="宋体" w:cs="仿宋_GB2312"/>
          <w:sz w:val="24"/>
        </w:rPr>
        <w:t>承包人主要施工管理人员擅自离开施工现场的违约责任：</w:t>
      </w:r>
      <w:r>
        <w:rPr>
          <w:rFonts w:ascii="宋体" w:hAnsi="宋体"/>
          <w:sz w:val="24"/>
          <w:u w:val="single"/>
        </w:rPr>
        <w:t xml:space="preserve"> </w:t>
      </w:r>
      <w:r>
        <w:rPr>
          <w:rFonts w:hint="eastAsia" w:ascii="宋体" w:hAnsi="宋体"/>
          <w:sz w:val="24"/>
          <w:u w:val="single"/>
        </w:rPr>
        <w:t xml:space="preserve">    </w:t>
      </w:r>
    </w:p>
    <w:p>
      <w:pPr>
        <w:spacing w:line="460" w:lineRule="exact"/>
        <w:jc w:val="left"/>
        <w:rPr>
          <w:rFonts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600"/>
        <w:rPr>
          <w:rFonts w:ascii="宋体" w:hAnsi="宋体" w:cs="仿宋_GB2312"/>
          <w:sz w:val="24"/>
        </w:rPr>
      </w:pPr>
      <w:r>
        <w:rPr>
          <w:rFonts w:hint="eastAsia" w:ascii="宋体" w:hAnsi="宋体" w:cs="仿宋_GB2312"/>
          <w:sz w:val="24"/>
        </w:rPr>
        <w:t>3.3.6 技术负责人</w:t>
      </w:r>
    </w:p>
    <w:p>
      <w:pPr>
        <w:spacing w:line="460" w:lineRule="exact"/>
        <w:ind w:firstLine="600"/>
        <w:rPr>
          <w:rFonts w:ascii="宋体" w:hAnsi="宋体" w:cs="仿宋_GB2312"/>
          <w:sz w:val="24"/>
          <w:u w:val="single"/>
        </w:rPr>
      </w:pPr>
      <w:r>
        <w:rPr>
          <w:rFonts w:hint="eastAsia" w:ascii="宋体" w:hAnsi="宋体" w:cs="仿宋_GB2312"/>
          <w:sz w:val="24"/>
        </w:rPr>
        <w:t>姓名：</w:t>
      </w:r>
      <w:r>
        <w:rPr>
          <w:rFonts w:hint="eastAsia" w:ascii="宋体" w:hAnsi="宋体" w:cs="仿宋_GB2312"/>
          <w:sz w:val="24"/>
          <w:u w:val="single"/>
        </w:rPr>
        <w:t xml:space="preserve">                </w:t>
      </w:r>
      <w:r>
        <w:rPr>
          <w:rFonts w:hint="eastAsia" w:ascii="宋体" w:hAnsi="宋体" w:cs="仿宋_GB2312"/>
          <w:sz w:val="24"/>
        </w:rPr>
        <w:t>；身份证号：</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600"/>
        <w:rPr>
          <w:rFonts w:ascii="宋体" w:hAnsi="宋体" w:cs="仿宋_GB2312"/>
          <w:sz w:val="24"/>
        </w:rPr>
      </w:pPr>
      <w:r>
        <w:rPr>
          <w:rFonts w:hint="eastAsia" w:ascii="宋体" w:hAnsi="宋体" w:cs="仿宋_GB2312"/>
          <w:sz w:val="24"/>
        </w:rPr>
        <w:t>专业：</w:t>
      </w:r>
      <w:r>
        <w:rPr>
          <w:rFonts w:hint="eastAsia" w:ascii="宋体" w:hAnsi="宋体" w:cs="仿宋_GB2312"/>
          <w:sz w:val="24"/>
          <w:u w:val="single"/>
        </w:rPr>
        <w:t xml:space="preserve">                </w:t>
      </w:r>
      <w:r>
        <w:rPr>
          <w:rFonts w:hint="eastAsia" w:ascii="宋体" w:hAnsi="宋体" w:cs="仿宋_GB2312"/>
          <w:sz w:val="24"/>
        </w:rPr>
        <w:t>；职称等级：</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1" w:firstLineChars="200"/>
        <w:outlineLvl w:val="2"/>
        <w:rPr>
          <w:rFonts w:ascii="宋体" w:hAnsi="宋体"/>
          <w:sz w:val="24"/>
        </w:rPr>
      </w:pPr>
      <w:bookmarkStart w:id="380" w:name="_Toc1011775723"/>
      <w:bookmarkStart w:id="381" w:name="_Toc824057593"/>
      <w:bookmarkStart w:id="382" w:name="_Toc29840"/>
      <w:r>
        <w:rPr>
          <w:rFonts w:ascii="宋体" w:hAnsi="宋体"/>
          <w:b/>
          <w:sz w:val="24"/>
        </w:rPr>
        <w:t>3</w:t>
      </w:r>
      <w:bookmarkStart w:id="383" w:name="_Toc297048345"/>
      <w:bookmarkStart w:id="384" w:name="_Toc296944498"/>
      <w:bookmarkStart w:id="385" w:name="_Toc296891199"/>
      <w:bookmarkStart w:id="386" w:name="_Toc292559364"/>
      <w:bookmarkStart w:id="387" w:name="_Toc304295523"/>
      <w:bookmarkStart w:id="388" w:name="_Toc297120459"/>
      <w:bookmarkStart w:id="389" w:name="_Toc297216151"/>
      <w:bookmarkStart w:id="390" w:name="_Toc296503159"/>
      <w:bookmarkStart w:id="391" w:name="_Toc297123492"/>
      <w:bookmarkStart w:id="392" w:name="_Toc296347158"/>
      <w:bookmarkStart w:id="393" w:name="_Toc303539102"/>
      <w:bookmarkStart w:id="394" w:name="_Toc312677988"/>
      <w:bookmarkStart w:id="395" w:name="_Toc296890987"/>
      <w:bookmarkStart w:id="396" w:name="_Toc292559869"/>
      <w:bookmarkStart w:id="397" w:name="_Toc296346660"/>
      <w:bookmarkStart w:id="398" w:name="_Toc300934945"/>
      <w:r>
        <w:rPr>
          <w:rFonts w:ascii="宋体" w:hAnsi="宋体"/>
          <w:b/>
          <w:sz w:val="24"/>
        </w:rPr>
        <w:t>.5 分包</w:t>
      </w:r>
      <w:bookmarkEnd w:id="380"/>
      <w:bookmarkEnd w:id="381"/>
      <w:bookmarkEnd w:id="382"/>
    </w:p>
    <w:p>
      <w:pPr>
        <w:spacing w:line="460" w:lineRule="exact"/>
        <w:ind w:firstLine="480" w:firstLineChars="200"/>
        <w:rPr>
          <w:rFonts w:ascii="宋体" w:hAnsi="宋体" w:cs="仿宋_GB2312"/>
          <w:sz w:val="24"/>
        </w:rPr>
      </w:pPr>
      <w:r>
        <w:rPr>
          <w:rFonts w:hint="eastAsia" w:ascii="宋体" w:hAnsi="宋体" w:cs="仿宋_GB2312"/>
          <w:sz w:val="24"/>
        </w:rPr>
        <w:t>本款修改3.5.1、3.5.2。</w:t>
      </w:r>
    </w:p>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Pr>
        <w:spacing w:line="460" w:lineRule="exact"/>
        <w:ind w:firstLine="480" w:firstLineChars="200"/>
        <w:rPr>
          <w:rFonts w:ascii="宋体" w:hAnsi="宋体" w:cs="仿宋_GB2312"/>
          <w:sz w:val="24"/>
        </w:rPr>
      </w:pPr>
      <w:r>
        <w:rPr>
          <w:rFonts w:hint="eastAsia" w:ascii="宋体" w:hAnsi="宋体" w:cs="仿宋_GB2312"/>
          <w:sz w:val="24"/>
        </w:rPr>
        <w:t>3</w:t>
      </w:r>
      <w:bookmarkStart w:id="399" w:name="_Toc296890988"/>
      <w:bookmarkStart w:id="400" w:name="_Toc292559365"/>
      <w:bookmarkStart w:id="401" w:name="_Toc297216152"/>
      <w:bookmarkStart w:id="402" w:name="_Toc296346661"/>
      <w:bookmarkStart w:id="403" w:name="_Toc300934946"/>
      <w:bookmarkStart w:id="404" w:name="_Toc296944499"/>
      <w:bookmarkStart w:id="405" w:name="_Toc297120460"/>
      <w:bookmarkStart w:id="406" w:name="_Toc297123493"/>
      <w:bookmarkStart w:id="407" w:name="_Toc297048346"/>
      <w:bookmarkStart w:id="408" w:name="_Toc296347159"/>
      <w:bookmarkStart w:id="409" w:name="_Toc304295524"/>
      <w:bookmarkStart w:id="410" w:name="_Toc292559870"/>
      <w:bookmarkStart w:id="411" w:name="_Toc296503160"/>
      <w:bookmarkStart w:id="412" w:name="_Toc296891200"/>
      <w:bookmarkStart w:id="413" w:name="_Toc303539103"/>
      <w:bookmarkStart w:id="414" w:name="_Toc312677989"/>
      <w:bookmarkStart w:id="415" w:name="_Toc318581158"/>
      <w:r>
        <w:rPr>
          <w:rFonts w:hint="eastAsia" w:ascii="宋体" w:hAnsi="宋体" w:cs="仿宋_GB2312"/>
          <w:sz w:val="24"/>
        </w:rPr>
        <w:t>.5.1 分包的一般约定</w:t>
      </w:r>
    </w:p>
    <w:p>
      <w:pPr>
        <w:spacing w:line="460" w:lineRule="exact"/>
        <w:ind w:firstLine="480" w:firstLineChars="200"/>
        <w:jc w:val="left"/>
        <w:rPr>
          <w:rFonts w:ascii="宋体" w:hAnsi="宋体" w:cs="仿宋_GB2312"/>
          <w:sz w:val="24"/>
        </w:rPr>
      </w:pPr>
      <w:r>
        <w:rPr>
          <w:rFonts w:hint="eastAsia" w:ascii="宋体" w:hAnsi="宋体" w:cs="仿宋_GB2312"/>
          <w:sz w:val="24"/>
        </w:rPr>
        <w:t>禁止分包的工程包括：绿化工程、</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jc w:val="left"/>
        <w:rPr>
          <w:rFonts w:ascii="宋体" w:hAnsi="宋体" w:cs="仿宋_GB2312"/>
          <w:sz w:val="24"/>
        </w:rPr>
      </w:pPr>
      <w:r>
        <w:rPr>
          <w:rFonts w:hint="eastAsia" w:ascii="宋体" w:hAnsi="宋体" w:cs="仿宋_GB2312"/>
          <w:sz w:val="24"/>
        </w:rPr>
        <w:t>主体结构、关键性工作的范围：</w:t>
      </w:r>
      <w:r>
        <w:rPr>
          <w:rFonts w:hint="eastAsia" w:ascii="宋体" w:hAnsi="宋体" w:cs="仿宋_GB2312"/>
          <w:sz w:val="24"/>
          <w:u w:val="single"/>
        </w:rPr>
        <w:t xml:space="preserve">                       </w:t>
      </w:r>
      <w:r>
        <w:rPr>
          <w:rFonts w:hint="eastAsia" w:ascii="宋体" w:hAnsi="宋体" w:cs="仿宋_GB2312"/>
          <w:sz w:val="24"/>
        </w:rPr>
        <w:t>。</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Start w:id="416" w:name="_Toc296503161"/>
      <w:bookmarkStart w:id="417" w:name="_Toc300934947"/>
      <w:bookmarkStart w:id="418" w:name="_Toc297048347"/>
      <w:bookmarkStart w:id="419" w:name="_Toc304295525"/>
      <w:bookmarkStart w:id="420" w:name="_Toc296890989"/>
      <w:bookmarkStart w:id="421" w:name="_Toc297120461"/>
      <w:bookmarkStart w:id="422" w:name="_Toc296944500"/>
      <w:bookmarkStart w:id="423" w:name="_Toc297123494"/>
      <w:bookmarkStart w:id="424" w:name="_Toc296891201"/>
      <w:bookmarkStart w:id="425" w:name="_Toc296346662"/>
      <w:bookmarkStart w:id="426" w:name="_Toc297216153"/>
      <w:bookmarkStart w:id="427" w:name="_Toc296347160"/>
      <w:bookmarkStart w:id="428" w:name="_Toc303539104"/>
    </w:p>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Pr>
        <w:spacing w:line="460" w:lineRule="exact"/>
        <w:rPr>
          <w:rFonts w:ascii="宋体" w:hAnsi="宋体" w:cs="仿宋_GB2312"/>
          <w:sz w:val="24"/>
        </w:rPr>
      </w:pPr>
      <w:r>
        <w:rPr>
          <w:rFonts w:hint="eastAsia" w:ascii="宋体" w:hAnsi="宋体" w:cs="仿宋_GB2312"/>
          <w:sz w:val="24"/>
        </w:rPr>
        <w:t xml:space="preserve">    3</w:t>
      </w:r>
      <w:bookmarkStart w:id="429" w:name="_Toc312677990"/>
      <w:bookmarkStart w:id="430" w:name="_Toc318581159"/>
      <w:r>
        <w:rPr>
          <w:rFonts w:hint="eastAsia" w:ascii="宋体" w:hAnsi="宋体" w:cs="仿宋_GB2312"/>
          <w:sz w:val="24"/>
        </w:rPr>
        <w:t>.5.2 分包的确定</w:t>
      </w:r>
    </w:p>
    <w:p>
      <w:pPr>
        <w:spacing w:line="460" w:lineRule="exact"/>
        <w:ind w:firstLine="480" w:firstLineChars="200"/>
        <w:rPr>
          <w:rFonts w:ascii="宋体" w:hAnsi="宋体" w:cs="仿宋_GB2312"/>
          <w:sz w:val="24"/>
        </w:rPr>
      </w:pPr>
      <w:r>
        <w:rPr>
          <w:rFonts w:hint="eastAsia" w:ascii="宋体" w:hAnsi="宋体" w:cs="仿宋_GB2312"/>
          <w:sz w:val="24"/>
        </w:rPr>
        <w:t>允许分包的专业工程包括：</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rPr>
          <w:rFonts w:ascii="宋体" w:hAnsi="宋体" w:cs="仿宋_GB2312"/>
          <w:sz w:val="24"/>
        </w:rPr>
      </w:pPr>
      <w:r>
        <w:rPr>
          <w:rFonts w:hint="eastAsia" w:ascii="宋体" w:hAnsi="宋体" w:cs="仿宋_GB2312"/>
          <w:sz w:val="24"/>
        </w:rPr>
        <w:t>涉及分包的工程内容，分包工程承包人的资格应符合国家相关规定。</w:t>
      </w:r>
    </w:p>
    <w:p>
      <w:pPr>
        <w:spacing w:line="460" w:lineRule="exact"/>
        <w:ind w:firstLine="480" w:firstLineChars="200"/>
        <w:rPr>
          <w:rFonts w:ascii="宋体" w:hAnsi="宋体" w:cs="仿宋_GB2312"/>
          <w:sz w:val="24"/>
        </w:rPr>
      </w:pPr>
      <w:r>
        <w:rPr>
          <w:rFonts w:hint="eastAsia" w:ascii="宋体" w:hAnsi="宋体" w:cs="仿宋_GB2312"/>
          <w:sz w:val="24"/>
        </w:rPr>
        <w:t>其他关于分包的约定：</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rPr>
          <w:rFonts w:ascii="宋体" w:hAnsi="宋体" w:cs="仿宋_GB2312"/>
          <w:sz w:val="24"/>
        </w:rPr>
      </w:pPr>
      <w:r>
        <w:rPr>
          <w:rFonts w:hint="eastAsia" w:ascii="宋体" w:hAnsi="宋体" w:cs="仿宋_GB2312"/>
          <w:sz w:val="24"/>
        </w:rPr>
        <w:t>3.5.4 分包合同价款</w:t>
      </w:r>
    </w:p>
    <w:p>
      <w:pPr>
        <w:spacing w:line="460" w:lineRule="exact"/>
        <w:ind w:firstLine="480" w:firstLineChars="200"/>
        <w:rPr>
          <w:rFonts w:ascii="宋体" w:hAnsi="宋体"/>
          <w:sz w:val="24"/>
        </w:rPr>
      </w:pPr>
      <w:r>
        <w:rPr>
          <w:rFonts w:ascii="宋体" w:hAnsi="宋体"/>
          <w:sz w:val="24"/>
        </w:rPr>
        <w:t>关于分包合同价款支付的约定：</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p>
    <w:bookmarkEnd w:id="429"/>
    <w:bookmarkEnd w:id="430"/>
    <w:p>
      <w:pPr>
        <w:spacing w:line="460" w:lineRule="exact"/>
        <w:ind w:firstLine="481" w:firstLineChars="200"/>
        <w:outlineLvl w:val="2"/>
        <w:rPr>
          <w:rFonts w:ascii="宋体" w:hAnsi="宋体"/>
          <w:b/>
          <w:sz w:val="24"/>
        </w:rPr>
      </w:pPr>
      <w:bookmarkStart w:id="431" w:name="_Toc30018"/>
      <w:bookmarkStart w:id="432" w:name="_Toc1926667033"/>
      <w:bookmarkStart w:id="433" w:name="_Toc1754831627"/>
      <w:r>
        <w:rPr>
          <w:rFonts w:ascii="宋体" w:hAnsi="宋体"/>
          <w:b/>
          <w:sz w:val="24"/>
        </w:rPr>
        <w:t>3.6 工程照管与成品、半成品保护</w:t>
      </w:r>
      <w:bookmarkEnd w:id="431"/>
      <w:bookmarkEnd w:id="432"/>
      <w:bookmarkEnd w:id="433"/>
    </w:p>
    <w:p>
      <w:pPr>
        <w:spacing w:line="460" w:lineRule="exact"/>
        <w:ind w:firstLine="480" w:firstLineChars="200"/>
        <w:outlineLvl w:val="2"/>
        <w:rPr>
          <w:rFonts w:ascii="宋体" w:hAnsi="宋体" w:cs="仿宋_GB2312"/>
          <w:sz w:val="24"/>
        </w:rPr>
      </w:pPr>
      <w:bookmarkStart w:id="434" w:name="_Toc786970481"/>
      <w:bookmarkStart w:id="435" w:name="_Toc65997439"/>
      <w:r>
        <w:rPr>
          <w:rFonts w:hint="eastAsia" w:ascii="宋体" w:hAnsi="宋体" w:cs="仿宋_GB2312"/>
          <w:sz w:val="24"/>
        </w:rPr>
        <w:t>本款补充3.6.2。</w:t>
      </w:r>
      <w:bookmarkEnd w:id="434"/>
      <w:bookmarkEnd w:id="435"/>
    </w:p>
    <w:p>
      <w:pPr>
        <w:snapToGrid w:val="0"/>
        <w:spacing w:before="120" w:after="120" w:line="460" w:lineRule="exact"/>
        <w:ind w:firstLine="480" w:firstLineChars="200"/>
        <w:rPr>
          <w:rFonts w:ascii="宋体" w:hAnsi="宋体" w:cs="仿宋_GB2312"/>
          <w:kern w:val="0"/>
          <w:sz w:val="24"/>
        </w:rPr>
      </w:pPr>
      <w:r>
        <w:rPr>
          <w:rFonts w:hint="eastAsia" w:ascii="宋体" w:hAnsi="宋体" w:cs="仿宋_GB2312"/>
          <w:kern w:val="0"/>
          <w:sz w:val="24"/>
        </w:rPr>
        <w:t>3.6.1 承包人负责照管工程及工程相关的材料、工程设备的起始时间：</w:t>
      </w:r>
      <w:r>
        <w:rPr>
          <w:rFonts w:hint="eastAsia" w:ascii="宋体" w:hAnsi="宋体" w:cs="仿宋_GB2312"/>
          <w:kern w:val="0"/>
          <w:sz w:val="24"/>
          <w:u w:val="single"/>
        </w:rPr>
        <w:t xml:space="preserve">                                             </w:t>
      </w:r>
      <w:r>
        <w:rPr>
          <w:rFonts w:hint="eastAsia" w:ascii="宋体" w:hAnsi="宋体" w:cs="仿宋_GB2312"/>
          <w:kern w:val="0"/>
          <w:sz w:val="24"/>
        </w:rPr>
        <w:t>。</w:t>
      </w:r>
    </w:p>
    <w:p>
      <w:pPr>
        <w:snapToGrid w:val="0"/>
        <w:spacing w:line="460" w:lineRule="exact"/>
        <w:ind w:firstLine="480" w:firstLineChars="200"/>
        <w:rPr>
          <w:rFonts w:ascii="宋体" w:hAnsi="宋体"/>
          <w:sz w:val="24"/>
        </w:rPr>
      </w:pPr>
      <w:r>
        <w:rPr>
          <w:rFonts w:hint="eastAsia" w:ascii="宋体" w:hAnsi="宋体" w:cs="仿宋_GB2312"/>
          <w:kern w:val="0"/>
          <w:sz w:val="24"/>
        </w:rPr>
        <w:t>3.6.2 现状树木的保护起始时间：</w:t>
      </w:r>
      <w:r>
        <w:rPr>
          <w:rFonts w:hint="eastAsia" w:ascii="宋体" w:hAnsi="宋体" w:cs="仿宋_GB2312"/>
          <w:kern w:val="0"/>
          <w:sz w:val="24"/>
          <w:u w:val="single"/>
        </w:rPr>
        <w:t xml:space="preserve">                     </w:t>
      </w:r>
      <w:r>
        <w:rPr>
          <w:rFonts w:hint="eastAsia" w:ascii="宋体" w:hAnsi="宋体" w:cs="仿宋_GB2312"/>
          <w:kern w:val="0"/>
          <w:sz w:val="24"/>
        </w:rPr>
        <w:t xml:space="preserve">。 </w:t>
      </w:r>
      <w:r>
        <w:rPr>
          <w:rFonts w:ascii="宋体" w:hAnsi="宋体"/>
          <w:sz w:val="24"/>
        </w:rPr>
        <w:t>3.7 履约担保</w:t>
      </w:r>
    </w:p>
    <w:p>
      <w:pPr>
        <w:snapToGrid w:val="0"/>
        <w:spacing w:line="460" w:lineRule="exact"/>
        <w:ind w:left="596" w:leftChars="284"/>
        <w:rPr>
          <w:rFonts w:ascii="宋体" w:hAnsi="宋体" w:cs="仿宋_GB2312"/>
          <w:sz w:val="24"/>
        </w:rPr>
      </w:pPr>
      <w:r>
        <w:rPr>
          <w:rFonts w:hint="eastAsia" w:ascii="宋体" w:hAnsi="宋体"/>
          <w:sz w:val="24"/>
        </w:rPr>
        <w:t>承包人是否提供履约担保：</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r>
        <w:rPr>
          <w:rFonts w:hint="eastAsia" w:ascii="宋体" w:hAnsi="宋体" w:cs="仿宋_GB2312"/>
          <w:sz w:val="24"/>
        </w:rPr>
        <w:t>本款补充：</w:t>
      </w:r>
    </w:p>
    <w:p>
      <w:pPr>
        <w:snapToGrid w:val="0"/>
        <w:spacing w:line="460" w:lineRule="exact"/>
        <w:ind w:firstLine="480" w:firstLineChars="200"/>
        <w:rPr>
          <w:rFonts w:ascii="宋体" w:hAnsi="宋体" w:cs="仿宋_GB2312"/>
          <w:sz w:val="24"/>
        </w:rPr>
      </w:pPr>
      <w:r>
        <w:rPr>
          <w:rFonts w:hint="eastAsia" w:ascii="宋体" w:hAnsi="宋体" w:cs="仿宋_GB2312"/>
          <w:sz w:val="24"/>
        </w:rPr>
        <w:t>履约担保金额及方式：签订合同后</w:t>
      </w:r>
      <w:r>
        <w:rPr>
          <w:rFonts w:hint="eastAsia" w:ascii="宋体" w:hAnsi="宋体" w:cs="仿宋_GB2312"/>
          <w:sz w:val="24"/>
          <w:u w:val="single"/>
        </w:rPr>
        <w:t xml:space="preserve">     </w:t>
      </w:r>
      <w:r>
        <w:rPr>
          <w:rFonts w:hint="eastAsia" w:ascii="宋体" w:hAnsi="宋体" w:cs="仿宋_GB2312"/>
          <w:sz w:val="24"/>
        </w:rPr>
        <w:t>个工作日内，承包人需提交履约担保人民币</w:t>
      </w:r>
      <w:r>
        <w:rPr>
          <w:rFonts w:hint="eastAsia" w:ascii="宋体" w:hAnsi="宋体" w:cs="仿宋_GB2312"/>
          <w:sz w:val="24"/>
          <w:u w:val="single"/>
        </w:rPr>
        <w:t xml:space="preserve">             </w:t>
      </w:r>
      <w:r>
        <w:rPr>
          <w:rFonts w:hint="eastAsia" w:ascii="宋体" w:hAnsi="宋体" w:cs="仿宋_GB2312"/>
          <w:sz w:val="24"/>
        </w:rPr>
        <w:t>元（不高于中标价的10 %），以</w:t>
      </w:r>
      <w:r>
        <w:rPr>
          <w:rFonts w:hint="eastAsia" w:ascii="宋体" w:hAnsi="宋体" w:cs="仿宋_GB2312"/>
          <w:sz w:val="24"/>
        </w:rPr>
        <w:sym w:font="Wingdings" w:char="00A8"/>
      </w:r>
      <w:r>
        <w:rPr>
          <w:rFonts w:hint="eastAsia" w:ascii="宋体" w:hAnsi="宋体" w:cs="仿宋_GB2312"/>
          <w:sz w:val="24"/>
        </w:rPr>
        <w:t>保函或</w:t>
      </w:r>
      <w:r>
        <w:rPr>
          <w:rFonts w:hint="eastAsia" w:ascii="宋体" w:hAnsi="宋体" w:cs="仿宋_GB2312"/>
          <w:sz w:val="24"/>
        </w:rPr>
        <w:sym w:font="Wingdings" w:char="00A8"/>
      </w:r>
      <w:r>
        <w:rPr>
          <w:rFonts w:hint="eastAsia" w:ascii="宋体" w:hAnsi="宋体" w:cs="仿宋_GB2312"/>
          <w:sz w:val="24"/>
        </w:rPr>
        <w:t>保险形式执行。履约担保的有效期至本工程竣工验收合格为止。</w:t>
      </w:r>
    </w:p>
    <w:p>
      <w:pPr>
        <w:pStyle w:val="3"/>
        <w:spacing w:line="460" w:lineRule="exact"/>
        <w:jc w:val="left"/>
        <w:rPr>
          <w:rFonts w:ascii="宋体" w:hAnsi="宋体"/>
          <w:sz w:val="24"/>
          <w:szCs w:val="24"/>
        </w:rPr>
      </w:pPr>
      <w:bookmarkStart w:id="436" w:name="_Toc2142794716"/>
      <w:bookmarkStart w:id="437" w:name="_Toc1195865979"/>
      <w:r>
        <w:rPr>
          <w:rFonts w:ascii="宋体" w:hAnsi="宋体"/>
          <w:sz w:val="24"/>
          <w:szCs w:val="24"/>
        </w:rPr>
        <w:t>4</w:t>
      </w:r>
      <w:bookmarkStart w:id="438" w:name="_Toc267251413"/>
      <w:bookmarkStart w:id="439" w:name="_Toc292559366"/>
      <w:bookmarkStart w:id="440" w:name="_Toc297048348"/>
      <w:bookmarkStart w:id="441" w:name="_Toc297120462"/>
      <w:bookmarkStart w:id="442" w:name="_Toc296346663"/>
      <w:bookmarkStart w:id="443" w:name="_Toc296891202"/>
      <w:bookmarkStart w:id="444" w:name="_Toc296503162"/>
      <w:bookmarkStart w:id="445" w:name="_Toc296890990"/>
      <w:bookmarkStart w:id="446" w:name="_Toc292559871"/>
      <w:bookmarkStart w:id="447" w:name="_Toc296944501"/>
      <w:bookmarkStart w:id="448" w:name="_Toc296347161"/>
      <w:r>
        <w:rPr>
          <w:rFonts w:ascii="宋体" w:hAnsi="宋体"/>
          <w:sz w:val="24"/>
          <w:szCs w:val="24"/>
        </w:rPr>
        <w:t>. 监</w:t>
      </w:r>
      <w:bookmarkEnd w:id="438"/>
      <w:bookmarkEnd w:id="439"/>
      <w:bookmarkEnd w:id="440"/>
      <w:bookmarkEnd w:id="441"/>
      <w:bookmarkEnd w:id="442"/>
      <w:bookmarkEnd w:id="443"/>
      <w:bookmarkEnd w:id="444"/>
      <w:bookmarkEnd w:id="445"/>
      <w:bookmarkEnd w:id="446"/>
      <w:bookmarkEnd w:id="447"/>
      <w:bookmarkEnd w:id="448"/>
      <w:r>
        <w:rPr>
          <w:rFonts w:ascii="宋体" w:hAnsi="宋体"/>
          <w:sz w:val="24"/>
          <w:szCs w:val="24"/>
        </w:rPr>
        <w:t>理人</w:t>
      </w:r>
      <w:bookmarkEnd w:id="436"/>
      <w:bookmarkEnd w:id="437"/>
    </w:p>
    <w:p>
      <w:pPr>
        <w:spacing w:line="460" w:lineRule="exact"/>
        <w:ind w:firstLine="481" w:firstLineChars="200"/>
        <w:outlineLvl w:val="2"/>
        <w:rPr>
          <w:rFonts w:ascii="宋体" w:hAnsi="宋体"/>
          <w:b/>
          <w:sz w:val="24"/>
        </w:rPr>
      </w:pPr>
      <w:bookmarkStart w:id="449" w:name="_Toc22333"/>
      <w:bookmarkStart w:id="450" w:name="_Toc1325789808"/>
      <w:bookmarkStart w:id="451" w:name="_Toc189823449"/>
      <w:r>
        <w:rPr>
          <w:rFonts w:ascii="宋体" w:hAnsi="宋体"/>
          <w:b/>
          <w:sz w:val="24"/>
        </w:rPr>
        <w:t>4.1</w:t>
      </w:r>
      <w:r>
        <w:rPr>
          <w:rFonts w:hint="eastAsia" w:ascii="宋体" w:hAnsi="宋体"/>
          <w:b/>
          <w:sz w:val="24"/>
        </w:rPr>
        <w:t xml:space="preserve"> </w:t>
      </w:r>
      <w:r>
        <w:rPr>
          <w:rFonts w:ascii="宋体" w:hAnsi="宋体"/>
          <w:b/>
          <w:sz w:val="24"/>
        </w:rPr>
        <w:t>监理人的一般规定</w:t>
      </w:r>
      <w:bookmarkEnd w:id="449"/>
      <w:bookmarkEnd w:id="450"/>
      <w:bookmarkEnd w:id="451"/>
    </w:p>
    <w:p>
      <w:pPr>
        <w:spacing w:line="460" w:lineRule="exact"/>
        <w:ind w:firstLine="480" w:firstLineChars="200"/>
        <w:jc w:val="left"/>
        <w:rPr>
          <w:rFonts w:ascii="宋体" w:hAnsi="宋体"/>
          <w:sz w:val="24"/>
        </w:rPr>
      </w:pPr>
      <w:r>
        <w:rPr>
          <w:rFonts w:ascii="宋体" w:hAnsi="宋体"/>
          <w:sz w:val="24"/>
        </w:rPr>
        <w:t>关于监理人的监理内容：</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rPr>
        <w:t>。</w:t>
      </w:r>
    </w:p>
    <w:p>
      <w:pPr>
        <w:spacing w:line="460" w:lineRule="exact"/>
        <w:ind w:firstLine="480" w:firstLineChars="200"/>
        <w:jc w:val="left"/>
        <w:rPr>
          <w:rFonts w:ascii="宋体" w:hAnsi="宋体"/>
          <w:sz w:val="24"/>
        </w:rPr>
      </w:pPr>
      <w:r>
        <w:rPr>
          <w:rFonts w:ascii="宋体" w:hAnsi="宋体"/>
          <w:sz w:val="24"/>
        </w:rPr>
        <w:t>关于监理人的监理权限：</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rPr>
        <w:t xml:space="preserve">。 </w:t>
      </w:r>
    </w:p>
    <w:p>
      <w:pPr>
        <w:spacing w:line="460" w:lineRule="exact"/>
        <w:ind w:firstLine="480" w:firstLineChars="200"/>
        <w:rPr>
          <w:rFonts w:ascii="宋体" w:hAnsi="宋体"/>
          <w:sz w:val="24"/>
          <w:u w:val="single"/>
        </w:rPr>
      </w:pPr>
      <w:r>
        <w:rPr>
          <w:rFonts w:ascii="宋体" w:hAnsi="宋体"/>
          <w:sz w:val="24"/>
        </w:rPr>
        <w:t>关于监理人在施工现场的办公场所、生活场所的提供和费用承担的约定：</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rPr>
        <w:t>。</w:t>
      </w:r>
    </w:p>
    <w:p>
      <w:pPr>
        <w:spacing w:line="460" w:lineRule="exact"/>
        <w:ind w:firstLine="481" w:firstLineChars="200"/>
        <w:outlineLvl w:val="2"/>
        <w:rPr>
          <w:rFonts w:ascii="宋体" w:hAnsi="宋体"/>
          <w:b/>
          <w:sz w:val="24"/>
        </w:rPr>
      </w:pPr>
      <w:bookmarkStart w:id="452" w:name="_Toc1275710936"/>
      <w:bookmarkStart w:id="453" w:name="_Toc1416"/>
      <w:bookmarkStart w:id="454" w:name="_Toc1881790026"/>
      <w:r>
        <w:rPr>
          <w:rFonts w:ascii="宋体" w:hAnsi="宋体"/>
          <w:b/>
          <w:sz w:val="24"/>
        </w:rPr>
        <w:t>4.2 监理人员</w:t>
      </w:r>
      <w:bookmarkEnd w:id="452"/>
      <w:bookmarkEnd w:id="453"/>
      <w:bookmarkEnd w:id="454"/>
    </w:p>
    <w:p>
      <w:pPr>
        <w:spacing w:line="460" w:lineRule="exact"/>
        <w:ind w:firstLine="480" w:firstLineChars="200"/>
        <w:rPr>
          <w:rFonts w:ascii="宋体" w:hAnsi="宋体"/>
          <w:sz w:val="24"/>
        </w:rPr>
      </w:pPr>
      <w:r>
        <w:rPr>
          <w:rFonts w:ascii="宋体" w:hAnsi="宋体"/>
          <w:sz w:val="24"/>
        </w:rPr>
        <w:t>关于监理人的其他约定：</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rPr>
        <w:t>。</w:t>
      </w:r>
    </w:p>
    <w:p>
      <w:pPr>
        <w:spacing w:line="460" w:lineRule="exact"/>
        <w:ind w:firstLine="481" w:firstLineChars="200"/>
        <w:outlineLvl w:val="2"/>
        <w:rPr>
          <w:rFonts w:ascii="宋体" w:hAnsi="宋体"/>
          <w:b/>
          <w:sz w:val="24"/>
        </w:rPr>
      </w:pPr>
      <w:bookmarkStart w:id="455" w:name="_Toc351297407"/>
      <w:bookmarkStart w:id="456" w:name="_Toc20339"/>
      <w:bookmarkStart w:id="457" w:name="_Toc1839233093"/>
      <w:r>
        <w:rPr>
          <w:rFonts w:ascii="宋体" w:hAnsi="宋体"/>
          <w:b/>
          <w:sz w:val="24"/>
        </w:rPr>
        <w:t>4.4 商定或确定</w:t>
      </w:r>
      <w:bookmarkEnd w:id="455"/>
      <w:bookmarkEnd w:id="456"/>
      <w:bookmarkEnd w:id="457"/>
    </w:p>
    <w:p>
      <w:pPr>
        <w:spacing w:line="460" w:lineRule="exact"/>
        <w:ind w:firstLine="480" w:firstLineChars="200"/>
        <w:rPr>
          <w:rFonts w:ascii="宋体" w:hAnsi="宋体"/>
          <w:sz w:val="24"/>
        </w:rPr>
      </w:pPr>
      <w:bookmarkStart w:id="458" w:name="_Toc267251418"/>
      <w:r>
        <w:rPr>
          <w:rFonts w:ascii="宋体" w:hAnsi="宋体"/>
          <w:sz w:val="24"/>
        </w:rPr>
        <w:t>在发包人和承包人不能通过协商达成一致意见时，发包人授权监理人对以下事项进行确定：</w:t>
      </w:r>
    </w:p>
    <w:p>
      <w:pPr>
        <w:autoSpaceDE w:val="0"/>
        <w:autoSpaceDN w:val="0"/>
        <w:adjustRightInd w:val="0"/>
        <w:spacing w:line="460" w:lineRule="exact"/>
        <w:ind w:firstLine="480" w:firstLineChars="200"/>
        <w:jc w:val="left"/>
        <w:rPr>
          <w:rFonts w:ascii="宋体" w:hAnsi="宋体" w:cs="仿宋_GB2312"/>
          <w:kern w:val="0"/>
          <w:sz w:val="24"/>
        </w:rPr>
      </w:pPr>
      <w:r>
        <w:rPr>
          <w:rFonts w:hint="eastAsia" w:ascii="宋体" w:hAnsi="宋体" w:cs="仿宋_GB2312"/>
          <w:kern w:val="0"/>
          <w:sz w:val="24"/>
        </w:rPr>
        <w:t>（1）</w:t>
      </w:r>
      <w:r>
        <w:rPr>
          <w:rFonts w:hint="eastAsia" w:ascii="宋体" w:hAnsi="宋体" w:cs="仿宋_GB2312"/>
          <w:sz w:val="24"/>
          <w:u w:val="single"/>
        </w:rPr>
        <w:t xml:space="preserve">                                              </w:t>
      </w:r>
      <w:r>
        <w:rPr>
          <w:rFonts w:hint="eastAsia" w:ascii="宋体" w:hAnsi="宋体" w:cs="仿宋_GB2312"/>
          <w:sz w:val="24"/>
        </w:rPr>
        <w:t>；</w:t>
      </w:r>
    </w:p>
    <w:p>
      <w:pPr>
        <w:autoSpaceDE w:val="0"/>
        <w:autoSpaceDN w:val="0"/>
        <w:adjustRightInd w:val="0"/>
        <w:spacing w:line="460" w:lineRule="exact"/>
        <w:ind w:firstLine="480" w:firstLineChars="200"/>
        <w:jc w:val="left"/>
        <w:rPr>
          <w:rFonts w:ascii="宋体" w:hAnsi="宋体" w:cs="仿宋_GB2312"/>
          <w:kern w:val="0"/>
          <w:sz w:val="24"/>
        </w:rPr>
      </w:pPr>
      <w:r>
        <w:rPr>
          <w:rFonts w:hint="eastAsia" w:ascii="宋体" w:hAnsi="宋体" w:cs="仿宋_GB2312"/>
          <w:kern w:val="0"/>
          <w:sz w:val="24"/>
        </w:rPr>
        <w:t>（2）</w:t>
      </w:r>
      <w:r>
        <w:rPr>
          <w:rFonts w:hint="eastAsia" w:ascii="宋体" w:hAnsi="宋体" w:cs="仿宋_GB2312"/>
          <w:sz w:val="24"/>
          <w:u w:val="single"/>
        </w:rPr>
        <w:t xml:space="preserve">                                              </w:t>
      </w:r>
      <w:r>
        <w:rPr>
          <w:rFonts w:hint="eastAsia" w:ascii="宋体" w:hAnsi="宋体" w:cs="仿宋_GB2312"/>
          <w:sz w:val="24"/>
        </w:rPr>
        <w:t>；</w:t>
      </w:r>
    </w:p>
    <w:p>
      <w:pPr>
        <w:autoSpaceDE w:val="0"/>
        <w:autoSpaceDN w:val="0"/>
        <w:adjustRightInd w:val="0"/>
        <w:spacing w:line="460" w:lineRule="exact"/>
        <w:ind w:firstLine="480" w:firstLineChars="200"/>
        <w:jc w:val="left"/>
        <w:rPr>
          <w:rFonts w:ascii="宋体" w:hAnsi="宋体"/>
          <w:kern w:val="0"/>
          <w:sz w:val="24"/>
        </w:rPr>
      </w:pPr>
      <w:r>
        <w:rPr>
          <w:rFonts w:hint="eastAsia" w:ascii="宋体" w:hAnsi="宋体" w:cs="仿宋_GB2312"/>
          <w:kern w:val="0"/>
          <w:sz w:val="24"/>
        </w:rPr>
        <w:t>（3）</w:t>
      </w:r>
      <w:r>
        <w:rPr>
          <w:rFonts w:hint="eastAsia" w:ascii="宋体" w:hAnsi="宋体" w:cs="仿宋_GB2312"/>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p>
    <w:p>
      <w:pPr>
        <w:pStyle w:val="3"/>
        <w:spacing w:line="460" w:lineRule="exact"/>
        <w:jc w:val="left"/>
        <w:rPr>
          <w:rFonts w:ascii="宋体" w:hAnsi="宋体"/>
          <w:sz w:val="24"/>
          <w:szCs w:val="24"/>
        </w:rPr>
      </w:pPr>
      <w:bookmarkStart w:id="459" w:name="_Toc441549874"/>
      <w:bookmarkStart w:id="460" w:name="_Toc1767461773"/>
      <w:r>
        <w:rPr>
          <w:rFonts w:ascii="宋体" w:hAnsi="宋体"/>
          <w:sz w:val="24"/>
          <w:szCs w:val="24"/>
        </w:rPr>
        <w:t>5</w:t>
      </w:r>
      <w:bookmarkEnd w:id="458"/>
      <w:bookmarkStart w:id="461" w:name="_Toc297120463"/>
      <w:bookmarkStart w:id="462" w:name="_Toc296346664"/>
      <w:bookmarkStart w:id="463" w:name="_Toc292559872"/>
      <w:bookmarkStart w:id="464" w:name="_Toc296944502"/>
      <w:bookmarkStart w:id="465" w:name="_Toc296891203"/>
      <w:bookmarkStart w:id="466" w:name="_Toc296347162"/>
      <w:bookmarkStart w:id="467" w:name="_Toc296890991"/>
      <w:bookmarkStart w:id="468" w:name="_Toc296503163"/>
      <w:bookmarkStart w:id="469" w:name="_Toc292559367"/>
      <w:bookmarkStart w:id="470" w:name="_Toc297048349"/>
      <w:r>
        <w:rPr>
          <w:rFonts w:ascii="宋体" w:hAnsi="宋体"/>
          <w:sz w:val="24"/>
          <w:szCs w:val="24"/>
        </w:rPr>
        <w:t>. 工程质量</w:t>
      </w:r>
      <w:bookmarkEnd w:id="459"/>
      <w:bookmarkEnd w:id="460"/>
    </w:p>
    <w:p>
      <w:pPr>
        <w:spacing w:line="460" w:lineRule="exact"/>
        <w:ind w:firstLine="481" w:firstLineChars="200"/>
        <w:outlineLvl w:val="2"/>
        <w:rPr>
          <w:rFonts w:ascii="宋体" w:hAnsi="宋体"/>
          <w:b/>
          <w:sz w:val="24"/>
        </w:rPr>
      </w:pPr>
      <w:bookmarkStart w:id="471" w:name="_Toc18820"/>
      <w:bookmarkStart w:id="472" w:name="_Toc1592482993"/>
      <w:bookmarkStart w:id="473" w:name="_Toc928117446"/>
      <w:r>
        <w:rPr>
          <w:rFonts w:ascii="宋体" w:hAnsi="宋体"/>
          <w:b/>
          <w:sz w:val="24"/>
        </w:rPr>
        <w:t>5.1 质量要求</w:t>
      </w:r>
      <w:bookmarkEnd w:id="471"/>
      <w:bookmarkEnd w:id="472"/>
      <w:bookmarkEnd w:id="473"/>
    </w:p>
    <w:p>
      <w:pPr>
        <w:spacing w:line="460" w:lineRule="exact"/>
        <w:ind w:firstLine="480" w:firstLineChars="200"/>
        <w:jc w:val="left"/>
        <w:rPr>
          <w:rFonts w:ascii="宋体" w:hAnsi="宋体"/>
          <w:sz w:val="24"/>
          <w:u w:val="single"/>
        </w:rPr>
      </w:pPr>
      <w:r>
        <w:rPr>
          <w:rFonts w:hint="eastAsia" w:ascii="宋体" w:hAnsi="宋体" w:cs="仿宋_GB2312"/>
          <w:sz w:val="24"/>
        </w:rPr>
        <w:t>5</w:t>
      </w:r>
      <w:bookmarkStart w:id="474" w:name="_Toc303539106"/>
      <w:bookmarkStart w:id="475" w:name="_Toc297216155"/>
      <w:bookmarkStart w:id="476" w:name="_Toc312677997"/>
      <w:bookmarkStart w:id="477" w:name="_Toc300934949"/>
      <w:bookmarkStart w:id="478" w:name="_Toc304295527"/>
      <w:bookmarkStart w:id="479" w:name="_Toc318581164"/>
      <w:bookmarkStart w:id="480" w:name="_Toc297123496"/>
      <w:r>
        <w:rPr>
          <w:rFonts w:hint="eastAsia" w:ascii="宋体" w:hAnsi="宋体" w:cs="仿宋_GB2312"/>
          <w:sz w:val="24"/>
        </w:rPr>
        <w:t>.1.1 特</w:t>
      </w:r>
      <w:r>
        <w:rPr>
          <w:rFonts w:ascii="宋体" w:hAnsi="宋体"/>
          <w:sz w:val="24"/>
        </w:rPr>
        <w:t>殊质量标准和要求：</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p>
    <w:p>
      <w:pPr>
        <w:spacing w:line="460" w:lineRule="exact"/>
        <w:ind w:firstLine="480" w:firstLineChars="200"/>
        <w:jc w:val="left"/>
        <w:rPr>
          <w:rFonts w:ascii="宋体" w:hAnsi="宋体"/>
          <w:sz w:val="24"/>
          <w:u w:val="single"/>
        </w:rPr>
      </w:pPr>
      <w:r>
        <w:rPr>
          <w:rFonts w:ascii="宋体" w:hAnsi="宋体"/>
          <w:sz w:val="24"/>
        </w:rPr>
        <w:t>关于工程奖项的约定：</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p>
    <w:p>
      <w:pPr>
        <w:spacing w:line="460" w:lineRule="exact"/>
        <w:ind w:firstLine="481" w:firstLineChars="200"/>
        <w:outlineLvl w:val="2"/>
        <w:rPr>
          <w:rFonts w:ascii="宋体" w:hAnsi="宋体"/>
          <w:b/>
          <w:sz w:val="24"/>
        </w:rPr>
      </w:pPr>
      <w:bookmarkStart w:id="481" w:name="_Toc15546"/>
      <w:bookmarkStart w:id="482" w:name="_Toc462538044"/>
      <w:bookmarkStart w:id="483" w:name="_Toc1292415266"/>
      <w:r>
        <w:rPr>
          <w:rFonts w:ascii="宋体" w:hAnsi="宋体"/>
          <w:b/>
          <w:sz w:val="24"/>
        </w:rPr>
        <w:t>5.3 隐蔽工程检查</w:t>
      </w:r>
      <w:bookmarkEnd w:id="481"/>
      <w:bookmarkEnd w:id="482"/>
      <w:bookmarkEnd w:id="483"/>
    </w:p>
    <w:p>
      <w:pPr>
        <w:spacing w:line="460" w:lineRule="exact"/>
        <w:ind w:firstLine="480" w:firstLineChars="200"/>
        <w:rPr>
          <w:rFonts w:ascii="宋体" w:hAnsi="宋体"/>
          <w:sz w:val="24"/>
        </w:rPr>
      </w:pPr>
      <w:r>
        <w:rPr>
          <w:rFonts w:hint="eastAsia" w:ascii="宋体" w:hAnsi="宋体" w:cs="仿宋_GB2312"/>
          <w:sz w:val="24"/>
        </w:rPr>
        <w:t xml:space="preserve">5.3.2 </w:t>
      </w:r>
      <w:r>
        <w:rPr>
          <w:rFonts w:ascii="宋体" w:hAnsi="宋体"/>
          <w:sz w:val="24"/>
        </w:rPr>
        <w:t>承包人提前通知监理人隐蔽工程检查的期限的约定</w:t>
      </w:r>
      <w:r>
        <w:rPr>
          <w:rFonts w:hint="eastAsia"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p>
    <w:p>
      <w:pPr>
        <w:spacing w:line="460" w:lineRule="exact"/>
        <w:ind w:firstLine="480" w:firstLineChars="200"/>
        <w:jc w:val="left"/>
        <w:rPr>
          <w:rFonts w:ascii="宋体" w:hAnsi="宋体"/>
          <w:sz w:val="24"/>
        </w:rPr>
      </w:pPr>
      <w:r>
        <w:rPr>
          <w:rFonts w:ascii="宋体" w:hAnsi="宋体"/>
          <w:sz w:val="24"/>
        </w:rPr>
        <w:t>监理人不能按时进行检查时，应提前</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小时提交书面延期要求。</w:t>
      </w:r>
    </w:p>
    <w:p>
      <w:pPr>
        <w:spacing w:line="460" w:lineRule="exact"/>
        <w:ind w:firstLine="480" w:firstLineChars="200"/>
        <w:jc w:val="left"/>
        <w:rPr>
          <w:rFonts w:ascii="宋体" w:hAnsi="宋体"/>
          <w:sz w:val="24"/>
        </w:rPr>
      </w:pPr>
      <w:r>
        <w:rPr>
          <w:rFonts w:ascii="宋体" w:hAnsi="宋体"/>
          <w:sz w:val="24"/>
        </w:rPr>
        <w:t>关于延期最长不得超过：</w:t>
      </w:r>
      <w:r>
        <w:rPr>
          <w:rFonts w:ascii="宋体" w:hAnsi="宋体"/>
          <w:sz w:val="24"/>
          <w:u w:val="single"/>
        </w:rPr>
        <w:t xml:space="preserve">   </w:t>
      </w:r>
      <w:r>
        <w:rPr>
          <w:rFonts w:hint="eastAsia" w:ascii="宋体" w:hAnsi="宋体"/>
          <w:sz w:val="24"/>
          <w:u w:val="single"/>
        </w:rPr>
        <w:t xml:space="preserve"> </w:t>
      </w:r>
      <w:r>
        <w:rPr>
          <w:rFonts w:ascii="宋体" w:hAnsi="宋体"/>
          <w:sz w:val="24"/>
        </w:rPr>
        <w:t>小时。</w:t>
      </w:r>
    </w:p>
    <w:p>
      <w:pPr>
        <w:pStyle w:val="3"/>
        <w:spacing w:line="460" w:lineRule="exact"/>
        <w:jc w:val="left"/>
        <w:rPr>
          <w:rFonts w:ascii="宋体" w:hAnsi="宋体"/>
          <w:sz w:val="24"/>
          <w:szCs w:val="24"/>
        </w:rPr>
      </w:pPr>
      <w:bookmarkStart w:id="484" w:name="_Toc1885616336"/>
      <w:bookmarkStart w:id="485" w:name="_Toc714606691"/>
      <w:r>
        <w:rPr>
          <w:rFonts w:ascii="宋体" w:hAnsi="宋体"/>
          <w:sz w:val="24"/>
          <w:szCs w:val="24"/>
        </w:rPr>
        <w:t>6. 安全文明施工与环境保护</w:t>
      </w:r>
      <w:bookmarkEnd w:id="484"/>
      <w:bookmarkEnd w:id="485"/>
    </w:p>
    <w:p>
      <w:pPr>
        <w:spacing w:line="460" w:lineRule="exact"/>
        <w:ind w:firstLine="481" w:firstLineChars="200"/>
        <w:outlineLvl w:val="2"/>
        <w:rPr>
          <w:rFonts w:ascii="宋体" w:hAnsi="宋体"/>
          <w:b/>
          <w:sz w:val="24"/>
        </w:rPr>
      </w:pPr>
      <w:bookmarkStart w:id="486" w:name="_Toc526548747"/>
      <w:bookmarkStart w:id="487" w:name="_Toc11638"/>
      <w:bookmarkStart w:id="488" w:name="_Toc552749545"/>
      <w:r>
        <w:rPr>
          <w:rFonts w:ascii="宋体" w:hAnsi="宋体"/>
          <w:b/>
          <w:sz w:val="24"/>
        </w:rPr>
        <w:t>6.1</w:t>
      </w:r>
      <w:r>
        <w:rPr>
          <w:rFonts w:hint="eastAsia" w:ascii="宋体" w:hAnsi="宋体"/>
          <w:b/>
          <w:sz w:val="24"/>
        </w:rPr>
        <w:t xml:space="preserve"> </w:t>
      </w:r>
      <w:r>
        <w:rPr>
          <w:rFonts w:ascii="宋体" w:hAnsi="宋体"/>
          <w:b/>
          <w:sz w:val="24"/>
        </w:rPr>
        <w:t>安全文明施工</w:t>
      </w:r>
      <w:bookmarkEnd w:id="486"/>
      <w:bookmarkEnd w:id="487"/>
      <w:bookmarkEnd w:id="488"/>
    </w:p>
    <w:p>
      <w:pPr>
        <w:spacing w:line="460" w:lineRule="exact"/>
        <w:ind w:firstLine="480" w:firstLineChars="200"/>
        <w:jc w:val="left"/>
        <w:rPr>
          <w:rFonts w:ascii="宋体" w:hAnsi="宋体" w:cs="仿宋_GB2312"/>
          <w:sz w:val="24"/>
          <w:u w:val="single"/>
        </w:rPr>
      </w:pPr>
      <w:r>
        <w:rPr>
          <w:rFonts w:hint="eastAsia" w:ascii="宋体" w:hAnsi="宋体" w:cs="仿宋_GB2312"/>
          <w:sz w:val="24"/>
        </w:rPr>
        <w:t>6.1.1 项目安全生产的达标目标及相应事项的约定：</w:t>
      </w:r>
      <w:r>
        <w:rPr>
          <w:rFonts w:hint="eastAsia" w:ascii="宋体" w:hAnsi="宋体" w:cs="仿宋_GB2312"/>
          <w:sz w:val="24"/>
          <w:u w:val="single"/>
        </w:rPr>
        <w:t xml:space="preserve">         </w:t>
      </w:r>
    </w:p>
    <w:p>
      <w:pPr>
        <w:spacing w:line="460" w:lineRule="exact"/>
        <w:jc w:val="left"/>
        <w:rPr>
          <w:rFonts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jc w:val="left"/>
        <w:rPr>
          <w:rFonts w:ascii="宋体" w:hAnsi="宋体" w:cs="仿宋_GB2312"/>
          <w:sz w:val="24"/>
          <w:u w:val="single"/>
        </w:rPr>
      </w:pPr>
      <w:r>
        <w:rPr>
          <w:rFonts w:hint="eastAsia" w:ascii="宋体" w:hAnsi="宋体" w:cs="仿宋_GB2312"/>
          <w:sz w:val="24"/>
        </w:rPr>
        <w:t>6.1.4 关于治安保卫的特别约定：</w:t>
      </w:r>
      <w:r>
        <w:rPr>
          <w:rFonts w:hint="eastAsia" w:ascii="宋体" w:hAnsi="宋体" w:cs="仿宋_GB2312"/>
          <w:sz w:val="24"/>
          <w:u w:val="single"/>
        </w:rPr>
        <w:t xml:space="preserve">                         </w:t>
      </w:r>
    </w:p>
    <w:p>
      <w:pPr>
        <w:spacing w:line="460" w:lineRule="exact"/>
        <w:jc w:val="left"/>
        <w:rPr>
          <w:rFonts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jc w:val="left"/>
        <w:rPr>
          <w:rFonts w:ascii="宋体" w:hAnsi="宋体" w:cs="仿宋_GB2312"/>
          <w:sz w:val="24"/>
          <w:u w:val="single"/>
        </w:rPr>
      </w:pPr>
      <w:r>
        <w:rPr>
          <w:rFonts w:hint="eastAsia" w:ascii="宋体" w:hAnsi="宋体" w:cs="仿宋_GB2312"/>
          <w:sz w:val="24"/>
        </w:rPr>
        <w:t>关于编制施工场地治安管理计划的约定：</w:t>
      </w:r>
      <w:r>
        <w:rPr>
          <w:rFonts w:hint="eastAsia" w:ascii="宋体" w:hAnsi="宋体" w:cs="仿宋_GB2312"/>
          <w:sz w:val="24"/>
          <w:u w:val="single"/>
        </w:rPr>
        <w:t xml:space="preserve">                   </w:t>
      </w:r>
    </w:p>
    <w:p>
      <w:pPr>
        <w:spacing w:line="460" w:lineRule="exact"/>
        <w:ind w:firstLine="480" w:firstLineChars="200"/>
        <w:jc w:val="left"/>
        <w:rPr>
          <w:rFonts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jc w:val="left"/>
        <w:rPr>
          <w:rFonts w:ascii="宋体" w:hAnsi="宋体" w:cs="仿宋_GB2312"/>
          <w:sz w:val="24"/>
        </w:rPr>
      </w:pPr>
      <w:r>
        <w:rPr>
          <w:rFonts w:hint="eastAsia" w:ascii="宋体" w:hAnsi="宋体" w:cs="仿宋_GB2312"/>
          <w:sz w:val="24"/>
        </w:rPr>
        <w:t>6.1.5 文明施工</w:t>
      </w:r>
    </w:p>
    <w:p>
      <w:pPr>
        <w:spacing w:line="460" w:lineRule="exact"/>
        <w:ind w:firstLine="480" w:firstLineChars="200"/>
        <w:jc w:val="left"/>
        <w:rPr>
          <w:rFonts w:ascii="宋体" w:hAnsi="宋体" w:cs="仿宋_GB2312"/>
          <w:sz w:val="24"/>
          <w:u w:val="single"/>
        </w:rPr>
      </w:pPr>
      <w:r>
        <w:rPr>
          <w:rFonts w:hint="eastAsia" w:ascii="宋体" w:hAnsi="宋体" w:cs="仿宋_GB2312"/>
          <w:sz w:val="24"/>
        </w:rPr>
        <w:t>合同当事人对文明施工的要求：</w:t>
      </w:r>
      <w:r>
        <w:rPr>
          <w:rFonts w:hint="eastAsia" w:ascii="宋体" w:hAnsi="宋体" w:cs="仿宋_GB2312"/>
          <w:sz w:val="24"/>
          <w:u w:val="single"/>
        </w:rPr>
        <w:t xml:space="preserve">                           </w:t>
      </w:r>
    </w:p>
    <w:p>
      <w:pPr>
        <w:spacing w:line="460" w:lineRule="exact"/>
        <w:jc w:val="left"/>
        <w:rPr>
          <w:rFonts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jc w:val="left"/>
        <w:rPr>
          <w:rFonts w:ascii="宋体" w:hAnsi="宋体"/>
          <w:sz w:val="24"/>
        </w:rPr>
      </w:pPr>
      <w:r>
        <w:rPr>
          <w:rFonts w:hint="eastAsia" w:ascii="宋体" w:hAnsi="宋体" w:cs="仿宋_GB2312"/>
          <w:sz w:val="24"/>
        </w:rPr>
        <w:t>6.1.6 关于安全文明</w:t>
      </w:r>
      <w:r>
        <w:rPr>
          <w:rFonts w:ascii="宋体" w:hAnsi="宋体"/>
          <w:sz w:val="24"/>
        </w:rPr>
        <w:t>施工费支付比例和支付期限的约定：</w:t>
      </w:r>
      <w:r>
        <w:rPr>
          <w:rFonts w:hint="eastAsia" w:ascii="宋体" w:hAnsi="宋体"/>
          <w:sz w:val="24"/>
          <w:u w:val="single"/>
        </w:rPr>
        <w:t xml:space="preserve">     </w:t>
      </w:r>
    </w:p>
    <w:p>
      <w:pPr>
        <w:spacing w:line="460" w:lineRule="exact"/>
        <w:jc w:val="left"/>
        <w:rPr>
          <w:rFonts w:ascii="宋体" w:hAnsi="宋体"/>
          <w:sz w:val="24"/>
        </w:rPr>
      </w:pP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rPr>
        <w:t>。</w:t>
      </w:r>
    </w:p>
    <w:p>
      <w:pPr>
        <w:spacing w:line="460" w:lineRule="exact"/>
        <w:ind w:firstLine="481" w:firstLineChars="200"/>
        <w:outlineLvl w:val="2"/>
        <w:rPr>
          <w:rFonts w:ascii="宋体" w:hAnsi="宋体"/>
          <w:b/>
          <w:sz w:val="24"/>
        </w:rPr>
      </w:pPr>
      <w:bookmarkStart w:id="489" w:name="_Toc1716959566"/>
      <w:bookmarkStart w:id="490" w:name="_Toc584454933"/>
      <w:r>
        <w:rPr>
          <w:rFonts w:hint="eastAsia" w:ascii="宋体" w:hAnsi="宋体"/>
          <w:b/>
          <w:sz w:val="24"/>
        </w:rPr>
        <w:t>6.3 环境保护</w:t>
      </w:r>
      <w:bookmarkEnd w:id="489"/>
      <w:bookmarkEnd w:id="490"/>
    </w:p>
    <w:p>
      <w:pPr>
        <w:spacing w:line="460" w:lineRule="exact"/>
        <w:ind w:firstLine="480" w:firstLineChars="200"/>
        <w:jc w:val="left"/>
        <w:rPr>
          <w:rFonts w:ascii="宋体" w:hAnsi="宋体"/>
          <w:sz w:val="24"/>
        </w:rPr>
      </w:pPr>
      <w:r>
        <w:rPr>
          <w:rFonts w:hint="eastAsia" w:ascii="宋体" w:hAnsi="宋体"/>
          <w:sz w:val="24"/>
        </w:rPr>
        <w:t>本款补充：</w:t>
      </w:r>
    </w:p>
    <w:p>
      <w:pPr>
        <w:spacing w:line="460" w:lineRule="exact"/>
        <w:ind w:firstLine="480" w:firstLineChars="200"/>
        <w:jc w:val="left"/>
        <w:rPr>
          <w:rFonts w:ascii="宋体" w:hAnsi="宋体"/>
          <w:sz w:val="24"/>
        </w:rPr>
      </w:pPr>
      <w:r>
        <w:rPr>
          <w:rFonts w:hint="eastAsia" w:ascii="宋体" w:hAnsi="宋体"/>
          <w:sz w:val="24"/>
        </w:rPr>
        <w:t>合同当事人</w:t>
      </w:r>
      <w:r>
        <w:rPr>
          <w:rFonts w:ascii="宋体" w:hAnsi="宋体"/>
          <w:sz w:val="24"/>
        </w:rPr>
        <w:t>对农药、肥料的</w:t>
      </w:r>
      <w:r>
        <w:rPr>
          <w:rFonts w:hint="eastAsia" w:ascii="宋体" w:hAnsi="宋体"/>
          <w:sz w:val="24"/>
        </w:rPr>
        <w:t>使用</w:t>
      </w:r>
      <w:r>
        <w:rPr>
          <w:rFonts w:ascii="宋体" w:hAnsi="宋体"/>
          <w:sz w:val="24"/>
        </w:rPr>
        <w:t>要求：</w:t>
      </w:r>
      <w:r>
        <w:rPr>
          <w:rFonts w:hint="eastAsia" w:ascii="宋体" w:hAnsi="宋体"/>
          <w:sz w:val="24"/>
          <w:u w:val="single"/>
        </w:rPr>
        <w:t xml:space="preserve">                  </w:t>
      </w:r>
      <w:r>
        <w:rPr>
          <w:rFonts w:ascii="宋体" w:hAnsi="宋体"/>
          <w:sz w:val="24"/>
        </w:rPr>
        <w:t>。</w:t>
      </w:r>
    </w:p>
    <w:bookmarkEnd w:id="474"/>
    <w:bookmarkEnd w:id="475"/>
    <w:bookmarkEnd w:id="476"/>
    <w:bookmarkEnd w:id="477"/>
    <w:bookmarkEnd w:id="478"/>
    <w:bookmarkEnd w:id="479"/>
    <w:bookmarkEnd w:id="480"/>
    <w:p>
      <w:pPr>
        <w:pStyle w:val="3"/>
        <w:spacing w:line="460" w:lineRule="exact"/>
        <w:jc w:val="left"/>
        <w:rPr>
          <w:rFonts w:ascii="宋体" w:hAnsi="宋体"/>
          <w:sz w:val="24"/>
          <w:szCs w:val="24"/>
        </w:rPr>
      </w:pPr>
      <w:bookmarkStart w:id="491" w:name="_Toc1019739217"/>
      <w:bookmarkStart w:id="492" w:name="_Toc309374293"/>
      <w:r>
        <w:rPr>
          <w:rFonts w:hint="eastAsia" w:ascii="宋体" w:hAnsi="宋体"/>
          <w:sz w:val="24"/>
          <w:szCs w:val="24"/>
        </w:rPr>
        <w:t>7.</w:t>
      </w:r>
      <w:r>
        <w:rPr>
          <w:rFonts w:ascii="宋体" w:hAnsi="宋体"/>
          <w:sz w:val="24"/>
          <w:szCs w:val="24"/>
        </w:rPr>
        <w:t>工期和进度</w:t>
      </w:r>
      <w:bookmarkEnd w:id="491"/>
      <w:bookmarkEnd w:id="492"/>
    </w:p>
    <w:p>
      <w:pPr>
        <w:spacing w:line="460" w:lineRule="exact"/>
        <w:ind w:firstLine="481" w:firstLineChars="200"/>
        <w:outlineLvl w:val="2"/>
        <w:rPr>
          <w:rFonts w:ascii="宋体" w:hAnsi="宋体" w:cs="仿宋_GB2312"/>
          <w:b/>
          <w:kern w:val="0"/>
          <w:sz w:val="24"/>
        </w:rPr>
      </w:pPr>
      <w:bookmarkStart w:id="493" w:name="_Toc152004302"/>
      <w:bookmarkStart w:id="494" w:name="_Toc829052215"/>
      <w:bookmarkStart w:id="495" w:name="_Toc20685"/>
      <w:r>
        <w:rPr>
          <w:rFonts w:hint="eastAsia" w:ascii="宋体" w:hAnsi="宋体"/>
          <w:b/>
          <w:sz w:val="24"/>
        </w:rPr>
        <w:t xml:space="preserve">7.1 </w:t>
      </w:r>
      <w:r>
        <w:rPr>
          <w:rFonts w:ascii="宋体" w:hAnsi="宋体"/>
          <w:b/>
          <w:sz w:val="24"/>
        </w:rPr>
        <w:t>施工组织设计</w:t>
      </w:r>
      <w:bookmarkEnd w:id="493"/>
      <w:bookmarkEnd w:id="494"/>
      <w:bookmarkEnd w:id="495"/>
    </w:p>
    <w:p>
      <w:pPr>
        <w:spacing w:line="460" w:lineRule="exact"/>
        <w:ind w:firstLine="480" w:firstLineChars="200"/>
        <w:outlineLvl w:val="2"/>
        <w:rPr>
          <w:rFonts w:ascii="宋体" w:hAnsi="宋体" w:cs="仿宋_GB2312"/>
          <w:kern w:val="0"/>
          <w:sz w:val="24"/>
        </w:rPr>
      </w:pPr>
      <w:bookmarkStart w:id="496" w:name="_Toc429268490"/>
      <w:bookmarkStart w:id="497" w:name="_Toc1441533854"/>
      <w:r>
        <w:rPr>
          <w:rFonts w:hint="eastAsia" w:ascii="宋体" w:hAnsi="宋体" w:cs="仿宋_GB2312"/>
          <w:kern w:val="0"/>
          <w:sz w:val="24"/>
        </w:rPr>
        <w:t>本款修改7.1.1。</w:t>
      </w:r>
      <w:bookmarkEnd w:id="496"/>
      <w:bookmarkEnd w:id="497"/>
    </w:p>
    <w:p>
      <w:pPr>
        <w:spacing w:line="460" w:lineRule="exact"/>
        <w:ind w:firstLine="480" w:firstLineChars="200"/>
        <w:outlineLvl w:val="2"/>
        <w:rPr>
          <w:rFonts w:ascii="宋体" w:hAnsi="宋体" w:cs="仿宋_GB2312"/>
          <w:kern w:val="0"/>
          <w:sz w:val="24"/>
        </w:rPr>
      </w:pPr>
      <w:bookmarkStart w:id="498" w:name="_Toc1337492230"/>
      <w:bookmarkStart w:id="499" w:name="_Toc856803142"/>
      <w:r>
        <w:rPr>
          <w:rFonts w:hint="eastAsia" w:ascii="宋体" w:hAnsi="宋体" w:cs="仿宋_GB2312"/>
          <w:kern w:val="0"/>
          <w:sz w:val="24"/>
        </w:rPr>
        <w:t xml:space="preserve">7.1.1 </w:t>
      </w:r>
      <w:r>
        <w:rPr>
          <w:rFonts w:hint="eastAsia" w:ascii="宋体" w:hAnsi="宋体" w:cs="仿宋_GB2312"/>
          <w:sz w:val="24"/>
        </w:rPr>
        <w:t>工程涉及以下内容的，合</w:t>
      </w:r>
      <w:r>
        <w:rPr>
          <w:rFonts w:hint="eastAsia" w:ascii="宋体" w:hAnsi="宋体" w:cs="仿宋_GB2312"/>
          <w:kern w:val="0"/>
          <w:sz w:val="24"/>
        </w:rPr>
        <w:t>同当事人约定的施工组织设计还应包括此类工程内容的专项施工方案：</w:t>
      </w:r>
      <w:bookmarkEnd w:id="498"/>
      <w:bookmarkEnd w:id="499"/>
    </w:p>
    <w:p>
      <w:pPr>
        <w:spacing w:line="460" w:lineRule="exact"/>
        <w:ind w:firstLine="480" w:firstLineChars="200"/>
        <w:outlineLvl w:val="2"/>
        <w:rPr>
          <w:rFonts w:ascii="宋体" w:hAnsi="宋体" w:cs="仿宋_GB2312"/>
          <w:sz w:val="24"/>
        </w:rPr>
      </w:pPr>
      <w:bookmarkStart w:id="500" w:name="_Toc650023867"/>
      <w:bookmarkStart w:id="501" w:name="_Toc1488833316"/>
      <w:r>
        <w:rPr>
          <w:rFonts w:hint="eastAsia" w:ascii="宋体" w:hAnsi="宋体" w:cs="仿宋_GB2312"/>
          <w:sz w:val="24"/>
        </w:rPr>
        <w:sym w:font="Wingdings" w:char="00A8"/>
      </w:r>
      <w:r>
        <w:rPr>
          <w:rFonts w:hint="eastAsia" w:ascii="宋体" w:hAnsi="宋体" w:cs="仿宋_GB2312"/>
          <w:sz w:val="24"/>
        </w:rPr>
        <w:t>现状树木保护；</w:t>
      </w:r>
      <w:bookmarkEnd w:id="500"/>
      <w:bookmarkEnd w:id="501"/>
    </w:p>
    <w:p>
      <w:pPr>
        <w:spacing w:line="460" w:lineRule="exact"/>
        <w:ind w:firstLine="480" w:firstLineChars="200"/>
        <w:outlineLvl w:val="2"/>
        <w:rPr>
          <w:rFonts w:ascii="宋体" w:hAnsi="宋体" w:cs="仿宋_GB2312"/>
          <w:sz w:val="24"/>
        </w:rPr>
      </w:pPr>
      <w:bookmarkStart w:id="502" w:name="_Toc266056742"/>
      <w:bookmarkStart w:id="503" w:name="_Toc382208328"/>
      <w:r>
        <w:rPr>
          <w:rFonts w:hint="eastAsia" w:ascii="宋体" w:hAnsi="宋体" w:cs="仿宋_GB2312"/>
          <w:sz w:val="24"/>
        </w:rPr>
        <w:sym w:font="Wingdings" w:char="00A8"/>
      </w:r>
      <w:r>
        <w:rPr>
          <w:rFonts w:hint="eastAsia" w:ascii="宋体" w:hAnsi="宋体" w:cs="仿宋_GB2312"/>
          <w:sz w:val="24"/>
        </w:rPr>
        <w:t>古树名木保护;</w:t>
      </w:r>
      <w:bookmarkEnd w:id="502"/>
      <w:bookmarkEnd w:id="503"/>
    </w:p>
    <w:p>
      <w:pPr>
        <w:spacing w:line="460" w:lineRule="exact"/>
        <w:ind w:firstLine="480" w:firstLineChars="200"/>
        <w:outlineLvl w:val="2"/>
        <w:rPr>
          <w:rFonts w:ascii="宋体" w:hAnsi="宋体" w:cs="仿宋_GB2312"/>
          <w:sz w:val="24"/>
        </w:rPr>
      </w:pPr>
      <w:bookmarkStart w:id="504" w:name="_Toc1137515080"/>
      <w:bookmarkStart w:id="505" w:name="_Toc1350692319"/>
      <w:r>
        <w:rPr>
          <w:rFonts w:hint="eastAsia" w:ascii="宋体" w:hAnsi="宋体" w:cs="仿宋_GB2312"/>
          <w:sz w:val="24"/>
        </w:rPr>
        <w:sym w:font="Wingdings" w:char="00A8"/>
      </w:r>
      <w:r>
        <w:rPr>
          <w:rFonts w:hint="eastAsia" w:ascii="宋体" w:hAnsi="宋体" w:cs="仿宋_GB2312"/>
          <w:sz w:val="24"/>
        </w:rPr>
        <w:t>土壤改良;</w:t>
      </w:r>
      <w:bookmarkEnd w:id="504"/>
      <w:bookmarkEnd w:id="505"/>
    </w:p>
    <w:p>
      <w:pPr>
        <w:spacing w:line="460" w:lineRule="exact"/>
        <w:ind w:firstLine="480" w:firstLineChars="200"/>
        <w:outlineLvl w:val="2"/>
        <w:rPr>
          <w:rFonts w:ascii="宋体" w:hAnsi="宋体" w:cs="仿宋_GB2312"/>
          <w:kern w:val="0"/>
          <w:sz w:val="24"/>
        </w:rPr>
      </w:pPr>
      <w:bookmarkStart w:id="506" w:name="_Toc1673538922"/>
      <w:bookmarkStart w:id="507" w:name="_Toc630504734"/>
      <w:r>
        <w:rPr>
          <w:rFonts w:hint="eastAsia" w:ascii="宋体" w:hAnsi="宋体" w:cs="仿宋_GB2312"/>
          <w:sz w:val="24"/>
        </w:rPr>
        <w:sym w:font="Wingdings" w:char="00A8"/>
      </w:r>
      <w:r>
        <w:rPr>
          <w:rFonts w:hint="eastAsia" w:ascii="宋体" w:hAnsi="宋体" w:cs="仿宋_GB2312"/>
          <w:sz w:val="24"/>
        </w:rPr>
        <w:t>其他内容：</w:t>
      </w:r>
      <w:r>
        <w:rPr>
          <w:rFonts w:hint="eastAsia" w:ascii="宋体" w:hAnsi="宋体" w:cs="仿宋_GB2312"/>
          <w:sz w:val="24"/>
          <w:u w:val="single"/>
        </w:rPr>
        <w:t xml:space="preserve">                                        </w:t>
      </w:r>
      <w:r>
        <w:rPr>
          <w:rFonts w:hint="eastAsia" w:ascii="宋体" w:hAnsi="宋体" w:cs="仿宋_GB2312"/>
          <w:sz w:val="24"/>
        </w:rPr>
        <w:t>。</w:t>
      </w:r>
      <w:bookmarkEnd w:id="506"/>
      <w:bookmarkEnd w:id="507"/>
    </w:p>
    <w:p>
      <w:pPr>
        <w:autoSpaceDE w:val="0"/>
        <w:autoSpaceDN w:val="0"/>
        <w:adjustRightInd w:val="0"/>
        <w:spacing w:line="460" w:lineRule="exact"/>
        <w:ind w:firstLine="480" w:firstLineChars="200"/>
        <w:jc w:val="left"/>
        <w:rPr>
          <w:rFonts w:ascii="宋体" w:hAnsi="宋体" w:cs="仿宋_GB2312"/>
          <w:kern w:val="0"/>
          <w:sz w:val="24"/>
        </w:rPr>
      </w:pPr>
      <w:r>
        <w:rPr>
          <w:rFonts w:hint="eastAsia" w:ascii="宋体" w:hAnsi="宋体" w:cs="仿宋_GB2312"/>
          <w:sz w:val="24"/>
        </w:rPr>
        <w:t xml:space="preserve">7.1.2 </w:t>
      </w:r>
      <w:r>
        <w:rPr>
          <w:rFonts w:hint="eastAsia" w:ascii="宋体" w:hAnsi="宋体" w:cs="仿宋_GB2312"/>
          <w:kern w:val="0"/>
          <w:sz w:val="24"/>
        </w:rPr>
        <w:t>施工组织设计的提交和修改</w:t>
      </w:r>
    </w:p>
    <w:p>
      <w:pPr>
        <w:autoSpaceDE w:val="0"/>
        <w:autoSpaceDN w:val="0"/>
        <w:adjustRightInd w:val="0"/>
        <w:spacing w:line="460" w:lineRule="exact"/>
        <w:ind w:firstLine="480" w:firstLineChars="200"/>
        <w:jc w:val="left"/>
        <w:rPr>
          <w:rFonts w:ascii="宋体" w:hAnsi="宋体" w:cs="仿宋_GB2312"/>
          <w:sz w:val="24"/>
          <w:u w:val="single"/>
        </w:rPr>
      </w:pPr>
      <w:r>
        <w:rPr>
          <w:rFonts w:hint="eastAsia" w:ascii="宋体" w:hAnsi="宋体" w:cs="仿宋_GB2312"/>
          <w:kern w:val="0"/>
          <w:sz w:val="24"/>
        </w:rPr>
        <w:t>承包人提交详细施工组织设计的期限的约定：</w:t>
      </w:r>
      <w:r>
        <w:rPr>
          <w:rFonts w:hint="eastAsia" w:ascii="宋体" w:hAnsi="宋体" w:cs="仿宋_GB2312"/>
          <w:sz w:val="24"/>
          <w:u w:val="single"/>
        </w:rPr>
        <w:t xml:space="preserve">               </w:t>
      </w:r>
    </w:p>
    <w:p>
      <w:pPr>
        <w:autoSpaceDE w:val="0"/>
        <w:autoSpaceDN w:val="0"/>
        <w:adjustRightInd w:val="0"/>
        <w:spacing w:line="460" w:lineRule="exact"/>
        <w:jc w:val="left"/>
        <w:rPr>
          <w:rFonts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rPr>
          <w:rFonts w:ascii="宋体" w:hAnsi="宋体"/>
          <w:sz w:val="24"/>
        </w:rPr>
      </w:pPr>
      <w:r>
        <w:rPr>
          <w:rFonts w:hint="eastAsia" w:ascii="宋体" w:hAnsi="宋体" w:cs="仿宋_GB2312"/>
          <w:sz w:val="24"/>
        </w:rPr>
        <w:t>发包人和监理人在收到详细的施工组织设计后确认或提出修改意见的期限：</w:t>
      </w:r>
      <w:r>
        <w:rPr>
          <w:rFonts w:hint="eastAsia" w:ascii="宋体" w:hAnsi="宋体" w:cs="仿宋_GB2312"/>
          <w:sz w:val="24"/>
          <w:u w:val="single"/>
        </w:rPr>
        <w:t xml:space="preserve">                                </w:t>
      </w:r>
      <w:r>
        <w:rPr>
          <w:rFonts w:hint="eastAsia" w:ascii="宋体" w:hAnsi="宋体"/>
          <w:sz w:val="24"/>
          <w:u w:val="single"/>
        </w:rPr>
        <w:t xml:space="preserve">       </w:t>
      </w:r>
      <w:r>
        <w:rPr>
          <w:rFonts w:ascii="宋体" w:hAnsi="宋体"/>
          <w:sz w:val="24"/>
        </w:rPr>
        <w:t>。</w:t>
      </w:r>
    </w:p>
    <w:p>
      <w:pPr>
        <w:spacing w:line="460" w:lineRule="exact"/>
        <w:ind w:firstLine="481" w:firstLineChars="200"/>
        <w:outlineLvl w:val="2"/>
        <w:rPr>
          <w:rFonts w:ascii="宋体" w:hAnsi="宋体"/>
          <w:b/>
          <w:sz w:val="24"/>
        </w:rPr>
      </w:pPr>
      <w:bookmarkStart w:id="508" w:name="_Toc2142813545"/>
      <w:bookmarkStart w:id="509" w:name="_Toc1135946897"/>
      <w:bookmarkStart w:id="510" w:name="_Toc14427"/>
      <w:r>
        <w:rPr>
          <w:rFonts w:ascii="宋体" w:hAnsi="宋体"/>
          <w:b/>
          <w:sz w:val="24"/>
        </w:rPr>
        <w:t>7</w:t>
      </w:r>
      <w:bookmarkStart w:id="511" w:name="_Toc300934966"/>
      <w:bookmarkStart w:id="512" w:name="_Toc304295541"/>
      <w:bookmarkStart w:id="513" w:name="_Toc297123514"/>
      <w:bookmarkStart w:id="514" w:name="_Toc297216173"/>
      <w:bookmarkStart w:id="515" w:name="_Toc312677479"/>
      <w:bookmarkStart w:id="516" w:name="_Toc312678005"/>
      <w:bookmarkStart w:id="517" w:name="_Toc303539123"/>
      <w:r>
        <w:rPr>
          <w:rFonts w:ascii="宋体" w:hAnsi="宋体"/>
          <w:b/>
          <w:sz w:val="24"/>
        </w:rPr>
        <w:t>.2 施工进度计划</w:t>
      </w:r>
      <w:bookmarkEnd w:id="508"/>
      <w:bookmarkEnd w:id="509"/>
      <w:bookmarkEnd w:id="510"/>
    </w:p>
    <w:p>
      <w:pPr>
        <w:spacing w:line="460" w:lineRule="exact"/>
        <w:ind w:firstLine="480" w:firstLineChars="200"/>
        <w:jc w:val="left"/>
        <w:rPr>
          <w:rFonts w:ascii="宋体" w:hAnsi="宋体" w:cs="仿宋_GB2312"/>
          <w:sz w:val="24"/>
        </w:rPr>
      </w:pPr>
      <w:r>
        <w:rPr>
          <w:rFonts w:hint="eastAsia" w:ascii="宋体" w:hAnsi="宋体" w:cs="仿宋_GB2312"/>
          <w:sz w:val="24"/>
        </w:rPr>
        <w:t>7.2.2 施工进度计划的修订</w:t>
      </w:r>
    </w:p>
    <w:p>
      <w:pPr>
        <w:spacing w:line="460" w:lineRule="exact"/>
        <w:ind w:firstLine="480" w:firstLineChars="200"/>
        <w:rPr>
          <w:rFonts w:ascii="宋体" w:hAnsi="宋体"/>
          <w:sz w:val="24"/>
        </w:rPr>
      </w:pPr>
      <w:r>
        <w:rPr>
          <w:rFonts w:hint="eastAsia" w:ascii="宋体" w:hAnsi="宋体" w:cs="仿宋_GB2312"/>
          <w:sz w:val="24"/>
        </w:rPr>
        <w:t>发包人和监</w:t>
      </w:r>
      <w:r>
        <w:rPr>
          <w:rFonts w:ascii="宋体" w:hAnsi="宋体"/>
          <w:sz w:val="24"/>
        </w:rPr>
        <w:t>理人在收到修订的施工进度计划后确认或提出修改意见的期限：</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rPr>
        <w:t>。</w:t>
      </w:r>
    </w:p>
    <w:p>
      <w:pPr>
        <w:spacing w:line="460" w:lineRule="exact"/>
        <w:ind w:firstLine="481" w:firstLineChars="200"/>
        <w:outlineLvl w:val="2"/>
        <w:rPr>
          <w:rFonts w:ascii="宋体" w:hAnsi="宋体"/>
          <w:b/>
          <w:sz w:val="24"/>
        </w:rPr>
      </w:pPr>
      <w:bookmarkStart w:id="518" w:name="_Toc1263038917"/>
      <w:bookmarkStart w:id="519" w:name="_Toc6687"/>
      <w:bookmarkStart w:id="520" w:name="_Toc1253067105"/>
      <w:r>
        <w:rPr>
          <w:rFonts w:ascii="宋体" w:hAnsi="宋体"/>
          <w:b/>
          <w:sz w:val="24"/>
        </w:rPr>
        <w:t>7.3 开工</w:t>
      </w:r>
      <w:bookmarkEnd w:id="518"/>
      <w:bookmarkEnd w:id="519"/>
      <w:bookmarkEnd w:id="520"/>
    </w:p>
    <w:p>
      <w:pPr>
        <w:spacing w:line="460" w:lineRule="exact"/>
        <w:ind w:firstLine="480" w:firstLineChars="200"/>
        <w:jc w:val="left"/>
        <w:rPr>
          <w:rFonts w:ascii="宋体" w:hAnsi="宋体" w:cs="仿宋_GB2312"/>
          <w:sz w:val="24"/>
        </w:rPr>
      </w:pPr>
      <w:r>
        <w:rPr>
          <w:rFonts w:hint="eastAsia" w:ascii="宋体" w:hAnsi="宋体" w:cs="仿宋_GB2312"/>
          <w:sz w:val="24"/>
        </w:rPr>
        <w:t>本款修改7.3.1。</w:t>
      </w:r>
    </w:p>
    <w:p>
      <w:pPr>
        <w:spacing w:line="460" w:lineRule="exact"/>
        <w:ind w:firstLine="480" w:firstLineChars="200"/>
        <w:jc w:val="left"/>
        <w:rPr>
          <w:rFonts w:ascii="宋体" w:hAnsi="宋体" w:cs="仿宋_GB2312"/>
          <w:sz w:val="24"/>
        </w:rPr>
      </w:pPr>
      <w:r>
        <w:rPr>
          <w:rFonts w:hint="eastAsia" w:ascii="宋体" w:hAnsi="宋体" w:cs="仿宋_GB2312"/>
          <w:sz w:val="24"/>
        </w:rPr>
        <w:t>7.3.1 开工准备</w:t>
      </w:r>
    </w:p>
    <w:p>
      <w:pPr>
        <w:spacing w:line="460" w:lineRule="exact"/>
        <w:ind w:firstLine="480" w:firstLineChars="200"/>
        <w:jc w:val="left"/>
        <w:rPr>
          <w:rFonts w:ascii="宋体" w:hAnsi="宋体" w:cs="仿宋_GB2312"/>
          <w:sz w:val="24"/>
          <w:u w:val="single"/>
        </w:rPr>
      </w:pPr>
      <w:r>
        <w:rPr>
          <w:rFonts w:hint="eastAsia" w:ascii="宋体" w:hAnsi="宋体" w:cs="仿宋_GB2312"/>
          <w:sz w:val="24"/>
        </w:rPr>
        <w:t>关于承包人提交</w:t>
      </w:r>
      <w:r>
        <w:rPr>
          <w:rFonts w:hint="eastAsia" w:ascii="宋体" w:hAnsi="宋体" w:cs="仿宋_GB2312"/>
          <w:kern w:val="0"/>
          <w:sz w:val="24"/>
        </w:rPr>
        <w:t>工程开工报审表的期限：</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jc w:val="left"/>
        <w:rPr>
          <w:rFonts w:ascii="宋体" w:hAnsi="宋体" w:cs="仿宋_GB2312"/>
          <w:sz w:val="24"/>
          <w:u w:val="single"/>
        </w:rPr>
      </w:pPr>
      <w:r>
        <w:rPr>
          <w:rFonts w:hint="eastAsia" w:ascii="宋体" w:hAnsi="宋体" w:cs="仿宋_GB2312"/>
          <w:sz w:val="24"/>
        </w:rPr>
        <w:t>关于发包人应完成的其他开工准备工作及期限：</w:t>
      </w:r>
      <w:r>
        <w:rPr>
          <w:rFonts w:hint="eastAsia" w:ascii="宋体" w:hAnsi="宋体" w:cs="仿宋_GB2312"/>
          <w:sz w:val="24"/>
          <w:u w:val="single"/>
        </w:rPr>
        <w:t xml:space="preserve">             </w:t>
      </w:r>
    </w:p>
    <w:p>
      <w:pPr>
        <w:spacing w:line="460" w:lineRule="exact"/>
        <w:jc w:val="left"/>
        <w:rPr>
          <w:rFonts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jc w:val="left"/>
        <w:rPr>
          <w:rFonts w:ascii="宋体" w:hAnsi="宋体" w:cs="仿宋_GB2312"/>
          <w:sz w:val="24"/>
          <w:u w:val="single"/>
        </w:rPr>
      </w:pPr>
      <w:r>
        <w:rPr>
          <w:rFonts w:hint="eastAsia" w:ascii="宋体" w:hAnsi="宋体" w:cs="仿宋_GB2312"/>
          <w:sz w:val="24"/>
        </w:rPr>
        <w:t>关于承包人应完成的其他开工准备工作及期限：</w:t>
      </w:r>
      <w:r>
        <w:rPr>
          <w:rFonts w:hint="eastAsia" w:ascii="宋体" w:hAnsi="宋体" w:cs="仿宋_GB2312"/>
          <w:sz w:val="24"/>
          <w:u w:val="single"/>
        </w:rPr>
        <w:t xml:space="preserve">             </w:t>
      </w:r>
    </w:p>
    <w:p>
      <w:pPr>
        <w:spacing w:line="460" w:lineRule="exact"/>
        <w:jc w:val="left"/>
        <w:rPr>
          <w:rFonts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jc w:val="left"/>
        <w:rPr>
          <w:rFonts w:ascii="宋体" w:hAnsi="宋体" w:cs="仿宋_GB2312"/>
          <w:sz w:val="24"/>
        </w:rPr>
      </w:pPr>
      <w:r>
        <w:rPr>
          <w:rFonts w:hint="eastAsia" w:ascii="宋体" w:hAnsi="宋体" w:cs="仿宋_GB2312"/>
          <w:sz w:val="24"/>
        </w:rPr>
        <w:t>7.3.2 开工通知</w:t>
      </w:r>
    </w:p>
    <w:p>
      <w:pPr>
        <w:spacing w:line="460" w:lineRule="exact"/>
        <w:ind w:firstLine="480" w:firstLineChars="200"/>
        <w:rPr>
          <w:rFonts w:ascii="宋体" w:hAnsi="宋体"/>
          <w:sz w:val="24"/>
        </w:rPr>
      </w:pPr>
      <w:r>
        <w:rPr>
          <w:rFonts w:hint="eastAsia" w:ascii="宋体" w:hAnsi="宋体" w:cs="仿宋_GB2312"/>
          <w:sz w:val="24"/>
        </w:rPr>
        <w:t>因发包人原因或监理人未能在计划开工日期之日起</w:t>
      </w:r>
      <w:r>
        <w:rPr>
          <w:rFonts w:hint="eastAsia" w:ascii="宋体" w:hAnsi="宋体" w:cs="仿宋_GB2312"/>
          <w:sz w:val="24"/>
          <w:u w:val="single"/>
        </w:rPr>
        <w:t xml:space="preserve">   </w:t>
      </w:r>
      <w:r>
        <w:rPr>
          <w:rFonts w:hint="eastAsia" w:ascii="宋体" w:hAnsi="宋体" w:cs="仿宋_GB2312"/>
          <w:sz w:val="24"/>
        </w:rPr>
        <w:t>天内发出开工通知的，承包人有权提出</w:t>
      </w:r>
      <w:r>
        <w:rPr>
          <w:rFonts w:ascii="宋体" w:hAnsi="宋体"/>
          <w:sz w:val="24"/>
        </w:rPr>
        <w:t>价格调整要求，或者解除合同。</w:t>
      </w:r>
    </w:p>
    <w:bookmarkEnd w:id="511"/>
    <w:bookmarkEnd w:id="512"/>
    <w:bookmarkEnd w:id="513"/>
    <w:bookmarkEnd w:id="514"/>
    <w:bookmarkEnd w:id="515"/>
    <w:bookmarkEnd w:id="516"/>
    <w:bookmarkEnd w:id="517"/>
    <w:p>
      <w:pPr>
        <w:spacing w:line="460" w:lineRule="exact"/>
        <w:ind w:firstLine="481" w:firstLineChars="200"/>
        <w:outlineLvl w:val="2"/>
        <w:rPr>
          <w:rFonts w:ascii="宋体" w:hAnsi="宋体"/>
          <w:b/>
          <w:sz w:val="24"/>
        </w:rPr>
      </w:pPr>
      <w:bookmarkStart w:id="521" w:name="_Toc96331289"/>
      <w:bookmarkStart w:id="522" w:name="_Toc19537660"/>
      <w:bookmarkStart w:id="523" w:name="_Toc17408"/>
      <w:r>
        <w:rPr>
          <w:rFonts w:ascii="宋体" w:hAnsi="宋体"/>
          <w:b/>
          <w:sz w:val="24"/>
        </w:rPr>
        <w:t>7.4 测量放线</w:t>
      </w:r>
      <w:bookmarkEnd w:id="521"/>
      <w:bookmarkEnd w:id="522"/>
      <w:bookmarkEnd w:id="523"/>
    </w:p>
    <w:p>
      <w:pPr>
        <w:spacing w:line="460" w:lineRule="exact"/>
        <w:ind w:firstLine="480" w:firstLineChars="200"/>
        <w:jc w:val="left"/>
        <w:rPr>
          <w:rFonts w:ascii="宋体" w:hAnsi="宋体" w:cs="仿宋_GB2312"/>
          <w:sz w:val="24"/>
        </w:rPr>
      </w:pPr>
      <w:r>
        <w:rPr>
          <w:rFonts w:hint="eastAsia" w:ascii="宋体" w:hAnsi="宋体" w:cs="仿宋_GB2312"/>
          <w:sz w:val="24"/>
        </w:rPr>
        <w:t>本款修改7.4.1。</w:t>
      </w:r>
    </w:p>
    <w:p>
      <w:pPr>
        <w:spacing w:line="460" w:lineRule="exact"/>
        <w:ind w:firstLine="480" w:firstLineChars="200"/>
        <w:rPr>
          <w:rFonts w:ascii="宋体" w:hAnsi="宋体"/>
          <w:sz w:val="24"/>
          <w:u w:val="single"/>
        </w:rPr>
      </w:pPr>
      <w:r>
        <w:rPr>
          <w:rFonts w:hint="eastAsia" w:ascii="宋体" w:hAnsi="宋体" w:cs="仿宋_GB2312"/>
          <w:sz w:val="24"/>
        </w:rPr>
        <w:t>7.4.1 发包人或发包人通过监理人向承包人提供测量基准点、基准线和水准点及其书面</w:t>
      </w:r>
      <w:r>
        <w:rPr>
          <w:rFonts w:ascii="宋体" w:hAnsi="宋体"/>
          <w:sz w:val="24"/>
        </w:rPr>
        <w:t>资料的期限：</w:t>
      </w:r>
      <w:r>
        <w:rPr>
          <w:rFonts w:ascii="宋体" w:hAnsi="宋体"/>
          <w:sz w:val="24"/>
          <w:u w:val="single"/>
        </w:rPr>
        <w:t xml:space="preserve">        </w:t>
      </w:r>
      <w:r>
        <w:rPr>
          <w:rFonts w:hint="eastAsia" w:ascii="宋体" w:hAnsi="宋体"/>
          <w:sz w:val="24"/>
          <w:u w:val="single"/>
        </w:rPr>
        <w:t xml:space="preserve">          </w:t>
      </w:r>
      <w:r>
        <w:rPr>
          <w:rFonts w:ascii="宋体" w:hAnsi="宋体"/>
          <w:sz w:val="24"/>
        </w:rPr>
        <w:t>。</w:t>
      </w:r>
    </w:p>
    <w:p>
      <w:pPr>
        <w:spacing w:line="460" w:lineRule="exact"/>
        <w:ind w:firstLine="481" w:firstLineChars="200"/>
        <w:outlineLvl w:val="2"/>
        <w:rPr>
          <w:rFonts w:ascii="宋体" w:hAnsi="宋体"/>
          <w:b/>
          <w:sz w:val="24"/>
        </w:rPr>
      </w:pPr>
      <w:bookmarkStart w:id="524" w:name="_Toc1986698096"/>
      <w:bookmarkStart w:id="525" w:name="_Toc117950900"/>
      <w:bookmarkStart w:id="526" w:name="_Toc20355"/>
      <w:r>
        <w:rPr>
          <w:rFonts w:ascii="宋体" w:hAnsi="宋体"/>
          <w:b/>
          <w:sz w:val="24"/>
        </w:rPr>
        <w:t>7</w:t>
      </w:r>
      <w:bookmarkStart w:id="527" w:name="_Toc300934968"/>
      <w:bookmarkStart w:id="528" w:name="_Toc312677484"/>
      <w:bookmarkStart w:id="529" w:name="_Toc297216175"/>
      <w:bookmarkStart w:id="530" w:name="_Toc312678010"/>
      <w:bookmarkStart w:id="531" w:name="_Toc297123516"/>
      <w:bookmarkStart w:id="532" w:name="_Toc303539125"/>
      <w:bookmarkStart w:id="533" w:name="_Toc304295546"/>
      <w:r>
        <w:rPr>
          <w:rFonts w:ascii="宋体" w:hAnsi="宋体"/>
          <w:b/>
          <w:sz w:val="24"/>
        </w:rPr>
        <w:t>.5 工期延误</w:t>
      </w:r>
      <w:bookmarkEnd w:id="524"/>
      <w:bookmarkEnd w:id="525"/>
      <w:bookmarkEnd w:id="526"/>
    </w:p>
    <w:bookmarkEnd w:id="527"/>
    <w:bookmarkEnd w:id="528"/>
    <w:bookmarkEnd w:id="529"/>
    <w:bookmarkEnd w:id="530"/>
    <w:bookmarkEnd w:id="531"/>
    <w:bookmarkEnd w:id="532"/>
    <w:bookmarkEnd w:id="533"/>
    <w:p>
      <w:pPr>
        <w:spacing w:line="460" w:lineRule="exact"/>
        <w:ind w:firstLine="480" w:firstLineChars="200"/>
        <w:jc w:val="left"/>
        <w:rPr>
          <w:rFonts w:ascii="宋体" w:hAnsi="宋体" w:cs="仿宋_GB2312"/>
          <w:sz w:val="24"/>
        </w:rPr>
      </w:pPr>
      <w:r>
        <w:rPr>
          <w:rFonts w:hint="eastAsia" w:ascii="宋体" w:hAnsi="宋体" w:cs="仿宋_GB2312"/>
          <w:sz w:val="24"/>
        </w:rPr>
        <w:t>7.5.1 因发包人原因导致工期延误</w:t>
      </w:r>
    </w:p>
    <w:p>
      <w:pPr>
        <w:spacing w:line="460" w:lineRule="exact"/>
        <w:ind w:firstLine="480" w:firstLineChars="200"/>
        <w:jc w:val="left"/>
        <w:rPr>
          <w:rFonts w:ascii="宋体" w:hAnsi="宋体" w:cs="仿宋_GB2312"/>
          <w:sz w:val="24"/>
          <w:u w:val="single"/>
        </w:rPr>
      </w:pPr>
      <w:r>
        <w:rPr>
          <w:rFonts w:hint="eastAsia" w:ascii="宋体" w:hAnsi="宋体" w:cs="仿宋_GB2312"/>
          <w:sz w:val="24"/>
        </w:rPr>
        <w:t>（7）因发包人原因导致工期延误的其他情形：</w:t>
      </w:r>
      <w:r>
        <w:rPr>
          <w:rFonts w:hint="eastAsia" w:ascii="宋体" w:hAnsi="宋体" w:cs="仿宋_GB2312"/>
          <w:sz w:val="24"/>
          <w:u w:val="single"/>
        </w:rPr>
        <w:t xml:space="preserve">              </w:t>
      </w:r>
    </w:p>
    <w:p>
      <w:pPr>
        <w:spacing w:line="460" w:lineRule="exact"/>
        <w:jc w:val="left"/>
        <w:rPr>
          <w:rFonts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jc w:val="left"/>
        <w:rPr>
          <w:rFonts w:ascii="宋体" w:hAnsi="宋体" w:cs="仿宋_GB2312"/>
          <w:sz w:val="24"/>
        </w:rPr>
      </w:pPr>
      <w:r>
        <w:rPr>
          <w:rFonts w:hint="eastAsia" w:ascii="宋体" w:hAnsi="宋体" w:cs="仿宋_GB2312"/>
          <w:sz w:val="24"/>
        </w:rPr>
        <w:t>7</w:t>
      </w:r>
      <w:bookmarkStart w:id="534" w:name="_Toc318581169"/>
      <w:bookmarkStart w:id="535" w:name="_Toc312677486"/>
      <w:bookmarkStart w:id="536" w:name="_Toc312678012"/>
      <w:bookmarkStart w:id="537" w:name="_Toc304295548"/>
      <w:bookmarkStart w:id="538" w:name="_Toc303539127"/>
      <w:bookmarkStart w:id="539" w:name="_Toc297123518"/>
      <w:bookmarkStart w:id="540" w:name="_Toc297216177"/>
      <w:bookmarkStart w:id="541" w:name="_Toc300934970"/>
      <w:r>
        <w:rPr>
          <w:rFonts w:hint="eastAsia" w:ascii="宋体" w:hAnsi="宋体" w:cs="仿宋_GB2312"/>
          <w:sz w:val="24"/>
        </w:rPr>
        <w:t>.5.2 因承包人原因导致工期延误</w:t>
      </w:r>
    </w:p>
    <w:bookmarkEnd w:id="534"/>
    <w:bookmarkEnd w:id="535"/>
    <w:bookmarkEnd w:id="536"/>
    <w:p>
      <w:pPr>
        <w:spacing w:line="460" w:lineRule="exact"/>
        <w:ind w:firstLine="480" w:firstLineChars="200"/>
        <w:jc w:val="left"/>
        <w:rPr>
          <w:rFonts w:ascii="宋体" w:hAnsi="宋体" w:cs="仿宋_GB2312"/>
          <w:sz w:val="24"/>
          <w:u w:val="single"/>
        </w:rPr>
      </w:pPr>
      <w:r>
        <w:rPr>
          <w:rFonts w:hint="eastAsia" w:ascii="宋体" w:hAnsi="宋体" w:cs="仿宋_GB2312"/>
          <w:sz w:val="24"/>
        </w:rPr>
        <w:t>因</w:t>
      </w:r>
      <w:bookmarkStart w:id="542" w:name="_Toc312677487"/>
      <w:bookmarkStart w:id="543" w:name="_Toc312678013"/>
      <w:bookmarkStart w:id="544" w:name="_Toc318581170"/>
      <w:r>
        <w:rPr>
          <w:rFonts w:hint="eastAsia" w:ascii="宋体" w:hAnsi="宋体" w:cs="仿宋_GB2312"/>
          <w:sz w:val="24"/>
        </w:rPr>
        <w:t>承包人原因造成工期延误，逾期竣工违约金的计算方法为：</w:t>
      </w:r>
      <w:r>
        <w:rPr>
          <w:rFonts w:ascii="宋体" w:hAnsi="宋体"/>
          <w:sz w:val="24"/>
          <w:u w:val="single"/>
        </w:rPr>
        <w:t xml:space="preserve"> </w:t>
      </w:r>
      <w:r>
        <w:rPr>
          <w:rFonts w:hint="eastAsia" w:ascii="宋体" w:hAnsi="宋体" w:cs="仿宋_GB2312"/>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rPr>
        <w:t>。</w:t>
      </w:r>
      <w:bookmarkEnd w:id="537"/>
      <w:bookmarkEnd w:id="538"/>
      <w:bookmarkEnd w:id="539"/>
      <w:bookmarkEnd w:id="540"/>
      <w:bookmarkEnd w:id="541"/>
      <w:bookmarkEnd w:id="542"/>
      <w:bookmarkEnd w:id="543"/>
    </w:p>
    <w:bookmarkEnd w:id="544"/>
    <w:p>
      <w:pPr>
        <w:spacing w:line="460" w:lineRule="exact"/>
        <w:ind w:firstLine="480" w:firstLineChars="200"/>
        <w:jc w:val="left"/>
        <w:rPr>
          <w:rFonts w:ascii="宋体" w:hAnsi="宋体"/>
          <w:sz w:val="24"/>
        </w:rPr>
      </w:pPr>
      <w:r>
        <w:rPr>
          <w:rFonts w:ascii="宋体" w:hAnsi="宋体"/>
          <w:sz w:val="24"/>
        </w:rPr>
        <w:t>因承包人原因造成工期延误，逾</w:t>
      </w:r>
      <w:bookmarkStart w:id="545" w:name="_Toc318581171"/>
      <w:bookmarkStart w:id="546" w:name="_Toc312678014"/>
      <w:r>
        <w:rPr>
          <w:rFonts w:ascii="宋体" w:hAnsi="宋体"/>
          <w:sz w:val="24"/>
        </w:rPr>
        <w:t>期竣工违约金的上限：</w:t>
      </w:r>
      <w:r>
        <w:rPr>
          <w:rFonts w:ascii="宋体" w:hAnsi="宋体"/>
          <w:sz w:val="24"/>
          <w:u w:val="single"/>
        </w:rPr>
        <w:t xml:space="preserve">       </w:t>
      </w:r>
    </w:p>
    <w:p>
      <w:pPr>
        <w:spacing w:line="460" w:lineRule="exact"/>
        <w:jc w:val="left"/>
        <w:rPr>
          <w:rFonts w:ascii="宋体" w:hAnsi="宋体"/>
          <w:sz w:val="24"/>
        </w:rPr>
      </w:pP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p>
    <w:bookmarkEnd w:id="545"/>
    <w:bookmarkEnd w:id="546"/>
    <w:p>
      <w:pPr>
        <w:spacing w:line="460" w:lineRule="exact"/>
        <w:ind w:firstLine="481" w:firstLineChars="200"/>
        <w:outlineLvl w:val="2"/>
        <w:rPr>
          <w:rFonts w:ascii="宋体" w:hAnsi="宋体"/>
          <w:b/>
          <w:sz w:val="24"/>
        </w:rPr>
      </w:pPr>
      <w:bookmarkStart w:id="547" w:name="_Toc28024"/>
      <w:bookmarkStart w:id="548" w:name="_Toc441299698"/>
      <w:bookmarkStart w:id="549" w:name="_Toc1834347369"/>
      <w:r>
        <w:rPr>
          <w:rFonts w:ascii="宋体" w:hAnsi="宋体"/>
          <w:b/>
          <w:sz w:val="24"/>
        </w:rPr>
        <w:t>7</w:t>
      </w:r>
      <w:bookmarkStart w:id="550" w:name="_Toc297123519"/>
      <w:bookmarkStart w:id="551" w:name="_Toc312678015"/>
      <w:bookmarkStart w:id="552" w:name="_Toc300934971"/>
      <w:bookmarkStart w:id="553" w:name="_Toc304295549"/>
      <w:bookmarkStart w:id="554" w:name="_Toc303539128"/>
      <w:bookmarkStart w:id="555" w:name="_Toc297216178"/>
      <w:r>
        <w:rPr>
          <w:rFonts w:ascii="宋体" w:hAnsi="宋体"/>
          <w:b/>
          <w:sz w:val="24"/>
        </w:rPr>
        <w:t>.6 不</w:t>
      </w:r>
      <w:bookmarkEnd w:id="550"/>
      <w:bookmarkEnd w:id="551"/>
      <w:bookmarkEnd w:id="552"/>
      <w:bookmarkEnd w:id="553"/>
      <w:bookmarkEnd w:id="554"/>
      <w:bookmarkEnd w:id="555"/>
      <w:r>
        <w:rPr>
          <w:rFonts w:ascii="宋体" w:hAnsi="宋体"/>
          <w:b/>
          <w:sz w:val="24"/>
        </w:rPr>
        <w:t>利物质条件</w:t>
      </w:r>
      <w:bookmarkEnd w:id="547"/>
      <w:bookmarkEnd w:id="548"/>
      <w:bookmarkEnd w:id="549"/>
    </w:p>
    <w:p>
      <w:pPr>
        <w:spacing w:line="460" w:lineRule="exact"/>
        <w:ind w:firstLine="480" w:firstLineChars="200"/>
        <w:jc w:val="left"/>
        <w:rPr>
          <w:rFonts w:ascii="宋体" w:hAnsi="宋体"/>
          <w:sz w:val="24"/>
          <w:u w:val="single"/>
        </w:rPr>
      </w:pPr>
      <w:bookmarkStart w:id="556" w:name="_Toc300934972"/>
      <w:bookmarkStart w:id="557" w:name="_Toc318581172"/>
      <w:bookmarkStart w:id="558" w:name="_Toc312678016"/>
      <w:bookmarkStart w:id="559" w:name="_Toc304295550"/>
      <w:bookmarkStart w:id="560" w:name="_Toc297123520"/>
      <w:bookmarkStart w:id="561" w:name="_Toc303539129"/>
      <w:bookmarkStart w:id="562" w:name="_Toc297216179"/>
      <w:r>
        <w:rPr>
          <w:rFonts w:ascii="宋体" w:hAnsi="宋体"/>
          <w:sz w:val="24"/>
        </w:rPr>
        <w:t>不利物质条件的其他情形和有关约定：</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460" w:lineRule="exact"/>
        <w:jc w:val="left"/>
        <w:rPr>
          <w:rFonts w:ascii="宋体" w:hAnsi="宋体"/>
          <w:sz w:val="24"/>
        </w:rPr>
      </w:pPr>
      <w:r>
        <w:rPr>
          <w:rFonts w:ascii="宋体" w:hAnsi="宋体"/>
          <w:sz w:val="24"/>
          <w:u w:val="single"/>
        </w:rPr>
        <w:t xml:space="preserve">                                      </w:t>
      </w:r>
      <w:r>
        <w:rPr>
          <w:rFonts w:hint="eastAsia" w:ascii="宋体" w:hAnsi="宋体"/>
          <w:sz w:val="24"/>
          <w:u w:val="single"/>
        </w:rPr>
        <w:t xml:space="preserve">                </w:t>
      </w:r>
      <w:r>
        <w:rPr>
          <w:rFonts w:ascii="宋体" w:hAnsi="宋体"/>
          <w:sz w:val="24"/>
        </w:rPr>
        <w:t>。</w:t>
      </w:r>
    </w:p>
    <w:bookmarkEnd w:id="556"/>
    <w:bookmarkEnd w:id="557"/>
    <w:bookmarkEnd w:id="558"/>
    <w:bookmarkEnd w:id="559"/>
    <w:bookmarkEnd w:id="560"/>
    <w:bookmarkEnd w:id="561"/>
    <w:bookmarkEnd w:id="562"/>
    <w:p>
      <w:pPr>
        <w:spacing w:line="460" w:lineRule="exact"/>
        <w:ind w:firstLine="481" w:firstLineChars="200"/>
        <w:outlineLvl w:val="2"/>
        <w:rPr>
          <w:rFonts w:ascii="宋体" w:hAnsi="宋体"/>
          <w:b/>
          <w:sz w:val="24"/>
        </w:rPr>
      </w:pPr>
      <w:bookmarkStart w:id="563" w:name="_Toc1225022270"/>
      <w:bookmarkStart w:id="564" w:name="_Toc1077505333"/>
      <w:bookmarkStart w:id="565" w:name="_Toc32335"/>
      <w:r>
        <w:rPr>
          <w:rFonts w:ascii="宋体" w:hAnsi="宋体"/>
          <w:b/>
          <w:sz w:val="24"/>
        </w:rPr>
        <w:t>7</w:t>
      </w:r>
      <w:bookmarkStart w:id="566" w:name="_Toc300934973"/>
      <w:bookmarkStart w:id="567" w:name="_Toc312678017"/>
      <w:bookmarkStart w:id="568" w:name="_Toc304295551"/>
      <w:bookmarkStart w:id="569" w:name="_Toc297123521"/>
      <w:bookmarkStart w:id="570" w:name="_Toc297216180"/>
      <w:bookmarkStart w:id="571" w:name="_Toc303539130"/>
      <w:r>
        <w:rPr>
          <w:rFonts w:ascii="宋体" w:hAnsi="宋体"/>
          <w:b/>
          <w:sz w:val="24"/>
        </w:rPr>
        <w:t>.7</w:t>
      </w:r>
      <w:r>
        <w:rPr>
          <w:rFonts w:hint="eastAsia" w:ascii="宋体" w:hAnsi="宋体"/>
          <w:b/>
          <w:sz w:val="24"/>
        </w:rPr>
        <w:t xml:space="preserve"> </w:t>
      </w:r>
      <w:r>
        <w:rPr>
          <w:rFonts w:ascii="宋体" w:hAnsi="宋体"/>
          <w:b/>
          <w:sz w:val="24"/>
        </w:rPr>
        <w:t>异常恶劣的气候条件</w:t>
      </w:r>
      <w:bookmarkEnd w:id="563"/>
      <w:bookmarkEnd w:id="564"/>
      <w:bookmarkEnd w:id="565"/>
    </w:p>
    <w:bookmarkEnd w:id="566"/>
    <w:bookmarkEnd w:id="567"/>
    <w:bookmarkEnd w:id="568"/>
    <w:bookmarkEnd w:id="569"/>
    <w:bookmarkEnd w:id="570"/>
    <w:bookmarkEnd w:id="571"/>
    <w:p>
      <w:pPr>
        <w:spacing w:line="460" w:lineRule="exact"/>
        <w:ind w:firstLine="480" w:firstLineChars="200"/>
        <w:jc w:val="left"/>
        <w:rPr>
          <w:rFonts w:ascii="宋体" w:hAnsi="宋体"/>
          <w:sz w:val="24"/>
        </w:rPr>
      </w:pPr>
      <w:r>
        <w:rPr>
          <w:rFonts w:ascii="宋体" w:hAnsi="宋体"/>
          <w:sz w:val="24"/>
        </w:rPr>
        <w:t>发包人和承包人同意以下情形视为异常恶劣的气候条件：</w:t>
      </w:r>
    </w:p>
    <w:p>
      <w:pPr>
        <w:spacing w:line="460" w:lineRule="exact"/>
        <w:ind w:firstLine="480" w:firstLineChars="200"/>
        <w:jc w:val="left"/>
        <w:rPr>
          <w:rFonts w:ascii="宋体" w:hAnsi="宋体" w:cs="仿宋_GB2312"/>
          <w:sz w:val="24"/>
        </w:rPr>
      </w:pPr>
      <w:r>
        <w:rPr>
          <w:rFonts w:hint="eastAsia" w:ascii="宋体" w:hAnsi="宋体" w:cs="仿宋_GB2312"/>
          <w:sz w:val="24"/>
        </w:rPr>
        <w:t>（1）</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jc w:val="left"/>
        <w:rPr>
          <w:rFonts w:ascii="宋体" w:hAnsi="宋体" w:cs="仿宋_GB2312"/>
          <w:sz w:val="24"/>
        </w:rPr>
      </w:pPr>
      <w:r>
        <w:rPr>
          <w:rFonts w:hint="eastAsia" w:ascii="宋体" w:hAnsi="宋体" w:cs="仿宋_GB2312"/>
          <w:sz w:val="24"/>
        </w:rPr>
        <w:t>（2）</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jc w:val="left"/>
        <w:rPr>
          <w:rFonts w:ascii="宋体" w:hAnsi="宋体"/>
          <w:sz w:val="24"/>
        </w:rPr>
      </w:pPr>
      <w:r>
        <w:rPr>
          <w:rFonts w:hint="eastAsia" w:ascii="宋体" w:hAnsi="宋体" w:cs="仿宋_GB2312"/>
          <w:sz w:val="24"/>
        </w:rPr>
        <w:t>（3）</w:t>
      </w:r>
      <w:r>
        <w:rPr>
          <w:rFonts w:hint="eastAsia" w:ascii="宋体" w:hAnsi="宋体" w:cs="仿宋_GB2312"/>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p>
    <w:p>
      <w:pPr>
        <w:spacing w:line="460" w:lineRule="exact"/>
        <w:ind w:firstLine="481" w:firstLineChars="200"/>
        <w:outlineLvl w:val="2"/>
        <w:rPr>
          <w:rFonts w:ascii="宋体" w:hAnsi="宋体"/>
          <w:b/>
          <w:sz w:val="24"/>
        </w:rPr>
      </w:pPr>
      <w:bookmarkStart w:id="572" w:name="_Toc63384221"/>
      <w:bookmarkStart w:id="573" w:name="_Toc18194"/>
      <w:bookmarkStart w:id="574" w:name="_Toc625782789"/>
      <w:r>
        <w:rPr>
          <w:rFonts w:ascii="宋体" w:hAnsi="宋体"/>
          <w:b/>
          <w:sz w:val="24"/>
        </w:rPr>
        <w:t>7.9 提前竣工的奖励</w:t>
      </w:r>
      <w:bookmarkEnd w:id="572"/>
      <w:bookmarkEnd w:id="573"/>
      <w:bookmarkEnd w:id="574"/>
    </w:p>
    <w:p>
      <w:pPr>
        <w:spacing w:line="460" w:lineRule="exact"/>
        <w:ind w:firstLine="480" w:firstLineChars="200"/>
        <w:jc w:val="left"/>
        <w:rPr>
          <w:rFonts w:ascii="宋体" w:hAnsi="宋体"/>
          <w:sz w:val="24"/>
          <w:u w:val="single"/>
        </w:rPr>
      </w:pPr>
      <w:r>
        <w:rPr>
          <w:rFonts w:hint="eastAsia" w:ascii="宋体" w:hAnsi="宋体" w:cs="仿宋_GB2312"/>
          <w:sz w:val="24"/>
        </w:rPr>
        <w:t>7.9.2 提</w:t>
      </w:r>
      <w:r>
        <w:rPr>
          <w:rFonts w:ascii="宋体" w:hAnsi="宋体"/>
          <w:sz w:val="24"/>
        </w:rPr>
        <w:t>前竣工的奖励：</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460" w:lineRule="exact"/>
        <w:jc w:val="left"/>
        <w:rPr>
          <w:rFonts w:ascii="宋体" w:hAnsi="宋体"/>
          <w:sz w:val="24"/>
        </w:rPr>
      </w:pPr>
      <w:r>
        <w:rPr>
          <w:rFonts w:hint="eastAsia" w:ascii="宋体" w:hAnsi="宋体" w:cs="仿宋_GB2312"/>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 xml:space="preserve">。  </w:t>
      </w:r>
    </w:p>
    <w:p>
      <w:pPr>
        <w:pStyle w:val="3"/>
        <w:spacing w:line="460" w:lineRule="exact"/>
        <w:jc w:val="left"/>
        <w:rPr>
          <w:rFonts w:ascii="宋体" w:hAnsi="宋体"/>
          <w:sz w:val="24"/>
          <w:szCs w:val="24"/>
        </w:rPr>
      </w:pPr>
      <w:bookmarkStart w:id="575" w:name="_Toc1290932324"/>
      <w:bookmarkStart w:id="576" w:name="_Toc1981848881"/>
      <w:r>
        <w:rPr>
          <w:rFonts w:ascii="宋体" w:hAnsi="宋体"/>
          <w:sz w:val="24"/>
          <w:szCs w:val="24"/>
        </w:rPr>
        <w:t>8. 材料与设备</w:t>
      </w:r>
      <w:bookmarkEnd w:id="575"/>
      <w:bookmarkEnd w:id="576"/>
    </w:p>
    <w:bookmarkEnd w:id="461"/>
    <w:bookmarkEnd w:id="462"/>
    <w:bookmarkEnd w:id="463"/>
    <w:bookmarkEnd w:id="464"/>
    <w:bookmarkEnd w:id="465"/>
    <w:bookmarkEnd w:id="466"/>
    <w:bookmarkEnd w:id="467"/>
    <w:bookmarkEnd w:id="468"/>
    <w:bookmarkEnd w:id="469"/>
    <w:bookmarkEnd w:id="470"/>
    <w:p>
      <w:pPr>
        <w:spacing w:line="460" w:lineRule="exact"/>
        <w:ind w:firstLine="481" w:firstLineChars="200"/>
        <w:outlineLvl w:val="2"/>
        <w:rPr>
          <w:rFonts w:ascii="宋体" w:hAnsi="宋体"/>
          <w:b/>
          <w:sz w:val="24"/>
        </w:rPr>
      </w:pPr>
      <w:bookmarkStart w:id="577" w:name="_Toc1549169060"/>
      <w:bookmarkStart w:id="578" w:name="_Toc1878"/>
      <w:bookmarkStart w:id="579" w:name="_Toc489553729"/>
      <w:r>
        <w:rPr>
          <w:rFonts w:ascii="宋体" w:hAnsi="宋体"/>
          <w:b/>
          <w:sz w:val="24"/>
        </w:rPr>
        <w:t>8</w:t>
      </w:r>
      <w:bookmarkStart w:id="580" w:name="_Toc297048353"/>
      <w:bookmarkStart w:id="581" w:name="_Toc292559877"/>
      <w:bookmarkStart w:id="582" w:name="_Toc297120467"/>
      <w:bookmarkStart w:id="583" w:name="_Toc296346668"/>
      <w:bookmarkStart w:id="584" w:name="_Toc296891207"/>
      <w:bookmarkStart w:id="585" w:name="_Toc296347166"/>
      <w:bookmarkStart w:id="586" w:name="_Toc303539136"/>
      <w:bookmarkStart w:id="587" w:name="_Toc292559372"/>
      <w:bookmarkStart w:id="588" w:name="_Toc296944506"/>
      <w:bookmarkStart w:id="589" w:name="_Toc280868654"/>
      <w:bookmarkStart w:id="590" w:name="_Toc297123527"/>
      <w:bookmarkStart w:id="591" w:name="_Toc312678019"/>
      <w:bookmarkStart w:id="592" w:name="_Toc304295556"/>
      <w:bookmarkStart w:id="593" w:name="_Toc312677493"/>
      <w:bookmarkStart w:id="594" w:name="_Toc296890995"/>
      <w:bookmarkStart w:id="595" w:name="_Toc297216186"/>
      <w:bookmarkStart w:id="596" w:name="_Toc300934979"/>
      <w:bookmarkStart w:id="597" w:name="_Toc296503167"/>
      <w:bookmarkStart w:id="598" w:name="_Toc280868655"/>
      <w:bookmarkStart w:id="599" w:name="_Toc267251424"/>
      <w:bookmarkStart w:id="600" w:name="_Toc280868656"/>
      <w:r>
        <w:rPr>
          <w:rFonts w:ascii="宋体" w:hAnsi="宋体"/>
          <w:b/>
          <w:sz w:val="24"/>
        </w:rPr>
        <w:t>.4</w:t>
      </w:r>
      <w:r>
        <w:rPr>
          <w:rFonts w:hint="eastAsia" w:ascii="宋体" w:hAnsi="宋体"/>
          <w:b/>
          <w:sz w:val="24"/>
        </w:rPr>
        <w:t xml:space="preserve"> </w:t>
      </w:r>
      <w:r>
        <w:rPr>
          <w:rFonts w:ascii="宋体" w:hAnsi="宋体"/>
          <w:b/>
          <w:sz w:val="24"/>
        </w:rPr>
        <w:t>材料与工程设备的保管与使用</w:t>
      </w:r>
      <w:bookmarkEnd w:id="577"/>
      <w:bookmarkEnd w:id="578"/>
      <w:bookmarkEnd w:id="579"/>
    </w:p>
    <w:p>
      <w:pPr>
        <w:spacing w:line="460" w:lineRule="exact"/>
        <w:ind w:firstLine="480" w:firstLineChars="200"/>
        <w:jc w:val="left"/>
        <w:rPr>
          <w:rFonts w:ascii="宋体" w:hAnsi="宋体" w:cs="仿宋_GB2312"/>
          <w:sz w:val="24"/>
        </w:rPr>
      </w:pPr>
      <w:r>
        <w:rPr>
          <w:rFonts w:hint="eastAsia" w:ascii="宋体" w:hAnsi="宋体" w:cs="仿宋_GB2312"/>
          <w:sz w:val="24"/>
        </w:rPr>
        <w:t>本款修改8.4.1。</w:t>
      </w:r>
    </w:p>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pPr>
        <w:spacing w:line="460" w:lineRule="exact"/>
        <w:ind w:firstLine="480" w:firstLineChars="200"/>
        <w:jc w:val="left"/>
        <w:rPr>
          <w:rFonts w:ascii="宋体" w:hAnsi="宋体" w:cs="仿宋_GB2312"/>
          <w:sz w:val="24"/>
          <w:u w:val="single"/>
        </w:rPr>
      </w:pPr>
      <w:r>
        <w:rPr>
          <w:rFonts w:hint="eastAsia" w:ascii="宋体" w:hAnsi="宋体" w:cs="仿宋_GB2312"/>
          <w:sz w:val="24"/>
        </w:rPr>
        <w:t>8</w:t>
      </w:r>
      <w:bookmarkStart w:id="601" w:name="_Toc292559373"/>
      <w:bookmarkStart w:id="602" w:name="_Toc292559878"/>
      <w:bookmarkStart w:id="603" w:name="_Toc312677494"/>
      <w:bookmarkStart w:id="604" w:name="_Toc296503168"/>
      <w:bookmarkStart w:id="605" w:name="_Toc300934980"/>
      <w:bookmarkStart w:id="606" w:name="_Toc297048354"/>
      <w:bookmarkStart w:id="607" w:name="_Toc296890996"/>
      <w:bookmarkStart w:id="608" w:name="_Toc297123528"/>
      <w:bookmarkStart w:id="609" w:name="_Toc296944507"/>
      <w:bookmarkStart w:id="610" w:name="_Toc318581173"/>
      <w:bookmarkStart w:id="611" w:name="_Toc304295557"/>
      <w:bookmarkStart w:id="612" w:name="_Toc297120468"/>
      <w:bookmarkStart w:id="613" w:name="_Toc296346669"/>
      <w:bookmarkStart w:id="614" w:name="_Toc297216187"/>
      <w:bookmarkStart w:id="615" w:name="_Toc303539137"/>
      <w:bookmarkStart w:id="616" w:name="_Toc296347167"/>
      <w:bookmarkStart w:id="617" w:name="_Toc296891208"/>
      <w:bookmarkStart w:id="618" w:name="_Toc312678020"/>
      <w:r>
        <w:rPr>
          <w:rFonts w:hint="eastAsia" w:ascii="宋体" w:hAnsi="宋体" w:cs="仿宋_GB2312"/>
          <w:sz w:val="24"/>
        </w:rPr>
        <w:t>.4.1 发包人供应的苗木、材料设备的保管费用的承担：</w:t>
      </w:r>
      <w:r>
        <w:rPr>
          <w:rFonts w:hint="eastAsia" w:ascii="宋体" w:hAnsi="宋体" w:cs="仿宋_GB2312"/>
          <w:sz w:val="24"/>
          <w:u w:val="single"/>
        </w:rPr>
        <w:t xml:space="preserve">            </w:t>
      </w:r>
    </w:p>
    <w:p>
      <w:pPr>
        <w:spacing w:line="460" w:lineRule="exact"/>
        <w:jc w:val="left"/>
        <w:rPr>
          <w:rFonts w:ascii="宋体" w:hAnsi="宋体"/>
          <w:sz w:val="24"/>
        </w:rPr>
      </w:pPr>
      <w:r>
        <w:rPr>
          <w:rFonts w:hint="eastAsia" w:ascii="宋体" w:hAnsi="宋体" w:cs="仿宋_GB2312"/>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bookmarkEnd w:id="601"/>
      <w:bookmarkEnd w:id="602"/>
    </w:p>
    <w:p>
      <w:pPr>
        <w:spacing w:line="460" w:lineRule="exact"/>
        <w:ind w:firstLine="481" w:firstLineChars="200"/>
        <w:outlineLvl w:val="2"/>
        <w:rPr>
          <w:rFonts w:ascii="宋体" w:hAnsi="宋体"/>
          <w:b/>
          <w:sz w:val="24"/>
        </w:rPr>
      </w:pPr>
      <w:bookmarkStart w:id="619" w:name="_Toc15421"/>
      <w:bookmarkStart w:id="620" w:name="_Toc1698965056"/>
      <w:bookmarkStart w:id="621" w:name="_Toc1602926888"/>
      <w:r>
        <w:rPr>
          <w:rFonts w:ascii="宋体" w:hAnsi="宋体"/>
          <w:b/>
          <w:sz w:val="24"/>
        </w:rPr>
        <w:t>8.6 样品</w:t>
      </w:r>
      <w:bookmarkEnd w:id="619"/>
      <w:bookmarkEnd w:id="620"/>
      <w:bookmarkEnd w:id="621"/>
    </w:p>
    <w:p>
      <w:pPr>
        <w:spacing w:line="460" w:lineRule="exact"/>
        <w:ind w:firstLine="480" w:firstLineChars="200"/>
        <w:outlineLvl w:val="2"/>
        <w:rPr>
          <w:rFonts w:ascii="宋体" w:hAnsi="宋体" w:cs="仿宋_GB2312"/>
          <w:kern w:val="0"/>
          <w:sz w:val="24"/>
        </w:rPr>
      </w:pPr>
      <w:bookmarkStart w:id="622" w:name="_Toc658422827"/>
      <w:bookmarkStart w:id="623" w:name="_Toc155224400"/>
      <w:r>
        <w:rPr>
          <w:rFonts w:hint="eastAsia" w:ascii="宋体" w:hAnsi="宋体" w:cs="仿宋_GB2312"/>
          <w:kern w:val="0"/>
          <w:sz w:val="24"/>
        </w:rPr>
        <w:t>8.6.1 样品的报送与封存</w:t>
      </w:r>
      <w:bookmarkEnd w:id="622"/>
      <w:bookmarkEnd w:id="623"/>
    </w:p>
    <w:p>
      <w:pPr>
        <w:autoSpaceDE w:val="0"/>
        <w:autoSpaceDN w:val="0"/>
        <w:adjustRightInd w:val="0"/>
        <w:spacing w:line="460" w:lineRule="exact"/>
        <w:ind w:firstLine="480" w:firstLineChars="200"/>
        <w:jc w:val="left"/>
        <w:rPr>
          <w:rFonts w:ascii="宋体" w:hAnsi="宋体"/>
          <w:sz w:val="24"/>
          <w:u w:val="single"/>
        </w:rPr>
      </w:pPr>
      <w:r>
        <w:rPr>
          <w:rFonts w:hint="eastAsia" w:ascii="宋体" w:hAnsi="宋体" w:cs="仿宋_GB2312"/>
          <w:kern w:val="0"/>
          <w:sz w:val="24"/>
        </w:rPr>
        <w:t>需要承</w:t>
      </w:r>
      <w:r>
        <w:rPr>
          <w:rFonts w:ascii="宋体" w:hAnsi="宋体"/>
          <w:kern w:val="0"/>
          <w:sz w:val="24"/>
        </w:rPr>
        <w:t>包人报送样品的材料或工程设备，样品的种类、名称、规格、数量要求：</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autoSpaceDE w:val="0"/>
        <w:autoSpaceDN w:val="0"/>
        <w:adjustRightInd w:val="0"/>
        <w:spacing w:line="460" w:lineRule="exact"/>
        <w:jc w:val="left"/>
        <w:rPr>
          <w:rFonts w:ascii="宋体" w:hAnsi="宋体"/>
          <w:sz w:val="24"/>
          <w:u w:val="single"/>
        </w:rPr>
      </w:pP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w:t>
      </w:r>
    </w:p>
    <w:p>
      <w:pPr>
        <w:spacing w:line="460" w:lineRule="exact"/>
        <w:ind w:firstLine="481" w:firstLineChars="200"/>
        <w:outlineLvl w:val="2"/>
        <w:rPr>
          <w:rFonts w:ascii="宋体" w:hAnsi="宋体"/>
          <w:b/>
          <w:sz w:val="24"/>
        </w:rPr>
      </w:pPr>
      <w:bookmarkStart w:id="624" w:name="_Toc268737114"/>
      <w:bookmarkStart w:id="625" w:name="_Toc1156517039"/>
      <w:bookmarkStart w:id="626" w:name="_Toc22773"/>
      <w:r>
        <w:rPr>
          <w:rFonts w:ascii="宋体" w:hAnsi="宋体"/>
          <w:b/>
          <w:sz w:val="24"/>
        </w:rPr>
        <w:t>8.8 施工设备和临时设施</w:t>
      </w:r>
      <w:bookmarkEnd w:id="624"/>
      <w:bookmarkEnd w:id="625"/>
      <w:bookmarkEnd w:id="626"/>
    </w:p>
    <w:p>
      <w:pPr>
        <w:autoSpaceDE w:val="0"/>
        <w:autoSpaceDN w:val="0"/>
        <w:adjustRightInd w:val="0"/>
        <w:spacing w:line="460" w:lineRule="exact"/>
        <w:ind w:firstLine="480" w:firstLineChars="200"/>
        <w:jc w:val="left"/>
        <w:rPr>
          <w:rFonts w:ascii="宋体" w:hAnsi="宋体"/>
          <w:sz w:val="24"/>
        </w:rPr>
      </w:pPr>
      <w:r>
        <w:rPr>
          <w:rFonts w:hint="eastAsia" w:ascii="宋体" w:hAnsi="宋体" w:cs="仿宋_GB2312"/>
          <w:sz w:val="24"/>
        </w:rPr>
        <w:t>8.8.1 承</w:t>
      </w:r>
      <w:r>
        <w:rPr>
          <w:rFonts w:ascii="宋体" w:hAnsi="宋体"/>
          <w:sz w:val="24"/>
        </w:rPr>
        <w:t>包人提供的施工设备和临时设施</w:t>
      </w:r>
    </w:p>
    <w:p>
      <w:pPr>
        <w:autoSpaceDE w:val="0"/>
        <w:autoSpaceDN w:val="0"/>
        <w:adjustRightInd w:val="0"/>
        <w:spacing w:line="460" w:lineRule="exact"/>
        <w:ind w:firstLine="480" w:firstLineChars="200"/>
        <w:jc w:val="left"/>
        <w:rPr>
          <w:rFonts w:ascii="宋体" w:hAnsi="宋体"/>
          <w:sz w:val="24"/>
          <w:u w:val="single"/>
        </w:rPr>
      </w:pPr>
      <w:r>
        <w:rPr>
          <w:rFonts w:ascii="宋体" w:hAnsi="宋体"/>
          <w:sz w:val="24"/>
        </w:rPr>
        <w:t>关于修建临时设施费用承担的约定：</w:t>
      </w:r>
      <w:r>
        <w:rPr>
          <w:rFonts w:ascii="宋体" w:hAnsi="宋体"/>
          <w:sz w:val="24"/>
          <w:u w:val="single"/>
        </w:rPr>
        <w:t xml:space="preserve">            </w:t>
      </w:r>
      <w:r>
        <w:rPr>
          <w:rFonts w:hint="eastAsia" w:ascii="宋体" w:hAnsi="宋体"/>
          <w:sz w:val="24"/>
          <w:u w:val="single"/>
        </w:rPr>
        <w:t xml:space="preserve">      </w:t>
      </w:r>
      <w:bookmarkEnd w:id="598"/>
      <w:bookmarkEnd w:id="599"/>
      <w:bookmarkEnd w:id="600"/>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Start w:id="627" w:name="_Toc351203641"/>
      <w:bookmarkStart w:id="628" w:name="_Toc296891233"/>
      <w:bookmarkStart w:id="629" w:name="_Toc297048379"/>
      <w:bookmarkStart w:id="630" w:name="_Toc304295566"/>
      <w:bookmarkStart w:id="631" w:name="_Toc297123540"/>
      <w:bookmarkStart w:id="632" w:name="_Toc297216199"/>
      <w:bookmarkStart w:id="633" w:name="_Toc296347192"/>
      <w:bookmarkStart w:id="634" w:name="_Toc300934989"/>
      <w:bookmarkStart w:id="635" w:name="_Toc296346694"/>
      <w:bookmarkStart w:id="636" w:name="_Toc296944532"/>
      <w:bookmarkStart w:id="637" w:name="_Toc296891021"/>
      <w:bookmarkStart w:id="638" w:name="_Toc292559903"/>
      <w:bookmarkStart w:id="639" w:name="_Toc296503193"/>
      <w:bookmarkStart w:id="640" w:name="_Toc303539146"/>
      <w:bookmarkStart w:id="641" w:name="_Toc292559398"/>
      <w:bookmarkStart w:id="642" w:name="_Toc297120493"/>
      <w:bookmarkStart w:id="643" w:name="_Toc312677499"/>
      <w:bookmarkStart w:id="644" w:name="_Toc312678025"/>
      <w:bookmarkStart w:id="645" w:name="_Toc267251435"/>
      <w:bookmarkStart w:id="646" w:name="_Toc267251433"/>
      <w:bookmarkStart w:id="647" w:name="_Toc267251441"/>
      <w:bookmarkStart w:id="648" w:name="_Toc267251437"/>
      <w:bookmarkStart w:id="649" w:name="_Toc267251439"/>
      <w:bookmarkStart w:id="650" w:name="_Toc267251440"/>
      <w:bookmarkStart w:id="651" w:name="_Toc267251442"/>
      <w:r>
        <w:rPr>
          <w:rFonts w:hint="eastAsia" w:ascii="宋体" w:hAnsi="宋体"/>
          <w:sz w:val="24"/>
          <w:u w:val="single"/>
        </w:rPr>
        <w:t xml:space="preserve"> </w:t>
      </w:r>
      <w:r>
        <w:rPr>
          <w:rFonts w:hint="eastAsia" w:ascii="宋体" w:hAnsi="宋体"/>
          <w:sz w:val="24"/>
        </w:rPr>
        <w:t>。</w:t>
      </w:r>
    </w:p>
    <w:p>
      <w:pPr>
        <w:pStyle w:val="3"/>
        <w:spacing w:line="460" w:lineRule="exact"/>
        <w:jc w:val="left"/>
        <w:rPr>
          <w:rFonts w:ascii="宋体" w:hAnsi="宋体"/>
          <w:sz w:val="24"/>
          <w:szCs w:val="24"/>
        </w:rPr>
      </w:pPr>
      <w:bookmarkStart w:id="652" w:name="_Toc1764962496"/>
      <w:bookmarkStart w:id="653" w:name="_Toc242413721"/>
      <w:r>
        <w:rPr>
          <w:rFonts w:ascii="宋体" w:hAnsi="宋体"/>
          <w:sz w:val="24"/>
          <w:szCs w:val="24"/>
        </w:rPr>
        <w:t>9</w:t>
      </w:r>
      <w:bookmarkStart w:id="654" w:name="_Toc297216192"/>
      <w:bookmarkStart w:id="655" w:name="_Toc303539139"/>
      <w:bookmarkStart w:id="656" w:name="_Toc312678021"/>
      <w:bookmarkStart w:id="657" w:name="_Toc297123533"/>
      <w:bookmarkStart w:id="658" w:name="_Toc312677495"/>
      <w:bookmarkStart w:id="659" w:name="_Toc304295559"/>
      <w:bookmarkStart w:id="660" w:name="_Toc300934982"/>
      <w:r>
        <w:rPr>
          <w:rFonts w:ascii="宋体" w:hAnsi="宋体"/>
          <w:sz w:val="24"/>
          <w:szCs w:val="24"/>
        </w:rPr>
        <w:t>. 试验与检验</w:t>
      </w:r>
      <w:bookmarkEnd w:id="627"/>
      <w:bookmarkEnd w:id="652"/>
      <w:bookmarkEnd w:id="653"/>
    </w:p>
    <w:p>
      <w:pPr>
        <w:spacing w:line="460" w:lineRule="exact"/>
        <w:ind w:firstLine="481" w:firstLineChars="200"/>
        <w:outlineLvl w:val="2"/>
        <w:rPr>
          <w:rFonts w:ascii="宋体" w:hAnsi="宋体"/>
          <w:b/>
          <w:sz w:val="24"/>
        </w:rPr>
      </w:pPr>
      <w:bookmarkStart w:id="661" w:name="_Toc1351090379"/>
      <w:bookmarkStart w:id="662" w:name="_Toc351203565"/>
      <w:bookmarkStart w:id="663" w:name="_Toc653733895"/>
      <w:bookmarkStart w:id="664" w:name="_Toc6956"/>
      <w:r>
        <w:rPr>
          <w:rFonts w:ascii="宋体" w:hAnsi="宋体"/>
          <w:b/>
          <w:sz w:val="24"/>
        </w:rPr>
        <w:t>9</w:t>
      </w:r>
      <w:bookmarkStart w:id="665" w:name="_Toc337558785"/>
      <w:r>
        <w:rPr>
          <w:rFonts w:ascii="宋体" w:hAnsi="宋体"/>
          <w:b/>
          <w:sz w:val="24"/>
        </w:rPr>
        <w:t>.3</w:t>
      </w:r>
      <w:r>
        <w:rPr>
          <w:rFonts w:hint="eastAsia" w:ascii="宋体" w:hAnsi="宋体"/>
          <w:b/>
          <w:sz w:val="24"/>
        </w:rPr>
        <w:t xml:space="preserve"> </w:t>
      </w:r>
      <w:r>
        <w:rPr>
          <w:rFonts w:ascii="宋体" w:hAnsi="宋体"/>
          <w:b/>
          <w:sz w:val="24"/>
        </w:rPr>
        <w:t>材料、工程设备和工程的试验和检验</w:t>
      </w:r>
      <w:bookmarkEnd w:id="661"/>
      <w:bookmarkEnd w:id="662"/>
      <w:bookmarkEnd w:id="663"/>
      <w:bookmarkEnd w:id="665"/>
    </w:p>
    <w:p>
      <w:pPr>
        <w:autoSpaceDE w:val="0"/>
        <w:autoSpaceDN w:val="0"/>
        <w:adjustRightInd w:val="0"/>
        <w:spacing w:line="460" w:lineRule="exact"/>
        <w:ind w:firstLine="480" w:firstLineChars="200"/>
        <w:jc w:val="left"/>
        <w:rPr>
          <w:rFonts w:ascii="宋体" w:hAnsi="宋体" w:cs="仿宋_GB2312"/>
          <w:sz w:val="24"/>
        </w:rPr>
      </w:pPr>
      <w:r>
        <w:rPr>
          <w:rFonts w:hint="eastAsia" w:ascii="宋体" w:hAnsi="宋体" w:cs="仿宋_GB2312"/>
          <w:sz w:val="24"/>
        </w:rPr>
        <w:t>本款补充9.3.4。</w:t>
      </w:r>
      <w:bookmarkEnd w:id="664"/>
    </w:p>
    <w:p>
      <w:pPr>
        <w:autoSpaceDE w:val="0"/>
        <w:autoSpaceDN w:val="0"/>
        <w:adjustRightInd w:val="0"/>
        <w:spacing w:line="460" w:lineRule="exact"/>
        <w:ind w:firstLine="480" w:firstLineChars="200"/>
        <w:jc w:val="left"/>
        <w:rPr>
          <w:rFonts w:ascii="宋体" w:hAnsi="宋体"/>
          <w:sz w:val="24"/>
        </w:rPr>
      </w:pPr>
      <w:r>
        <w:rPr>
          <w:rFonts w:hint="eastAsia" w:ascii="宋体" w:hAnsi="宋体" w:cs="仿宋_GB2312"/>
          <w:sz w:val="24"/>
        </w:rPr>
        <w:t>9.3.4 关</w:t>
      </w:r>
      <w:r>
        <w:rPr>
          <w:rFonts w:hint="eastAsia" w:ascii="宋体" w:hAnsi="宋体"/>
          <w:sz w:val="24"/>
        </w:rPr>
        <w:t>于送检材料的约定：</w:t>
      </w:r>
      <w:r>
        <w:rPr>
          <w:rFonts w:hint="eastAsia" w:ascii="宋体" w:hAnsi="宋体"/>
          <w:sz w:val="24"/>
          <w:u w:val="single"/>
        </w:rPr>
        <w:t xml:space="preserve">                             </w:t>
      </w:r>
    </w:p>
    <w:p>
      <w:pPr>
        <w:autoSpaceDE w:val="0"/>
        <w:autoSpaceDN w:val="0"/>
        <w:adjustRightInd w:val="0"/>
        <w:spacing w:line="460" w:lineRule="exact"/>
        <w:jc w:val="left"/>
        <w:rPr>
          <w:rFonts w:ascii="宋体" w:hAnsi="宋体"/>
          <w:sz w:val="24"/>
        </w:rPr>
      </w:pPr>
      <w:r>
        <w:rPr>
          <w:rFonts w:hint="eastAsia" w:ascii="宋体" w:hAnsi="宋体" w:cs="仿宋_GB2312"/>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p>
    <w:bookmarkEnd w:id="654"/>
    <w:bookmarkEnd w:id="655"/>
    <w:bookmarkEnd w:id="656"/>
    <w:bookmarkEnd w:id="657"/>
    <w:bookmarkEnd w:id="658"/>
    <w:bookmarkEnd w:id="659"/>
    <w:bookmarkEnd w:id="660"/>
    <w:p>
      <w:pPr>
        <w:pStyle w:val="3"/>
        <w:spacing w:line="460" w:lineRule="exact"/>
        <w:jc w:val="left"/>
        <w:rPr>
          <w:rFonts w:ascii="宋体" w:hAnsi="宋体"/>
          <w:sz w:val="24"/>
          <w:szCs w:val="24"/>
        </w:rPr>
      </w:pPr>
      <w:bookmarkStart w:id="666" w:name="_Toc458560564"/>
      <w:bookmarkStart w:id="667" w:name="_Toc334823199"/>
      <w:r>
        <w:rPr>
          <w:rFonts w:hint="eastAsia" w:ascii="宋体" w:hAnsi="宋体"/>
          <w:sz w:val="24"/>
          <w:szCs w:val="24"/>
        </w:rPr>
        <w:t>10</w:t>
      </w:r>
      <w:r>
        <w:rPr>
          <w:rFonts w:ascii="宋体" w:hAnsi="宋体"/>
          <w:sz w:val="24"/>
          <w:szCs w:val="24"/>
        </w:rPr>
        <w:t>. 变更</w:t>
      </w:r>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66"/>
      <w:bookmarkEnd w:id="667"/>
    </w:p>
    <w:bookmarkEnd w:id="643"/>
    <w:bookmarkEnd w:id="644"/>
    <w:p>
      <w:pPr>
        <w:spacing w:line="460" w:lineRule="exact"/>
        <w:ind w:firstLine="481" w:firstLineChars="200"/>
        <w:outlineLvl w:val="2"/>
        <w:rPr>
          <w:rFonts w:ascii="宋体" w:hAnsi="宋体"/>
          <w:b/>
          <w:sz w:val="24"/>
        </w:rPr>
      </w:pPr>
      <w:bookmarkStart w:id="668" w:name="_Toc7749"/>
      <w:bookmarkStart w:id="669" w:name="_Toc2124203747"/>
      <w:bookmarkStart w:id="670" w:name="_Toc893189784"/>
      <w:r>
        <w:rPr>
          <w:rFonts w:ascii="宋体" w:hAnsi="宋体"/>
          <w:b/>
          <w:sz w:val="24"/>
        </w:rPr>
        <w:t>1</w:t>
      </w:r>
      <w:bookmarkStart w:id="671" w:name="_Toc296891234"/>
      <w:bookmarkStart w:id="672" w:name="_Toc297123541"/>
      <w:bookmarkStart w:id="673" w:name="_Toc296891022"/>
      <w:bookmarkStart w:id="674" w:name="_Toc296347193"/>
      <w:bookmarkStart w:id="675" w:name="_Toc303539147"/>
      <w:bookmarkStart w:id="676" w:name="_Toc292559399"/>
      <w:bookmarkStart w:id="677" w:name="_Toc297048380"/>
      <w:bookmarkStart w:id="678" w:name="_Toc297120494"/>
      <w:bookmarkStart w:id="679" w:name="_Toc304295567"/>
      <w:bookmarkStart w:id="680" w:name="_Toc312677500"/>
      <w:bookmarkStart w:id="681" w:name="_Toc296346695"/>
      <w:bookmarkStart w:id="682" w:name="_Toc297216200"/>
      <w:bookmarkStart w:id="683" w:name="_Toc312678026"/>
      <w:bookmarkStart w:id="684" w:name="_Toc300934990"/>
      <w:bookmarkStart w:id="685" w:name="_Toc292559904"/>
      <w:bookmarkStart w:id="686" w:name="_Toc296944533"/>
      <w:bookmarkStart w:id="687" w:name="_Toc296503194"/>
      <w:r>
        <w:rPr>
          <w:rFonts w:ascii="宋体" w:hAnsi="宋体"/>
          <w:b/>
          <w:sz w:val="24"/>
        </w:rPr>
        <w:t>0.1</w:t>
      </w:r>
      <w:r>
        <w:rPr>
          <w:rFonts w:hint="eastAsia" w:ascii="宋体" w:hAnsi="宋体"/>
          <w:b/>
          <w:sz w:val="24"/>
        </w:rPr>
        <w:t xml:space="preserve"> </w:t>
      </w:r>
      <w:r>
        <w:rPr>
          <w:rFonts w:ascii="宋体" w:hAnsi="宋体"/>
          <w:b/>
          <w:sz w:val="24"/>
        </w:rPr>
        <w:t>变更的范围</w:t>
      </w:r>
      <w:bookmarkEnd w:id="668"/>
      <w:bookmarkEnd w:id="669"/>
      <w:bookmarkEnd w:id="670"/>
    </w:p>
    <w:p>
      <w:pPr>
        <w:spacing w:line="460" w:lineRule="exact"/>
        <w:ind w:firstLine="600"/>
        <w:jc w:val="left"/>
        <w:rPr>
          <w:rFonts w:ascii="宋体" w:hAnsi="宋体"/>
          <w:sz w:val="24"/>
          <w:u w:val="single"/>
        </w:rPr>
      </w:pPr>
      <w:r>
        <w:rPr>
          <w:rFonts w:ascii="宋体" w:hAnsi="宋体"/>
          <w:sz w:val="24"/>
        </w:rPr>
        <w:t>关于变更的范围的约定：</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p>
    <w:p>
      <w:pPr>
        <w:spacing w:line="460" w:lineRule="exact"/>
        <w:ind w:firstLine="481" w:firstLineChars="200"/>
        <w:outlineLvl w:val="2"/>
        <w:rPr>
          <w:rFonts w:ascii="宋体" w:hAnsi="宋体"/>
          <w:b/>
          <w:sz w:val="24"/>
        </w:rPr>
      </w:pPr>
      <w:bookmarkStart w:id="688" w:name="_Toc1702387786"/>
      <w:bookmarkStart w:id="689" w:name="_Toc16117"/>
      <w:bookmarkStart w:id="690" w:name="_Toc345483340"/>
      <w:r>
        <w:rPr>
          <w:rFonts w:ascii="宋体" w:hAnsi="宋体"/>
          <w:b/>
          <w:sz w:val="24"/>
        </w:rPr>
        <w:t>10.4 变更估价</w:t>
      </w:r>
      <w:bookmarkEnd w:id="688"/>
      <w:bookmarkEnd w:id="689"/>
      <w:bookmarkEnd w:id="690"/>
    </w:p>
    <w:p>
      <w:pPr>
        <w:spacing w:line="460" w:lineRule="exact"/>
        <w:ind w:firstLine="480" w:firstLineChars="200"/>
        <w:jc w:val="left"/>
        <w:rPr>
          <w:rFonts w:ascii="宋体" w:hAnsi="宋体" w:cs="仿宋_GB2312"/>
          <w:sz w:val="24"/>
        </w:rPr>
      </w:pPr>
      <w:r>
        <w:rPr>
          <w:rFonts w:hint="eastAsia" w:ascii="宋体" w:hAnsi="宋体" w:cs="仿宋_GB2312"/>
          <w:sz w:val="24"/>
        </w:rPr>
        <w:t>本款补充10.4.3。</w:t>
      </w:r>
    </w:p>
    <w:p>
      <w:pPr>
        <w:spacing w:line="460" w:lineRule="exact"/>
        <w:ind w:firstLine="480" w:firstLineChars="200"/>
        <w:jc w:val="left"/>
        <w:rPr>
          <w:rFonts w:ascii="宋体" w:hAnsi="宋体" w:cs="仿宋_GB2312"/>
          <w:sz w:val="24"/>
        </w:rPr>
      </w:pPr>
      <w:r>
        <w:rPr>
          <w:rFonts w:hint="eastAsia" w:ascii="宋体" w:hAnsi="宋体" w:cs="仿宋_GB2312"/>
          <w:sz w:val="24"/>
        </w:rPr>
        <w:t>10.4.1 变更估价原则</w:t>
      </w:r>
    </w:p>
    <w:p>
      <w:pPr>
        <w:spacing w:line="460" w:lineRule="exact"/>
        <w:ind w:firstLine="480" w:firstLineChars="200"/>
        <w:jc w:val="left"/>
        <w:rPr>
          <w:rFonts w:ascii="宋体" w:hAnsi="宋体" w:cs="仿宋_GB2312"/>
          <w:sz w:val="24"/>
        </w:rPr>
      </w:pPr>
      <w:r>
        <w:rPr>
          <w:rFonts w:hint="eastAsia" w:ascii="宋体" w:hAnsi="宋体" w:cs="仿宋_GB2312"/>
          <w:sz w:val="24"/>
        </w:rPr>
        <w:t xml:space="preserve">关于变更估价的约定: </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jc w:val="left"/>
        <w:rPr>
          <w:rFonts w:ascii="宋体" w:hAnsi="宋体" w:cs="仿宋_GB2312"/>
          <w:sz w:val="24"/>
        </w:rPr>
      </w:pPr>
      <w:r>
        <w:rPr>
          <w:rFonts w:hint="eastAsia" w:ascii="宋体" w:hAnsi="宋体" w:cs="仿宋_GB2312"/>
          <w:sz w:val="24"/>
        </w:rPr>
        <w:t>10.4.3 变更估价的支付方式及时间</w:t>
      </w:r>
    </w:p>
    <w:p>
      <w:pPr>
        <w:spacing w:line="460" w:lineRule="exact"/>
        <w:ind w:firstLine="480" w:firstLineChars="200"/>
        <w:jc w:val="left"/>
        <w:rPr>
          <w:rFonts w:ascii="宋体" w:hAnsi="宋体"/>
          <w:sz w:val="24"/>
        </w:rPr>
      </w:pPr>
      <w:r>
        <w:rPr>
          <w:rFonts w:hint="eastAsia" w:ascii="宋体" w:hAnsi="宋体" w:cs="仿宋_GB2312"/>
          <w:sz w:val="24"/>
        </w:rPr>
        <w:t>关于变更价款的支付方式及时间的约定：</w:t>
      </w:r>
      <w:r>
        <w:rPr>
          <w:rFonts w:hint="eastAsia" w:ascii="宋体" w:hAnsi="宋体" w:cs="仿宋_GB2312"/>
          <w:sz w:val="24"/>
          <w:u w:val="single"/>
        </w:rPr>
        <w:t xml:space="preserve">  </w:t>
      </w:r>
      <w:r>
        <w:rPr>
          <w:rFonts w:hint="eastAsia" w:ascii="宋体" w:hAnsi="宋体"/>
          <w:sz w:val="24"/>
          <w:u w:val="single"/>
        </w:rPr>
        <w:t xml:space="preserve">             </w:t>
      </w:r>
      <w:r>
        <w:rPr>
          <w:rFonts w:hint="eastAsia" w:ascii="宋体" w:hAnsi="宋体"/>
          <w:sz w:val="24"/>
        </w:rPr>
        <w:t>。</w:t>
      </w:r>
    </w:p>
    <w:p>
      <w:pPr>
        <w:spacing w:line="460" w:lineRule="exact"/>
        <w:ind w:firstLine="481" w:firstLineChars="200"/>
        <w:outlineLvl w:val="2"/>
        <w:rPr>
          <w:rFonts w:ascii="宋体" w:hAnsi="宋体"/>
          <w:sz w:val="24"/>
        </w:rPr>
      </w:pPr>
      <w:bookmarkStart w:id="691" w:name="_Toc900110438"/>
      <w:bookmarkStart w:id="692" w:name="_Toc2102284973"/>
      <w:r>
        <w:rPr>
          <w:rFonts w:ascii="宋体" w:hAnsi="宋体"/>
          <w:b/>
          <w:sz w:val="24"/>
        </w:rPr>
        <w:t>1</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Start w:id="693" w:name="_Toc303539150"/>
      <w:bookmarkStart w:id="694" w:name="_Toc296347196"/>
      <w:bookmarkStart w:id="695" w:name="_Toc296891237"/>
      <w:bookmarkStart w:id="696" w:name="_Toc297120497"/>
      <w:bookmarkStart w:id="697" w:name="_Toc297123544"/>
      <w:bookmarkStart w:id="698" w:name="_Toc296503197"/>
      <w:bookmarkStart w:id="699" w:name="_Toc296944536"/>
      <w:bookmarkStart w:id="700" w:name="_Toc292559907"/>
      <w:bookmarkStart w:id="701" w:name="_Toc296891025"/>
      <w:bookmarkStart w:id="702" w:name="_Toc300934993"/>
      <w:bookmarkStart w:id="703" w:name="_Toc292559402"/>
      <w:bookmarkStart w:id="704" w:name="_Toc296346698"/>
      <w:bookmarkStart w:id="705" w:name="_Toc297216203"/>
      <w:bookmarkStart w:id="706" w:name="_Toc297048383"/>
      <w:bookmarkStart w:id="707" w:name="_Toc312678029"/>
      <w:bookmarkStart w:id="708" w:name="_Toc304295570"/>
      <w:bookmarkStart w:id="709" w:name="_Toc312677503"/>
      <w:r>
        <w:rPr>
          <w:rFonts w:ascii="宋体" w:hAnsi="宋体"/>
          <w:b/>
          <w:sz w:val="24"/>
        </w:rPr>
        <w:t>0.5</w:t>
      </w:r>
      <w:r>
        <w:rPr>
          <w:rFonts w:hint="eastAsia" w:ascii="宋体" w:hAnsi="宋体"/>
          <w:b/>
          <w:sz w:val="24"/>
        </w:rPr>
        <w:t xml:space="preserve"> </w:t>
      </w:r>
      <w:r>
        <w:rPr>
          <w:rFonts w:ascii="宋体" w:hAnsi="宋体"/>
          <w:b/>
          <w:sz w:val="24"/>
        </w:rPr>
        <w:t>承</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Start w:id="710" w:name="_Toc296891031"/>
      <w:bookmarkStart w:id="711" w:name="_Toc303539151"/>
      <w:bookmarkStart w:id="712" w:name="_Toc292559408"/>
      <w:bookmarkStart w:id="713" w:name="_Toc297120503"/>
      <w:bookmarkStart w:id="714" w:name="_Toc296944542"/>
      <w:bookmarkStart w:id="715" w:name="_Toc296346704"/>
      <w:bookmarkStart w:id="716" w:name="_Toc297123545"/>
      <w:bookmarkStart w:id="717" w:name="_Toc296347202"/>
      <w:bookmarkStart w:id="718" w:name="_Toc296503203"/>
      <w:bookmarkStart w:id="719" w:name="_Toc292559913"/>
      <w:bookmarkStart w:id="720" w:name="_Toc297216204"/>
      <w:bookmarkStart w:id="721" w:name="_Toc300934994"/>
      <w:bookmarkStart w:id="722" w:name="_Toc297048389"/>
      <w:bookmarkStart w:id="723" w:name="_Toc296891243"/>
      <w:r>
        <w:rPr>
          <w:rFonts w:ascii="宋体" w:hAnsi="宋体"/>
          <w:b/>
          <w:sz w:val="24"/>
        </w:rPr>
        <w:t>包人的合理化建</w:t>
      </w:r>
      <w:r>
        <w:rPr>
          <w:rFonts w:ascii="宋体" w:hAnsi="宋体"/>
          <w:sz w:val="24"/>
        </w:rPr>
        <w:t>议</w:t>
      </w:r>
      <w:bookmarkEnd w:id="691"/>
      <w:bookmarkEnd w:id="692"/>
    </w:p>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Pr>
        <w:spacing w:line="460" w:lineRule="exact"/>
        <w:ind w:firstLine="480" w:firstLineChars="200"/>
        <w:jc w:val="left"/>
        <w:rPr>
          <w:rFonts w:ascii="宋体" w:hAnsi="宋体"/>
          <w:sz w:val="24"/>
        </w:rPr>
      </w:pPr>
      <w:r>
        <w:rPr>
          <w:rFonts w:ascii="宋体" w:hAnsi="宋体"/>
          <w:sz w:val="24"/>
        </w:rPr>
        <w:t>监理人审查承包人合理化建议的期限：</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p>
    <w:p>
      <w:pPr>
        <w:spacing w:line="460" w:lineRule="exact"/>
        <w:ind w:firstLine="480" w:firstLineChars="200"/>
        <w:jc w:val="left"/>
        <w:rPr>
          <w:rFonts w:ascii="宋体" w:hAnsi="宋体"/>
          <w:sz w:val="24"/>
        </w:rPr>
      </w:pPr>
      <w:r>
        <w:rPr>
          <w:rFonts w:ascii="宋体" w:hAnsi="宋体"/>
          <w:sz w:val="24"/>
        </w:rPr>
        <w:t>发包人审批承包人合理化建议的期限：</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rPr>
        <w:t>。</w:t>
      </w:r>
    </w:p>
    <w:p>
      <w:pPr>
        <w:spacing w:line="460" w:lineRule="exact"/>
        <w:ind w:firstLine="480" w:firstLineChars="200"/>
        <w:rPr>
          <w:rFonts w:ascii="宋体" w:hAnsi="宋体"/>
          <w:sz w:val="24"/>
          <w:u w:val="single"/>
        </w:rPr>
      </w:pPr>
      <w:r>
        <w:rPr>
          <w:rFonts w:ascii="宋体" w:hAnsi="宋体"/>
          <w:sz w:val="24"/>
        </w:rPr>
        <w:t>承</w:t>
      </w:r>
      <w:bookmarkStart w:id="724" w:name="_Toc318581175"/>
      <w:bookmarkStart w:id="725" w:name="_Toc296891032"/>
      <w:bookmarkStart w:id="726" w:name="_Toc296891244"/>
      <w:bookmarkStart w:id="727" w:name="_Toc297216205"/>
      <w:bookmarkStart w:id="728" w:name="_Toc296346705"/>
      <w:bookmarkStart w:id="729" w:name="_Toc304295571"/>
      <w:bookmarkStart w:id="730" w:name="_Toc292559409"/>
      <w:bookmarkStart w:id="731" w:name="_Toc296503204"/>
      <w:bookmarkStart w:id="732" w:name="_Toc297123546"/>
      <w:bookmarkStart w:id="733" w:name="_Toc303539152"/>
      <w:bookmarkStart w:id="734" w:name="_Toc297048390"/>
      <w:bookmarkStart w:id="735" w:name="_Toc296347203"/>
      <w:bookmarkStart w:id="736" w:name="_Toc297120504"/>
      <w:bookmarkStart w:id="737" w:name="_Toc292559914"/>
      <w:bookmarkStart w:id="738" w:name="_Toc296944543"/>
      <w:bookmarkStart w:id="739" w:name="_Toc300934995"/>
      <w:bookmarkStart w:id="740" w:name="_Toc312677504"/>
      <w:bookmarkStart w:id="741" w:name="_Toc312678030"/>
      <w:r>
        <w:rPr>
          <w:rFonts w:ascii="宋体" w:hAnsi="宋体"/>
          <w:sz w:val="24"/>
        </w:rPr>
        <w:t>包人提出的合理化建议降低了合同价格或者提高了工程经济效益的奖励的方法和金额为：</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p>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Pr>
        <w:spacing w:line="460" w:lineRule="exact"/>
        <w:ind w:firstLine="481" w:firstLineChars="200"/>
        <w:outlineLvl w:val="2"/>
        <w:rPr>
          <w:rFonts w:ascii="宋体" w:hAnsi="宋体"/>
          <w:b/>
          <w:sz w:val="24"/>
        </w:rPr>
      </w:pPr>
      <w:bookmarkStart w:id="742" w:name="_Toc1308"/>
      <w:bookmarkStart w:id="743" w:name="_Toc1821307230"/>
      <w:bookmarkStart w:id="744" w:name="_Toc1569203092"/>
      <w:r>
        <w:rPr>
          <w:rFonts w:ascii="宋体" w:hAnsi="宋体"/>
          <w:b/>
          <w:sz w:val="24"/>
        </w:rPr>
        <w:t>1</w:t>
      </w:r>
      <w:bookmarkStart w:id="745" w:name="_Toc297123548"/>
      <w:bookmarkStart w:id="746" w:name="_Toc312677507"/>
      <w:bookmarkStart w:id="747" w:name="_Toc296347198"/>
      <w:bookmarkStart w:id="748" w:name="_Toc304295574"/>
      <w:bookmarkStart w:id="749" w:name="_Toc296503199"/>
      <w:bookmarkStart w:id="750" w:name="_Toc292559404"/>
      <w:bookmarkStart w:id="751" w:name="_Toc312678033"/>
      <w:bookmarkStart w:id="752" w:name="_Toc297048385"/>
      <w:bookmarkStart w:id="753" w:name="_Toc296944538"/>
      <w:bookmarkStart w:id="754" w:name="_Toc296891027"/>
      <w:bookmarkStart w:id="755" w:name="_Toc296346700"/>
      <w:bookmarkStart w:id="756" w:name="_Toc296891239"/>
      <w:bookmarkStart w:id="757" w:name="_Toc297120499"/>
      <w:bookmarkStart w:id="758" w:name="_Toc292559909"/>
      <w:bookmarkStart w:id="759" w:name="_Toc297216207"/>
      <w:bookmarkStart w:id="760" w:name="_Toc300934997"/>
      <w:bookmarkStart w:id="761" w:name="_Toc303539154"/>
      <w:r>
        <w:rPr>
          <w:rFonts w:ascii="宋体" w:hAnsi="宋体"/>
          <w:b/>
          <w:sz w:val="24"/>
        </w:rPr>
        <w:t>0.7 暂估价</w:t>
      </w:r>
      <w:bookmarkEnd w:id="742"/>
      <w:bookmarkEnd w:id="743"/>
      <w:bookmarkEnd w:id="744"/>
    </w:p>
    <w:p>
      <w:pPr>
        <w:spacing w:line="460" w:lineRule="exact"/>
        <w:ind w:firstLine="480" w:firstLineChars="200"/>
        <w:jc w:val="left"/>
        <w:rPr>
          <w:rFonts w:ascii="宋体" w:hAnsi="宋体" w:cs="仿宋_GB2312"/>
          <w:kern w:val="0"/>
          <w:sz w:val="24"/>
        </w:rPr>
      </w:pPr>
      <w:r>
        <w:rPr>
          <w:rFonts w:hint="eastAsia" w:ascii="宋体" w:hAnsi="宋体" w:cs="仿宋_GB2312"/>
          <w:kern w:val="0"/>
          <w:sz w:val="24"/>
        </w:rPr>
        <w:t>本款补充10.7.1、10.7.2。</w:t>
      </w:r>
    </w:p>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pPr>
        <w:spacing w:line="460" w:lineRule="exact"/>
        <w:ind w:firstLine="480" w:firstLineChars="200"/>
        <w:jc w:val="left"/>
        <w:rPr>
          <w:rFonts w:ascii="宋体" w:hAnsi="宋体" w:cs="仿宋_GB2312"/>
          <w:kern w:val="0"/>
          <w:sz w:val="24"/>
        </w:rPr>
      </w:pPr>
      <w:r>
        <w:rPr>
          <w:rFonts w:hint="eastAsia" w:ascii="宋体" w:hAnsi="宋体" w:cs="仿宋_GB2312"/>
          <w:kern w:val="0"/>
          <w:sz w:val="24"/>
        </w:rPr>
        <w:t>暂</w:t>
      </w:r>
      <w:bookmarkStart w:id="762" w:name="_Toc318581176"/>
      <w:bookmarkStart w:id="763" w:name="_Toc312678034"/>
      <w:bookmarkStart w:id="764" w:name="_Toc312677508"/>
      <w:r>
        <w:rPr>
          <w:rFonts w:hint="eastAsia" w:ascii="宋体" w:hAnsi="宋体" w:cs="仿宋_GB2312"/>
          <w:kern w:val="0"/>
          <w:sz w:val="24"/>
        </w:rPr>
        <w:t>估价材料的明细详见附件3：《</w:t>
      </w:r>
      <w:r>
        <w:rPr>
          <w:rFonts w:hint="eastAsia" w:ascii="宋体" w:hAnsi="宋体" w:cs="仿宋_GB2312"/>
          <w:sz w:val="24"/>
        </w:rPr>
        <w:t>暂估价一览表》</w:t>
      </w:r>
      <w:r>
        <w:rPr>
          <w:rFonts w:hint="eastAsia" w:ascii="宋体" w:hAnsi="宋体" w:cs="仿宋_GB2312"/>
          <w:kern w:val="0"/>
          <w:sz w:val="24"/>
        </w:rPr>
        <w:t>。</w:t>
      </w:r>
      <w:bookmarkEnd w:id="762"/>
      <w:bookmarkEnd w:id="763"/>
      <w:bookmarkEnd w:id="764"/>
    </w:p>
    <w:p>
      <w:pPr>
        <w:spacing w:line="460" w:lineRule="exact"/>
        <w:ind w:firstLine="480" w:firstLineChars="200"/>
        <w:jc w:val="left"/>
        <w:rPr>
          <w:rFonts w:ascii="宋体" w:hAnsi="宋体" w:cs="仿宋_GB2312"/>
          <w:sz w:val="24"/>
        </w:rPr>
      </w:pPr>
      <w:r>
        <w:rPr>
          <w:rFonts w:hint="eastAsia" w:ascii="宋体" w:hAnsi="宋体" w:cs="仿宋_GB2312"/>
          <w:sz w:val="24"/>
        </w:rPr>
        <w:t>1</w:t>
      </w:r>
      <w:bookmarkStart w:id="765" w:name="_Toc312678035"/>
      <w:bookmarkStart w:id="766" w:name="_Toc318581177"/>
      <w:bookmarkStart w:id="767" w:name="_Toc312677509"/>
      <w:r>
        <w:rPr>
          <w:rFonts w:hint="eastAsia" w:ascii="宋体" w:hAnsi="宋体" w:cs="仿宋_GB2312"/>
          <w:sz w:val="24"/>
        </w:rPr>
        <w:t>0.7.1 依法必须招标的暂估价项目</w:t>
      </w:r>
    </w:p>
    <w:bookmarkEnd w:id="765"/>
    <w:bookmarkEnd w:id="766"/>
    <w:bookmarkEnd w:id="767"/>
    <w:p>
      <w:pPr>
        <w:spacing w:line="460" w:lineRule="exact"/>
        <w:ind w:firstLine="480" w:firstLineChars="200"/>
        <w:rPr>
          <w:rFonts w:ascii="宋体" w:hAnsi="宋体" w:cs="仿宋_GB2312"/>
          <w:sz w:val="24"/>
        </w:rPr>
      </w:pPr>
      <w:r>
        <w:rPr>
          <w:rFonts w:hint="eastAsia" w:ascii="宋体" w:hAnsi="宋体" w:cs="仿宋_GB2312"/>
          <w:sz w:val="24"/>
        </w:rPr>
        <w:t>对于依法必须招标的暂估价项目的确认和批准采取通用合同条款中第</w:t>
      </w:r>
      <w:r>
        <w:rPr>
          <w:rFonts w:hint="eastAsia" w:ascii="宋体" w:hAnsi="宋体" w:cs="仿宋_GB2312"/>
          <w:sz w:val="24"/>
          <w:u w:val="single"/>
        </w:rPr>
        <w:t xml:space="preserve">    </w:t>
      </w:r>
      <w:r>
        <w:rPr>
          <w:rFonts w:hint="eastAsia" w:ascii="宋体" w:hAnsi="宋体" w:cs="仿宋_GB2312"/>
          <w:sz w:val="24"/>
        </w:rPr>
        <w:t>种方式确定。</w:t>
      </w:r>
    </w:p>
    <w:p>
      <w:pPr>
        <w:spacing w:line="460" w:lineRule="exact"/>
        <w:ind w:firstLine="480" w:firstLineChars="200"/>
        <w:rPr>
          <w:rFonts w:ascii="宋体" w:hAnsi="宋体" w:cs="仿宋_GB2312"/>
          <w:sz w:val="24"/>
        </w:rPr>
      </w:pPr>
      <w:r>
        <w:rPr>
          <w:rFonts w:hint="eastAsia" w:ascii="宋体" w:hAnsi="宋体" w:cs="仿宋_GB2312"/>
          <w:sz w:val="24"/>
        </w:rPr>
        <w:t>10.7.2 不属于依法必须招标的暂估价项目</w:t>
      </w:r>
    </w:p>
    <w:p>
      <w:pPr>
        <w:spacing w:line="460" w:lineRule="exact"/>
        <w:ind w:firstLine="480" w:firstLineChars="200"/>
        <w:rPr>
          <w:rFonts w:ascii="宋体" w:hAnsi="宋体" w:cs="仿宋_GB2312"/>
          <w:sz w:val="24"/>
        </w:rPr>
      </w:pPr>
      <w:r>
        <w:rPr>
          <w:rFonts w:hint="eastAsia" w:ascii="宋体" w:hAnsi="宋体" w:cs="仿宋_GB2312"/>
          <w:sz w:val="24"/>
        </w:rPr>
        <w:t>对于不属于依法必须招标的暂估价项目的确认和批准采取通用合同条款中第</w:t>
      </w:r>
      <w:r>
        <w:rPr>
          <w:rFonts w:hint="eastAsia" w:ascii="宋体" w:hAnsi="宋体" w:cs="仿宋_GB2312"/>
          <w:sz w:val="24"/>
          <w:u w:val="single"/>
        </w:rPr>
        <w:t xml:space="preserve">    </w:t>
      </w:r>
      <w:r>
        <w:rPr>
          <w:rFonts w:hint="eastAsia" w:ascii="宋体" w:hAnsi="宋体" w:cs="仿宋_GB2312"/>
          <w:sz w:val="24"/>
        </w:rPr>
        <w:t>种方式确定。</w:t>
      </w:r>
    </w:p>
    <w:p>
      <w:pPr>
        <w:spacing w:line="460" w:lineRule="exact"/>
        <w:ind w:firstLine="480" w:firstLineChars="200"/>
        <w:jc w:val="left"/>
        <w:rPr>
          <w:rFonts w:ascii="宋体" w:hAnsi="宋体" w:cs="仿宋_GB2312"/>
          <w:kern w:val="0"/>
          <w:sz w:val="24"/>
        </w:rPr>
      </w:pPr>
      <w:r>
        <w:rPr>
          <w:rFonts w:hint="eastAsia" w:ascii="宋体" w:hAnsi="宋体" w:cs="仿宋_GB2312"/>
          <w:sz w:val="24"/>
        </w:rPr>
        <w:t>第3种方式：</w:t>
      </w:r>
      <w:r>
        <w:rPr>
          <w:rFonts w:hint="eastAsia" w:ascii="宋体" w:hAnsi="宋体" w:cs="仿宋_GB2312"/>
          <w:kern w:val="0"/>
          <w:sz w:val="24"/>
        </w:rPr>
        <w:t>承包人直接实施的暂估价项目</w:t>
      </w:r>
    </w:p>
    <w:p>
      <w:pPr>
        <w:spacing w:line="460" w:lineRule="exact"/>
        <w:ind w:firstLine="480" w:firstLineChars="200"/>
        <w:jc w:val="left"/>
        <w:rPr>
          <w:rFonts w:ascii="宋体" w:hAnsi="宋体"/>
          <w:sz w:val="24"/>
        </w:rPr>
      </w:pPr>
      <w:r>
        <w:rPr>
          <w:rFonts w:hint="eastAsia" w:ascii="宋体" w:hAnsi="宋体" w:cs="仿宋_GB2312"/>
          <w:sz w:val="24"/>
        </w:rPr>
        <w:t>承包人直接实施的暂估价项目的约定</w:t>
      </w:r>
      <w:r>
        <w:rPr>
          <w:rFonts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p>
    <w:p>
      <w:pPr>
        <w:spacing w:line="460" w:lineRule="exact"/>
        <w:ind w:firstLine="481" w:firstLineChars="200"/>
        <w:rPr>
          <w:rFonts w:ascii="宋体" w:hAnsi="宋体"/>
          <w:b/>
          <w:sz w:val="24"/>
        </w:rPr>
      </w:pPr>
      <w:r>
        <w:rPr>
          <w:rFonts w:ascii="宋体" w:hAnsi="宋体"/>
          <w:b/>
          <w:sz w:val="24"/>
        </w:rPr>
        <w:t>10.8 暂列金额</w:t>
      </w:r>
    </w:p>
    <w:p>
      <w:pPr>
        <w:autoSpaceDE w:val="0"/>
        <w:autoSpaceDN w:val="0"/>
        <w:adjustRightInd w:val="0"/>
        <w:spacing w:line="460" w:lineRule="exact"/>
        <w:ind w:firstLine="480" w:firstLineChars="200"/>
        <w:jc w:val="left"/>
        <w:rPr>
          <w:rFonts w:ascii="宋体" w:hAnsi="宋体"/>
          <w:sz w:val="24"/>
          <w:u w:val="single"/>
        </w:rPr>
      </w:pPr>
      <w:r>
        <w:rPr>
          <w:rFonts w:hint="eastAsia" w:ascii="宋体" w:hAnsi="宋体"/>
          <w:kern w:val="0"/>
          <w:sz w:val="24"/>
        </w:rPr>
        <w:t>合同当事人关于暂列金额使用的约定：</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w:t>
      </w:r>
    </w:p>
    <w:p>
      <w:pPr>
        <w:pStyle w:val="3"/>
        <w:spacing w:line="460" w:lineRule="exact"/>
        <w:jc w:val="left"/>
        <w:rPr>
          <w:rFonts w:ascii="宋体" w:hAnsi="宋体"/>
          <w:sz w:val="24"/>
          <w:szCs w:val="24"/>
        </w:rPr>
      </w:pPr>
      <w:bookmarkStart w:id="768" w:name="_Toc17442182"/>
      <w:bookmarkStart w:id="769" w:name="_Toc1637898606"/>
      <w:r>
        <w:rPr>
          <w:rFonts w:ascii="宋体" w:hAnsi="宋体"/>
          <w:sz w:val="24"/>
          <w:szCs w:val="24"/>
        </w:rPr>
        <w:t>11. 价格调整</w:t>
      </w:r>
      <w:bookmarkEnd w:id="768"/>
      <w:bookmarkEnd w:id="769"/>
      <w:r>
        <w:rPr>
          <w:rFonts w:hint="eastAsia" w:ascii="宋体" w:hAnsi="宋体"/>
          <w:sz w:val="24"/>
          <w:szCs w:val="24"/>
        </w:rPr>
        <w:t xml:space="preserve"> </w:t>
      </w:r>
    </w:p>
    <w:p>
      <w:pPr>
        <w:spacing w:line="460" w:lineRule="exact"/>
        <w:ind w:firstLine="481" w:firstLineChars="200"/>
        <w:outlineLvl w:val="2"/>
        <w:rPr>
          <w:rFonts w:ascii="宋体" w:hAnsi="宋体"/>
          <w:b/>
          <w:sz w:val="24"/>
        </w:rPr>
      </w:pPr>
      <w:bookmarkStart w:id="770" w:name="_Toc1614717129"/>
      <w:bookmarkStart w:id="771" w:name="_Toc31698"/>
      <w:bookmarkStart w:id="772" w:name="_Toc1840417661"/>
      <w:bookmarkStart w:id="773" w:name="_Toc296891029"/>
      <w:bookmarkStart w:id="774" w:name="_Toc297048387"/>
      <w:bookmarkStart w:id="775" w:name="_Toc292559911"/>
      <w:bookmarkStart w:id="776" w:name="_Toc304295577"/>
      <w:bookmarkStart w:id="777" w:name="_Toc296944540"/>
      <w:bookmarkStart w:id="778" w:name="_Toc297216209"/>
      <w:bookmarkStart w:id="779" w:name="_Toc296503201"/>
      <w:bookmarkStart w:id="780" w:name="_Toc296346702"/>
      <w:bookmarkStart w:id="781" w:name="_Toc296347200"/>
      <w:bookmarkStart w:id="782" w:name="_Toc312678039"/>
      <w:bookmarkStart w:id="783" w:name="_Toc292559406"/>
      <w:bookmarkStart w:id="784" w:name="_Toc297123550"/>
      <w:bookmarkStart w:id="785" w:name="_Toc296891241"/>
      <w:bookmarkStart w:id="786" w:name="_Toc300935000"/>
      <w:bookmarkStart w:id="787" w:name="_Toc297120501"/>
      <w:bookmarkStart w:id="788" w:name="_Toc303539157"/>
      <w:r>
        <w:rPr>
          <w:rFonts w:ascii="宋体" w:hAnsi="宋体"/>
          <w:b/>
          <w:sz w:val="24"/>
        </w:rPr>
        <w:t>11.1 市场价格波动引起的调整</w:t>
      </w:r>
      <w:bookmarkEnd w:id="770"/>
      <w:bookmarkEnd w:id="771"/>
      <w:bookmarkEnd w:id="772"/>
    </w:p>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pPr>
        <w:spacing w:line="460" w:lineRule="exact"/>
        <w:ind w:firstLine="480" w:firstLineChars="200"/>
        <w:rPr>
          <w:rFonts w:ascii="宋体" w:hAnsi="宋体"/>
          <w:sz w:val="24"/>
        </w:rPr>
      </w:pPr>
      <w:r>
        <w:rPr>
          <w:rFonts w:ascii="宋体" w:hAnsi="宋体"/>
          <w:kern w:val="0"/>
          <w:sz w:val="24"/>
        </w:rPr>
        <w:t>市场价格波动是否调整合同价格的约定：</w:t>
      </w:r>
      <w:r>
        <w:rPr>
          <w:rFonts w:ascii="宋体" w:hAnsi="宋体"/>
          <w:sz w:val="24"/>
          <w:u w:val="single"/>
        </w:rPr>
        <w:t xml:space="preserve">           </w:t>
      </w:r>
      <w:r>
        <w:rPr>
          <w:rFonts w:hint="eastAsia" w:ascii="宋体" w:hAnsi="宋体"/>
          <w:sz w:val="24"/>
          <w:u w:val="single"/>
        </w:rPr>
        <w:t xml:space="preserve">    </w:t>
      </w:r>
      <w:r>
        <w:rPr>
          <w:rFonts w:ascii="宋体" w:hAnsi="宋体"/>
          <w:sz w:val="24"/>
        </w:rPr>
        <w:t>。</w:t>
      </w:r>
    </w:p>
    <w:p>
      <w:pPr>
        <w:spacing w:line="460" w:lineRule="exact"/>
        <w:ind w:firstLine="480" w:firstLineChars="200"/>
        <w:rPr>
          <w:rFonts w:ascii="宋体" w:hAnsi="宋体"/>
          <w:sz w:val="24"/>
        </w:rPr>
      </w:pPr>
      <w:r>
        <w:rPr>
          <w:rFonts w:ascii="宋体" w:hAnsi="宋体"/>
          <w:sz w:val="24"/>
        </w:rPr>
        <w:t>因市场价格波动调整合同价格，采用以下第</w:t>
      </w:r>
      <w:r>
        <w:rPr>
          <w:rFonts w:ascii="宋体" w:hAnsi="宋体"/>
          <w:sz w:val="24"/>
          <w:u w:val="single"/>
        </w:rPr>
        <w:t xml:space="preserve">    </w:t>
      </w:r>
      <w:r>
        <w:rPr>
          <w:rFonts w:ascii="宋体" w:hAnsi="宋体"/>
          <w:sz w:val="24"/>
        </w:rPr>
        <w:t>种方式对合同价格进行调整：</w:t>
      </w:r>
    </w:p>
    <w:p>
      <w:pPr>
        <w:spacing w:line="460" w:lineRule="exact"/>
        <w:ind w:firstLine="480" w:firstLineChars="200"/>
        <w:rPr>
          <w:rFonts w:ascii="宋体" w:hAnsi="宋体" w:cs="仿宋_GB2312"/>
          <w:sz w:val="24"/>
        </w:rPr>
      </w:pPr>
      <w:r>
        <w:rPr>
          <w:rFonts w:hint="eastAsia" w:ascii="宋体" w:hAnsi="宋体" w:cs="仿宋_GB2312"/>
          <w:sz w:val="24"/>
        </w:rPr>
        <w:t>第1种方式：采用价格指数进行价格调整。</w:t>
      </w:r>
    </w:p>
    <w:p>
      <w:pPr>
        <w:spacing w:line="460" w:lineRule="exact"/>
        <w:ind w:firstLine="480" w:firstLineChars="200"/>
        <w:rPr>
          <w:rFonts w:ascii="宋体" w:hAnsi="宋体" w:cs="仿宋_GB2312"/>
          <w:sz w:val="24"/>
          <w:u w:val="single"/>
        </w:rPr>
      </w:pPr>
      <w:r>
        <w:rPr>
          <w:rFonts w:hint="eastAsia" w:ascii="宋体" w:hAnsi="宋体" w:cs="仿宋_GB2312"/>
          <w:sz w:val="24"/>
        </w:rPr>
        <w:t>关于各可调因子、定值和变值权重，以及基本价格指数及其来源的约定：</w:t>
      </w:r>
      <w:r>
        <w:rPr>
          <w:rFonts w:hint="eastAsia" w:ascii="宋体" w:hAnsi="宋体" w:cs="仿宋_GB2312"/>
          <w:sz w:val="24"/>
          <w:u w:val="single"/>
        </w:rPr>
        <w:t xml:space="preserve">                                           </w:t>
      </w:r>
      <w:r>
        <w:rPr>
          <w:rFonts w:hint="eastAsia" w:ascii="宋体" w:hAnsi="宋体" w:cs="仿宋_GB2312"/>
          <w:sz w:val="24"/>
        </w:rPr>
        <w:t xml:space="preserve">；  </w:t>
      </w:r>
    </w:p>
    <w:p>
      <w:pPr>
        <w:spacing w:line="460" w:lineRule="exact"/>
        <w:ind w:firstLine="480" w:firstLineChars="200"/>
        <w:jc w:val="left"/>
        <w:rPr>
          <w:rFonts w:ascii="宋体" w:hAnsi="宋体" w:cs="仿宋_GB2312"/>
          <w:sz w:val="24"/>
        </w:rPr>
      </w:pPr>
      <w:r>
        <w:rPr>
          <w:rFonts w:hint="eastAsia" w:ascii="宋体" w:hAnsi="宋体" w:cs="仿宋_GB2312"/>
          <w:sz w:val="24"/>
        </w:rPr>
        <w:t xml:space="preserve">第2种方式：采用造价信息进行价格调整。  </w:t>
      </w:r>
    </w:p>
    <w:p>
      <w:pPr>
        <w:spacing w:line="460" w:lineRule="exact"/>
        <w:ind w:firstLine="480" w:firstLineChars="200"/>
        <w:jc w:val="left"/>
        <w:rPr>
          <w:rFonts w:ascii="宋体" w:hAnsi="宋体" w:cs="仿宋_GB2312"/>
          <w:sz w:val="24"/>
        </w:rPr>
      </w:pPr>
      <w:r>
        <w:rPr>
          <w:rFonts w:hint="eastAsia" w:ascii="宋体" w:hAnsi="宋体" w:cs="仿宋_GB2312"/>
          <w:sz w:val="24"/>
        </w:rPr>
        <w:t>（2）关于基准价格的约定：</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rPr>
          <w:rFonts w:ascii="宋体" w:hAnsi="宋体" w:cs="仿宋_GB2312"/>
          <w:sz w:val="24"/>
        </w:rPr>
      </w:pPr>
      <w:r>
        <w:rPr>
          <w:rFonts w:hint="eastAsia" w:ascii="宋体" w:hAnsi="宋体" w:cs="仿宋_GB2312"/>
          <w:sz w:val="24"/>
        </w:rPr>
        <w:t>①承包人在已标价工程量清单或预算书中载明的材料单价低于基准价格的：合同履行期间材料单价涨幅以基准价格为基础超过</w:t>
      </w:r>
      <w:r>
        <w:rPr>
          <w:rFonts w:hint="eastAsia" w:ascii="宋体" w:hAnsi="宋体" w:cs="仿宋_GB2312"/>
          <w:sz w:val="24"/>
          <w:u w:val="single"/>
        </w:rPr>
        <w:t xml:space="preserve">    </w:t>
      </w:r>
      <w:r>
        <w:rPr>
          <w:rFonts w:hint="eastAsia" w:ascii="宋体" w:hAnsi="宋体" w:cs="仿宋_GB2312"/>
          <w:sz w:val="24"/>
        </w:rPr>
        <w:t>%时，或材料单价跌幅以已标价工程量清单或预算书中载明材料单价为基础超过</w:t>
      </w:r>
      <w:r>
        <w:rPr>
          <w:rFonts w:hint="eastAsia" w:ascii="宋体" w:hAnsi="宋体" w:cs="仿宋_GB2312"/>
          <w:sz w:val="24"/>
          <w:u w:val="single"/>
        </w:rPr>
        <w:t xml:space="preserve">    </w:t>
      </w:r>
      <w:r>
        <w:rPr>
          <w:rFonts w:hint="eastAsia" w:ascii="宋体" w:hAnsi="宋体" w:cs="仿宋_GB2312"/>
          <w:sz w:val="24"/>
        </w:rPr>
        <w:t>%时，其超过部分据实调整。</w:t>
      </w:r>
    </w:p>
    <w:p>
      <w:pPr>
        <w:spacing w:line="460" w:lineRule="exact"/>
        <w:ind w:firstLine="480" w:firstLineChars="200"/>
        <w:rPr>
          <w:rFonts w:ascii="宋体" w:hAnsi="宋体" w:cs="仿宋_GB2312"/>
          <w:sz w:val="24"/>
        </w:rPr>
      </w:pPr>
      <w:r>
        <w:rPr>
          <w:rFonts w:hint="eastAsia" w:ascii="宋体" w:hAnsi="宋体" w:cs="仿宋_GB2312"/>
          <w:sz w:val="24"/>
        </w:rPr>
        <w:t>②承包人在已标价工程量清单或预算书中载明的材料单价高于基准价格的：合同履行期间材料单价跌幅以基准价格为基础超过</w:t>
      </w:r>
      <w:r>
        <w:rPr>
          <w:rFonts w:hint="eastAsia" w:ascii="宋体" w:hAnsi="宋体" w:cs="仿宋_GB2312"/>
          <w:sz w:val="24"/>
          <w:u w:val="single"/>
        </w:rPr>
        <w:t xml:space="preserve">   </w:t>
      </w:r>
      <w:r>
        <w:rPr>
          <w:rFonts w:hint="eastAsia" w:ascii="宋体" w:hAnsi="宋体" w:cs="仿宋_GB2312"/>
          <w:sz w:val="24"/>
        </w:rPr>
        <w:t>%时，材料单价涨幅以已标价工程量清单或预算书中载明材料单价为基础超过</w:t>
      </w:r>
      <w:r>
        <w:rPr>
          <w:rFonts w:hint="eastAsia" w:ascii="宋体" w:hAnsi="宋体" w:cs="仿宋_GB2312"/>
          <w:sz w:val="24"/>
          <w:u w:val="single"/>
        </w:rPr>
        <w:t xml:space="preserve">   </w:t>
      </w:r>
      <w:r>
        <w:rPr>
          <w:rFonts w:hint="eastAsia" w:ascii="宋体" w:hAnsi="宋体" w:cs="仿宋_GB2312"/>
          <w:sz w:val="24"/>
        </w:rPr>
        <w:t>%时，其超过部分据实调整。</w:t>
      </w:r>
    </w:p>
    <w:p>
      <w:pPr>
        <w:spacing w:line="460" w:lineRule="exact"/>
        <w:ind w:firstLine="645"/>
        <w:rPr>
          <w:rFonts w:ascii="宋体" w:hAnsi="宋体" w:cs="仿宋_GB2312"/>
          <w:sz w:val="24"/>
        </w:rPr>
      </w:pPr>
      <w:r>
        <w:rPr>
          <w:rFonts w:hint="eastAsia" w:ascii="宋体" w:hAnsi="宋体" w:cs="仿宋_GB2312"/>
          <w:sz w:val="24"/>
        </w:rPr>
        <w:t>③承包人在已标价工程量清单或预算书中载明的材料单价等于基准单价的：合同履行期间材料单价涨跌幅以基准单价为基础超过±</w:t>
      </w:r>
      <w:r>
        <w:rPr>
          <w:rFonts w:hint="eastAsia" w:ascii="宋体" w:hAnsi="宋体" w:cs="仿宋_GB2312"/>
          <w:sz w:val="24"/>
          <w:u w:val="single"/>
        </w:rPr>
        <w:t xml:space="preserve">   </w:t>
      </w:r>
      <w:r>
        <w:rPr>
          <w:rFonts w:hint="eastAsia" w:ascii="宋体" w:hAnsi="宋体" w:cs="仿宋_GB2312"/>
          <w:sz w:val="24"/>
        </w:rPr>
        <w:t>%时，其超过部分据实调整。</w:t>
      </w:r>
    </w:p>
    <w:p>
      <w:pPr>
        <w:spacing w:line="460" w:lineRule="exact"/>
        <w:ind w:firstLine="645"/>
        <w:jc w:val="left"/>
        <w:rPr>
          <w:rFonts w:ascii="宋体" w:hAnsi="宋体"/>
          <w:sz w:val="24"/>
          <w:u w:val="single"/>
        </w:rPr>
      </w:pPr>
      <w:r>
        <w:rPr>
          <w:rFonts w:hint="eastAsia" w:ascii="宋体" w:hAnsi="宋体" w:cs="仿宋_GB2312"/>
          <w:sz w:val="24"/>
        </w:rPr>
        <w:t>第3种方式</w:t>
      </w:r>
      <w:r>
        <w:rPr>
          <w:rFonts w:ascii="宋体" w:hAnsi="宋体"/>
          <w:sz w:val="24"/>
        </w:rPr>
        <w:t>：其他价格调整方式：</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p>
    <w:bookmarkEnd w:id="645"/>
    <w:bookmarkEnd w:id="646"/>
    <w:bookmarkEnd w:id="647"/>
    <w:bookmarkEnd w:id="648"/>
    <w:bookmarkEnd w:id="649"/>
    <w:bookmarkEnd w:id="650"/>
    <w:p>
      <w:pPr>
        <w:pStyle w:val="3"/>
        <w:spacing w:line="460" w:lineRule="exact"/>
        <w:jc w:val="left"/>
        <w:rPr>
          <w:rFonts w:ascii="宋体" w:hAnsi="宋体"/>
          <w:sz w:val="24"/>
          <w:szCs w:val="24"/>
        </w:rPr>
      </w:pPr>
      <w:bookmarkStart w:id="789" w:name="_Toc296503205"/>
      <w:bookmarkStart w:id="790" w:name="_Toc296346706"/>
      <w:bookmarkStart w:id="791" w:name="_Toc297048391"/>
      <w:bookmarkStart w:id="792" w:name="_Toc292559915"/>
      <w:bookmarkStart w:id="793" w:name="_Toc296891033"/>
      <w:bookmarkStart w:id="794" w:name="_Toc296347204"/>
      <w:bookmarkStart w:id="795" w:name="_Toc296891245"/>
      <w:bookmarkStart w:id="796" w:name="_Toc297120505"/>
      <w:bookmarkStart w:id="797" w:name="_Toc292559410"/>
      <w:bookmarkStart w:id="798" w:name="_Toc296944544"/>
      <w:bookmarkStart w:id="799" w:name="_Toc226573127"/>
      <w:bookmarkStart w:id="800" w:name="_Toc2095751839"/>
      <w:bookmarkStart w:id="801" w:name="_Toc297216211"/>
      <w:bookmarkStart w:id="802" w:name="_Toc297123552"/>
      <w:bookmarkStart w:id="803" w:name="_Toc312678040"/>
      <w:bookmarkStart w:id="804" w:name="_Toc303539159"/>
      <w:bookmarkStart w:id="805" w:name="_Toc300935002"/>
      <w:bookmarkStart w:id="806" w:name="_Toc304295579"/>
      <w:r>
        <w:rPr>
          <w:rFonts w:ascii="宋体" w:hAnsi="宋体"/>
          <w:sz w:val="24"/>
          <w:szCs w:val="24"/>
        </w:rPr>
        <w:t xml:space="preserve">12. </w:t>
      </w:r>
      <w:bookmarkEnd w:id="789"/>
      <w:bookmarkEnd w:id="790"/>
      <w:bookmarkEnd w:id="791"/>
      <w:bookmarkEnd w:id="792"/>
      <w:bookmarkEnd w:id="793"/>
      <w:bookmarkEnd w:id="794"/>
      <w:bookmarkEnd w:id="795"/>
      <w:bookmarkEnd w:id="796"/>
      <w:bookmarkEnd w:id="797"/>
      <w:bookmarkEnd w:id="798"/>
      <w:r>
        <w:rPr>
          <w:rFonts w:ascii="宋体" w:hAnsi="宋体"/>
          <w:sz w:val="24"/>
          <w:szCs w:val="24"/>
        </w:rPr>
        <w:t>合同价格、计量与支付</w:t>
      </w:r>
      <w:bookmarkEnd w:id="799"/>
      <w:bookmarkEnd w:id="800"/>
    </w:p>
    <w:bookmarkEnd w:id="801"/>
    <w:bookmarkEnd w:id="802"/>
    <w:bookmarkEnd w:id="803"/>
    <w:bookmarkEnd w:id="804"/>
    <w:bookmarkEnd w:id="805"/>
    <w:bookmarkEnd w:id="806"/>
    <w:p>
      <w:pPr>
        <w:spacing w:line="460" w:lineRule="exact"/>
        <w:ind w:firstLine="481" w:firstLineChars="200"/>
        <w:outlineLvl w:val="2"/>
        <w:rPr>
          <w:rFonts w:ascii="宋体" w:hAnsi="宋体"/>
          <w:b/>
          <w:sz w:val="24"/>
        </w:rPr>
      </w:pPr>
      <w:bookmarkStart w:id="807" w:name="_Toc292559411"/>
      <w:bookmarkStart w:id="808" w:name="_Toc292559916"/>
      <w:bookmarkStart w:id="809" w:name="_Toc267251461"/>
      <w:bookmarkStart w:id="810" w:name="_Toc296346707"/>
      <w:bookmarkStart w:id="811" w:name="_Toc296347205"/>
      <w:bookmarkStart w:id="812" w:name="_Toc297048392"/>
      <w:bookmarkStart w:id="813" w:name="_Toc296891246"/>
      <w:bookmarkStart w:id="814" w:name="_Toc296891034"/>
      <w:bookmarkStart w:id="815" w:name="_Toc296503206"/>
      <w:bookmarkStart w:id="816" w:name="_Toc296944545"/>
      <w:bookmarkStart w:id="817" w:name="_Toc297120506"/>
      <w:bookmarkStart w:id="818" w:name="_Toc13589"/>
      <w:bookmarkStart w:id="819" w:name="_Toc1734401749"/>
      <w:bookmarkStart w:id="820" w:name="_Toc74869891"/>
      <w:bookmarkStart w:id="821" w:name="_Toc297216212"/>
      <w:bookmarkStart w:id="822" w:name="_Toc303539160"/>
      <w:bookmarkStart w:id="823" w:name="_Toc300935003"/>
      <w:bookmarkStart w:id="824" w:name="_Toc312678041"/>
      <w:bookmarkStart w:id="825" w:name="_Toc297123553"/>
      <w:bookmarkStart w:id="826" w:name="_Toc304295580"/>
      <w:r>
        <w:rPr>
          <w:rFonts w:ascii="宋体" w:hAnsi="宋体"/>
          <w:b/>
          <w:sz w:val="24"/>
        </w:rPr>
        <w:t>12.1 合</w:t>
      </w:r>
      <w:bookmarkEnd w:id="807"/>
      <w:bookmarkEnd w:id="808"/>
      <w:bookmarkEnd w:id="809"/>
      <w:r>
        <w:rPr>
          <w:rFonts w:ascii="宋体" w:hAnsi="宋体"/>
          <w:b/>
          <w:sz w:val="24"/>
        </w:rPr>
        <w:t>同价</w:t>
      </w:r>
      <w:bookmarkEnd w:id="810"/>
      <w:bookmarkEnd w:id="811"/>
      <w:bookmarkEnd w:id="812"/>
      <w:bookmarkEnd w:id="813"/>
      <w:bookmarkEnd w:id="814"/>
      <w:bookmarkEnd w:id="815"/>
      <w:bookmarkEnd w:id="816"/>
      <w:bookmarkEnd w:id="817"/>
      <w:r>
        <w:rPr>
          <w:rFonts w:ascii="宋体" w:hAnsi="宋体"/>
          <w:b/>
          <w:sz w:val="24"/>
        </w:rPr>
        <w:t>格形式</w:t>
      </w:r>
      <w:bookmarkEnd w:id="818"/>
      <w:bookmarkEnd w:id="819"/>
      <w:bookmarkEnd w:id="820"/>
    </w:p>
    <w:bookmarkEnd w:id="821"/>
    <w:bookmarkEnd w:id="822"/>
    <w:bookmarkEnd w:id="823"/>
    <w:bookmarkEnd w:id="824"/>
    <w:bookmarkEnd w:id="825"/>
    <w:bookmarkEnd w:id="826"/>
    <w:p>
      <w:pPr>
        <w:spacing w:line="460" w:lineRule="exact"/>
        <w:ind w:firstLine="480" w:firstLineChars="200"/>
        <w:jc w:val="left"/>
        <w:rPr>
          <w:rFonts w:ascii="宋体" w:hAnsi="宋体" w:cs="仿宋_GB2312"/>
          <w:sz w:val="24"/>
        </w:rPr>
      </w:pPr>
      <w:r>
        <w:rPr>
          <w:rFonts w:hint="eastAsia" w:ascii="宋体" w:hAnsi="宋体" w:cs="仿宋_GB2312"/>
          <w:sz w:val="24"/>
        </w:rPr>
        <w:t>1.单价合同。</w:t>
      </w:r>
    </w:p>
    <w:p>
      <w:pPr>
        <w:spacing w:line="460" w:lineRule="exact"/>
        <w:ind w:firstLine="480" w:firstLineChars="200"/>
        <w:jc w:val="left"/>
        <w:rPr>
          <w:rFonts w:ascii="宋体" w:hAnsi="宋体" w:cs="仿宋_GB2312"/>
          <w:sz w:val="24"/>
          <w:u w:val="single"/>
        </w:rPr>
      </w:pPr>
      <w:r>
        <w:rPr>
          <w:rFonts w:hint="eastAsia" w:ascii="宋体" w:hAnsi="宋体" w:cs="仿宋_GB2312"/>
          <w:sz w:val="24"/>
        </w:rPr>
        <w:t>综合单价包含的风险范围：</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jc w:val="left"/>
        <w:rPr>
          <w:rFonts w:ascii="宋体" w:hAnsi="宋体" w:cs="仿宋_GB2312"/>
          <w:sz w:val="24"/>
        </w:rPr>
      </w:pPr>
      <w:r>
        <w:rPr>
          <w:rFonts w:hint="eastAsia" w:ascii="宋体" w:hAnsi="宋体" w:cs="仿宋_GB2312"/>
          <w:sz w:val="24"/>
        </w:rPr>
        <w:t>风险费用的计算方法：</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jc w:val="left"/>
        <w:rPr>
          <w:rFonts w:ascii="宋体" w:hAnsi="宋体" w:cs="仿宋_GB2312"/>
          <w:sz w:val="24"/>
        </w:rPr>
      </w:pPr>
      <w:r>
        <w:rPr>
          <w:rFonts w:hint="eastAsia" w:ascii="宋体" w:hAnsi="宋体" w:cs="仿宋_GB2312"/>
          <w:sz w:val="24"/>
        </w:rPr>
        <w:t>风险范围以外合同价格的调整方法：</w:t>
      </w:r>
      <w:r>
        <w:rPr>
          <w:rFonts w:hint="eastAsia" w:ascii="宋体" w:hAnsi="宋体" w:cs="仿宋_GB2312"/>
          <w:sz w:val="24"/>
          <w:u w:val="single"/>
        </w:rPr>
        <w:t xml:space="preserve">                   </w:t>
      </w:r>
      <w:r>
        <w:rPr>
          <w:rFonts w:hint="eastAsia" w:ascii="宋体" w:hAnsi="宋体" w:cs="仿宋_GB2312"/>
          <w:sz w:val="24"/>
        </w:rPr>
        <w:t xml:space="preserve">。    </w:t>
      </w:r>
    </w:p>
    <w:p>
      <w:pPr>
        <w:spacing w:line="460" w:lineRule="exact"/>
        <w:ind w:firstLine="480" w:firstLineChars="200"/>
        <w:jc w:val="left"/>
        <w:rPr>
          <w:rFonts w:ascii="宋体" w:hAnsi="宋体" w:cs="仿宋_GB2312"/>
          <w:sz w:val="24"/>
        </w:rPr>
      </w:pPr>
      <w:r>
        <w:rPr>
          <w:rFonts w:hint="eastAsia" w:ascii="宋体" w:hAnsi="宋体" w:cs="仿宋_GB2312"/>
          <w:sz w:val="24"/>
        </w:rPr>
        <w:t>2.总价合同。</w:t>
      </w:r>
    </w:p>
    <w:p>
      <w:pPr>
        <w:spacing w:line="460" w:lineRule="exact"/>
        <w:ind w:firstLine="480" w:firstLineChars="200"/>
        <w:jc w:val="left"/>
        <w:rPr>
          <w:rFonts w:ascii="宋体" w:hAnsi="宋体" w:cs="仿宋_GB2312"/>
          <w:sz w:val="24"/>
        </w:rPr>
      </w:pPr>
      <w:r>
        <w:rPr>
          <w:rFonts w:hint="eastAsia" w:ascii="宋体" w:hAnsi="宋体" w:cs="仿宋_GB2312"/>
          <w:sz w:val="24"/>
        </w:rPr>
        <w:t>总价包含的风险范围：</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jc w:val="left"/>
        <w:rPr>
          <w:rFonts w:ascii="宋体" w:hAnsi="宋体" w:cs="仿宋_GB2312"/>
          <w:i/>
          <w:iCs/>
          <w:sz w:val="24"/>
          <w:u w:val="single"/>
        </w:rPr>
      </w:pPr>
      <w:r>
        <w:rPr>
          <w:rFonts w:hint="eastAsia" w:ascii="宋体" w:hAnsi="宋体" w:cs="仿宋_GB2312"/>
          <w:sz w:val="24"/>
        </w:rPr>
        <w:t>风险费用的计算方法：</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jc w:val="left"/>
        <w:rPr>
          <w:rFonts w:ascii="宋体" w:hAnsi="宋体" w:cs="仿宋_GB2312"/>
          <w:sz w:val="24"/>
        </w:rPr>
      </w:pPr>
      <w:r>
        <w:rPr>
          <w:rFonts w:hint="eastAsia" w:ascii="宋体" w:hAnsi="宋体" w:cs="仿宋_GB2312"/>
          <w:sz w:val="24"/>
        </w:rPr>
        <w:t>风险范围以外合同价格的调整方法：</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jc w:val="left"/>
        <w:rPr>
          <w:rFonts w:ascii="宋体" w:hAnsi="宋体"/>
          <w:sz w:val="24"/>
        </w:rPr>
      </w:pPr>
      <w:r>
        <w:rPr>
          <w:rFonts w:hint="eastAsia" w:ascii="宋体" w:hAnsi="宋体" w:cs="仿宋_GB2312"/>
          <w:sz w:val="24"/>
        </w:rPr>
        <w:t>3.其他价</w:t>
      </w:r>
      <w:r>
        <w:rPr>
          <w:rFonts w:ascii="宋体" w:hAnsi="宋体"/>
          <w:sz w:val="24"/>
        </w:rPr>
        <w:t>格方式：</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p>
    <w:p>
      <w:pPr>
        <w:spacing w:line="460" w:lineRule="exact"/>
        <w:ind w:firstLine="481" w:firstLineChars="200"/>
        <w:outlineLvl w:val="2"/>
        <w:rPr>
          <w:rFonts w:ascii="宋体" w:hAnsi="宋体"/>
          <w:b/>
          <w:sz w:val="24"/>
        </w:rPr>
      </w:pPr>
      <w:bookmarkStart w:id="827" w:name="_Toc712673231"/>
      <w:bookmarkStart w:id="828" w:name="_Toc1924091423"/>
      <w:bookmarkStart w:id="829" w:name="_Toc297123554"/>
      <w:bookmarkStart w:id="830" w:name="_Toc312678042"/>
      <w:bookmarkStart w:id="831" w:name="_Toc304295581"/>
      <w:bookmarkStart w:id="832" w:name="_Toc297216213"/>
      <w:bookmarkStart w:id="833" w:name="_Toc300935004"/>
      <w:bookmarkStart w:id="834" w:name="_Toc303539161"/>
      <w:bookmarkStart w:id="835" w:name="_Toc296347206"/>
      <w:bookmarkStart w:id="836" w:name="_Toc296503207"/>
      <w:bookmarkStart w:id="837" w:name="_Toc292559412"/>
      <w:bookmarkStart w:id="838" w:name="_Toc296346708"/>
      <w:bookmarkStart w:id="839" w:name="_Toc296944546"/>
      <w:bookmarkStart w:id="840" w:name="_Toc292559917"/>
      <w:bookmarkStart w:id="841" w:name="_Toc296891035"/>
      <w:bookmarkStart w:id="842" w:name="_Toc297120507"/>
      <w:bookmarkStart w:id="843" w:name="_Toc297048393"/>
      <w:bookmarkStart w:id="844" w:name="_Toc296891247"/>
      <w:r>
        <w:rPr>
          <w:rFonts w:ascii="宋体" w:hAnsi="宋体"/>
          <w:b/>
          <w:sz w:val="24"/>
        </w:rPr>
        <w:t>12.2 预付款</w:t>
      </w:r>
      <w:bookmarkEnd w:id="827"/>
      <w:bookmarkEnd w:id="828"/>
    </w:p>
    <w:p>
      <w:pPr>
        <w:spacing w:line="460" w:lineRule="exact"/>
        <w:ind w:firstLine="480" w:firstLineChars="200"/>
        <w:jc w:val="left"/>
        <w:rPr>
          <w:rFonts w:ascii="宋体" w:hAnsi="宋体" w:cs="仿宋_GB2312"/>
          <w:sz w:val="24"/>
        </w:rPr>
      </w:pPr>
      <w:r>
        <w:rPr>
          <w:rFonts w:hint="eastAsia" w:ascii="宋体" w:hAnsi="宋体" w:cs="仿宋_GB2312"/>
          <w:sz w:val="24"/>
        </w:rPr>
        <w:t>本款修改12.2.1、12.2.2。</w:t>
      </w:r>
    </w:p>
    <w:p>
      <w:pPr>
        <w:spacing w:line="460" w:lineRule="exact"/>
        <w:ind w:firstLine="480" w:firstLineChars="200"/>
        <w:jc w:val="left"/>
        <w:rPr>
          <w:rFonts w:ascii="宋体" w:hAnsi="宋体" w:cs="仿宋_GB2312"/>
          <w:sz w:val="24"/>
        </w:rPr>
      </w:pPr>
      <w:r>
        <w:rPr>
          <w:rFonts w:hint="eastAsia" w:ascii="宋体" w:hAnsi="宋体" w:cs="仿宋_GB2312"/>
          <w:sz w:val="24"/>
        </w:rPr>
        <w:t>12.2.1 预付款的支付</w:t>
      </w:r>
    </w:p>
    <w:p>
      <w:pPr>
        <w:spacing w:line="460" w:lineRule="exact"/>
        <w:ind w:firstLine="480" w:firstLineChars="200"/>
        <w:jc w:val="left"/>
        <w:rPr>
          <w:rFonts w:ascii="宋体" w:hAnsi="宋体" w:cs="仿宋_GB2312"/>
          <w:sz w:val="24"/>
        </w:rPr>
      </w:pPr>
      <w:r>
        <w:rPr>
          <w:rFonts w:hint="eastAsia" w:ascii="宋体" w:hAnsi="宋体" w:cs="仿宋_GB2312"/>
          <w:sz w:val="24"/>
        </w:rPr>
        <w:t>预付款扣回的方式：</w:t>
      </w:r>
      <w:r>
        <w:rPr>
          <w:rFonts w:hint="eastAsia" w:ascii="宋体" w:hAnsi="宋体" w:cs="仿宋_GB2312"/>
          <w:sz w:val="24"/>
          <w:u w:val="single"/>
        </w:rPr>
        <w:t xml:space="preserve">                                 </w:t>
      </w:r>
      <w:r>
        <w:rPr>
          <w:rFonts w:hint="eastAsia" w:ascii="宋体" w:hAnsi="宋体" w:cs="仿宋_GB2312"/>
          <w:sz w:val="24"/>
        </w:rPr>
        <w:t>。</w:t>
      </w:r>
    </w:p>
    <w:bookmarkEnd w:id="829"/>
    <w:bookmarkEnd w:id="830"/>
    <w:bookmarkEnd w:id="831"/>
    <w:bookmarkEnd w:id="832"/>
    <w:bookmarkEnd w:id="833"/>
    <w:bookmarkEnd w:id="834"/>
    <w:p>
      <w:pPr>
        <w:spacing w:line="460" w:lineRule="exact"/>
        <w:ind w:firstLine="480" w:firstLineChars="200"/>
        <w:jc w:val="left"/>
        <w:rPr>
          <w:rFonts w:ascii="宋体" w:hAnsi="宋体" w:cs="仿宋_GB2312"/>
          <w:sz w:val="24"/>
        </w:rPr>
      </w:pPr>
      <w:r>
        <w:rPr>
          <w:rFonts w:hint="eastAsia" w:ascii="宋体" w:hAnsi="宋体" w:cs="仿宋_GB2312"/>
          <w:sz w:val="24"/>
        </w:rPr>
        <w:t>12.2.2 预付款担保</w:t>
      </w:r>
    </w:p>
    <w:p>
      <w:pPr>
        <w:spacing w:line="460" w:lineRule="exact"/>
        <w:ind w:firstLine="480" w:firstLineChars="200"/>
        <w:rPr>
          <w:rFonts w:ascii="宋体" w:hAnsi="宋体" w:cs="仿宋_GB2312"/>
          <w:sz w:val="24"/>
          <w:u w:val="single"/>
        </w:rPr>
      </w:pPr>
      <w:r>
        <w:rPr>
          <w:rFonts w:hint="eastAsia" w:ascii="宋体" w:hAnsi="宋体" w:cs="仿宋_GB2312"/>
          <w:sz w:val="24"/>
        </w:rPr>
        <w:t>签订合同后</w:t>
      </w:r>
      <w:r>
        <w:rPr>
          <w:rFonts w:hint="eastAsia" w:ascii="宋体" w:hAnsi="宋体" w:cs="仿宋_GB2312"/>
          <w:sz w:val="24"/>
          <w:u w:val="single"/>
        </w:rPr>
        <w:t xml:space="preserve">    </w:t>
      </w:r>
      <w:r>
        <w:rPr>
          <w:rFonts w:hint="eastAsia" w:ascii="宋体" w:hAnsi="宋体" w:cs="仿宋_GB2312"/>
          <w:sz w:val="24"/>
        </w:rPr>
        <w:t>个工作日内，承包人需提交支付担保人民币</w:t>
      </w:r>
      <w:r>
        <w:rPr>
          <w:rFonts w:hint="eastAsia" w:ascii="宋体" w:hAnsi="宋体" w:cs="仿宋_GB2312"/>
          <w:sz w:val="24"/>
          <w:u w:val="single"/>
        </w:rPr>
        <w:t xml:space="preserve">          </w:t>
      </w:r>
    </w:p>
    <w:p>
      <w:pPr>
        <w:spacing w:line="460" w:lineRule="exact"/>
        <w:rPr>
          <w:rFonts w:ascii="宋体" w:hAnsi="宋体"/>
          <w:sz w:val="24"/>
        </w:rPr>
      </w:pPr>
      <w:r>
        <w:rPr>
          <w:rFonts w:hint="eastAsia" w:ascii="宋体" w:hAnsi="宋体" w:cs="仿宋_GB2312"/>
          <w:sz w:val="24"/>
          <w:u w:val="single"/>
        </w:rPr>
        <w:t xml:space="preserve">    </w:t>
      </w:r>
      <w:r>
        <w:rPr>
          <w:rFonts w:hint="eastAsia" w:ascii="宋体" w:hAnsi="宋体" w:cs="仿宋_GB2312"/>
          <w:sz w:val="24"/>
        </w:rPr>
        <w:t>元（中标价的</w:t>
      </w:r>
      <w:r>
        <w:rPr>
          <w:rFonts w:hint="eastAsia" w:ascii="宋体" w:hAnsi="宋体" w:cs="仿宋_GB2312"/>
          <w:sz w:val="24"/>
          <w:u w:val="single"/>
        </w:rPr>
        <w:t xml:space="preserve">     </w:t>
      </w:r>
      <w:r>
        <w:rPr>
          <w:rFonts w:hint="eastAsia" w:ascii="宋体" w:hAnsi="宋体" w:cs="仿宋_GB2312"/>
          <w:sz w:val="24"/>
        </w:rPr>
        <w:t>%），以</w:t>
      </w:r>
      <w:r>
        <w:rPr>
          <w:rFonts w:hint="eastAsia" w:ascii="宋体" w:hAnsi="宋体" w:cs="仿宋_GB2312"/>
          <w:sz w:val="24"/>
        </w:rPr>
        <w:sym w:font="Wingdings" w:char="00A8"/>
      </w:r>
      <w:r>
        <w:rPr>
          <w:rFonts w:hint="eastAsia" w:ascii="宋体" w:hAnsi="宋体" w:cs="仿宋_GB2312"/>
          <w:sz w:val="24"/>
        </w:rPr>
        <w:t>保函或</w:t>
      </w:r>
      <w:r>
        <w:rPr>
          <w:rFonts w:hint="eastAsia" w:ascii="宋体" w:hAnsi="宋体" w:cs="仿宋_GB2312"/>
          <w:sz w:val="24"/>
        </w:rPr>
        <w:sym w:font="Wingdings" w:char="00A8"/>
      </w:r>
      <w:r>
        <w:rPr>
          <w:rFonts w:hint="eastAsia" w:ascii="宋体" w:hAnsi="宋体" w:cs="仿宋_GB2312"/>
          <w:sz w:val="24"/>
        </w:rPr>
        <w:t>保险形式执行。预付款担保的有效期至</w:t>
      </w:r>
      <w:r>
        <w:rPr>
          <w:rFonts w:hint="eastAsia" w:ascii="宋体" w:hAnsi="宋体" w:cs="仿宋_GB2312"/>
          <w:sz w:val="24"/>
          <w:u w:val="single"/>
        </w:rPr>
        <w:t xml:space="preserve">              </w:t>
      </w:r>
      <w:r>
        <w:rPr>
          <w:rFonts w:hint="eastAsia" w:ascii="宋体" w:hAnsi="宋体" w:cs="仿宋_GB2312"/>
          <w:sz w:val="24"/>
        </w:rPr>
        <w:t>为</w:t>
      </w:r>
      <w:r>
        <w:rPr>
          <w:rFonts w:ascii="宋体" w:hAnsi="宋体"/>
          <w:sz w:val="24"/>
        </w:rPr>
        <w:t>止。</w:t>
      </w:r>
      <w:bookmarkEnd w:id="835"/>
      <w:bookmarkEnd w:id="836"/>
      <w:bookmarkEnd w:id="837"/>
      <w:bookmarkEnd w:id="838"/>
      <w:bookmarkEnd w:id="839"/>
      <w:bookmarkEnd w:id="840"/>
      <w:bookmarkEnd w:id="841"/>
      <w:bookmarkEnd w:id="842"/>
      <w:bookmarkEnd w:id="843"/>
      <w:bookmarkEnd w:id="844"/>
    </w:p>
    <w:p>
      <w:pPr>
        <w:spacing w:line="460" w:lineRule="exact"/>
        <w:ind w:firstLine="481" w:firstLineChars="200"/>
        <w:outlineLvl w:val="2"/>
        <w:rPr>
          <w:rFonts w:ascii="宋体" w:hAnsi="宋体"/>
          <w:b/>
          <w:sz w:val="24"/>
        </w:rPr>
      </w:pPr>
      <w:bookmarkStart w:id="845" w:name="_Toc13601"/>
      <w:bookmarkStart w:id="846" w:name="_Toc100272494"/>
      <w:bookmarkStart w:id="847" w:name="_Toc1055625342"/>
      <w:r>
        <w:rPr>
          <w:rFonts w:ascii="宋体" w:hAnsi="宋体"/>
          <w:b/>
          <w:sz w:val="24"/>
        </w:rPr>
        <w:t>12.3 计量</w:t>
      </w:r>
      <w:bookmarkEnd w:id="845"/>
      <w:bookmarkEnd w:id="846"/>
      <w:bookmarkEnd w:id="847"/>
    </w:p>
    <w:p>
      <w:pPr>
        <w:spacing w:line="460" w:lineRule="exact"/>
        <w:ind w:firstLine="480" w:firstLineChars="200"/>
        <w:jc w:val="left"/>
        <w:rPr>
          <w:rFonts w:ascii="宋体" w:hAnsi="宋体" w:cs="仿宋_GB2312"/>
          <w:sz w:val="24"/>
        </w:rPr>
      </w:pPr>
      <w:r>
        <w:rPr>
          <w:rFonts w:hint="eastAsia" w:ascii="宋体" w:hAnsi="宋体" w:cs="仿宋_GB2312"/>
          <w:sz w:val="24"/>
        </w:rPr>
        <w:t>12.3.1 计量原则</w:t>
      </w:r>
    </w:p>
    <w:p>
      <w:pPr>
        <w:spacing w:line="460" w:lineRule="exact"/>
        <w:ind w:firstLine="480" w:firstLineChars="200"/>
        <w:jc w:val="left"/>
        <w:rPr>
          <w:rFonts w:ascii="宋体" w:hAnsi="宋体" w:cs="仿宋_GB2312"/>
          <w:sz w:val="24"/>
        </w:rPr>
      </w:pPr>
      <w:r>
        <w:rPr>
          <w:rFonts w:hint="eastAsia" w:ascii="宋体" w:hAnsi="宋体" w:cs="仿宋_GB2312"/>
          <w:sz w:val="24"/>
        </w:rPr>
        <w:t>工程量计算规则：</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jc w:val="left"/>
        <w:rPr>
          <w:rFonts w:ascii="宋体" w:hAnsi="宋体" w:cs="仿宋_GB2312"/>
          <w:sz w:val="24"/>
        </w:rPr>
      </w:pPr>
      <w:r>
        <w:rPr>
          <w:rFonts w:hint="eastAsia" w:ascii="宋体" w:hAnsi="宋体" w:cs="仿宋_GB2312"/>
          <w:sz w:val="24"/>
        </w:rPr>
        <w:t>12.3.2 计量周期</w:t>
      </w:r>
    </w:p>
    <w:p>
      <w:pPr>
        <w:spacing w:line="460" w:lineRule="exact"/>
        <w:ind w:firstLine="480" w:firstLineChars="200"/>
        <w:jc w:val="left"/>
        <w:rPr>
          <w:rFonts w:ascii="宋体" w:hAnsi="宋体" w:cs="仿宋_GB2312"/>
          <w:sz w:val="24"/>
        </w:rPr>
      </w:pPr>
      <w:r>
        <w:rPr>
          <w:rFonts w:hint="eastAsia" w:ascii="宋体" w:hAnsi="宋体" w:cs="仿宋_GB2312"/>
          <w:sz w:val="24"/>
        </w:rPr>
        <w:t>关于计量周期的约定：</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jc w:val="left"/>
        <w:rPr>
          <w:rFonts w:ascii="宋体" w:hAnsi="宋体" w:cs="仿宋_GB2312"/>
          <w:sz w:val="24"/>
        </w:rPr>
      </w:pPr>
      <w:r>
        <w:rPr>
          <w:rFonts w:hint="eastAsia" w:ascii="宋体" w:hAnsi="宋体" w:cs="仿宋_GB2312"/>
          <w:sz w:val="24"/>
        </w:rPr>
        <w:t>12.3.3 单价合同的计量</w:t>
      </w:r>
    </w:p>
    <w:p>
      <w:pPr>
        <w:spacing w:line="460" w:lineRule="exact"/>
        <w:ind w:firstLine="480" w:firstLineChars="200"/>
        <w:jc w:val="left"/>
        <w:rPr>
          <w:rFonts w:ascii="宋体" w:hAnsi="宋体" w:cs="仿宋_GB2312"/>
          <w:sz w:val="24"/>
        </w:rPr>
      </w:pPr>
      <w:r>
        <w:rPr>
          <w:rFonts w:hint="eastAsia" w:ascii="宋体" w:hAnsi="宋体" w:cs="仿宋_GB2312"/>
          <w:sz w:val="24"/>
        </w:rPr>
        <w:t>关于单价合同计量的约定：</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jc w:val="left"/>
        <w:rPr>
          <w:rFonts w:ascii="宋体" w:hAnsi="宋体" w:cs="仿宋_GB2312"/>
          <w:sz w:val="24"/>
        </w:rPr>
      </w:pPr>
      <w:r>
        <w:rPr>
          <w:rFonts w:hint="eastAsia" w:ascii="宋体" w:hAnsi="宋体" w:cs="仿宋_GB2312"/>
          <w:sz w:val="24"/>
        </w:rPr>
        <w:t>12.3.4 总价合同的计量</w:t>
      </w:r>
    </w:p>
    <w:p>
      <w:pPr>
        <w:spacing w:line="460" w:lineRule="exact"/>
        <w:ind w:firstLine="480" w:firstLineChars="200"/>
        <w:jc w:val="left"/>
        <w:rPr>
          <w:rFonts w:ascii="宋体" w:hAnsi="宋体" w:cs="仿宋_GB2312"/>
          <w:sz w:val="24"/>
        </w:rPr>
      </w:pPr>
      <w:r>
        <w:rPr>
          <w:rFonts w:hint="eastAsia" w:ascii="宋体" w:hAnsi="宋体" w:cs="仿宋_GB2312"/>
          <w:sz w:val="24"/>
        </w:rPr>
        <w:t>关于总价合同计量的约定：</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rPr>
          <w:rFonts w:ascii="宋体" w:hAnsi="宋体" w:cs="仿宋_GB2312"/>
          <w:sz w:val="24"/>
        </w:rPr>
      </w:pPr>
      <w:r>
        <w:rPr>
          <w:rFonts w:hint="eastAsia" w:ascii="宋体" w:hAnsi="宋体" w:cs="仿宋_GB2312"/>
          <w:sz w:val="24"/>
        </w:rPr>
        <w:t>12.3.5 总价合同采用支付分解表计量支付的，是否适用第</w:t>
      </w:r>
      <w:r>
        <w:rPr>
          <w:rFonts w:hint="eastAsia" w:ascii="宋体" w:hAnsi="宋体" w:cs="仿宋_GB2312"/>
          <w:kern w:val="0"/>
          <w:sz w:val="24"/>
        </w:rPr>
        <w:t>12.3.4</w:t>
      </w:r>
      <w:r>
        <w:rPr>
          <w:rFonts w:hint="eastAsia" w:ascii="宋体" w:hAnsi="宋体" w:cs="仿宋_GB2312"/>
          <w:sz w:val="24"/>
        </w:rPr>
        <w:t>项</w:t>
      </w:r>
      <w:r>
        <w:rPr>
          <w:rFonts w:hint="eastAsia" w:ascii="宋体" w:hAnsi="宋体" w:cs="仿宋_GB2312"/>
          <w:kern w:val="0"/>
          <w:sz w:val="24"/>
        </w:rPr>
        <w:t>〔总价合同的计量〕</w:t>
      </w:r>
      <w:r>
        <w:rPr>
          <w:rFonts w:hint="eastAsia" w:ascii="宋体" w:hAnsi="宋体" w:cs="仿宋_GB2312"/>
          <w:sz w:val="24"/>
        </w:rPr>
        <w:t>约定进行计量：</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jc w:val="left"/>
        <w:rPr>
          <w:rFonts w:ascii="宋体" w:hAnsi="宋体" w:cs="仿宋_GB2312"/>
          <w:sz w:val="24"/>
        </w:rPr>
      </w:pPr>
      <w:r>
        <w:rPr>
          <w:rFonts w:hint="eastAsia" w:ascii="宋体" w:hAnsi="宋体" w:cs="仿宋_GB2312"/>
          <w:sz w:val="24"/>
        </w:rPr>
        <w:t>12.3.6 其他价格形式合同的计量</w:t>
      </w:r>
    </w:p>
    <w:p>
      <w:pPr>
        <w:spacing w:line="460" w:lineRule="exact"/>
        <w:ind w:firstLine="480" w:firstLineChars="200"/>
        <w:jc w:val="left"/>
        <w:rPr>
          <w:rFonts w:ascii="宋体" w:hAnsi="宋体"/>
          <w:sz w:val="24"/>
          <w:u w:val="single"/>
        </w:rPr>
      </w:pPr>
      <w:r>
        <w:rPr>
          <w:rFonts w:hint="eastAsia" w:ascii="宋体" w:hAnsi="宋体" w:cs="仿宋_GB2312"/>
          <w:sz w:val="24"/>
        </w:rPr>
        <w:t>其他价格形式的计</w:t>
      </w:r>
      <w:r>
        <w:rPr>
          <w:rFonts w:ascii="宋体" w:hAnsi="宋体"/>
          <w:sz w:val="24"/>
        </w:rPr>
        <w:t>量方式和程序：</w:t>
      </w:r>
      <w:r>
        <w:rPr>
          <w:rFonts w:ascii="宋体" w:hAnsi="宋体"/>
          <w:sz w:val="24"/>
          <w:u w:val="single"/>
        </w:rPr>
        <w:t xml:space="preserve">                   </w:t>
      </w:r>
      <w:r>
        <w:rPr>
          <w:rFonts w:hint="eastAsia" w:ascii="宋体" w:hAnsi="宋体"/>
          <w:sz w:val="24"/>
          <w:u w:val="single"/>
        </w:rPr>
        <w:t xml:space="preserve">  </w:t>
      </w:r>
      <w:r>
        <w:rPr>
          <w:rFonts w:ascii="宋体" w:hAnsi="宋体"/>
          <w:sz w:val="24"/>
        </w:rPr>
        <w:t>。</w:t>
      </w:r>
    </w:p>
    <w:p>
      <w:pPr>
        <w:spacing w:line="460" w:lineRule="exact"/>
        <w:ind w:firstLine="481" w:firstLineChars="200"/>
        <w:outlineLvl w:val="2"/>
        <w:rPr>
          <w:rFonts w:ascii="宋体" w:hAnsi="宋体"/>
          <w:b/>
          <w:sz w:val="24"/>
        </w:rPr>
      </w:pPr>
      <w:bookmarkStart w:id="848" w:name="_Toc16186591"/>
      <w:bookmarkStart w:id="849" w:name="_Toc27300"/>
      <w:bookmarkStart w:id="850" w:name="_Toc1516403745"/>
      <w:r>
        <w:rPr>
          <w:rFonts w:ascii="宋体" w:hAnsi="宋体"/>
          <w:b/>
          <w:sz w:val="24"/>
        </w:rPr>
        <w:t>12.4 工程进度款支付</w:t>
      </w:r>
      <w:bookmarkEnd w:id="848"/>
      <w:bookmarkEnd w:id="849"/>
      <w:bookmarkEnd w:id="850"/>
    </w:p>
    <w:p>
      <w:pPr>
        <w:spacing w:line="460" w:lineRule="exact"/>
        <w:ind w:firstLine="480" w:firstLineChars="200"/>
        <w:jc w:val="left"/>
        <w:rPr>
          <w:rFonts w:ascii="宋体" w:hAnsi="宋体" w:cs="仿宋_GB2312"/>
          <w:sz w:val="24"/>
        </w:rPr>
      </w:pPr>
      <w:bookmarkStart w:id="851" w:name="_Toc296944550"/>
      <w:bookmarkStart w:id="852" w:name="_Toc292559921"/>
      <w:bookmarkStart w:id="853" w:name="_Toc297216215"/>
      <w:bookmarkStart w:id="854" w:name="_Toc297048397"/>
      <w:bookmarkStart w:id="855" w:name="_Toc296503211"/>
      <w:bookmarkStart w:id="856" w:name="_Toc297123556"/>
      <w:bookmarkStart w:id="857" w:name="_Toc296347210"/>
      <w:bookmarkStart w:id="858" w:name="_Toc296891251"/>
      <w:bookmarkStart w:id="859" w:name="_Toc300935006"/>
      <w:bookmarkStart w:id="860" w:name="_Toc303539163"/>
      <w:bookmarkStart w:id="861" w:name="_Toc296891039"/>
      <w:bookmarkStart w:id="862" w:name="_Toc296346712"/>
      <w:bookmarkStart w:id="863" w:name="_Toc292559416"/>
      <w:bookmarkStart w:id="864" w:name="_Toc297120511"/>
      <w:r>
        <w:rPr>
          <w:rFonts w:hint="eastAsia" w:ascii="宋体" w:hAnsi="宋体" w:cs="仿宋_GB2312"/>
          <w:sz w:val="24"/>
        </w:rPr>
        <w:t>本款修改12.4.4。</w:t>
      </w:r>
    </w:p>
    <w:p>
      <w:pPr>
        <w:spacing w:line="460" w:lineRule="exact"/>
        <w:ind w:firstLine="480" w:firstLineChars="200"/>
        <w:jc w:val="left"/>
        <w:rPr>
          <w:rFonts w:ascii="宋体" w:hAnsi="宋体" w:cs="仿宋_GB2312"/>
          <w:sz w:val="24"/>
        </w:rPr>
      </w:pPr>
      <w:r>
        <w:rPr>
          <w:rFonts w:hint="eastAsia" w:ascii="宋体" w:hAnsi="宋体" w:cs="仿宋_GB2312"/>
          <w:sz w:val="24"/>
        </w:rPr>
        <w:t>12.4.2 进度付款申请单的编制</w:t>
      </w:r>
    </w:p>
    <w:p>
      <w:pPr>
        <w:spacing w:line="460" w:lineRule="exact"/>
        <w:ind w:firstLine="480" w:firstLineChars="200"/>
        <w:jc w:val="left"/>
        <w:rPr>
          <w:rFonts w:ascii="宋体" w:hAnsi="宋体" w:cs="仿宋_GB2312"/>
          <w:sz w:val="24"/>
          <w:u w:val="single"/>
        </w:rPr>
      </w:pPr>
      <w:r>
        <w:rPr>
          <w:rFonts w:hint="eastAsia" w:ascii="宋体" w:hAnsi="宋体" w:cs="仿宋_GB2312"/>
          <w:sz w:val="24"/>
        </w:rPr>
        <w:t>关于进度付款申请单编制的约定：</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jc w:val="left"/>
        <w:rPr>
          <w:rFonts w:ascii="宋体" w:hAnsi="宋体" w:cs="仿宋_GB2312"/>
          <w:sz w:val="24"/>
        </w:rPr>
      </w:pPr>
      <w:r>
        <w:rPr>
          <w:rFonts w:hint="eastAsia" w:ascii="宋体" w:hAnsi="宋体" w:cs="仿宋_GB2312"/>
          <w:sz w:val="24"/>
        </w:rPr>
        <w:t>1</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r>
        <w:rPr>
          <w:rFonts w:hint="eastAsia" w:ascii="宋体" w:hAnsi="宋体" w:cs="仿宋_GB2312"/>
          <w:sz w:val="24"/>
        </w:rPr>
        <w:t>2.4.3 进度付款申请单的提交</w:t>
      </w:r>
    </w:p>
    <w:p>
      <w:pPr>
        <w:spacing w:line="460" w:lineRule="exact"/>
        <w:ind w:firstLine="480" w:firstLineChars="200"/>
        <w:jc w:val="left"/>
        <w:rPr>
          <w:rFonts w:ascii="宋体" w:hAnsi="宋体" w:cs="仿宋_GB2312"/>
          <w:sz w:val="24"/>
        </w:rPr>
      </w:pPr>
      <w:r>
        <w:rPr>
          <w:rFonts w:hint="eastAsia" w:ascii="宋体" w:hAnsi="宋体" w:cs="仿宋_GB2312"/>
          <w:sz w:val="24"/>
        </w:rPr>
        <w:t>（1）单价合同进度付款申请单提交的约定：</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jc w:val="left"/>
        <w:rPr>
          <w:rFonts w:ascii="宋体" w:hAnsi="宋体" w:cs="仿宋_GB2312"/>
          <w:sz w:val="24"/>
        </w:rPr>
      </w:pPr>
      <w:r>
        <w:rPr>
          <w:rFonts w:hint="eastAsia" w:ascii="宋体" w:hAnsi="宋体" w:cs="仿宋_GB2312"/>
          <w:sz w:val="24"/>
        </w:rPr>
        <w:t>（2）总价合同进度付款申请单提交的约定：</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jc w:val="left"/>
        <w:rPr>
          <w:rFonts w:ascii="宋体" w:hAnsi="宋体" w:cs="仿宋_GB2312"/>
          <w:sz w:val="24"/>
          <w:u w:val="single"/>
        </w:rPr>
      </w:pPr>
      <w:r>
        <w:rPr>
          <w:rFonts w:hint="eastAsia" w:ascii="宋体" w:hAnsi="宋体" w:cs="仿宋_GB2312"/>
          <w:sz w:val="24"/>
        </w:rPr>
        <w:t>（3）其他价格形式合同进度付款申请单提交的约定：</w:t>
      </w:r>
      <w:r>
        <w:rPr>
          <w:rFonts w:hint="eastAsia" w:ascii="宋体" w:hAnsi="宋体" w:cs="仿宋_GB2312"/>
          <w:sz w:val="24"/>
          <w:u w:val="single"/>
        </w:rPr>
        <w:t xml:space="preserve">        </w:t>
      </w:r>
    </w:p>
    <w:p>
      <w:pPr>
        <w:spacing w:line="460" w:lineRule="exact"/>
        <w:jc w:val="left"/>
        <w:rPr>
          <w:rFonts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jc w:val="left"/>
        <w:rPr>
          <w:rFonts w:ascii="宋体" w:hAnsi="宋体" w:cs="仿宋_GB2312"/>
          <w:sz w:val="24"/>
        </w:rPr>
      </w:pPr>
      <w:r>
        <w:rPr>
          <w:rFonts w:hint="eastAsia" w:ascii="宋体" w:hAnsi="宋体" w:cs="仿宋_GB2312"/>
          <w:sz w:val="24"/>
        </w:rPr>
        <w:t>12.4.4 进度款审核和支付</w:t>
      </w:r>
    </w:p>
    <w:p>
      <w:pPr>
        <w:spacing w:line="460" w:lineRule="exact"/>
        <w:ind w:firstLine="480" w:firstLineChars="200"/>
        <w:jc w:val="left"/>
        <w:rPr>
          <w:rFonts w:ascii="宋体" w:hAnsi="宋体" w:cs="仿宋_GB2312"/>
          <w:sz w:val="24"/>
        </w:rPr>
      </w:pPr>
      <w:r>
        <w:rPr>
          <w:rFonts w:hint="eastAsia" w:ascii="宋体" w:hAnsi="宋体" w:cs="仿宋_GB2312"/>
          <w:sz w:val="24"/>
        </w:rPr>
        <w:t>（1）监理人审查并报送发包人的期限：</w:t>
      </w:r>
      <w:r>
        <w:rPr>
          <w:rFonts w:hint="eastAsia" w:ascii="宋体" w:hAnsi="宋体" w:cs="仿宋_GB2312"/>
          <w:sz w:val="24"/>
          <w:u w:val="single"/>
        </w:rPr>
        <w:t xml:space="preserve">                    </w:t>
      </w:r>
    </w:p>
    <w:p>
      <w:pPr>
        <w:spacing w:line="460" w:lineRule="exact"/>
        <w:jc w:val="left"/>
        <w:rPr>
          <w:rFonts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jc w:val="left"/>
        <w:rPr>
          <w:rFonts w:ascii="宋体" w:hAnsi="宋体" w:cs="仿宋_GB2312"/>
          <w:sz w:val="24"/>
          <w:u w:val="single"/>
        </w:rPr>
      </w:pPr>
      <w:r>
        <w:rPr>
          <w:rFonts w:hint="eastAsia" w:ascii="宋体" w:hAnsi="宋体" w:cs="仿宋_GB2312"/>
          <w:sz w:val="24"/>
        </w:rPr>
        <w:t>发包人完成审批并签发进度款支付证书的期限：</w:t>
      </w:r>
      <w:r>
        <w:rPr>
          <w:rFonts w:hint="eastAsia" w:ascii="宋体" w:hAnsi="宋体" w:cs="仿宋_GB2312"/>
          <w:sz w:val="24"/>
          <w:u w:val="single"/>
        </w:rPr>
        <w:t xml:space="preserve">             </w:t>
      </w:r>
    </w:p>
    <w:p>
      <w:pPr>
        <w:spacing w:line="460" w:lineRule="exact"/>
        <w:jc w:val="left"/>
        <w:rPr>
          <w:rFonts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w:t>
      </w:r>
    </w:p>
    <w:p>
      <w:pPr>
        <w:numPr>
          <w:ilvl w:val="0"/>
          <w:numId w:val="10"/>
        </w:numPr>
        <w:spacing w:line="460" w:lineRule="exact"/>
        <w:ind w:left="720" w:firstLine="480" w:firstLineChars="200"/>
        <w:rPr>
          <w:rFonts w:ascii="宋体" w:hAnsi="宋体" w:cs="仿宋_GB2312"/>
          <w:sz w:val="24"/>
        </w:rPr>
      </w:pPr>
      <w:r>
        <w:rPr>
          <w:rFonts w:hint="eastAsia" w:ascii="宋体" w:hAnsi="宋体" w:cs="仿宋_GB2312"/>
          <w:sz w:val="24"/>
        </w:rPr>
        <w:t>承包人根据工程进度申请支付工程款，每期工程进度款按以下方式选择支付：</w:t>
      </w:r>
    </w:p>
    <w:p>
      <w:pPr>
        <w:spacing w:line="460" w:lineRule="exact"/>
        <w:ind w:firstLine="480" w:firstLineChars="200"/>
        <w:jc w:val="left"/>
        <w:rPr>
          <w:rFonts w:ascii="宋体" w:hAnsi="宋体" w:cs="仿宋_GB2312"/>
          <w:sz w:val="24"/>
        </w:rPr>
      </w:pPr>
      <w:r>
        <w:rPr>
          <w:rFonts w:hint="eastAsia" w:ascii="宋体" w:hAnsi="宋体" w:cs="仿宋_GB2312"/>
          <w:sz w:val="24"/>
        </w:rPr>
        <w:sym w:font="Wingdings" w:char="00A8"/>
      </w:r>
      <w:r>
        <w:rPr>
          <w:rFonts w:hint="eastAsia" w:ascii="宋体" w:hAnsi="宋体" w:cs="仿宋_GB2312"/>
          <w:sz w:val="24"/>
        </w:rPr>
        <w:t>按实际完成工程量的百分比支付：</w:t>
      </w:r>
    </w:p>
    <w:p>
      <w:pPr>
        <w:spacing w:line="460" w:lineRule="exact"/>
        <w:ind w:firstLine="480" w:firstLineChars="200"/>
        <w:jc w:val="left"/>
        <w:rPr>
          <w:rFonts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jc w:val="left"/>
        <w:rPr>
          <w:rFonts w:ascii="宋体" w:hAnsi="宋体" w:cs="仿宋_GB2312"/>
          <w:sz w:val="24"/>
        </w:rPr>
      </w:pPr>
      <w:r>
        <w:rPr>
          <w:rFonts w:hint="eastAsia" w:ascii="宋体" w:hAnsi="宋体" w:cs="仿宋_GB2312"/>
          <w:sz w:val="24"/>
        </w:rPr>
        <w:sym w:font="Wingdings" w:char="00A8"/>
      </w:r>
      <w:r>
        <w:rPr>
          <w:rFonts w:hint="eastAsia" w:ascii="宋体" w:hAnsi="宋体" w:cs="仿宋_GB2312"/>
          <w:sz w:val="24"/>
        </w:rPr>
        <w:t>按形象进度支付：</w:t>
      </w:r>
    </w:p>
    <w:p>
      <w:pPr>
        <w:spacing w:line="460" w:lineRule="exact"/>
        <w:ind w:firstLine="480" w:firstLineChars="200"/>
        <w:jc w:val="left"/>
        <w:rPr>
          <w:rFonts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jc w:val="left"/>
        <w:rPr>
          <w:rFonts w:ascii="宋体" w:hAnsi="宋体" w:cs="仿宋_GB2312"/>
          <w:sz w:val="24"/>
        </w:rPr>
      </w:pPr>
      <w:r>
        <w:rPr>
          <w:rFonts w:hint="eastAsia" w:ascii="宋体" w:hAnsi="宋体" w:cs="仿宋_GB2312"/>
          <w:sz w:val="24"/>
        </w:rPr>
        <w:sym w:font="Wingdings" w:char="00A8"/>
      </w:r>
      <w:r>
        <w:rPr>
          <w:rFonts w:hint="eastAsia" w:ascii="宋体" w:hAnsi="宋体" w:cs="仿宋_GB2312"/>
          <w:sz w:val="24"/>
        </w:rPr>
        <w:t>按月实际完成工程量</w:t>
      </w:r>
      <w:r>
        <w:rPr>
          <w:rFonts w:hint="eastAsia" w:ascii="宋体" w:hAnsi="宋体" w:cs="仿宋_GB2312"/>
          <w:sz w:val="24"/>
          <w:u w:val="single"/>
        </w:rPr>
        <w:t xml:space="preserve">     </w:t>
      </w:r>
      <w:r>
        <w:rPr>
          <w:rFonts w:hint="eastAsia" w:ascii="宋体" w:hAnsi="宋体" w:cs="仿宋_GB2312"/>
          <w:sz w:val="24"/>
        </w:rPr>
        <w:t>%支付；</w:t>
      </w:r>
    </w:p>
    <w:p>
      <w:pPr>
        <w:spacing w:line="460" w:lineRule="exact"/>
        <w:ind w:firstLine="480" w:firstLineChars="200"/>
        <w:jc w:val="left"/>
        <w:rPr>
          <w:rFonts w:ascii="宋体" w:hAnsi="宋体" w:cs="仿宋_GB2312"/>
          <w:sz w:val="24"/>
        </w:rPr>
      </w:pPr>
      <w:r>
        <w:rPr>
          <w:rFonts w:hint="eastAsia" w:ascii="宋体" w:hAnsi="宋体" w:cs="仿宋_GB2312"/>
          <w:sz w:val="24"/>
        </w:rPr>
        <w:sym w:font="Wingdings" w:char="00A8"/>
      </w:r>
      <w:r>
        <w:rPr>
          <w:rFonts w:hint="eastAsia" w:ascii="宋体" w:hAnsi="宋体" w:cs="仿宋_GB2312"/>
          <w:sz w:val="24"/>
        </w:rPr>
        <w:t>其它：</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rPr>
          <w:rFonts w:ascii="宋体" w:hAnsi="宋体" w:cs="仿宋_GB2312"/>
          <w:sz w:val="24"/>
        </w:rPr>
      </w:pPr>
      <w:r>
        <w:rPr>
          <w:rFonts w:hint="eastAsia" w:ascii="宋体" w:hAnsi="宋体" w:cs="仿宋_GB2312"/>
          <w:sz w:val="24"/>
        </w:rPr>
        <w:t>发包人在收到工程款进度申请后</w:t>
      </w:r>
      <w:r>
        <w:rPr>
          <w:rFonts w:hint="eastAsia" w:ascii="宋体" w:hAnsi="宋体" w:cs="仿宋_GB2312"/>
          <w:sz w:val="24"/>
          <w:u w:val="single"/>
        </w:rPr>
        <w:t xml:space="preserve">    </w:t>
      </w:r>
      <w:r>
        <w:rPr>
          <w:rFonts w:hint="eastAsia" w:ascii="宋体" w:hAnsi="宋体" w:cs="仿宋_GB2312"/>
          <w:sz w:val="24"/>
        </w:rPr>
        <w:t>个工作日内完成支付，累计支付达到合同价款的</w:t>
      </w:r>
      <w:r>
        <w:rPr>
          <w:rFonts w:hint="eastAsia" w:ascii="宋体" w:hAnsi="宋体" w:cs="仿宋_GB2312"/>
          <w:sz w:val="24"/>
          <w:u w:val="single"/>
        </w:rPr>
        <w:t xml:space="preserve">     </w:t>
      </w:r>
      <w:r>
        <w:rPr>
          <w:rFonts w:hint="eastAsia" w:ascii="宋体" w:hAnsi="宋体" w:cs="仿宋_GB2312"/>
          <w:sz w:val="24"/>
        </w:rPr>
        <w:t>%时，停止支付进度款。</w:t>
      </w:r>
    </w:p>
    <w:p>
      <w:pPr>
        <w:spacing w:line="460" w:lineRule="exact"/>
        <w:ind w:firstLine="480" w:firstLineChars="200"/>
        <w:jc w:val="left"/>
        <w:rPr>
          <w:rFonts w:ascii="宋体" w:hAnsi="宋体" w:cs="仿宋_GB2312"/>
          <w:sz w:val="24"/>
        </w:rPr>
      </w:pPr>
      <w:r>
        <w:rPr>
          <w:rFonts w:hint="eastAsia" w:ascii="宋体" w:hAnsi="宋体" w:cs="仿宋_GB2312"/>
          <w:sz w:val="24"/>
        </w:rPr>
        <w:t>发包人逾期支付进度款的违约金的计算方式：</w:t>
      </w:r>
      <w:r>
        <w:rPr>
          <w:rFonts w:hint="eastAsia" w:ascii="宋体" w:hAnsi="宋体" w:cs="仿宋_GB2312"/>
          <w:sz w:val="24"/>
          <w:u w:val="single"/>
        </w:rPr>
        <w:t xml:space="preserve">               </w:t>
      </w:r>
    </w:p>
    <w:p>
      <w:pPr>
        <w:spacing w:line="460" w:lineRule="exact"/>
        <w:jc w:val="left"/>
        <w:rPr>
          <w:rFonts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jc w:val="left"/>
        <w:rPr>
          <w:rFonts w:ascii="宋体" w:hAnsi="宋体" w:cs="仿宋_GB2312"/>
          <w:sz w:val="24"/>
        </w:rPr>
      </w:pPr>
      <w:r>
        <w:rPr>
          <w:rFonts w:hint="eastAsia" w:ascii="宋体" w:hAnsi="宋体" w:cs="仿宋_GB2312"/>
          <w:sz w:val="24"/>
        </w:rPr>
        <w:t>12.4.6 支付分解表的编制</w:t>
      </w:r>
    </w:p>
    <w:p>
      <w:pPr>
        <w:spacing w:line="460" w:lineRule="exact"/>
        <w:ind w:firstLine="480" w:firstLineChars="200"/>
        <w:jc w:val="left"/>
        <w:rPr>
          <w:rFonts w:ascii="宋体" w:hAnsi="宋体" w:cs="仿宋_GB2312"/>
          <w:sz w:val="24"/>
          <w:u w:val="single"/>
        </w:rPr>
      </w:pPr>
      <w:r>
        <w:rPr>
          <w:rFonts w:hint="eastAsia" w:ascii="宋体" w:hAnsi="宋体" w:cs="仿宋_GB2312"/>
          <w:sz w:val="24"/>
        </w:rPr>
        <w:t>2.总价合同支付分解表的编制与审批：</w:t>
      </w:r>
      <w:r>
        <w:rPr>
          <w:rFonts w:hint="eastAsia" w:ascii="宋体" w:hAnsi="宋体" w:cs="仿宋_GB2312"/>
          <w:sz w:val="24"/>
          <w:u w:val="single"/>
        </w:rPr>
        <w:t xml:space="preserve">                     </w:t>
      </w:r>
    </w:p>
    <w:p>
      <w:pPr>
        <w:spacing w:line="460" w:lineRule="exact"/>
        <w:ind w:left="4800" w:hanging="4800" w:hangingChars="2000"/>
        <w:jc w:val="left"/>
        <w:rPr>
          <w:rFonts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jc w:val="left"/>
        <w:rPr>
          <w:rFonts w:ascii="宋体" w:hAnsi="宋体" w:cs="仿宋_GB2312"/>
          <w:sz w:val="24"/>
          <w:u w:val="single"/>
        </w:rPr>
      </w:pPr>
      <w:r>
        <w:rPr>
          <w:rFonts w:hint="eastAsia" w:ascii="宋体" w:hAnsi="宋体" w:cs="仿宋_GB2312"/>
          <w:sz w:val="24"/>
        </w:rPr>
        <w:t>3.单价合同的总价项目支付分解表的编制与审批：</w:t>
      </w:r>
      <w:r>
        <w:rPr>
          <w:rFonts w:hint="eastAsia" w:ascii="宋体" w:hAnsi="宋体" w:cs="仿宋_GB2312"/>
          <w:sz w:val="24"/>
          <w:u w:val="single"/>
        </w:rPr>
        <w:t xml:space="preserve">           </w:t>
      </w:r>
      <w:r>
        <w:rPr>
          <w:rFonts w:hint="eastAsia" w:ascii="宋体" w:hAnsi="宋体" w:cs="仿宋_GB2312"/>
          <w:sz w:val="24"/>
        </w:rPr>
        <w:t xml:space="preserve">   </w:t>
      </w:r>
    </w:p>
    <w:p>
      <w:pPr>
        <w:spacing w:line="460" w:lineRule="exact"/>
        <w:jc w:val="left"/>
        <w:rPr>
          <w:rFonts w:ascii="宋体" w:hAnsi="宋体"/>
          <w:sz w:val="24"/>
        </w:rPr>
      </w:pPr>
      <w:r>
        <w:rPr>
          <w:rFonts w:hint="eastAsia" w:ascii="宋体" w:hAnsi="宋体" w:cs="仿宋_GB2312"/>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rPr>
        <w:t>。</w:t>
      </w:r>
    </w:p>
    <w:bookmarkEnd w:id="651"/>
    <w:p>
      <w:pPr>
        <w:pStyle w:val="3"/>
        <w:spacing w:line="460" w:lineRule="exact"/>
        <w:jc w:val="left"/>
        <w:rPr>
          <w:rFonts w:ascii="宋体" w:hAnsi="宋体"/>
          <w:sz w:val="24"/>
          <w:szCs w:val="24"/>
        </w:rPr>
      </w:pPr>
      <w:bookmarkStart w:id="865" w:name="_Toc1569476373"/>
      <w:bookmarkStart w:id="866" w:name="_Toc1114100005"/>
      <w:bookmarkStart w:id="867" w:name="_Toc312678053"/>
      <w:bookmarkStart w:id="868" w:name="_Toc292559929"/>
      <w:bookmarkStart w:id="869" w:name="_Toc297216223"/>
      <w:bookmarkStart w:id="870" w:name="_Toc296891047"/>
      <w:bookmarkStart w:id="871" w:name="_Toc304295593"/>
      <w:bookmarkStart w:id="872" w:name="_Toc303539172"/>
      <w:bookmarkStart w:id="873" w:name="_Toc296891259"/>
      <w:bookmarkStart w:id="874" w:name="_Toc296346720"/>
      <w:bookmarkStart w:id="875" w:name="_Toc297120519"/>
      <w:bookmarkStart w:id="876" w:name="_Toc296347218"/>
      <w:bookmarkStart w:id="877" w:name="_Toc297123564"/>
      <w:bookmarkStart w:id="878" w:name="_Toc296503219"/>
      <w:bookmarkStart w:id="879" w:name="_Toc296944558"/>
      <w:bookmarkStart w:id="880" w:name="_Toc300935015"/>
      <w:bookmarkStart w:id="881" w:name="_Toc297048405"/>
      <w:bookmarkStart w:id="882" w:name="_Toc292559424"/>
      <w:r>
        <w:rPr>
          <w:rFonts w:ascii="宋体" w:hAnsi="宋体"/>
          <w:sz w:val="24"/>
          <w:szCs w:val="24"/>
        </w:rPr>
        <w:t>13.</w:t>
      </w:r>
      <w:r>
        <w:rPr>
          <w:rFonts w:hint="eastAsia" w:ascii="宋体" w:hAnsi="宋体"/>
          <w:sz w:val="24"/>
          <w:szCs w:val="24"/>
        </w:rPr>
        <w:t xml:space="preserve"> </w:t>
      </w:r>
      <w:r>
        <w:rPr>
          <w:rFonts w:ascii="宋体" w:hAnsi="宋体"/>
          <w:sz w:val="24"/>
          <w:szCs w:val="24"/>
        </w:rPr>
        <w:t>验收和工程试车</w:t>
      </w:r>
      <w:bookmarkEnd w:id="865"/>
      <w:bookmarkEnd w:id="866"/>
    </w:p>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p>
      <w:pPr>
        <w:spacing w:line="460" w:lineRule="exact"/>
        <w:ind w:firstLine="481" w:firstLineChars="200"/>
        <w:outlineLvl w:val="2"/>
        <w:rPr>
          <w:rFonts w:ascii="宋体" w:hAnsi="宋体"/>
          <w:b/>
          <w:sz w:val="24"/>
        </w:rPr>
      </w:pPr>
      <w:bookmarkStart w:id="883" w:name="_Toc17144"/>
      <w:bookmarkStart w:id="884" w:name="_Toc750296361"/>
      <w:bookmarkStart w:id="885" w:name="_Toc396975010"/>
      <w:r>
        <w:rPr>
          <w:rFonts w:ascii="宋体" w:hAnsi="宋体"/>
          <w:b/>
          <w:sz w:val="24"/>
        </w:rPr>
        <w:t>13.1 分部分项工程验收</w:t>
      </w:r>
      <w:bookmarkEnd w:id="883"/>
      <w:bookmarkEnd w:id="884"/>
      <w:bookmarkEnd w:id="885"/>
    </w:p>
    <w:p>
      <w:pPr>
        <w:spacing w:line="460" w:lineRule="exact"/>
        <w:ind w:firstLine="480" w:firstLineChars="200"/>
        <w:rPr>
          <w:rFonts w:ascii="宋体" w:hAnsi="宋体" w:cs="仿宋_GB2312"/>
          <w:sz w:val="24"/>
        </w:rPr>
      </w:pPr>
      <w:r>
        <w:rPr>
          <w:rFonts w:hint="eastAsia" w:ascii="宋体" w:hAnsi="宋体" w:cs="仿宋_GB2312"/>
          <w:sz w:val="24"/>
        </w:rPr>
        <w:t>13.1.2 监理人不能按时进行验收时，应提前</w:t>
      </w:r>
      <w:r>
        <w:rPr>
          <w:rFonts w:hint="eastAsia" w:ascii="宋体" w:hAnsi="宋体" w:cs="仿宋_GB2312"/>
          <w:sz w:val="24"/>
          <w:u w:val="single"/>
        </w:rPr>
        <w:t xml:space="preserve">      </w:t>
      </w:r>
      <w:r>
        <w:rPr>
          <w:rFonts w:hint="eastAsia" w:ascii="宋体" w:hAnsi="宋体" w:cs="仿宋_GB2312"/>
          <w:sz w:val="24"/>
        </w:rPr>
        <w:t>小时提交书面延期要求。</w:t>
      </w:r>
    </w:p>
    <w:p>
      <w:pPr>
        <w:spacing w:line="460" w:lineRule="exact"/>
        <w:ind w:firstLine="480" w:firstLineChars="200"/>
        <w:jc w:val="left"/>
        <w:rPr>
          <w:rFonts w:ascii="宋体" w:hAnsi="宋体"/>
          <w:b/>
          <w:sz w:val="24"/>
        </w:rPr>
      </w:pPr>
      <w:r>
        <w:rPr>
          <w:rFonts w:hint="eastAsia" w:ascii="宋体" w:hAnsi="宋体" w:cs="仿宋_GB2312"/>
          <w:sz w:val="24"/>
        </w:rPr>
        <w:t>关于延期最长不得超过：</w:t>
      </w:r>
      <w:r>
        <w:rPr>
          <w:rFonts w:hint="eastAsia" w:ascii="宋体" w:hAnsi="宋体" w:cs="仿宋_GB2312"/>
          <w:sz w:val="24"/>
          <w:u w:val="single"/>
        </w:rPr>
        <w:t xml:space="preserve">     </w:t>
      </w:r>
      <w:r>
        <w:rPr>
          <w:rFonts w:ascii="宋体" w:hAnsi="宋体"/>
          <w:sz w:val="24"/>
        </w:rPr>
        <w:t>小时。</w:t>
      </w:r>
    </w:p>
    <w:p>
      <w:pPr>
        <w:spacing w:line="460" w:lineRule="exact"/>
        <w:ind w:firstLine="481" w:firstLineChars="200"/>
        <w:outlineLvl w:val="2"/>
        <w:rPr>
          <w:rFonts w:ascii="宋体" w:hAnsi="宋体"/>
          <w:b/>
          <w:sz w:val="24"/>
        </w:rPr>
      </w:pPr>
      <w:bookmarkStart w:id="886" w:name="_Toc282243333"/>
      <w:bookmarkStart w:id="887" w:name="_Toc1898612073"/>
      <w:bookmarkStart w:id="888" w:name="_Toc12180"/>
      <w:bookmarkStart w:id="889" w:name="_Toc292559933"/>
      <w:bookmarkStart w:id="890" w:name="_Toc292559428"/>
      <w:bookmarkStart w:id="891" w:name="_Toc312678056"/>
      <w:bookmarkStart w:id="892" w:name="_Toc296891051"/>
      <w:bookmarkStart w:id="893" w:name="_Toc296944562"/>
      <w:bookmarkStart w:id="894" w:name="_Toc297120523"/>
      <w:bookmarkStart w:id="895" w:name="_Toc296347222"/>
      <w:bookmarkStart w:id="896" w:name="_Toc304295596"/>
      <w:bookmarkStart w:id="897" w:name="_Toc297123565"/>
      <w:bookmarkStart w:id="898" w:name="_Toc297048409"/>
      <w:bookmarkStart w:id="899" w:name="_Toc297216224"/>
      <w:bookmarkStart w:id="900" w:name="_Toc296346724"/>
      <w:bookmarkStart w:id="901" w:name="_Toc296891263"/>
      <w:bookmarkStart w:id="902" w:name="_Toc296503223"/>
      <w:bookmarkStart w:id="903" w:name="_Toc303539173"/>
      <w:bookmarkStart w:id="904" w:name="_Toc300935016"/>
      <w:bookmarkStart w:id="905" w:name="_Toc267251471"/>
      <w:bookmarkStart w:id="906" w:name="_Toc267251474"/>
      <w:bookmarkStart w:id="907" w:name="_Toc267251472"/>
      <w:bookmarkStart w:id="908" w:name="_Toc267251470"/>
      <w:bookmarkStart w:id="909" w:name="_Toc267251473"/>
      <w:bookmarkStart w:id="910" w:name="_Toc267251476"/>
      <w:bookmarkStart w:id="911" w:name="_Toc267251475"/>
      <w:r>
        <w:rPr>
          <w:rFonts w:ascii="宋体" w:hAnsi="宋体"/>
          <w:b/>
          <w:sz w:val="24"/>
        </w:rPr>
        <w:t>13.2 竣工验收</w:t>
      </w:r>
      <w:bookmarkEnd w:id="886"/>
      <w:bookmarkEnd w:id="887"/>
      <w:bookmarkEnd w:id="888"/>
    </w:p>
    <w:p>
      <w:pPr>
        <w:spacing w:line="460" w:lineRule="exact"/>
        <w:ind w:firstLine="480" w:firstLineChars="200"/>
        <w:outlineLvl w:val="2"/>
        <w:rPr>
          <w:rFonts w:ascii="宋体" w:hAnsi="宋体" w:cs="仿宋_GB2312"/>
          <w:kern w:val="0"/>
          <w:sz w:val="24"/>
        </w:rPr>
      </w:pPr>
      <w:bookmarkStart w:id="912" w:name="_Toc317308676"/>
      <w:bookmarkStart w:id="913" w:name="_Toc559507805"/>
      <w:r>
        <w:rPr>
          <w:rFonts w:hint="eastAsia" w:ascii="宋体" w:hAnsi="宋体" w:cs="仿宋_GB2312"/>
          <w:kern w:val="0"/>
          <w:sz w:val="24"/>
        </w:rPr>
        <w:t>本款补充13.2.1、修改13.2.5。</w:t>
      </w:r>
      <w:bookmarkEnd w:id="912"/>
      <w:bookmarkEnd w:id="913"/>
    </w:p>
    <w:p>
      <w:pPr>
        <w:spacing w:line="460" w:lineRule="exact"/>
        <w:ind w:firstLine="480" w:firstLineChars="200"/>
        <w:outlineLvl w:val="2"/>
        <w:rPr>
          <w:rFonts w:ascii="宋体" w:hAnsi="宋体" w:cs="仿宋_GB2312"/>
          <w:kern w:val="0"/>
          <w:sz w:val="24"/>
        </w:rPr>
      </w:pPr>
      <w:bookmarkStart w:id="914" w:name="_Toc276351635"/>
      <w:bookmarkStart w:id="915" w:name="_Toc1027479745"/>
      <w:r>
        <w:rPr>
          <w:rFonts w:hint="eastAsia" w:ascii="宋体" w:hAnsi="宋体" w:cs="仿宋_GB2312"/>
          <w:sz w:val="24"/>
        </w:rPr>
        <w:t xml:space="preserve">13.2.1 </w:t>
      </w:r>
      <w:r>
        <w:rPr>
          <w:rFonts w:hint="eastAsia" w:ascii="宋体" w:hAnsi="宋体" w:cs="仿宋_GB2312"/>
          <w:kern w:val="0"/>
          <w:sz w:val="24"/>
        </w:rPr>
        <w:t>竣工验收条件</w:t>
      </w:r>
      <w:bookmarkEnd w:id="914"/>
      <w:bookmarkEnd w:id="915"/>
    </w:p>
    <w:p>
      <w:pPr>
        <w:spacing w:line="460" w:lineRule="exact"/>
        <w:ind w:firstLine="480" w:firstLineChars="200"/>
        <w:outlineLvl w:val="2"/>
        <w:rPr>
          <w:rFonts w:ascii="宋体" w:hAnsi="宋体" w:cs="仿宋_GB2312"/>
          <w:kern w:val="0"/>
          <w:sz w:val="24"/>
        </w:rPr>
      </w:pPr>
      <w:bookmarkStart w:id="916" w:name="_Toc1418190231"/>
      <w:bookmarkStart w:id="917" w:name="_Toc1893941971"/>
      <w:r>
        <w:rPr>
          <w:rFonts w:hint="eastAsia" w:ascii="宋体" w:hAnsi="宋体" w:cs="仿宋_GB2312"/>
          <w:kern w:val="0"/>
          <w:sz w:val="24"/>
        </w:rPr>
        <w:t>（3）竣工资料内容和份数：</w:t>
      </w:r>
      <w:r>
        <w:rPr>
          <w:rFonts w:hint="eastAsia" w:ascii="宋体" w:hAnsi="宋体" w:cs="仿宋_GB2312"/>
          <w:kern w:val="0"/>
          <w:sz w:val="24"/>
          <w:u w:val="single"/>
        </w:rPr>
        <w:t xml:space="preserve">                          </w:t>
      </w:r>
      <w:r>
        <w:rPr>
          <w:rFonts w:hint="eastAsia" w:ascii="宋体" w:hAnsi="宋体" w:cs="仿宋_GB2312"/>
          <w:kern w:val="0"/>
          <w:sz w:val="24"/>
        </w:rPr>
        <w:t>。</w:t>
      </w:r>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16"/>
      <w:bookmarkEnd w:id="917"/>
      <w:bookmarkStart w:id="918" w:name="_Toc280868704"/>
      <w:bookmarkStart w:id="919" w:name="_Toc280868705"/>
      <w:bookmarkStart w:id="920" w:name="_Toc280868706"/>
      <w:bookmarkStart w:id="921" w:name="_Toc280868707"/>
      <w:bookmarkStart w:id="922" w:name="_Toc280868708"/>
      <w:bookmarkStart w:id="923" w:name="_Toc280868709"/>
    </w:p>
    <w:p>
      <w:pPr>
        <w:spacing w:line="460" w:lineRule="exact"/>
        <w:ind w:firstLine="480" w:firstLineChars="200"/>
        <w:outlineLvl w:val="2"/>
        <w:rPr>
          <w:rFonts w:ascii="宋体" w:hAnsi="宋体" w:cs="仿宋_GB2312"/>
          <w:kern w:val="0"/>
          <w:sz w:val="24"/>
        </w:rPr>
      </w:pPr>
      <w:bookmarkStart w:id="924" w:name="_Toc1570375781"/>
      <w:bookmarkStart w:id="925" w:name="_Toc1822546722"/>
      <w:r>
        <w:rPr>
          <w:rFonts w:hint="eastAsia" w:ascii="宋体" w:hAnsi="宋体" w:cs="仿宋_GB2312"/>
          <w:kern w:val="0"/>
          <w:sz w:val="24"/>
        </w:rPr>
        <w:t>13.2.2 竣工验收程序</w:t>
      </w:r>
      <w:bookmarkEnd w:id="924"/>
      <w:bookmarkEnd w:id="925"/>
    </w:p>
    <w:bookmarkEnd w:id="918"/>
    <w:p>
      <w:pPr>
        <w:spacing w:line="460" w:lineRule="exact"/>
        <w:ind w:firstLine="480" w:firstLineChars="200"/>
        <w:jc w:val="left"/>
        <w:rPr>
          <w:rFonts w:ascii="宋体" w:hAnsi="宋体" w:cs="仿宋_GB2312"/>
          <w:sz w:val="24"/>
          <w:u w:val="single"/>
        </w:rPr>
      </w:pPr>
      <w:r>
        <w:rPr>
          <w:rFonts w:hint="eastAsia" w:ascii="宋体" w:hAnsi="宋体" w:cs="仿宋_GB2312"/>
          <w:kern w:val="0"/>
          <w:sz w:val="24"/>
        </w:rPr>
        <w:t>关于竣工验收程序的约定：</w:t>
      </w:r>
      <w:r>
        <w:rPr>
          <w:rFonts w:hint="eastAsia" w:ascii="宋体" w:hAnsi="宋体" w:cs="仿宋_GB2312"/>
          <w:sz w:val="24"/>
          <w:u w:val="single"/>
        </w:rPr>
        <w:t xml:space="preserve">                            </w:t>
      </w:r>
    </w:p>
    <w:p>
      <w:pPr>
        <w:spacing w:line="460" w:lineRule="exact"/>
        <w:ind w:left="4800" w:hanging="4800" w:hangingChars="2000"/>
        <w:jc w:val="left"/>
        <w:rPr>
          <w:rFonts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rPr>
          <w:rFonts w:ascii="宋体" w:hAnsi="宋体" w:cs="仿宋_GB2312"/>
          <w:sz w:val="24"/>
          <w:u w:val="single"/>
        </w:rPr>
      </w:pPr>
      <w:r>
        <w:rPr>
          <w:rFonts w:hint="eastAsia" w:ascii="宋体" w:hAnsi="宋体" w:cs="仿宋_GB2312"/>
          <w:kern w:val="0"/>
          <w:sz w:val="24"/>
        </w:rPr>
        <w:t>发包人不按照本项约定组织竣工验收、颁发工程接收证书的违约金的计算方法：</w:t>
      </w:r>
      <w:r>
        <w:rPr>
          <w:rFonts w:hint="eastAsia" w:ascii="宋体" w:hAnsi="宋体" w:cs="仿宋_GB2312"/>
          <w:sz w:val="24"/>
          <w:u w:val="single"/>
        </w:rPr>
        <w:t xml:space="preserve">                                           </w:t>
      </w:r>
    </w:p>
    <w:p>
      <w:pPr>
        <w:spacing w:line="460" w:lineRule="exact"/>
        <w:rPr>
          <w:rFonts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w:t>
      </w:r>
    </w:p>
    <w:bookmarkEnd w:id="919"/>
    <w:p>
      <w:pPr>
        <w:spacing w:line="460" w:lineRule="exact"/>
        <w:ind w:firstLine="480" w:firstLineChars="200"/>
        <w:jc w:val="left"/>
        <w:rPr>
          <w:rFonts w:ascii="宋体" w:hAnsi="宋体" w:cs="仿宋_GB2312"/>
          <w:sz w:val="24"/>
        </w:rPr>
      </w:pPr>
      <w:r>
        <w:rPr>
          <w:rFonts w:hint="eastAsia" w:ascii="宋体" w:hAnsi="宋体" w:cs="仿宋_GB2312"/>
          <w:sz w:val="24"/>
        </w:rPr>
        <w:t>13.2.5 移交、接收全部与部分工程</w:t>
      </w:r>
    </w:p>
    <w:p>
      <w:pPr>
        <w:spacing w:line="460" w:lineRule="exact"/>
        <w:ind w:firstLine="480" w:firstLineChars="200"/>
        <w:jc w:val="left"/>
        <w:rPr>
          <w:rFonts w:ascii="宋体" w:hAnsi="宋体" w:cs="仿宋_GB2312"/>
          <w:kern w:val="0"/>
          <w:sz w:val="24"/>
        </w:rPr>
      </w:pPr>
      <w:r>
        <w:rPr>
          <w:rFonts w:hint="eastAsia" w:ascii="宋体" w:hAnsi="宋体" w:cs="仿宋_GB2312"/>
          <w:sz w:val="24"/>
        </w:rPr>
        <w:t>绿化工程移交期限：</w:t>
      </w:r>
      <w:bookmarkEnd w:id="920"/>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jc w:val="left"/>
        <w:rPr>
          <w:rFonts w:ascii="宋体" w:hAnsi="宋体" w:cs="仿宋_GB2312"/>
          <w:kern w:val="0"/>
          <w:sz w:val="24"/>
        </w:rPr>
      </w:pPr>
      <w:r>
        <w:rPr>
          <w:rFonts w:hint="eastAsia" w:ascii="宋体" w:hAnsi="宋体" w:cs="仿宋_GB2312"/>
          <w:kern w:val="0"/>
          <w:sz w:val="24"/>
        </w:rPr>
        <w:t>其他工程移交</w:t>
      </w:r>
      <w:r>
        <w:rPr>
          <w:rFonts w:hint="eastAsia" w:ascii="宋体" w:hAnsi="宋体" w:cs="仿宋_GB2312"/>
          <w:sz w:val="24"/>
        </w:rPr>
        <w:t>期限</w:t>
      </w:r>
      <w:r>
        <w:rPr>
          <w:rFonts w:hint="eastAsia" w:ascii="宋体" w:hAnsi="宋体" w:cs="仿宋_GB2312"/>
          <w:kern w:val="0"/>
          <w:sz w:val="24"/>
        </w:rPr>
        <w:t>：</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rPr>
          <w:rFonts w:ascii="宋体" w:hAnsi="宋体"/>
          <w:sz w:val="24"/>
          <w:u w:val="single"/>
        </w:rPr>
      </w:pPr>
      <w:r>
        <w:rPr>
          <w:rFonts w:ascii="宋体" w:hAnsi="宋体"/>
          <w:kern w:val="0"/>
          <w:sz w:val="24"/>
        </w:rPr>
        <w:t>发包人未按本合同约定接收全部或部分工程的，违约金的计算方法为：</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rPr>
        <w:t>。</w:t>
      </w:r>
    </w:p>
    <w:bookmarkEnd w:id="921"/>
    <w:p>
      <w:pPr>
        <w:spacing w:line="460" w:lineRule="exact"/>
        <w:ind w:firstLine="480" w:firstLineChars="200"/>
        <w:rPr>
          <w:rFonts w:ascii="宋体" w:hAnsi="宋体"/>
          <w:sz w:val="24"/>
          <w:u w:val="single"/>
        </w:rPr>
      </w:pPr>
      <w:r>
        <w:rPr>
          <w:rFonts w:ascii="宋体" w:hAnsi="宋体"/>
          <w:sz w:val="24"/>
        </w:rPr>
        <w:t>承包人未按时移交工程的，违约金的计算方法为：</w:t>
      </w:r>
      <w:r>
        <w:rPr>
          <w:rFonts w:hint="eastAsia" w:ascii="宋体" w:hAnsi="宋体"/>
          <w:sz w:val="24"/>
          <w:u w:val="single"/>
        </w:rPr>
        <w:t xml:space="preserve">        </w:t>
      </w:r>
      <w:r>
        <w:rPr>
          <w:rFonts w:ascii="宋体" w:hAnsi="宋体"/>
          <w:sz w:val="24"/>
          <w:u w:val="single"/>
        </w:rPr>
        <w:t xml:space="preserve">  </w:t>
      </w:r>
    </w:p>
    <w:p>
      <w:pPr>
        <w:spacing w:line="460" w:lineRule="exact"/>
        <w:rPr>
          <w:rFonts w:ascii="宋体" w:hAnsi="宋体"/>
          <w:sz w:val="24"/>
        </w:rPr>
      </w:pP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rPr>
        <w:t>。</w:t>
      </w:r>
    </w:p>
    <w:p>
      <w:pPr>
        <w:spacing w:line="460" w:lineRule="exact"/>
        <w:ind w:firstLine="481" w:firstLineChars="200"/>
        <w:outlineLvl w:val="2"/>
        <w:rPr>
          <w:rFonts w:ascii="宋体" w:hAnsi="宋体"/>
          <w:b/>
          <w:sz w:val="24"/>
        </w:rPr>
      </w:pPr>
      <w:r>
        <w:rPr>
          <w:rFonts w:ascii="宋体" w:hAnsi="宋体"/>
          <w:b/>
          <w:sz w:val="24"/>
        </w:rPr>
        <w:t>13.3 工程试车</w:t>
      </w:r>
    </w:p>
    <w:p>
      <w:pPr>
        <w:spacing w:line="460" w:lineRule="exact"/>
        <w:ind w:firstLine="480" w:firstLineChars="200"/>
        <w:jc w:val="left"/>
        <w:rPr>
          <w:rFonts w:ascii="宋体" w:hAnsi="宋体" w:cs="仿宋_GB2312"/>
          <w:kern w:val="0"/>
          <w:sz w:val="24"/>
        </w:rPr>
      </w:pPr>
      <w:r>
        <w:rPr>
          <w:rFonts w:hint="eastAsia" w:ascii="宋体" w:hAnsi="宋体" w:cs="仿宋_GB2312"/>
          <w:kern w:val="0"/>
          <w:sz w:val="24"/>
        </w:rPr>
        <w:t>13.3.1 试车程序</w:t>
      </w:r>
    </w:p>
    <w:p>
      <w:pPr>
        <w:spacing w:line="460" w:lineRule="exact"/>
        <w:ind w:firstLine="480" w:firstLineChars="200"/>
        <w:jc w:val="left"/>
        <w:rPr>
          <w:rFonts w:ascii="宋体" w:hAnsi="宋体" w:cs="仿宋_GB2312"/>
          <w:kern w:val="0"/>
          <w:sz w:val="24"/>
        </w:rPr>
      </w:pPr>
      <w:r>
        <w:rPr>
          <w:rFonts w:hint="eastAsia" w:ascii="宋体" w:hAnsi="宋体" w:cs="仿宋_GB2312"/>
          <w:kern w:val="0"/>
          <w:sz w:val="24"/>
        </w:rPr>
        <w:t>工程试车内容：</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jc w:val="left"/>
        <w:rPr>
          <w:rFonts w:ascii="宋体" w:hAnsi="宋体" w:cs="仿宋_GB2312"/>
          <w:kern w:val="0"/>
          <w:sz w:val="24"/>
        </w:rPr>
      </w:pPr>
      <w:r>
        <w:rPr>
          <w:rFonts w:hint="eastAsia" w:ascii="宋体" w:hAnsi="宋体" w:cs="仿宋_GB2312"/>
          <w:kern w:val="0"/>
          <w:sz w:val="24"/>
        </w:rPr>
        <w:t>（1）单机无负荷试车费用由</w:t>
      </w:r>
      <w:r>
        <w:rPr>
          <w:rFonts w:hint="eastAsia" w:ascii="宋体" w:hAnsi="宋体" w:cs="仿宋_GB2312"/>
          <w:sz w:val="24"/>
          <w:u w:val="single"/>
        </w:rPr>
        <w:t xml:space="preserve">                      </w:t>
      </w:r>
      <w:r>
        <w:rPr>
          <w:rFonts w:hint="eastAsia" w:ascii="宋体" w:hAnsi="宋体" w:cs="仿宋_GB2312"/>
          <w:kern w:val="0"/>
          <w:sz w:val="24"/>
        </w:rPr>
        <w:t>承担；</w:t>
      </w:r>
    </w:p>
    <w:p>
      <w:pPr>
        <w:spacing w:line="460" w:lineRule="exact"/>
        <w:ind w:firstLine="480" w:firstLineChars="200"/>
        <w:jc w:val="left"/>
        <w:rPr>
          <w:rFonts w:ascii="宋体" w:hAnsi="宋体" w:cs="仿宋_GB2312"/>
          <w:kern w:val="0"/>
          <w:sz w:val="24"/>
        </w:rPr>
      </w:pPr>
      <w:r>
        <w:rPr>
          <w:rFonts w:hint="eastAsia" w:ascii="宋体" w:hAnsi="宋体" w:cs="仿宋_GB2312"/>
          <w:kern w:val="0"/>
          <w:sz w:val="24"/>
        </w:rPr>
        <w:t>（2）无负荷联动试车费用由</w:t>
      </w:r>
      <w:r>
        <w:rPr>
          <w:rFonts w:hint="eastAsia" w:ascii="宋体" w:hAnsi="宋体" w:cs="仿宋_GB2312"/>
          <w:sz w:val="24"/>
          <w:u w:val="single"/>
        </w:rPr>
        <w:t xml:space="preserve">                      </w:t>
      </w:r>
      <w:r>
        <w:rPr>
          <w:rFonts w:hint="eastAsia" w:ascii="宋体" w:hAnsi="宋体" w:cs="仿宋_GB2312"/>
          <w:kern w:val="0"/>
          <w:sz w:val="24"/>
        </w:rPr>
        <w:t>承担。</w:t>
      </w:r>
    </w:p>
    <w:p>
      <w:pPr>
        <w:spacing w:line="460" w:lineRule="exact"/>
        <w:ind w:firstLine="480" w:firstLineChars="200"/>
        <w:jc w:val="left"/>
        <w:rPr>
          <w:rFonts w:ascii="宋体" w:hAnsi="宋体" w:cs="仿宋_GB2312"/>
          <w:kern w:val="0"/>
          <w:sz w:val="24"/>
        </w:rPr>
      </w:pPr>
      <w:r>
        <w:rPr>
          <w:rFonts w:hint="eastAsia" w:ascii="宋体" w:hAnsi="宋体" w:cs="仿宋_GB2312"/>
          <w:kern w:val="0"/>
          <w:sz w:val="24"/>
        </w:rPr>
        <w:t>13.3.3 投料试车</w:t>
      </w:r>
    </w:p>
    <w:p>
      <w:pPr>
        <w:spacing w:line="460" w:lineRule="exact"/>
        <w:ind w:firstLine="480" w:firstLineChars="200"/>
        <w:jc w:val="left"/>
        <w:rPr>
          <w:rFonts w:ascii="宋体" w:hAnsi="宋体"/>
          <w:sz w:val="24"/>
        </w:rPr>
      </w:pPr>
      <w:r>
        <w:rPr>
          <w:rFonts w:hint="eastAsia" w:ascii="宋体" w:hAnsi="宋体" w:cs="仿宋_GB2312"/>
          <w:kern w:val="0"/>
          <w:sz w:val="24"/>
        </w:rPr>
        <w:t>关于投料试车</w:t>
      </w:r>
      <w:r>
        <w:rPr>
          <w:rFonts w:hint="eastAsia" w:ascii="宋体" w:hAnsi="宋体"/>
          <w:kern w:val="0"/>
          <w:sz w:val="24"/>
        </w:rPr>
        <w:t>相关事项的约定：</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p>
    <w:bookmarkEnd w:id="922"/>
    <w:p>
      <w:pPr>
        <w:spacing w:line="460" w:lineRule="exact"/>
        <w:ind w:firstLine="481" w:firstLineChars="200"/>
        <w:outlineLvl w:val="2"/>
        <w:rPr>
          <w:rFonts w:ascii="宋体" w:hAnsi="宋体"/>
          <w:b/>
          <w:sz w:val="24"/>
        </w:rPr>
      </w:pPr>
      <w:bookmarkStart w:id="926" w:name="_Toc19772"/>
      <w:r>
        <w:rPr>
          <w:rFonts w:ascii="宋体" w:hAnsi="宋体"/>
          <w:b/>
          <w:sz w:val="24"/>
        </w:rPr>
        <w:t>13.6 竣工退场</w:t>
      </w:r>
      <w:bookmarkEnd w:id="926"/>
    </w:p>
    <w:p>
      <w:pPr>
        <w:spacing w:line="460" w:lineRule="exact"/>
        <w:ind w:firstLine="480" w:firstLineChars="200"/>
        <w:jc w:val="left"/>
        <w:rPr>
          <w:rFonts w:ascii="宋体" w:hAnsi="宋体" w:cs="仿宋_GB2312"/>
          <w:kern w:val="0"/>
          <w:sz w:val="24"/>
        </w:rPr>
      </w:pPr>
      <w:r>
        <w:rPr>
          <w:rFonts w:hint="eastAsia" w:ascii="宋体" w:hAnsi="宋体" w:cs="仿宋_GB2312"/>
          <w:kern w:val="0"/>
          <w:sz w:val="24"/>
        </w:rPr>
        <w:t>13.6.1 竣工退场</w:t>
      </w:r>
    </w:p>
    <w:p>
      <w:pPr>
        <w:spacing w:line="460" w:lineRule="exact"/>
        <w:ind w:firstLine="480" w:firstLineChars="200"/>
        <w:jc w:val="left"/>
        <w:rPr>
          <w:rFonts w:ascii="宋体" w:hAnsi="宋体"/>
          <w:kern w:val="0"/>
          <w:sz w:val="24"/>
        </w:rPr>
      </w:pPr>
      <w:r>
        <w:rPr>
          <w:rFonts w:hint="eastAsia" w:ascii="宋体" w:hAnsi="宋体" w:cs="仿宋_GB2312"/>
          <w:kern w:val="0"/>
          <w:sz w:val="24"/>
        </w:rPr>
        <w:t>承包人完成竣工</w:t>
      </w:r>
      <w:r>
        <w:rPr>
          <w:rFonts w:ascii="宋体" w:hAnsi="宋体"/>
          <w:kern w:val="0"/>
          <w:sz w:val="24"/>
        </w:rPr>
        <w:t>退场的期限：</w:t>
      </w:r>
      <w:r>
        <w:rPr>
          <w:rFonts w:ascii="宋体" w:hAnsi="宋体"/>
          <w:sz w:val="24"/>
          <w:u w:val="single"/>
        </w:rPr>
        <w:t xml:space="preserve">                 </w:t>
      </w:r>
      <w:r>
        <w:rPr>
          <w:rFonts w:hint="eastAsia" w:ascii="宋体" w:hAnsi="宋体"/>
          <w:sz w:val="24"/>
          <w:u w:val="single"/>
        </w:rPr>
        <w:t xml:space="preserve">        </w:t>
      </w:r>
      <w:r>
        <w:rPr>
          <w:rFonts w:ascii="宋体" w:hAnsi="宋体"/>
          <w:kern w:val="0"/>
          <w:sz w:val="24"/>
        </w:rPr>
        <w:t>。</w:t>
      </w:r>
    </w:p>
    <w:p>
      <w:pPr>
        <w:pStyle w:val="3"/>
        <w:spacing w:line="460" w:lineRule="exact"/>
        <w:jc w:val="left"/>
        <w:rPr>
          <w:rFonts w:ascii="宋体" w:hAnsi="宋体"/>
          <w:sz w:val="24"/>
          <w:szCs w:val="24"/>
        </w:rPr>
      </w:pPr>
      <w:bookmarkStart w:id="927" w:name="_Toc1123811034"/>
      <w:bookmarkStart w:id="928" w:name="_Toc295889295"/>
      <w:r>
        <w:rPr>
          <w:rFonts w:ascii="宋体" w:hAnsi="宋体"/>
          <w:sz w:val="24"/>
          <w:szCs w:val="24"/>
        </w:rPr>
        <w:t>1</w:t>
      </w:r>
      <w:r>
        <w:rPr>
          <w:rFonts w:hint="eastAsia" w:ascii="宋体" w:hAnsi="宋体"/>
          <w:sz w:val="24"/>
          <w:szCs w:val="24"/>
        </w:rPr>
        <w:t>4</w:t>
      </w:r>
      <w:r>
        <w:rPr>
          <w:rFonts w:ascii="宋体" w:hAnsi="宋体"/>
          <w:sz w:val="24"/>
          <w:szCs w:val="24"/>
        </w:rPr>
        <w:t>.</w:t>
      </w:r>
      <w:r>
        <w:rPr>
          <w:rFonts w:hint="eastAsia" w:ascii="宋体" w:hAnsi="宋体"/>
          <w:sz w:val="24"/>
          <w:szCs w:val="24"/>
        </w:rPr>
        <w:t xml:space="preserve"> </w:t>
      </w:r>
      <w:r>
        <w:rPr>
          <w:rFonts w:ascii="宋体" w:hAnsi="宋体"/>
          <w:sz w:val="24"/>
          <w:szCs w:val="24"/>
        </w:rPr>
        <w:t>竣工结算</w:t>
      </w:r>
      <w:bookmarkEnd w:id="927"/>
      <w:bookmarkEnd w:id="928"/>
    </w:p>
    <w:p>
      <w:pPr>
        <w:spacing w:after="120" w:line="460" w:lineRule="exact"/>
        <w:ind w:firstLine="481" w:firstLineChars="200"/>
        <w:outlineLvl w:val="2"/>
        <w:rPr>
          <w:rFonts w:ascii="宋体" w:hAnsi="宋体"/>
          <w:b/>
          <w:sz w:val="24"/>
        </w:rPr>
      </w:pPr>
      <w:bookmarkStart w:id="929" w:name="_Toc1257404679"/>
      <w:bookmarkStart w:id="930" w:name="_Toc2011892871"/>
      <w:bookmarkStart w:id="931" w:name="_Toc3577"/>
      <w:r>
        <w:rPr>
          <w:rFonts w:ascii="宋体" w:hAnsi="宋体"/>
          <w:b/>
          <w:sz w:val="24"/>
        </w:rPr>
        <w:t>14.1 竣工</w:t>
      </w:r>
      <w:r>
        <w:rPr>
          <w:rFonts w:hint="eastAsia" w:ascii="宋体" w:hAnsi="宋体"/>
          <w:b/>
          <w:sz w:val="24"/>
        </w:rPr>
        <w:t>结算</w:t>
      </w:r>
      <w:r>
        <w:rPr>
          <w:rFonts w:ascii="宋体" w:hAnsi="宋体"/>
          <w:b/>
          <w:sz w:val="24"/>
        </w:rPr>
        <w:t>申请</w:t>
      </w:r>
      <w:bookmarkEnd w:id="929"/>
      <w:bookmarkEnd w:id="930"/>
      <w:bookmarkEnd w:id="931"/>
    </w:p>
    <w:p>
      <w:pPr>
        <w:spacing w:line="460" w:lineRule="exact"/>
        <w:ind w:firstLine="480" w:firstLineChars="200"/>
        <w:jc w:val="left"/>
        <w:rPr>
          <w:rFonts w:ascii="宋体" w:hAnsi="宋体"/>
          <w:sz w:val="24"/>
        </w:rPr>
      </w:pPr>
      <w:r>
        <w:rPr>
          <w:rFonts w:ascii="宋体" w:hAnsi="宋体"/>
          <w:sz w:val="24"/>
        </w:rPr>
        <w:t>承包人提交竣工</w:t>
      </w:r>
      <w:r>
        <w:rPr>
          <w:rFonts w:hint="eastAsia" w:ascii="宋体" w:hAnsi="宋体"/>
          <w:sz w:val="24"/>
        </w:rPr>
        <w:t>结算</w:t>
      </w:r>
      <w:r>
        <w:rPr>
          <w:rFonts w:ascii="宋体" w:hAnsi="宋体"/>
          <w:sz w:val="24"/>
        </w:rPr>
        <w:t>申请单的期限：</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p>
    <w:p>
      <w:pPr>
        <w:spacing w:line="460" w:lineRule="exact"/>
        <w:ind w:firstLine="480" w:firstLineChars="200"/>
        <w:jc w:val="left"/>
        <w:rPr>
          <w:rFonts w:ascii="宋体" w:hAnsi="宋体"/>
          <w:sz w:val="24"/>
          <w:u w:val="single"/>
        </w:rPr>
      </w:pPr>
      <w:r>
        <w:rPr>
          <w:rFonts w:ascii="宋体" w:hAnsi="宋体"/>
          <w:sz w:val="24"/>
        </w:rPr>
        <w:t>竣工</w:t>
      </w:r>
      <w:r>
        <w:rPr>
          <w:rFonts w:hint="eastAsia" w:ascii="宋体" w:hAnsi="宋体"/>
          <w:sz w:val="24"/>
        </w:rPr>
        <w:t>结算</w:t>
      </w:r>
      <w:r>
        <w:rPr>
          <w:rFonts w:ascii="宋体" w:hAnsi="宋体"/>
          <w:sz w:val="24"/>
        </w:rPr>
        <w:t>申请单应包括的内容：</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p>
    <w:p>
      <w:pPr>
        <w:spacing w:line="460" w:lineRule="exact"/>
        <w:ind w:firstLine="481" w:firstLineChars="200"/>
        <w:rPr>
          <w:rFonts w:ascii="宋体" w:hAnsi="宋体"/>
          <w:b/>
          <w:sz w:val="24"/>
        </w:rPr>
      </w:pPr>
      <w:bookmarkStart w:id="932" w:name="_Toc30710"/>
      <w:r>
        <w:rPr>
          <w:rFonts w:hint="eastAsia" w:ascii="宋体" w:hAnsi="宋体"/>
          <w:b/>
          <w:sz w:val="24"/>
        </w:rPr>
        <w:t>14.2 竣工结算审核</w:t>
      </w:r>
      <w:bookmarkEnd w:id="932"/>
    </w:p>
    <w:p>
      <w:pPr>
        <w:spacing w:line="460" w:lineRule="exact"/>
        <w:ind w:firstLine="480" w:firstLineChars="200"/>
        <w:rPr>
          <w:rFonts w:ascii="宋体" w:hAnsi="宋体" w:cs="仿宋_GB2312"/>
          <w:sz w:val="24"/>
        </w:rPr>
      </w:pPr>
      <w:r>
        <w:rPr>
          <w:rFonts w:hint="eastAsia" w:ascii="宋体" w:hAnsi="宋体" w:cs="仿宋_GB2312"/>
          <w:sz w:val="24"/>
        </w:rPr>
        <w:t>本款修改为：</w:t>
      </w:r>
    </w:p>
    <w:p>
      <w:pPr>
        <w:spacing w:line="460" w:lineRule="exact"/>
        <w:ind w:left="298" w:leftChars="142" w:firstLine="240" w:firstLineChars="100"/>
        <w:outlineLvl w:val="2"/>
        <w:rPr>
          <w:rFonts w:ascii="宋体" w:hAnsi="宋体" w:cs="仿宋_GB2312"/>
          <w:sz w:val="24"/>
        </w:rPr>
      </w:pPr>
      <w:bookmarkStart w:id="933" w:name="_Toc2011675479"/>
      <w:bookmarkStart w:id="934" w:name="_Toc1509410444"/>
      <w:r>
        <w:rPr>
          <w:rFonts w:hint="eastAsia" w:ascii="宋体" w:hAnsi="宋体" w:cs="仿宋_GB2312"/>
          <w:sz w:val="24"/>
        </w:rPr>
        <w:t>发包人审批竣工付款申请单的期限：</w:t>
      </w:r>
      <w:r>
        <w:rPr>
          <w:rFonts w:hint="eastAsia" w:ascii="宋体" w:hAnsi="宋体" w:cs="仿宋_GB2312"/>
          <w:sz w:val="24"/>
          <w:u w:val="single"/>
        </w:rPr>
        <w:t xml:space="preserve">                   </w:t>
      </w:r>
      <w:r>
        <w:rPr>
          <w:rFonts w:hint="eastAsia" w:ascii="宋体" w:hAnsi="宋体" w:cs="仿宋_GB2312"/>
          <w:sz w:val="24"/>
        </w:rPr>
        <w:t>。</w:t>
      </w:r>
      <w:bookmarkEnd w:id="933"/>
      <w:bookmarkEnd w:id="934"/>
    </w:p>
    <w:p>
      <w:pPr>
        <w:spacing w:line="460" w:lineRule="exact"/>
        <w:ind w:firstLine="480" w:firstLineChars="200"/>
        <w:outlineLvl w:val="2"/>
        <w:rPr>
          <w:rFonts w:ascii="宋体" w:hAnsi="宋体" w:cs="仿宋_GB2312"/>
          <w:sz w:val="24"/>
          <w:u w:val="single"/>
        </w:rPr>
      </w:pPr>
      <w:bookmarkStart w:id="935" w:name="_Toc53832719"/>
      <w:bookmarkStart w:id="936" w:name="_Toc1520911565"/>
      <w:r>
        <w:rPr>
          <w:rFonts w:hint="eastAsia" w:ascii="宋体" w:hAnsi="宋体" w:cs="仿宋_GB2312"/>
          <w:sz w:val="24"/>
        </w:rPr>
        <w:t>结算款支付方式及时间：工程竣工验收合格后</w:t>
      </w:r>
      <w:r>
        <w:rPr>
          <w:rFonts w:hint="eastAsia" w:ascii="宋体" w:hAnsi="宋体" w:cs="仿宋_GB2312"/>
          <w:sz w:val="24"/>
          <w:u w:val="single"/>
        </w:rPr>
        <w:t xml:space="preserve">     </w:t>
      </w:r>
      <w:r>
        <w:rPr>
          <w:rFonts w:hint="eastAsia" w:ascii="宋体" w:hAnsi="宋体" w:cs="仿宋_GB2312"/>
          <w:sz w:val="24"/>
        </w:rPr>
        <w:t>个工作日内支付至</w:t>
      </w:r>
      <w:r>
        <w:rPr>
          <w:rFonts w:hint="eastAsia" w:ascii="宋体" w:hAnsi="宋体" w:cs="仿宋_GB2312"/>
          <w:sz w:val="24"/>
        </w:rPr>
        <w:sym w:font="Wingdings" w:char="00A8"/>
      </w:r>
      <w:r>
        <w:rPr>
          <w:rFonts w:hint="eastAsia" w:ascii="宋体" w:hAnsi="宋体" w:cs="仿宋_GB2312"/>
          <w:sz w:val="24"/>
        </w:rPr>
        <w:t>合同价或</w:t>
      </w:r>
      <w:r>
        <w:rPr>
          <w:rFonts w:hint="eastAsia" w:ascii="宋体" w:hAnsi="宋体" w:cs="仿宋_GB2312"/>
          <w:sz w:val="24"/>
        </w:rPr>
        <w:sym w:font="Wingdings" w:char="00A8"/>
      </w:r>
      <w:r>
        <w:rPr>
          <w:rFonts w:hint="eastAsia" w:ascii="宋体" w:hAnsi="宋体" w:cs="仿宋_GB2312"/>
          <w:sz w:val="24"/>
        </w:rPr>
        <w:t>已完工程量的总价的</w:t>
      </w:r>
      <w:r>
        <w:rPr>
          <w:rFonts w:hint="eastAsia" w:ascii="宋体" w:hAnsi="宋体" w:cs="仿宋_GB2312"/>
          <w:sz w:val="24"/>
          <w:u w:val="single"/>
        </w:rPr>
        <w:t xml:space="preserve">    </w:t>
      </w:r>
      <w:r>
        <w:rPr>
          <w:rFonts w:hint="eastAsia" w:ascii="宋体" w:hAnsi="宋体" w:cs="仿宋_GB2312"/>
          <w:sz w:val="24"/>
        </w:rPr>
        <w:t>%；结算完成后</w:t>
      </w:r>
      <w:r>
        <w:rPr>
          <w:rFonts w:hint="eastAsia" w:ascii="宋体" w:hAnsi="宋体" w:cs="仿宋_GB2312"/>
          <w:sz w:val="24"/>
          <w:u w:val="single"/>
        </w:rPr>
        <w:t xml:space="preserve">    </w:t>
      </w:r>
    </w:p>
    <w:p>
      <w:pPr>
        <w:spacing w:line="460" w:lineRule="exact"/>
        <w:outlineLvl w:val="2"/>
        <w:rPr>
          <w:rFonts w:ascii="宋体" w:hAnsi="宋体" w:cs="仿宋_GB2312"/>
          <w:sz w:val="24"/>
          <w:u w:val="single"/>
        </w:rPr>
      </w:pPr>
      <w:r>
        <w:rPr>
          <w:rFonts w:hint="eastAsia" w:ascii="宋体" w:hAnsi="宋体" w:cs="仿宋_GB2312"/>
          <w:sz w:val="24"/>
          <w:u w:val="single"/>
        </w:rPr>
        <w:t xml:space="preserve">      </w:t>
      </w:r>
      <w:r>
        <w:rPr>
          <w:rFonts w:hint="eastAsia" w:ascii="宋体" w:hAnsi="宋体" w:cs="仿宋_GB2312"/>
          <w:sz w:val="24"/>
        </w:rPr>
        <w:t>个工作日内支付至结算价的</w:t>
      </w:r>
      <w:r>
        <w:rPr>
          <w:rFonts w:hint="eastAsia" w:ascii="宋体" w:hAnsi="宋体" w:cs="仿宋_GB2312"/>
          <w:sz w:val="24"/>
          <w:u w:val="single"/>
        </w:rPr>
        <w:t xml:space="preserve">     </w:t>
      </w:r>
      <w:r>
        <w:rPr>
          <w:rFonts w:hint="eastAsia" w:ascii="宋体" w:hAnsi="宋体" w:cs="仿宋_GB2312"/>
          <w:sz w:val="24"/>
        </w:rPr>
        <w:t>%；工程归档档案移交后</w:t>
      </w:r>
      <w:r>
        <w:rPr>
          <w:rFonts w:hint="eastAsia" w:ascii="宋体" w:hAnsi="宋体" w:cs="仿宋_GB2312"/>
          <w:sz w:val="24"/>
          <w:u w:val="single"/>
        </w:rPr>
        <w:t xml:space="preserve">    </w:t>
      </w:r>
    </w:p>
    <w:p>
      <w:pPr>
        <w:spacing w:line="460" w:lineRule="exact"/>
        <w:outlineLvl w:val="2"/>
        <w:rPr>
          <w:rFonts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个工作日内支付至结算价的</w:t>
      </w:r>
      <w:r>
        <w:rPr>
          <w:rFonts w:hint="eastAsia" w:ascii="宋体" w:hAnsi="宋体" w:cs="仿宋_GB2312"/>
          <w:sz w:val="24"/>
          <w:u w:val="single"/>
        </w:rPr>
        <w:t xml:space="preserve">     </w:t>
      </w:r>
      <w:r>
        <w:rPr>
          <w:rFonts w:hint="eastAsia" w:ascii="宋体" w:hAnsi="宋体" w:cs="仿宋_GB2312"/>
          <w:sz w:val="24"/>
        </w:rPr>
        <w:t>%。</w:t>
      </w:r>
      <w:bookmarkEnd w:id="935"/>
      <w:bookmarkEnd w:id="936"/>
    </w:p>
    <w:p>
      <w:pPr>
        <w:spacing w:line="460" w:lineRule="exact"/>
        <w:ind w:firstLine="480" w:firstLineChars="200"/>
        <w:jc w:val="left"/>
        <w:rPr>
          <w:rFonts w:ascii="宋体" w:hAnsi="宋体"/>
          <w:sz w:val="24"/>
          <w:u w:val="single"/>
        </w:rPr>
      </w:pPr>
      <w:r>
        <w:rPr>
          <w:rFonts w:hint="eastAsia" w:ascii="宋体" w:hAnsi="宋体" w:cs="仿宋_GB2312"/>
          <w:sz w:val="24"/>
        </w:rPr>
        <w:t>关于竣工付款证书异议部分复核的方式和程序：</w:t>
      </w:r>
      <w:r>
        <w:rPr>
          <w:rFonts w:hint="eastAsia" w:ascii="宋体" w:hAnsi="宋体" w:cs="仿宋_GB2312"/>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460" w:lineRule="exact"/>
        <w:jc w:val="left"/>
        <w:rPr>
          <w:rFonts w:ascii="宋体" w:hAnsi="宋体"/>
          <w:sz w:val="24"/>
        </w:rPr>
      </w:pPr>
      <w:r>
        <w:rPr>
          <w:rFonts w:ascii="宋体" w:hAnsi="宋体"/>
          <w:sz w:val="24"/>
          <w:u w:val="single"/>
        </w:rPr>
        <w:t xml:space="preserve"> </w:t>
      </w:r>
      <w:r>
        <w:rPr>
          <w:rFonts w:hint="eastAsia" w:ascii="宋体" w:hAnsi="宋体"/>
          <w:sz w:val="24"/>
          <w:u w:val="single"/>
        </w:rPr>
        <w:t xml:space="preserve">                                                     </w:t>
      </w:r>
      <w:r>
        <w:rPr>
          <w:rFonts w:ascii="宋体" w:hAnsi="宋体"/>
          <w:sz w:val="24"/>
        </w:rPr>
        <w:t>。</w:t>
      </w:r>
    </w:p>
    <w:p>
      <w:pPr>
        <w:spacing w:line="460" w:lineRule="exact"/>
        <w:ind w:firstLine="481" w:firstLineChars="200"/>
        <w:rPr>
          <w:rFonts w:ascii="宋体" w:hAnsi="宋体"/>
          <w:b/>
          <w:sz w:val="24"/>
        </w:rPr>
      </w:pPr>
      <w:bookmarkStart w:id="937" w:name="_Toc10781"/>
      <w:r>
        <w:rPr>
          <w:rFonts w:ascii="宋体" w:hAnsi="宋体"/>
          <w:b/>
          <w:sz w:val="24"/>
        </w:rPr>
        <w:t>14.4 最终结清</w:t>
      </w:r>
      <w:bookmarkEnd w:id="937"/>
    </w:p>
    <w:p>
      <w:pPr>
        <w:spacing w:line="460" w:lineRule="exact"/>
        <w:ind w:firstLine="480" w:firstLineChars="200"/>
        <w:jc w:val="left"/>
        <w:rPr>
          <w:rFonts w:ascii="宋体" w:hAnsi="宋体" w:cs="仿宋_GB2312"/>
          <w:kern w:val="0"/>
          <w:sz w:val="24"/>
        </w:rPr>
      </w:pPr>
      <w:r>
        <w:rPr>
          <w:rFonts w:hint="eastAsia" w:ascii="宋体" w:hAnsi="宋体" w:cs="仿宋_GB2312"/>
          <w:kern w:val="0"/>
          <w:sz w:val="24"/>
        </w:rPr>
        <w:t>14.4.1 最终结清申请单</w:t>
      </w:r>
    </w:p>
    <w:p>
      <w:pPr>
        <w:spacing w:line="460" w:lineRule="exact"/>
        <w:ind w:firstLine="480" w:firstLineChars="200"/>
        <w:jc w:val="left"/>
        <w:rPr>
          <w:rFonts w:ascii="宋体" w:hAnsi="宋体" w:cs="仿宋_GB2312"/>
          <w:kern w:val="0"/>
          <w:sz w:val="24"/>
        </w:rPr>
      </w:pPr>
      <w:r>
        <w:rPr>
          <w:rFonts w:hint="eastAsia" w:ascii="宋体" w:hAnsi="宋体" w:cs="仿宋_GB2312"/>
          <w:kern w:val="0"/>
          <w:sz w:val="24"/>
        </w:rPr>
        <w:t>承包人提交最终结清申请单的份数：</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jc w:val="left"/>
        <w:rPr>
          <w:rFonts w:ascii="宋体" w:hAnsi="宋体" w:cs="仿宋_GB2312"/>
          <w:sz w:val="24"/>
        </w:rPr>
      </w:pPr>
      <w:r>
        <w:rPr>
          <w:rFonts w:hint="eastAsia" w:ascii="宋体" w:hAnsi="宋体" w:cs="仿宋_GB2312"/>
          <w:kern w:val="0"/>
          <w:sz w:val="24"/>
        </w:rPr>
        <w:t>承包人提交最终结算申请单的期限：</w:t>
      </w:r>
      <w:r>
        <w:rPr>
          <w:rFonts w:hint="eastAsia" w:ascii="宋体" w:hAnsi="宋体" w:cs="仿宋_GB2312"/>
          <w:sz w:val="24"/>
          <w:u w:val="single"/>
        </w:rPr>
        <w:t xml:space="preserve">                   </w:t>
      </w:r>
      <w:r>
        <w:rPr>
          <w:rFonts w:hint="eastAsia" w:ascii="宋体" w:hAnsi="宋体" w:cs="仿宋_GB2312"/>
          <w:sz w:val="24"/>
        </w:rPr>
        <w:t xml:space="preserve">。 </w:t>
      </w:r>
    </w:p>
    <w:p>
      <w:pPr>
        <w:spacing w:line="460" w:lineRule="exact"/>
        <w:ind w:firstLine="480" w:firstLineChars="200"/>
        <w:jc w:val="left"/>
        <w:rPr>
          <w:rFonts w:ascii="宋体" w:hAnsi="宋体" w:cs="仿宋_GB2312"/>
          <w:sz w:val="24"/>
        </w:rPr>
      </w:pPr>
      <w:r>
        <w:rPr>
          <w:rFonts w:hint="eastAsia" w:ascii="宋体" w:hAnsi="宋体" w:cs="仿宋_GB2312"/>
          <w:sz w:val="24"/>
        </w:rPr>
        <w:t>14.4.2 最终结清证书和支付</w:t>
      </w:r>
    </w:p>
    <w:p>
      <w:pPr>
        <w:spacing w:line="460" w:lineRule="exact"/>
        <w:ind w:firstLine="480" w:firstLineChars="200"/>
        <w:rPr>
          <w:rFonts w:ascii="宋体" w:hAnsi="宋体"/>
          <w:sz w:val="24"/>
        </w:rPr>
      </w:pPr>
      <w:r>
        <w:rPr>
          <w:rFonts w:hint="eastAsia" w:ascii="宋体" w:hAnsi="宋体" w:cs="仿宋_GB2312"/>
          <w:sz w:val="24"/>
        </w:rPr>
        <w:t>（1）发包人完成最终结清申请单的审批并颁发最终结清证书的期限：</w:t>
      </w:r>
      <w:r>
        <w:rPr>
          <w:rFonts w:hint="eastAsia" w:ascii="宋体" w:hAnsi="宋体" w:cs="仿宋_GB2312"/>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rPr>
        <w:t>。</w:t>
      </w:r>
    </w:p>
    <w:p>
      <w:pPr>
        <w:spacing w:line="460" w:lineRule="exact"/>
        <w:ind w:firstLine="481" w:firstLineChars="200"/>
        <w:rPr>
          <w:rFonts w:ascii="宋体" w:hAnsi="宋体"/>
          <w:b/>
          <w:sz w:val="24"/>
        </w:rPr>
      </w:pPr>
      <w:bookmarkStart w:id="938" w:name="_Toc19199"/>
      <w:r>
        <w:rPr>
          <w:rFonts w:hint="eastAsia" w:ascii="宋体" w:hAnsi="宋体"/>
          <w:b/>
          <w:sz w:val="24"/>
        </w:rPr>
        <w:t>14.5 竣工归档资料</w:t>
      </w:r>
      <w:bookmarkEnd w:id="938"/>
    </w:p>
    <w:p>
      <w:pPr>
        <w:spacing w:line="460" w:lineRule="exact"/>
        <w:ind w:firstLine="480" w:firstLineChars="200"/>
        <w:jc w:val="left"/>
        <w:rPr>
          <w:rFonts w:ascii="宋体" w:hAnsi="宋体"/>
          <w:kern w:val="0"/>
          <w:sz w:val="24"/>
        </w:rPr>
      </w:pPr>
      <w:r>
        <w:rPr>
          <w:rFonts w:hint="eastAsia" w:ascii="宋体" w:hAnsi="宋体"/>
          <w:kern w:val="0"/>
          <w:sz w:val="24"/>
        </w:rPr>
        <w:t>本款补充：</w:t>
      </w:r>
    </w:p>
    <w:p>
      <w:pPr>
        <w:spacing w:line="460" w:lineRule="exact"/>
        <w:ind w:firstLine="480" w:firstLineChars="200"/>
        <w:rPr>
          <w:rFonts w:ascii="宋体" w:hAnsi="宋体" w:cs="仿宋_GB2312"/>
          <w:kern w:val="0"/>
          <w:sz w:val="24"/>
        </w:rPr>
      </w:pPr>
      <w:r>
        <w:rPr>
          <w:rFonts w:hint="eastAsia" w:ascii="宋体" w:hAnsi="宋体" w:cs="仿宋_GB2312"/>
          <w:kern w:val="0"/>
          <w:sz w:val="24"/>
        </w:rPr>
        <w:t>（1）施工中未发生设计变更，施工后由承包人在发包人提供的施工图纸加盖竣工图章提交发包人。</w:t>
      </w:r>
    </w:p>
    <w:p>
      <w:pPr>
        <w:spacing w:line="460" w:lineRule="exact"/>
        <w:ind w:firstLine="480" w:firstLineChars="200"/>
        <w:rPr>
          <w:rFonts w:ascii="宋体" w:hAnsi="宋体" w:cs="仿宋_GB2312"/>
          <w:kern w:val="0"/>
          <w:sz w:val="24"/>
        </w:rPr>
      </w:pPr>
      <w:r>
        <w:rPr>
          <w:rFonts w:hint="eastAsia" w:ascii="宋体" w:hAnsi="宋体" w:cs="仿宋_GB2312"/>
          <w:kern w:val="0"/>
          <w:sz w:val="24"/>
        </w:rPr>
        <w:t>（2）施工过程中发生设计变更的，需经相关方书面确认后由设计单位出具设计变更材料，由承包人提供加盖竣工图章的竣工图给发包人。</w:t>
      </w:r>
    </w:p>
    <w:p>
      <w:pPr>
        <w:spacing w:line="460" w:lineRule="exact"/>
        <w:ind w:firstLine="480" w:firstLineChars="200"/>
        <w:rPr>
          <w:rFonts w:ascii="宋体" w:hAnsi="宋体" w:cs="仿宋_GB2312"/>
          <w:kern w:val="0"/>
          <w:sz w:val="24"/>
        </w:rPr>
      </w:pPr>
      <w:r>
        <w:rPr>
          <w:rFonts w:hint="eastAsia" w:ascii="宋体" w:hAnsi="宋体" w:cs="仿宋_GB2312"/>
          <w:kern w:val="0"/>
          <w:sz w:val="24"/>
        </w:rPr>
        <w:t>（3）工程竣工验收结算后</w:t>
      </w:r>
      <w:r>
        <w:rPr>
          <w:rFonts w:hint="eastAsia" w:ascii="宋体" w:hAnsi="宋体" w:cs="仿宋_GB2312"/>
          <w:kern w:val="0"/>
          <w:sz w:val="24"/>
          <w:u w:val="single"/>
        </w:rPr>
        <w:t xml:space="preserve">   </w:t>
      </w:r>
      <w:r>
        <w:rPr>
          <w:rFonts w:hint="eastAsia" w:ascii="宋体" w:hAnsi="宋体" w:cs="仿宋_GB2312"/>
          <w:kern w:val="0"/>
          <w:sz w:val="24"/>
        </w:rPr>
        <w:t>天内，承包人应提供给发包人</w:t>
      </w:r>
      <w:r>
        <w:rPr>
          <w:rFonts w:hint="eastAsia" w:ascii="宋体" w:hAnsi="宋体" w:cs="仿宋_GB2312"/>
          <w:kern w:val="0"/>
          <w:sz w:val="24"/>
          <w:u w:val="single"/>
        </w:rPr>
        <w:t xml:space="preserve">    </w:t>
      </w:r>
    </w:p>
    <w:p>
      <w:pPr>
        <w:spacing w:line="460" w:lineRule="exact"/>
        <w:rPr>
          <w:rFonts w:ascii="宋体" w:hAnsi="宋体" w:cs="仿宋_GB2312"/>
          <w:kern w:val="0"/>
          <w:sz w:val="24"/>
        </w:rPr>
      </w:pPr>
      <w:r>
        <w:rPr>
          <w:rFonts w:hint="eastAsia" w:ascii="宋体" w:hAnsi="宋体" w:cs="仿宋_GB2312"/>
          <w:sz w:val="24"/>
          <w:u w:val="single"/>
        </w:rPr>
        <w:t xml:space="preserve">   </w:t>
      </w:r>
      <w:r>
        <w:rPr>
          <w:rFonts w:hint="eastAsia" w:ascii="宋体" w:hAnsi="宋体" w:cs="仿宋_GB2312"/>
          <w:kern w:val="0"/>
          <w:sz w:val="24"/>
        </w:rPr>
        <w:t>套完整符合要求的竣工图、竣工归档资料。</w:t>
      </w:r>
    </w:p>
    <w:p>
      <w:pPr>
        <w:spacing w:line="460" w:lineRule="exact"/>
        <w:ind w:firstLine="480" w:firstLineChars="200"/>
        <w:rPr>
          <w:rFonts w:ascii="宋体" w:hAnsi="宋体" w:cs="仿宋_GB2312"/>
          <w:kern w:val="0"/>
          <w:sz w:val="24"/>
          <w:u w:val="single"/>
        </w:rPr>
      </w:pPr>
      <w:r>
        <w:rPr>
          <w:rFonts w:hint="eastAsia" w:ascii="宋体" w:hAnsi="宋体" w:cs="仿宋_GB2312"/>
          <w:kern w:val="0"/>
          <w:sz w:val="24"/>
        </w:rPr>
        <w:t>竣工归档资料的形式和格式：</w:t>
      </w:r>
      <w:r>
        <w:rPr>
          <w:rFonts w:hint="eastAsia" w:ascii="宋体" w:hAnsi="宋体" w:cs="仿宋_GB2312"/>
          <w:kern w:val="0"/>
          <w:sz w:val="24"/>
          <w:u w:val="single"/>
        </w:rPr>
        <w:t xml:space="preserve">                         </w:t>
      </w:r>
      <w:r>
        <w:rPr>
          <w:rFonts w:hint="eastAsia" w:ascii="宋体" w:hAnsi="宋体" w:cs="仿宋_GB2312"/>
          <w:kern w:val="0"/>
          <w:sz w:val="24"/>
        </w:rPr>
        <w:t>。</w:t>
      </w:r>
    </w:p>
    <w:p>
      <w:pPr>
        <w:spacing w:line="460" w:lineRule="exact"/>
        <w:ind w:firstLine="480" w:firstLineChars="200"/>
        <w:rPr>
          <w:rFonts w:ascii="宋体" w:hAnsi="宋体"/>
          <w:sz w:val="24"/>
        </w:rPr>
      </w:pPr>
      <w:r>
        <w:rPr>
          <w:rFonts w:hint="eastAsia" w:ascii="宋体" w:hAnsi="宋体" w:cs="仿宋_GB2312"/>
          <w:kern w:val="0"/>
          <w:sz w:val="24"/>
        </w:rPr>
        <w:t>（4）因承包人拖延或不办理竣工归档资料时，经发包人催告，</w:t>
      </w:r>
      <w:r>
        <w:rPr>
          <w:rFonts w:hint="eastAsia" w:ascii="宋体" w:hAnsi="宋体" w:cs="仿宋_GB2312"/>
          <w:kern w:val="0"/>
          <w:sz w:val="24"/>
          <w:u w:val="single"/>
        </w:rPr>
        <w:t xml:space="preserve">    </w:t>
      </w:r>
      <w:r>
        <w:rPr>
          <w:rFonts w:hint="eastAsia" w:ascii="宋体" w:hAnsi="宋体" w:cs="仿宋_GB2312"/>
          <w:kern w:val="0"/>
          <w:sz w:val="24"/>
        </w:rPr>
        <w:t>个月内未按发包人要求提供相关竣工归</w:t>
      </w:r>
      <w:r>
        <w:rPr>
          <w:rFonts w:hint="eastAsia" w:ascii="宋体" w:hAnsi="宋体"/>
          <w:kern w:val="0"/>
          <w:sz w:val="24"/>
        </w:rPr>
        <w:t>档资料的，发包人有权委托第三方机构整理，相关费用由</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u w:val="single"/>
        </w:rPr>
        <w:t xml:space="preserve"> </w:t>
      </w:r>
      <w:r>
        <w:rPr>
          <w:rFonts w:hint="eastAsia" w:ascii="宋体" w:hAnsi="宋体"/>
          <w:kern w:val="0"/>
          <w:sz w:val="24"/>
        </w:rPr>
        <w:t>承担。</w:t>
      </w:r>
    </w:p>
    <w:bookmarkEnd w:id="905"/>
    <w:bookmarkEnd w:id="906"/>
    <w:bookmarkEnd w:id="907"/>
    <w:bookmarkEnd w:id="908"/>
    <w:bookmarkEnd w:id="909"/>
    <w:bookmarkEnd w:id="910"/>
    <w:bookmarkEnd w:id="911"/>
    <w:bookmarkEnd w:id="923"/>
    <w:p>
      <w:pPr>
        <w:pStyle w:val="3"/>
        <w:spacing w:line="460" w:lineRule="exact"/>
        <w:jc w:val="left"/>
        <w:rPr>
          <w:rFonts w:ascii="宋体" w:hAnsi="宋体"/>
          <w:sz w:val="24"/>
          <w:szCs w:val="24"/>
        </w:rPr>
      </w:pPr>
      <w:bookmarkStart w:id="939" w:name="_Toc490192013"/>
      <w:bookmarkStart w:id="940" w:name="_Toc1320788901"/>
      <w:bookmarkStart w:id="941" w:name="_Toc267251483"/>
      <w:bookmarkStart w:id="942" w:name="_Toc267251484"/>
      <w:bookmarkStart w:id="943" w:name="_Toc267251485"/>
      <w:bookmarkStart w:id="944" w:name="_Toc267251482"/>
      <w:bookmarkStart w:id="945" w:name="_Toc267251490"/>
      <w:bookmarkStart w:id="946" w:name="_Toc267251489"/>
      <w:bookmarkStart w:id="947" w:name="_Toc267251486"/>
      <w:bookmarkStart w:id="948" w:name="_Toc267251488"/>
      <w:bookmarkStart w:id="949" w:name="_Toc267251499"/>
      <w:bookmarkStart w:id="950" w:name="_Toc267251503"/>
      <w:bookmarkStart w:id="951" w:name="_Toc267251494"/>
      <w:bookmarkStart w:id="952" w:name="_Toc267251495"/>
      <w:bookmarkStart w:id="953" w:name="_Toc267251492"/>
      <w:bookmarkStart w:id="954" w:name="_Toc267251502"/>
      <w:bookmarkStart w:id="955" w:name="_Toc267251498"/>
      <w:bookmarkStart w:id="956" w:name="_Toc267251501"/>
      <w:bookmarkStart w:id="957" w:name="_Toc267251497"/>
      <w:bookmarkStart w:id="958" w:name="_Toc267251493"/>
      <w:bookmarkStart w:id="959" w:name="_Toc267251496"/>
      <w:bookmarkStart w:id="960" w:name="_Toc267251491"/>
      <w:bookmarkStart w:id="961" w:name="_Toc267251507"/>
      <w:bookmarkStart w:id="962" w:name="_Toc267251506"/>
      <w:bookmarkStart w:id="963" w:name="_Toc267251504"/>
      <w:bookmarkStart w:id="964" w:name="_Toc267251508"/>
      <w:bookmarkStart w:id="965" w:name="_Toc267251513"/>
      <w:bookmarkStart w:id="966" w:name="_Toc267251515"/>
      <w:bookmarkStart w:id="967" w:name="_Toc267251514"/>
      <w:bookmarkStart w:id="968" w:name="_Toc267251510"/>
      <w:bookmarkStart w:id="969" w:name="_Toc267251509"/>
      <w:bookmarkStart w:id="970" w:name="_Toc267251511"/>
      <w:r>
        <w:rPr>
          <w:rFonts w:ascii="宋体" w:hAnsi="宋体"/>
          <w:sz w:val="24"/>
          <w:szCs w:val="24"/>
        </w:rPr>
        <w:t>15. 缺陷责任期与保修</w:t>
      </w:r>
      <w:bookmarkEnd w:id="939"/>
      <w:bookmarkEnd w:id="940"/>
    </w:p>
    <w:p>
      <w:pPr>
        <w:spacing w:line="460" w:lineRule="exact"/>
        <w:ind w:firstLine="480" w:firstLineChars="200"/>
        <w:jc w:val="left"/>
        <w:rPr>
          <w:rFonts w:ascii="宋体" w:hAnsi="宋体" w:cs="仿宋_GB2312"/>
          <w:kern w:val="0"/>
          <w:sz w:val="24"/>
        </w:rPr>
      </w:pPr>
      <w:bookmarkStart w:id="971" w:name="_Toc18125"/>
      <w:r>
        <w:rPr>
          <w:rFonts w:hint="eastAsia" w:ascii="宋体" w:hAnsi="宋体" w:cs="仿宋_GB2312"/>
          <w:kern w:val="0"/>
          <w:sz w:val="24"/>
        </w:rPr>
        <w:t>本条补充15.5。</w:t>
      </w:r>
    </w:p>
    <w:p>
      <w:pPr>
        <w:spacing w:line="460" w:lineRule="exact"/>
        <w:ind w:firstLine="481" w:firstLineChars="200"/>
        <w:rPr>
          <w:rFonts w:ascii="宋体" w:hAnsi="宋体"/>
          <w:b/>
          <w:sz w:val="24"/>
        </w:rPr>
      </w:pPr>
      <w:r>
        <w:rPr>
          <w:rFonts w:hint="eastAsia" w:ascii="宋体" w:hAnsi="宋体"/>
          <w:b/>
          <w:sz w:val="24"/>
        </w:rPr>
        <w:t>15.2 缺陷责任期</w:t>
      </w:r>
      <w:bookmarkEnd w:id="941"/>
      <w:bookmarkEnd w:id="971"/>
    </w:p>
    <w:p>
      <w:pPr>
        <w:spacing w:line="460" w:lineRule="exact"/>
        <w:ind w:firstLine="480" w:firstLineChars="200"/>
        <w:jc w:val="left"/>
        <w:rPr>
          <w:rFonts w:ascii="宋体" w:hAnsi="宋体"/>
          <w:sz w:val="24"/>
        </w:rPr>
      </w:pPr>
      <w:r>
        <w:rPr>
          <w:rFonts w:ascii="宋体" w:hAnsi="宋体"/>
          <w:sz w:val="24"/>
        </w:rPr>
        <w:t>缺陷责任期的具体期限：</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rPr>
        <w:t>。</w:t>
      </w:r>
    </w:p>
    <w:p>
      <w:pPr>
        <w:spacing w:line="460" w:lineRule="exact"/>
        <w:ind w:firstLine="481" w:firstLineChars="200"/>
        <w:rPr>
          <w:rFonts w:ascii="宋体" w:hAnsi="宋体"/>
          <w:b/>
          <w:sz w:val="24"/>
        </w:rPr>
      </w:pPr>
      <w:r>
        <w:rPr>
          <w:rFonts w:hint="eastAsia" w:ascii="宋体" w:hAnsi="宋体"/>
          <w:b/>
          <w:sz w:val="24"/>
        </w:rPr>
        <w:t>15.3 质量保证金</w:t>
      </w:r>
    </w:p>
    <w:p>
      <w:pPr>
        <w:spacing w:line="460" w:lineRule="exact"/>
        <w:ind w:firstLine="480" w:firstLineChars="200"/>
        <w:rPr>
          <w:rFonts w:ascii="宋体" w:hAnsi="宋体" w:cs="仿宋_GB2312"/>
          <w:sz w:val="24"/>
        </w:rPr>
      </w:pPr>
      <w:r>
        <w:rPr>
          <w:rFonts w:hint="eastAsia" w:ascii="宋体" w:hAnsi="宋体" w:cs="仿宋_GB2312"/>
          <w:sz w:val="24"/>
        </w:rPr>
        <w:t>本款修改为：</w:t>
      </w:r>
    </w:p>
    <w:p>
      <w:pPr>
        <w:spacing w:line="460" w:lineRule="exact"/>
        <w:ind w:firstLine="480" w:firstLineChars="200"/>
        <w:rPr>
          <w:rFonts w:ascii="宋体" w:hAnsi="宋体" w:cs="仿宋_GB2312"/>
          <w:sz w:val="24"/>
        </w:rPr>
      </w:pPr>
      <w:r>
        <w:rPr>
          <w:rFonts w:hint="eastAsia" w:ascii="宋体" w:hAnsi="宋体" w:cs="仿宋_GB2312"/>
          <w:sz w:val="24"/>
        </w:rPr>
        <w:t>工程质量保证金的支付方式和时间：工程质量保证金为结算款的</w:t>
      </w:r>
      <w:r>
        <w:rPr>
          <w:rFonts w:hint="eastAsia" w:ascii="宋体" w:hAnsi="宋体" w:cs="仿宋_GB2312"/>
          <w:sz w:val="24"/>
          <w:u w:val="single"/>
        </w:rPr>
        <w:t xml:space="preserve">     </w:t>
      </w:r>
      <w:r>
        <w:rPr>
          <w:rFonts w:hint="eastAsia" w:ascii="宋体" w:hAnsi="宋体" w:cs="仿宋_GB2312"/>
          <w:sz w:val="24"/>
        </w:rPr>
        <w:t>%（≤3%），采用以下方式执行：</w:t>
      </w:r>
    </w:p>
    <w:p>
      <w:pPr>
        <w:spacing w:line="460" w:lineRule="exact"/>
        <w:ind w:firstLine="480" w:firstLineChars="200"/>
        <w:jc w:val="left"/>
        <w:rPr>
          <w:rFonts w:ascii="宋体" w:hAnsi="宋体" w:cs="仿宋_GB2312"/>
          <w:sz w:val="24"/>
        </w:rPr>
      </w:pPr>
      <w:r>
        <w:rPr>
          <w:rFonts w:hint="eastAsia" w:ascii="宋体" w:hAnsi="宋体" w:cs="仿宋_GB2312"/>
          <w:sz w:val="24"/>
        </w:rPr>
        <w:sym w:font="Wingdings" w:char="00A8"/>
      </w:r>
      <w:r>
        <w:rPr>
          <w:rFonts w:hint="eastAsia" w:ascii="宋体" w:hAnsi="宋体" w:cs="仿宋_GB2312"/>
          <w:sz w:val="24"/>
        </w:rPr>
        <w:t>担保；</w:t>
      </w:r>
    </w:p>
    <w:p>
      <w:pPr>
        <w:spacing w:line="460" w:lineRule="exact"/>
        <w:ind w:firstLine="480" w:firstLineChars="200"/>
        <w:jc w:val="left"/>
        <w:rPr>
          <w:rFonts w:ascii="宋体" w:hAnsi="宋体" w:cs="仿宋_GB2312"/>
          <w:sz w:val="24"/>
        </w:rPr>
      </w:pPr>
      <w:r>
        <w:rPr>
          <w:rFonts w:hint="eastAsia" w:ascii="宋体" w:hAnsi="宋体" w:cs="仿宋_GB2312"/>
          <w:sz w:val="24"/>
        </w:rPr>
        <w:sym w:font="Wingdings" w:char="00A8"/>
      </w:r>
      <w:r>
        <w:rPr>
          <w:rFonts w:hint="eastAsia" w:ascii="宋体" w:hAnsi="宋体" w:cs="仿宋_GB2312"/>
          <w:sz w:val="24"/>
        </w:rPr>
        <w:t>保险；</w:t>
      </w:r>
    </w:p>
    <w:p>
      <w:pPr>
        <w:spacing w:line="460" w:lineRule="exact"/>
        <w:ind w:firstLine="480" w:firstLineChars="200"/>
        <w:jc w:val="left"/>
        <w:rPr>
          <w:rFonts w:ascii="宋体" w:hAnsi="宋体" w:cs="仿宋_GB2312"/>
          <w:sz w:val="24"/>
        </w:rPr>
      </w:pPr>
      <w:r>
        <w:rPr>
          <w:rFonts w:hint="eastAsia" w:ascii="宋体" w:hAnsi="宋体" w:cs="仿宋_GB2312"/>
          <w:sz w:val="24"/>
        </w:rPr>
        <w:sym w:font="Wingdings" w:char="00A8"/>
      </w:r>
      <w:r>
        <w:rPr>
          <w:rFonts w:hint="eastAsia" w:ascii="宋体" w:hAnsi="宋体" w:cs="仿宋_GB2312"/>
          <w:sz w:val="24"/>
        </w:rPr>
        <w:t>其他：</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rPr>
          <w:rFonts w:ascii="宋体" w:hAnsi="宋体" w:cs="仿宋_GB2312"/>
          <w:sz w:val="24"/>
        </w:rPr>
      </w:pPr>
      <w:r>
        <w:rPr>
          <w:rFonts w:hint="eastAsia" w:ascii="宋体" w:hAnsi="宋体" w:cs="仿宋_GB2312"/>
          <w:sz w:val="24"/>
        </w:rPr>
        <w:t>工程缺陷责任期满，承包人履行缺陷责任期内质量保修义务及绿化养护义务且合格移交后，在</w:t>
      </w:r>
      <w:r>
        <w:rPr>
          <w:rFonts w:hint="eastAsia" w:ascii="宋体" w:hAnsi="宋体" w:cs="仿宋_GB2312"/>
          <w:sz w:val="24"/>
          <w:u w:val="single"/>
        </w:rPr>
        <w:t xml:space="preserve">    </w:t>
      </w:r>
      <w:r>
        <w:rPr>
          <w:rFonts w:hint="eastAsia" w:ascii="宋体" w:hAnsi="宋体" w:cs="仿宋_GB2312"/>
          <w:sz w:val="24"/>
        </w:rPr>
        <w:t>天内结清工程质量保证金。在工程项目竣工验收前，承包人提供履约担保的，发包人不得同时预留工程质量保证金。</w:t>
      </w:r>
    </w:p>
    <w:p>
      <w:pPr>
        <w:spacing w:line="460" w:lineRule="exact"/>
        <w:ind w:firstLine="481" w:firstLineChars="200"/>
        <w:rPr>
          <w:rFonts w:ascii="宋体" w:hAnsi="宋体"/>
          <w:b/>
          <w:sz w:val="24"/>
        </w:rPr>
      </w:pPr>
      <w:r>
        <w:rPr>
          <w:rFonts w:hint="eastAsia" w:ascii="宋体" w:hAnsi="宋体"/>
          <w:b/>
          <w:sz w:val="24"/>
        </w:rPr>
        <w:t>15.4 保修</w:t>
      </w:r>
    </w:p>
    <w:p>
      <w:pPr>
        <w:spacing w:line="460" w:lineRule="exact"/>
        <w:ind w:firstLine="468" w:firstLineChars="195"/>
        <w:jc w:val="left"/>
        <w:rPr>
          <w:rFonts w:ascii="宋体" w:hAnsi="宋体" w:cs="仿宋_GB2312"/>
          <w:sz w:val="24"/>
        </w:rPr>
      </w:pPr>
      <w:r>
        <w:rPr>
          <w:rFonts w:hint="eastAsia" w:ascii="宋体" w:hAnsi="宋体" w:cs="仿宋_GB2312"/>
          <w:sz w:val="24"/>
        </w:rPr>
        <w:t>15.4.1 保修责任</w:t>
      </w:r>
    </w:p>
    <w:p>
      <w:pPr>
        <w:spacing w:line="460" w:lineRule="exact"/>
        <w:ind w:firstLine="468" w:firstLineChars="195"/>
        <w:jc w:val="left"/>
        <w:rPr>
          <w:rFonts w:ascii="宋体" w:hAnsi="宋体" w:cs="仿宋_GB2312"/>
          <w:kern w:val="0"/>
          <w:sz w:val="24"/>
          <w:u w:val="single"/>
        </w:rPr>
      </w:pPr>
      <w:r>
        <w:rPr>
          <w:rFonts w:hint="eastAsia" w:ascii="宋体" w:hAnsi="宋体" w:cs="仿宋_GB2312"/>
          <w:sz w:val="24"/>
        </w:rPr>
        <w:t>工程保修期为：</w:t>
      </w:r>
      <w:r>
        <w:rPr>
          <w:rFonts w:hint="eastAsia" w:ascii="宋体" w:hAnsi="宋体" w:cs="仿宋_GB2312"/>
          <w:kern w:val="0"/>
          <w:sz w:val="24"/>
          <w:u w:val="single"/>
        </w:rPr>
        <w:t xml:space="preserve">                                     </w:t>
      </w:r>
      <w:r>
        <w:rPr>
          <w:rFonts w:hint="eastAsia" w:ascii="宋体" w:hAnsi="宋体" w:cs="仿宋_GB2312"/>
          <w:kern w:val="0"/>
          <w:sz w:val="24"/>
        </w:rPr>
        <w:t xml:space="preserve">。 </w:t>
      </w:r>
    </w:p>
    <w:bookmarkEnd w:id="942"/>
    <w:bookmarkEnd w:id="943"/>
    <w:bookmarkEnd w:id="944"/>
    <w:p>
      <w:pPr>
        <w:spacing w:line="460" w:lineRule="exact"/>
        <w:ind w:firstLine="468" w:firstLineChars="195"/>
        <w:jc w:val="left"/>
        <w:rPr>
          <w:rFonts w:ascii="宋体" w:hAnsi="宋体" w:cs="仿宋_GB2312"/>
          <w:sz w:val="24"/>
        </w:rPr>
      </w:pPr>
      <w:r>
        <w:rPr>
          <w:rFonts w:hint="eastAsia" w:ascii="宋体" w:hAnsi="宋体" w:cs="仿宋_GB2312"/>
          <w:sz w:val="24"/>
        </w:rPr>
        <w:t>15.4.3 修复通知</w:t>
      </w:r>
    </w:p>
    <w:p>
      <w:pPr>
        <w:spacing w:line="460" w:lineRule="exact"/>
        <w:ind w:firstLine="468" w:firstLineChars="195"/>
        <w:jc w:val="left"/>
        <w:rPr>
          <w:rFonts w:ascii="宋体" w:hAnsi="宋体"/>
          <w:kern w:val="0"/>
          <w:sz w:val="24"/>
          <w:u w:val="single"/>
        </w:rPr>
      </w:pPr>
      <w:r>
        <w:rPr>
          <w:rFonts w:hint="eastAsia" w:ascii="宋体" w:hAnsi="宋体" w:cs="仿宋_GB2312"/>
          <w:kern w:val="0"/>
          <w:sz w:val="24"/>
        </w:rPr>
        <w:t>承包人收</w:t>
      </w:r>
      <w:r>
        <w:rPr>
          <w:rFonts w:ascii="宋体" w:hAnsi="宋体"/>
          <w:kern w:val="0"/>
          <w:sz w:val="24"/>
        </w:rPr>
        <w:t>到保修通知并到达工程现场的合理时间：</w:t>
      </w:r>
      <w:r>
        <w:rPr>
          <w:rFonts w:ascii="宋体" w:hAnsi="宋体"/>
          <w:kern w:val="0"/>
          <w:sz w:val="24"/>
          <w:u w:val="single"/>
        </w:rPr>
        <w:t xml:space="preserve">  </w:t>
      </w:r>
      <w:r>
        <w:rPr>
          <w:rFonts w:hint="eastAsia" w:ascii="宋体" w:hAnsi="宋体"/>
          <w:kern w:val="0"/>
          <w:sz w:val="24"/>
          <w:u w:val="single"/>
        </w:rPr>
        <w:t xml:space="preserve"> </w:t>
      </w:r>
      <w:r>
        <w:rPr>
          <w:rFonts w:ascii="宋体" w:hAnsi="宋体"/>
          <w:kern w:val="0"/>
          <w:sz w:val="24"/>
          <w:u w:val="single"/>
        </w:rPr>
        <w:t xml:space="preserve">        </w:t>
      </w:r>
    </w:p>
    <w:p>
      <w:pPr>
        <w:spacing w:line="460" w:lineRule="exact"/>
        <w:jc w:val="left"/>
        <w:rPr>
          <w:rFonts w:ascii="宋体" w:hAnsi="宋体"/>
          <w:kern w:val="0"/>
          <w:sz w:val="24"/>
        </w:rPr>
      </w:pPr>
      <w:r>
        <w:rPr>
          <w:rFonts w:ascii="宋体" w:hAnsi="宋体"/>
          <w:kern w:val="0"/>
          <w:sz w:val="24"/>
          <w:u w:val="single"/>
        </w:rPr>
        <w:t xml:space="preserve">             </w:t>
      </w:r>
      <w:r>
        <w:rPr>
          <w:rFonts w:hint="eastAsia" w:ascii="宋体" w:hAnsi="宋体"/>
          <w:kern w:val="0"/>
          <w:sz w:val="24"/>
          <w:u w:val="single"/>
        </w:rPr>
        <w:t xml:space="preserve">                                        </w:t>
      </w:r>
      <w:r>
        <w:rPr>
          <w:rFonts w:ascii="宋体" w:hAnsi="宋体"/>
          <w:kern w:val="0"/>
          <w:sz w:val="24"/>
          <w:u w:val="single"/>
        </w:rPr>
        <w:t xml:space="preserve">  </w:t>
      </w:r>
      <w:r>
        <w:rPr>
          <w:rFonts w:ascii="宋体" w:hAnsi="宋体"/>
          <w:kern w:val="0"/>
          <w:sz w:val="24"/>
        </w:rPr>
        <w:t>。</w:t>
      </w:r>
    </w:p>
    <w:p>
      <w:pPr>
        <w:spacing w:line="460" w:lineRule="exact"/>
        <w:ind w:firstLine="481" w:firstLineChars="200"/>
        <w:outlineLvl w:val="2"/>
        <w:rPr>
          <w:rFonts w:ascii="宋体" w:hAnsi="宋体"/>
          <w:b/>
          <w:sz w:val="24"/>
        </w:rPr>
      </w:pPr>
      <w:bookmarkStart w:id="972" w:name="_Toc1846040712"/>
      <w:bookmarkStart w:id="973" w:name="_Toc652859120"/>
      <w:r>
        <w:rPr>
          <w:rFonts w:hint="eastAsia" w:ascii="宋体" w:hAnsi="宋体"/>
          <w:b/>
          <w:sz w:val="24"/>
        </w:rPr>
        <w:t xml:space="preserve">15.5 </w:t>
      </w:r>
      <w:r>
        <w:rPr>
          <w:rFonts w:ascii="宋体" w:hAnsi="宋体"/>
          <w:b/>
          <w:sz w:val="24"/>
        </w:rPr>
        <w:t>绿化养护</w:t>
      </w:r>
      <w:r>
        <w:rPr>
          <w:rFonts w:hint="eastAsia" w:ascii="宋体" w:hAnsi="宋体"/>
          <w:b/>
          <w:sz w:val="24"/>
        </w:rPr>
        <w:t>期</w:t>
      </w:r>
      <w:bookmarkEnd w:id="972"/>
      <w:bookmarkEnd w:id="973"/>
    </w:p>
    <w:p>
      <w:pPr>
        <w:spacing w:line="460" w:lineRule="exact"/>
        <w:ind w:firstLine="480" w:firstLineChars="200"/>
        <w:jc w:val="left"/>
        <w:rPr>
          <w:rFonts w:ascii="宋体" w:hAnsi="宋体"/>
          <w:kern w:val="0"/>
          <w:sz w:val="24"/>
        </w:rPr>
      </w:pPr>
      <w:r>
        <w:rPr>
          <w:rFonts w:ascii="宋体" w:hAnsi="宋体"/>
          <w:kern w:val="0"/>
          <w:sz w:val="24"/>
        </w:rPr>
        <w:t>绿化养护</w:t>
      </w:r>
      <w:r>
        <w:rPr>
          <w:rFonts w:hint="eastAsia" w:ascii="宋体" w:hAnsi="宋体"/>
          <w:kern w:val="0"/>
          <w:sz w:val="24"/>
        </w:rPr>
        <w:t>期</w:t>
      </w:r>
      <w:r>
        <w:rPr>
          <w:rFonts w:ascii="宋体" w:hAnsi="宋体"/>
          <w:sz w:val="24"/>
        </w:rPr>
        <w:t>的具体期限</w:t>
      </w:r>
      <w:r>
        <w:rPr>
          <w:rFonts w:hint="eastAsia" w:ascii="宋体" w:hAnsi="宋体"/>
          <w:kern w:val="0"/>
          <w:sz w:val="24"/>
        </w:rPr>
        <w:t>：</w:t>
      </w:r>
      <w:r>
        <w:rPr>
          <w:rFonts w:hint="eastAsia" w:ascii="宋体" w:hAnsi="宋体"/>
          <w:kern w:val="0"/>
          <w:sz w:val="24"/>
          <w:u w:val="single"/>
        </w:rPr>
        <w:t xml:space="preserve">                             </w:t>
      </w:r>
      <w:r>
        <w:rPr>
          <w:rFonts w:hint="eastAsia" w:ascii="宋体" w:hAnsi="宋体"/>
          <w:kern w:val="0"/>
          <w:sz w:val="24"/>
        </w:rPr>
        <w:t>。</w:t>
      </w:r>
    </w:p>
    <w:p>
      <w:pPr>
        <w:spacing w:line="460" w:lineRule="exact"/>
        <w:ind w:firstLine="480" w:firstLineChars="200"/>
        <w:jc w:val="left"/>
        <w:rPr>
          <w:rFonts w:ascii="宋体" w:hAnsi="宋体"/>
          <w:kern w:val="0"/>
          <w:sz w:val="24"/>
        </w:rPr>
      </w:pPr>
      <w:r>
        <w:rPr>
          <w:rFonts w:hint="eastAsia" w:ascii="宋体" w:hAnsi="宋体"/>
          <w:kern w:val="0"/>
          <w:sz w:val="24"/>
        </w:rPr>
        <w:t>绿化养护期内</w:t>
      </w:r>
      <w:r>
        <w:rPr>
          <w:rFonts w:ascii="宋体" w:hAnsi="宋体"/>
          <w:kern w:val="0"/>
          <w:sz w:val="24"/>
        </w:rPr>
        <w:t>双方责任</w:t>
      </w:r>
      <w:r>
        <w:rPr>
          <w:rFonts w:hint="eastAsia" w:ascii="宋体" w:hAnsi="宋体"/>
          <w:kern w:val="0"/>
          <w:sz w:val="24"/>
        </w:rPr>
        <w:t>约定：</w:t>
      </w:r>
      <w:r>
        <w:rPr>
          <w:rFonts w:hint="eastAsia" w:ascii="宋体" w:hAnsi="宋体"/>
          <w:kern w:val="0"/>
          <w:sz w:val="24"/>
          <w:u w:val="single"/>
        </w:rPr>
        <w:t xml:space="preserve">                         </w:t>
      </w:r>
      <w:r>
        <w:rPr>
          <w:rFonts w:hint="eastAsia" w:ascii="宋体" w:hAnsi="宋体"/>
          <w:kern w:val="0"/>
          <w:sz w:val="24"/>
        </w:rPr>
        <w:t>。</w:t>
      </w:r>
    </w:p>
    <w:p>
      <w:pPr>
        <w:spacing w:line="460" w:lineRule="exact"/>
        <w:ind w:firstLine="480" w:firstLineChars="200"/>
        <w:jc w:val="left"/>
        <w:rPr>
          <w:rFonts w:ascii="宋体" w:hAnsi="宋体"/>
          <w:kern w:val="0"/>
          <w:sz w:val="24"/>
        </w:rPr>
      </w:pPr>
      <w:r>
        <w:rPr>
          <w:rFonts w:hint="eastAsia" w:ascii="宋体" w:hAnsi="宋体"/>
          <w:kern w:val="0"/>
          <w:sz w:val="24"/>
        </w:rPr>
        <w:t>绿化养护期内</w:t>
      </w:r>
      <w:r>
        <w:rPr>
          <w:rFonts w:ascii="宋体" w:hAnsi="宋体"/>
          <w:kern w:val="0"/>
          <w:sz w:val="24"/>
        </w:rPr>
        <w:t>水电费</w:t>
      </w:r>
      <w:r>
        <w:rPr>
          <w:rFonts w:hint="eastAsia" w:ascii="宋体" w:hAnsi="宋体"/>
          <w:kern w:val="0"/>
          <w:sz w:val="24"/>
        </w:rPr>
        <w:t>支付：</w:t>
      </w:r>
      <w:r>
        <w:rPr>
          <w:rFonts w:hint="eastAsia" w:ascii="宋体" w:hAnsi="宋体"/>
          <w:kern w:val="0"/>
          <w:sz w:val="24"/>
          <w:u w:val="single"/>
        </w:rPr>
        <w:t xml:space="preserve">                           </w:t>
      </w:r>
      <w:r>
        <w:rPr>
          <w:rFonts w:hint="eastAsia" w:ascii="宋体" w:hAnsi="宋体"/>
          <w:kern w:val="0"/>
          <w:sz w:val="24"/>
        </w:rPr>
        <w:t>。</w:t>
      </w:r>
    </w:p>
    <w:bookmarkEnd w:id="945"/>
    <w:bookmarkEnd w:id="946"/>
    <w:bookmarkEnd w:id="947"/>
    <w:bookmarkEnd w:id="948"/>
    <w:p>
      <w:pPr>
        <w:pStyle w:val="3"/>
        <w:spacing w:line="460" w:lineRule="exact"/>
        <w:jc w:val="left"/>
        <w:rPr>
          <w:rFonts w:ascii="宋体" w:hAnsi="宋体"/>
          <w:sz w:val="24"/>
          <w:szCs w:val="24"/>
        </w:rPr>
      </w:pPr>
      <w:bookmarkStart w:id="974" w:name="_Toc543386448"/>
      <w:bookmarkStart w:id="975" w:name="_Toc922596978"/>
      <w:bookmarkStart w:id="976" w:name="_Toc280868717"/>
      <w:bookmarkStart w:id="977" w:name="_Toc280868718"/>
      <w:r>
        <w:rPr>
          <w:rFonts w:ascii="宋体" w:hAnsi="宋体"/>
          <w:sz w:val="24"/>
          <w:szCs w:val="24"/>
        </w:rPr>
        <w:t>16. 违约</w:t>
      </w:r>
      <w:bookmarkEnd w:id="974"/>
      <w:bookmarkEnd w:id="975"/>
    </w:p>
    <w:p>
      <w:pPr>
        <w:spacing w:line="460" w:lineRule="exact"/>
        <w:ind w:firstLine="481" w:firstLineChars="200"/>
        <w:outlineLvl w:val="2"/>
        <w:rPr>
          <w:rFonts w:ascii="宋体" w:hAnsi="宋体"/>
          <w:b/>
          <w:sz w:val="24"/>
        </w:rPr>
      </w:pPr>
      <w:bookmarkStart w:id="978" w:name="_Toc12830"/>
      <w:bookmarkStart w:id="979" w:name="_Toc776232141"/>
      <w:bookmarkStart w:id="980" w:name="_Toc41673421"/>
      <w:r>
        <w:rPr>
          <w:rFonts w:ascii="宋体" w:hAnsi="宋体"/>
          <w:b/>
          <w:sz w:val="24"/>
        </w:rPr>
        <w:t>16.1 发包人违约</w:t>
      </w:r>
      <w:bookmarkEnd w:id="978"/>
      <w:bookmarkEnd w:id="979"/>
      <w:bookmarkEnd w:id="980"/>
    </w:p>
    <w:p>
      <w:pPr>
        <w:spacing w:line="460" w:lineRule="exact"/>
        <w:ind w:firstLine="480" w:firstLineChars="200"/>
        <w:jc w:val="left"/>
        <w:rPr>
          <w:rFonts w:ascii="宋体" w:hAnsi="宋体" w:cs="仿宋_GB2312"/>
          <w:sz w:val="24"/>
        </w:rPr>
      </w:pPr>
      <w:r>
        <w:rPr>
          <w:rFonts w:hint="eastAsia" w:ascii="宋体" w:hAnsi="宋体" w:cs="仿宋_GB2312"/>
          <w:sz w:val="24"/>
        </w:rPr>
        <w:t>16.1.1 发包人违约的情形</w:t>
      </w:r>
    </w:p>
    <w:p>
      <w:pPr>
        <w:spacing w:line="460" w:lineRule="exact"/>
        <w:ind w:firstLine="480" w:firstLineChars="200"/>
        <w:jc w:val="left"/>
        <w:rPr>
          <w:rFonts w:ascii="宋体" w:hAnsi="宋体" w:cs="仿宋_GB2312"/>
          <w:kern w:val="0"/>
          <w:sz w:val="24"/>
          <w:u w:val="single"/>
        </w:rPr>
      </w:pPr>
      <w:r>
        <w:rPr>
          <w:rFonts w:hint="eastAsia" w:ascii="宋体" w:hAnsi="宋体" w:cs="仿宋_GB2312"/>
          <w:kern w:val="0"/>
          <w:sz w:val="24"/>
        </w:rPr>
        <w:t>发包人违约的其他情形：</w:t>
      </w:r>
      <w:r>
        <w:rPr>
          <w:rFonts w:hint="eastAsia" w:ascii="宋体" w:hAnsi="宋体" w:cs="仿宋_GB2312"/>
          <w:kern w:val="0"/>
          <w:sz w:val="24"/>
          <w:u w:val="single"/>
        </w:rPr>
        <w:t xml:space="preserve">                             </w:t>
      </w:r>
      <w:r>
        <w:rPr>
          <w:rFonts w:hint="eastAsia" w:ascii="宋体" w:hAnsi="宋体" w:cs="仿宋_GB2312"/>
          <w:kern w:val="0"/>
          <w:sz w:val="24"/>
        </w:rPr>
        <w:t>。</w:t>
      </w:r>
    </w:p>
    <w:p>
      <w:pPr>
        <w:spacing w:line="460" w:lineRule="exact"/>
        <w:ind w:left="1200" w:hanging="1200" w:hangingChars="500"/>
        <w:jc w:val="left"/>
        <w:rPr>
          <w:rFonts w:ascii="宋体" w:hAnsi="宋体" w:cs="仿宋_GB2312"/>
          <w:kern w:val="0"/>
          <w:sz w:val="24"/>
        </w:rPr>
      </w:pPr>
      <w:r>
        <w:rPr>
          <w:rFonts w:hint="eastAsia" w:ascii="宋体" w:hAnsi="宋体" w:cs="仿宋_GB2312"/>
          <w:kern w:val="0"/>
          <w:sz w:val="24"/>
        </w:rPr>
        <w:t xml:space="preserve">    16.1.2 发包人违约的责任</w:t>
      </w:r>
    </w:p>
    <w:p>
      <w:pPr>
        <w:spacing w:line="460" w:lineRule="exact"/>
        <w:ind w:firstLine="480" w:firstLineChars="200"/>
        <w:jc w:val="left"/>
        <w:rPr>
          <w:rFonts w:ascii="宋体" w:hAnsi="宋体" w:cs="仿宋_GB2312"/>
          <w:kern w:val="0"/>
          <w:sz w:val="24"/>
        </w:rPr>
      </w:pPr>
      <w:r>
        <w:rPr>
          <w:rFonts w:hint="eastAsia" w:ascii="宋体" w:hAnsi="宋体" w:cs="仿宋_GB2312"/>
          <w:kern w:val="0"/>
          <w:sz w:val="24"/>
        </w:rPr>
        <w:t>发包人违约责任的承担方式和计算方法：</w:t>
      </w:r>
    </w:p>
    <w:p>
      <w:pPr>
        <w:spacing w:line="460" w:lineRule="exact"/>
        <w:ind w:firstLine="480" w:firstLineChars="200"/>
        <w:rPr>
          <w:rFonts w:ascii="宋体" w:hAnsi="宋体" w:cs="仿宋_GB2312"/>
          <w:kern w:val="0"/>
          <w:sz w:val="24"/>
          <w:u w:val="single"/>
        </w:rPr>
      </w:pPr>
      <w:r>
        <w:rPr>
          <w:rFonts w:hint="eastAsia" w:ascii="宋体" w:hAnsi="宋体" w:cs="仿宋_GB2312"/>
          <w:kern w:val="0"/>
          <w:sz w:val="24"/>
        </w:rPr>
        <w:t>（1）因发包人原因未能在计划开工日期前7天内下达开工通知的违约责任：</w:t>
      </w:r>
      <w:r>
        <w:rPr>
          <w:rFonts w:hint="eastAsia" w:ascii="宋体" w:hAnsi="宋体" w:cs="仿宋_GB2312"/>
          <w:kern w:val="0"/>
          <w:sz w:val="24"/>
          <w:u w:val="single"/>
        </w:rPr>
        <w:t xml:space="preserve">                                       </w:t>
      </w:r>
      <w:r>
        <w:rPr>
          <w:rFonts w:hint="eastAsia" w:ascii="宋体" w:hAnsi="宋体" w:cs="仿宋_GB2312"/>
          <w:kern w:val="0"/>
          <w:sz w:val="24"/>
        </w:rPr>
        <w:t>。</w:t>
      </w:r>
    </w:p>
    <w:p>
      <w:pPr>
        <w:spacing w:line="460" w:lineRule="exact"/>
        <w:ind w:firstLine="480" w:firstLineChars="200"/>
        <w:rPr>
          <w:rFonts w:ascii="宋体" w:hAnsi="宋体" w:cs="仿宋_GB2312"/>
          <w:kern w:val="0"/>
          <w:sz w:val="24"/>
        </w:rPr>
      </w:pPr>
      <w:r>
        <w:rPr>
          <w:rFonts w:hint="eastAsia" w:ascii="宋体" w:hAnsi="宋体" w:cs="仿宋_GB2312"/>
          <w:kern w:val="0"/>
          <w:sz w:val="24"/>
        </w:rPr>
        <w:t>（2）因发包人原因未能按合同约定支付合同价款的违约责任：</w:t>
      </w:r>
      <w:r>
        <w:rPr>
          <w:rFonts w:hint="eastAsia" w:ascii="宋体" w:hAnsi="宋体" w:cs="仿宋_GB2312"/>
          <w:kern w:val="0"/>
          <w:sz w:val="24"/>
          <w:u w:val="single"/>
        </w:rPr>
        <w:t xml:space="preserve">                                                   </w:t>
      </w:r>
      <w:r>
        <w:rPr>
          <w:rFonts w:hint="eastAsia" w:ascii="宋体" w:hAnsi="宋体" w:cs="仿宋_GB2312"/>
          <w:kern w:val="0"/>
          <w:sz w:val="24"/>
        </w:rPr>
        <w:t>。</w:t>
      </w:r>
    </w:p>
    <w:p>
      <w:pPr>
        <w:spacing w:line="460" w:lineRule="exact"/>
        <w:ind w:firstLine="480" w:firstLineChars="200"/>
        <w:rPr>
          <w:rFonts w:ascii="宋体" w:hAnsi="宋体" w:cs="仿宋_GB2312"/>
          <w:kern w:val="0"/>
          <w:sz w:val="24"/>
          <w:u w:val="single"/>
        </w:rPr>
      </w:pPr>
      <w:r>
        <w:rPr>
          <w:rFonts w:hint="eastAsia" w:ascii="宋体" w:hAnsi="宋体" w:cs="仿宋_GB2312"/>
          <w:kern w:val="0"/>
          <w:sz w:val="24"/>
        </w:rPr>
        <w:t>（3）发包人违反第10.1款〔变更的范围〕第（2）项约定，自行实施被取消的工作或转由他人实施的违约责任：</w:t>
      </w:r>
      <w:r>
        <w:rPr>
          <w:rFonts w:hint="eastAsia" w:ascii="宋体" w:hAnsi="宋体" w:cs="仿宋_GB2312"/>
          <w:kern w:val="0"/>
          <w:sz w:val="24"/>
          <w:u w:val="single"/>
        </w:rPr>
        <w:t xml:space="preserve">                </w:t>
      </w:r>
    </w:p>
    <w:p>
      <w:pPr>
        <w:spacing w:line="460" w:lineRule="exact"/>
        <w:jc w:val="left"/>
        <w:rPr>
          <w:rFonts w:ascii="宋体" w:hAnsi="宋体" w:cs="仿宋_GB2312"/>
          <w:kern w:val="0"/>
          <w:sz w:val="24"/>
        </w:rPr>
      </w:pPr>
      <w:r>
        <w:rPr>
          <w:rFonts w:hint="eastAsia" w:ascii="宋体" w:hAnsi="宋体" w:cs="仿宋_GB2312"/>
          <w:kern w:val="0"/>
          <w:sz w:val="24"/>
          <w:u w:val="single"/>
        </w:rPr>
        <w:t xml:space="preserve">                                                      </w:t>
      </w:r>
      <w:r>
        <w:rPr>
          <w:rFonts w:hint="eastAsia" w:ascii="宋体" w:hAnsi="宋体" w:cs="仿宋_GB2312"/>
          <w:kern w:val="0"/>
          <w:sz w:val="24"/>
        </w:rPr>
        <w:t>。</w:t>
      </w:r>
    </w:p>
    <w:p>
      <w:pPr>
        <w:spacing w:line="460" w:lineRule="exact"/>
        <w:ind w:firstLine="480" w:firstLineChars="200"/>
        <w:rPr>
          <w:rFonts w:ascii="宋体" w:hAnsi="宋体" w:cs="仿宋_GB2312"/>
          <w:kern w:val="0"/>
          <w:sz w:val="24"/>
        </w:rPr>
      </w:pPr>
      <w:r>
        <w:rPr>
          <w:rFonts w:hint="eastAsia" w:ascii="宋体" w:hAnsi="宋体" w:cs="仿宋_GB2312"/>
          <w:kern w:val="0"/>
          <w:sz w:val="24"/>
        </w:rPr>
        <w:t>（4）发包人提供的材料、工程设备的规格、数量或质量不符合合同约定，或因发包人原因导致交货日期延误或交货地点变更等情况的违约责任：</w:t>
      </w:r>
      <w:r>
        <w:rPr>
          <w:rFonts w:hint="eastAsia" w:ascii="宋体" w:hAnsi="宋体" w:cs="仿宋_GB2312"/>
          <w:kern w:val="0"/>
          <w:sz w:val="24"/>
          <w:u w:val="single"/>
        </w:rPr>
        <w:t xml:space="preserve">                                   </w:t>
      </w:r>
      <w:r>
        <w:rPr>
          <w:rFonts w:hint="eastAsia" w:ascii="宋体" w:hAnsi="宋体" w:cs="仿宋_GB2312"/>
          <w:kern w:val="0"/>
          <w:sz w:val="24"/>
        </w:rPr>
        <w:t>。</w:t>
      </w:r>
    </w:p>
    <w:p>
      <w:pPr>
        <w:spacing w:line="460" w:lineRule="exact"/>
        <w:ind w:firstLine="480" w:firstLineChars="200"/>
        <w:jc w:val="left"/>
        <w:rPr>
          <w:rFonts w:ascii="宋体" w:hAnsi="宋体" w:cs="仿宋_GB2312"/>
          <w:kern w:val="0"/>
          <w:sz w:val="24"/>
          <w:u w:val="single"/>
        </w:rPr>
      </w:pPr>
      <w:r>
        <w:rPr>
          <w:rFonts w:hint="eastAsia" w:ascii="宋体" w:hAnsi="宋体" w:cs="仿宋_GB2312"/>
          <w:kern w:val="0"/>
          <w:sz w:val="24"/>
        </w:rPr>
        <w:t>（5）因发包人违反合同约定造成暂停施工的违约责任：</w:t>
      </w:r>
      <w:r>
        <w:rPr>
          <w:rFonts w:hint="eastAsia" w:ascii="宋体" w:hAnsi="宋体" w:cs="仿宋_GB2312"/>
          <w:kern w:val="0"/>
          <w:sz w:val="24"/>
          <w:u w:val="single"/>
        </w:rPr>
        <w:t xml:space="preserve">      </w:t>
      </w:r>
    </w:p>
    <w:p>
      <w:pPr>
        <w:spacing w:line="460" w:lineRule="exact"/>
        <w:jc w:val="left"/>
        <w:rPr>
          <w:rFonts w:ascii="宋体" w:hAnsi="宋体" w:cs="仿宋_GB2312"/>
          <w:kern w:val="0"/>
          <w:sz w:val="24"/>
        </w:rPr>
      </w:pPr>
      <w:r>
        <w:rPr>
          <w:rFonts w:hint="eastAsia" w:ascii="宋体" w:hAnsi="宋体" w:cs="仿宋_GB2312"/>
          <w:kern w:val="0"/>
          <w:sz w:val="24"/>
          <w:u w:val="single"/>
        </w:rPr>
        <w:t xml:space="preserve">                                                      </w:t>
      </w:r>
      <w:r>
        <w:rPr>
          <w:rFonts w:hint="eastAsia" w:ascii="宋体" w:hAnsi="宋体" w:cs="仿宋_GB2312"/>
          <w:kern w:val="0"/>
          <w:sz w:val="24"/>
        </w:rPr>
        <w:t>。</w:t>
      </w:r>
    </w:p>
    <w:p>
      <w:pPr>
        <w:spacing w:line="460" w:lineRule="exact"/>
        <w:ind w:firstLine="480" w:firstLineChars="200"/>
        <w:rPr>
          <w:rFonts w:ascii="宋体" w:hAnsi="宋体" w:cs="仿宋_GB2312"/>
          <w:kern w:val="0"/>
          <w:sz w:val="24"/>
        </w:rPr>
      </w:pPr>
      <w:r>
        <w:rPr>
          <w:rFonts w:hint="eastAsia" w:ascii="宋体" w:hAnsi="宋体" w:cs="仿宋_GB2312"/>
          <w:kern w:val="0"/>
          <w:sz w:val="24"/>
        </w:rPr>
        <w:t>（6）发包人无正当理由没有在约定期限内发出复工指示，导致承包人无法复工的违约责任：</w:t>
      </w:r>
      <w:r>
        <w:rPr>
          <w:rFonts w:hint="eastAsia" w:ascii="宋体" w:hAnsi="宋体" w:cs="仿宋_GB2312"/>
          <w:kern w:val="0"/>
          <w:sz w:val="24"/>
          <w:u w:val="single"/>
        </w:rPr>
        <w:t xml:space="preserve">                         </w:t>
      </w:r>
      <w:r>
        <w:rPr>
          <w:rFonts w:hint="eastAsia" w:ascii="宋体" w:hAnsi="宋体" w:cs="仿宋_GB2312"/>
          <w:kern w:val="0"/>
          <w:sz w:val="24"/>
        </w:rPr>
        <w:t>。</w:t>
      </w:r>
    </w:p>
    <w:p>
      <w:pPr>
        <w:spacing w:line="460" w:lineRule="exact"/>
        <w:ind w:firstLine="480" w:firstLineChars="200"/>
        <w:jc w:val="left"/>
        <w:rPr>
          <w:rFonts w:ascii="宋体" w:hAnsi="宋体" w:cs="仿宋_GB2312"/>
          <w:kern w:val="0"/>
          <w:sz w:val="24"/>
        </w:rPr>
      </w:pPr>
      <w:r>
        <w:rPr>
          <w:rFonts w:hint="eastAsia" w:ascii="宋体" w:hAnsi="宋体" w:cs="仿宋_GB2312"/>
          <w:kern w:val="0"/>
          <w:sz w:val="24"/>
        </w:rPr>
        <w:t>（7）其他：</w:t>
      </w:r>
      <w:r>
        <w:rPr>
          <w:rFonts w:hint="eastAsia" w:ascii="宋体" w:hAnsi="宋体" w:cs="仿宋_GB2312"/>
          <w:kern w:val="0"/>
          <w:sz w:val="24"/>
          <w:u w:val="single"/>
        </w:rPr>
        <w:t xml:space="preserve">                                        </w:t>
      </w:r>
      <w:r>
        <w:rPr>
          <w:rFonts w:hint="eastAsia" w:ascii="宋体" w:hAnsi="宋体" w:cs="仿宋_GB2312"/>
          <w:kern w:val="0"/>
          <w:sz w:val="24"/>
        </w:rPr>
        <w:t>。</w:t>
      </w:r>
    </w:p>
    <w:p>
      <w:pPr>
        <w:spacing w:line="460" w:lineRule="exact"/>
        <w:ind w:firstLine="480" w:firstLineChars="200"/>
        <w:jc w:val="left"/>
        <w:rPr>
          <w:rFonts w:ascii="宋体" w:hAnsi="宋体" w:cs="仿宋_GB2312"/>
          <w:sz w:val="24"/>
        </w:rPr>
      </w:pPr>
      <w:r>
        <w:rPr>
          <w:rFonts w:hint="eastAsia" w:ascii="宋体" w:hAnsi="宋体" w:cs="仿宋_GB2312"/>
          <w:sz w:val="24"/>
        </w:rPr>
        <w:t>16.1.3 因发包人违约解除合同</w:t>
      </w:r>
    </w:p>
    <w:p>
      <w:pPr>
        <w:autoSpaceDE w:val="0"/>
        <w:autoSpaceDN w:val="0"/>
        <w:adjustRightInd w:val="0"/>
        <w:spacing w:line="460" w:lineRule="exact"/>
        <w:ind w:firstLine="480" w:firstLineChars="200"/>
        <w:rPr>
          <w:rFonts w:ascii="宋体" w:hAnsi="宋体" w:cs="仿宋_GB2312"/>
          <w:kern w:val="0"/>
          <w:sz w:val="24"/>
          <w:u w:val="single"/>
        </w:rPr>
      </w:pPr>
      <w:r>
        <w:rPr>
          <w:rFonts w:hint="eastAsia" w:ascii="宋体" w:hAnsi="宋体" w:cs="仿宋_GB2312"/>
          <w:kern w:val="0"/>
          <w:sz w:val="24"/>
        </w:rPr>
        <w:t>承包人按16.1.1项〔发包人违约的情形〕约定暂停施工满</w:t>
      </w:r>
      <w:r>
        <w:rPr>
          <w:rFonts w:hint="eastAsia" w:ascii="宋体" w:hAnsi="宋体" w:cs="仿宋_GB2312"/>
          <w:kern w:val="0"/>
          <w:sz w:val="24"/>
          <w:u w:val="single"/>
        </w:rPr>
        <w:t xml:space="preserve">    </w:t>
      </w:r>
    </w:p>
    <w:p>
      <w:pPr>
        <w:autoSpaceDE w:val="0"/>
        <w:autoSpaceDN w:val="0"/>
        <w:adjustRightInd w:val="0"/>
        <w:spacing w:line="460" w:lineRule="exact"/>
        <w:rPr>
          <w:rFonts w:ascii="宋体" w:hAnsi="宋体"/>
          <w:kern w:val="0"/>
          <w:sz w:val="24"/>
        </w:rPr>
      </w:pPr>
      <w:r>
        <w:rPr>
          <w:rFonts w:hint="eastAsia" w:ascii="宋体" w:hAnsi="宋体" w:cs="仿宋_GB2312"/>
          <w:sz w:val="24"/>
          <w:u w:val="single"/>
        </w:rPr>
        <w:t xml:space="preserve">  </w:t>
      </w:r>
      <w:r>
        <w:rPr>
          <w:rFonts w:hint="eastAsia" w:ascii="宋体" w:hAnsi="宋体" w:cs="仿宋_GB2312"/>
          <w:kern w:val="0"/>
          <w:sz w:val="24"/>
        </w:rPr>
        <w:t>天后发包人仍不纠正其违约行为并致使合同目的不能实现的，承包人有权解除合</w:t>
      </w:r>
      <w:r>
        <w:rPr>
          <w:rFonts w:ascii="宋体" w:hAnsi="宋体"/>
          <w:kern w:val="0"/>
          <w:sz w:val="24"/>
        </w:rPr>
        <w:t>同。</w:t>
      </w:r>
    </w:p>
    <w:p>
      <w:pPr>
        <w:spacing w:line="460" w:lineRule="exact"/>
        <w:ind w:firstLine="481" w:firstLineChars="200"/>
        <w:outlineLvl w:val="2"/>
        <w:rPr>
          <w:rFonts w:ascii="宋体" w:hAnsi="宋体"/>
          <w:b/>
          <w:sz w:val="24"/>
        </w:rPr>
      </w:pPr>
      <w:bookmarkStart w:id="981" w:name="_Toc808083520"/>
      <w:bookmarkStart w:id="982" w:name="_Toc356979891"/>
      <w:bookmarkStart w:id="983" w:name="_Toc10226"/>
      <w:r>
        <w:rPr>
          <w:rFonts w:hint="eastAsia" w:ascii="宋体" w:hAnsi="宋体"/>
          <w:b/>
          <w:sz w:val="24"/>
        </w:rPr>
        <w:t>16.2 承包人违约</w:t>
      </w:r>
      <w:bookmarkEnd w:id="981"/>
      <w:bookmarkEnd w:id="982"/>
      <w:bookmarkEnd w:id="983"/>
    </w:p>
    <w:p>
      <w:pPr>
        <w:spacing w:line="460" w:lineRule="exact"/>
        <w:ind w:firstLine="480" w:firstLineChars="200"/>
        <w:jc w:val="left"/>
        <w:rPr>
          <w:rFonts w:ascii="宋体" w:hAnsi="宋体" w:cs="仿宋_GB2312"/>
          <w:kern w:val="0"/>
          <w:sz w:val="24"/>
        </w:rPr>
      </w:pPr>
      <w:r>
        <w:rPr>
          <w:rFonts w:hint="eastAsia" w:ascii="宋体" w:hAnsi="宋体" w:cs="仿宋_GB2312"/>
          <w:kern w:val="0"/>
          <w:sz w:val="24"/>
        </w:rPr>
        <w:t>16.2.1 承包人违约的情形</w:t>
      </w:r>
    </w:p>
    <w:p>
      <w:pPr>
        <w:spacing w:line="460" w:lineRule="exact"/>
        <w:ind w:firstLine="480" w:firstLineChars="200"/>
        <w:jc w:val="left"/>
        <w:rPr>
          <w:rFonts w:ascii="宋体" w:hAnsi="宋体" w:cs="仿宋_GB2312"/>
          <w:kern w:val="0"/>
          <w:sz w:val="24"/>
          <w:u w:val="single"/>
        </w:rPr>
      </w:pPr>
      <w:r>
        <w:rPr>
          <w:rFonts w:hint="eastAsia" w:ascii="宋体" w:hAnsi="宋体" w:cs="仿宋_GB2312"/>
          <w:kern w:val="0"/>
          <w:sz w:val="24"/>
        </w:rPr>
        <w:t>承包人违约的其他情形：</w:t>
      </w:r>
      <w:r>
        <w:rPr>
          <w:rFonts w:hint="eastAsia" w:ascii="宋体" w:hAnsi="宋体" w:cs="仿宋_GB2312"/>
          <w:kern w:val="0"/>
          <w:sz w:val="24"/>
          <w:u w:val="single"/>
        </w:rPr>
        <w:t xml:space="preserve">                             </w:t>
      </w:r>
      <w:r>
        <w:rPr>
          <w:rFonts w:hint="eastAsia" w:ascii="宋体" w:hAnsi="宋体" w:cs="仿宋_GB2312"/>
          <w:kern w:val="0"/>
          <w:sz w:val="24"/>
        </w:rPr>
        <w:t>。</w:t>
      </w:r>
    </w:p>
    <w:p>
      <w:pPr>
        <w:spacing w:line="460" w:lineRule="exact"/>
        <w:ind w:firstLine="480" w:firstLineChars="200"/>
        <w:jc w:val="left"/>
        <w:rPr>
          <w:rFonts w:ascii="宋体" w:hAnsi="宋体" w:cs="仿宋_GB2312"/>
          <w:kern w:val="0"/>
          <w:sz w:val="24"/>
        </w:rPr>
      </w:pPr>
      <w:r>
        <w:rPr>
          <w:rFonts w:hint="eastAsia" w:ascii="宋体" w:hAnsi="宋体" w:cs="仿宋_GB2312"/>
          <w:kern w:val="0"/>
          <w:sz w:val="24"/>
        </w:rPr>
        <w:t>16.2.2 承包人违约的责任</w:t>
      </w:r>
    </w:p>
    <w:p>
      <w:pPr>
        <w:spacing w:line="460" w:lineRule="exact"/>
        <w:ind w:firstLine="480" w:firstLineChars="200"/>
        <w:jc w:val="left"/>
        <w:rPr>
          <w:rFonts w:ascii="宋体" w:hAnsi="宋体" w:cs="仿宋_GB2312"/>
          <w:sz w:val="24"/>
        </w:rPr>
      </w:pPr>
      <w:r>
        <w:rPr>
          <w:rFonts w:hint="eastAsia" w:ascii="宋体" w:hAnsi="宋体" w:cs="仿宋_GB2312"/>
          <w:kern w:val="0"/>
          <w:sz w:val="24"/>
        </w:rPr>
        <w:t>承包人违约责任的承担方式和计算方法：</w:t>
      </w:r>
      <w:r>
        <w:rPr>
          <w:rFonts w:hint="eastAsia" w:ascii="宋体" w:hAnsi="宋体" w:cs="仿宋_GB2312"/>
          <w:kern w:val="0"/>
          <w:sz w:val="24"/>
          <w:u w:val="single"/>
        </w:rPr>
        <w:t xml:space="preserve">               </w:t>
      </w:r>
      <w:r>
        <w:rPr>
          <w:rFonts w:hint="eastAsia" w:ascii="宋体" w:hAnsi="宋体" w:cs="仿宋_GB2312"/>
          <w:kern w:val="0"/>
          <w:sz w:val="24"/>
        </w:rPr>
        <w:t>。</w:t>
      </w:r>
      <w:r>
        <w:rPr>
          <w:rFonts w:hint="eastAsia" w:ascii="宋体" w:hAnsi="宋体" w:cs="仿宋_GB2312"/>
          <w:sz w:val="24"/>
        </w:rPr>
        <w:t xml:space="preserve">   </w:t>
      </w:r>
    </w:p>
    <w:p>
      <w:pPr>
        <w:spacing w:line="460" w:lineRule="exact"/>
        <w:ind w:firstLine="480" w:firstLineChars="200"/>
        <w:jc w:val="left"/>
        <w:rPr>
          <w:rFonts w:ascii="宋体" w:hAnsi="宋体" w:cs="仿宋_GB2312"/>
          <w:sz w:val="24"/>
        </w:rPr>
      </w:pPr>
      <w:r>
        <w:rPr>
          <w:rFonts w:hint="eastAsia" w:ascii="宋体" w:hAnsi="宋体" w:cs="仿宋_GB2312"/>
          <w:sz w:val="24"/>
        </w:rPr>
        <w:t>16.2.3 因承包人违约解除合同</w:t>
      </w:r>
    </w:p>
    <w:p>
      <w:pPr>
        <w:spacing w:line="460" w:lineRule="exact"/>
        <w:ind w:firstLine="480" w:firstLineChars="200"/>
        <w:jc w:val="left"/>
        <w:rPr>
          <w:rFonts w:ascii="宋体" w:hAnsi="宋体" w:cs="仿宋_GB2312"/>
          <w:kern w:val="0"/>
          <w:sz w:val="24"/>
          <w:u w:val="single"/>
        </w:rPr>
      </w:pPr>
      <w:r>
        <w:rPr>
          <w:rFonts w:hint="eastAsia" w:ascii="宋体" w:hAnsi="宋体" w:cs="仿宋_GB2312"/>
          <w:kern w:val="0"/>
          <w:sz w:val="24"/>
        </w:rPr>
        <w:t>关于承包人违约解除合同的特别约定：</w:t>
      </w:r>
      <w:r>
        <w:rPr>
          <w:rFonts w:hint="eastAsia" w:ascii="宋体" w:hAnsi="宋体" w:cs="仿宋_GB2312"/>
          <w:kern w:val="0"/>
          <w:sz w:val="24"/>
          <w:u w:val="single"/>
        </w:rPr>
        <w:t xml:space="preserve">                 </w:t>
      </w:r>
      <w:r>
        <w:rPr>
          <w:rFonts w:hint="eastAsia" w:ascii="宋体" w:hAnsi="宋体" w:cs="仿宋_GB2312"/>
          <w:kern w:val="0"/>
          <w:sz w:val="24"/>
        </w:rPr>
        <w:t>。</w:t>
      </w:r>
    </w:p>
    <w:p>
      <w:pPr>
        <w:spacing w:line="460" w:lineRule="exact"/>
        <w:ind w:firstLine="480" w:firstLineChars="200"/>
        <w:rPr>
          <w:rFonts w:ascii="宋体" w:hAnsi="宋体"/>
          <w:kern w:val="0"/>
          <w:sz w:val="24"/>
        </w:rPr>
      </w:pPr>
      <w:r>
        <w:rPr>
          <w:rFonts w:hint="eastAsia" w:ascii="宋体" w:hAnsi="宋体" w:cs="仿宋_GB2312"/>
          <w:kern w:val="0"/>
          <w:sz w:val="24"/>
        </w:rPr>
        <w:t>发包人继续使</w:t>
      </w:r>
      <w:r>
        <w:rPr>
          <w:rFonts w:ascii="宋体" w:hAnsi="宋体"/>
          <w:kern w:val="0"/>
          <w:sz w:val="24"/>
        </w:rPr>
        <w:t>用承包人在施工现场的材料、设备、临时工程、承包人文件和由承包人或以其名义编制的其他文件</w:t>
      </w:r>
      <w:r>
        <w:rPr>
          <w:rFonts w:hint="eastAsia" w:ascii="宋体" w:hAnsi="宋体"/>
          <w:kern w:val="0"/>
          <w:sz w:val="24"/>
        </w:rPr>
        <w:t>的费用承担方式</w:t>
      </w:r>
      <w:r>
        <w:rPr>
          <w:rFonts w:ascii="宋体" w:hAnsi="宋体"/>
          <w:kern w:val="0"/>
          <w:sz w:val="24"/>
        </w:rPr>
        <w:t>：</w:t>
      </w:r>
      <w:r>
        <w:rPr>
          <w:rFonts w:ascii="宋体" w:hAnsi="宋体"/>
          <w:kern w:val="0"/>
          <w:sz w:val="24"/>
          <w:u w:val="single"/>
        </w:rPr>
        <w:t xml:space="preserve">    </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rPr>
        <w:t>。</w:t>
      </w:r>
    </w:p>
    <w:p>
      <w:pPr>
        <w:pStyle w:val="3"/>
        <w:spacing w:line="460" w:lineRule="exact"/>
        <w:jc w:val="left"/>
        <w:rPr>
          <w:rFonts w:ascii="宋体" w:hAnsi="宋体"/>
          <w:sz w:val="24"/>
          <w:szCs w:val="24"/>
        </w:rPr>
      </w:pPr>
      <w:bookmarkStart w:id="984" w:name="_Toc2079114017"/>
      <w:bookmarkStart w:id="985" w:name="_Toc812123563"/>
      <w:r>
        <w:rPr>
          <w:rFonts w:ascii="宋体" w:hAnsi="宋体"/>
          <w:sz w:val="24"/>
          <w:szCs w:val="24"/>
        </w:rPr>
        <w:t>17. 不可抗力</w:t>
      </w:r>
      <w:bookmarkEnd w:id="984"/>
      <w:bookmarkEnd w:id="985"/>
      <w:r>
        <w:rPr>
          <w:rFonts w:ascii="宋体" w:hAnsi="宋体"/>
          <w:sz w:val="24"/>
          <w:szCs w:val="24"/>
        </w:rPr>
        <w:t xml:space="preserve"> </w:t>
      </w:r>
      <w:bookmarkEnd w:id="976"/>
    </w:p>
    <w:p>
      <w:pPr>
        <w:spacing w:line="460" w:lineRule="exact"/>
        <w:ind w:firstLine="481" w:firstLineChars="200"/>
        <w:outlineLvl w:val="2"/>
        <w:rPr>
          <w:rFonts w:ascii="宋体" w:hAnsi="宋体"/>
          <w:b/>
          <w:sz w:val="24"/>
        </w:rPr>
      </w:pPr>
      <w:bookmarkStart w:id="986" w:name="_Toc1806635917"/>
      <w:bookmarkStart w:id="987" w:name="_Toc1018645862"/>
      <w:bookmarkStart w:id="988" w:name="_Toc9363"/>
      <w:r>
        <w:rPr>
          <w:rFonts w:hint="eastAsia" w:ascii="宋体" w:hAnsi="宋体"/>
          <w:b/>
          <w:sz w:val="24"/>
        </w:rPr>
        <w:t>17.1 不可抗力的确认</w:t>
      </w:r>
      <w:bookmarkEnd w:id="986"/>
      <w:bookmarkEnd w:id="987"/>
      <w:bookmarkEnd w:id="988"/>
    </w:p>
    <w:p>
      <w:pPr>
        <w:spacing w:line="460" w:lineRule="exact"/>
        <w:ind w:firstLine="480" w:firstLineChars="200"/>
        <w:rPr>
          <w:rFonts w:ascii="宋体" w:hAnsi="宋体"/>
          <w:kern w:val="0"/>
          <w:sz w:val="24"/>
          <w:u w:val="single"/>
        </w:rPr>
      </w:pPr>
      <w:r>
        <w:rPr>
          <w:rFonts w:ascii="宋体" w:hAnsi="宋体"/>
          <w:sz w:val="24"/>
        </w:rPr>
        <w:t>除通用合同条款约定的不可抗力事件之外，视为不可抗力的其他情形：</w:t>
      </w:r>
      <w:r>
        <w:rPr>
          <w:rFonts w:ascii="宋体" w:hAnsi="宋体"/>
          <w:sz w:val="24"/>
          <w:u w:val="single"/>
        </w:rPr>
        <w:t xml:space="preserve"> </w:t>
      </w:r>
      <w:r>
        <w:rPr>
          <w:rFonts w:ascii="宋体" w:hAnsi="宋体"/>
          <w:kern w:val="0"/>
          <w:sz w:val="24"/>
          <w:u w:val="single"/>
        </w:rPr>
        <w:t xml:space="preserve">                   </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u w:val="single"/>
        </w:rPr>
        <w:t xml:space="preserve">     </w:t>
      </w:r>
      <w:r>
        <w:rPr>
          <w:rFonts w:ascii="宋体" w:hAnsi="宋体"/>
          <w:kern w:val="0"/>
          <w:sz w:val="24"/>
        </w:rPr>
        <w:t>。</w:t>
      </w:r>
    </w:p>
    <w:p>
      <w:pPr>
        <w:spacing w:line="460" w:lineRule="exact"/>
        <w:ind w:firstLine="481" w:firstLineChars="200"/>
        <w:outlineLvl w:val="2"/>
        <w:rPr>
          <w:rFonts w:ascii="宋体" w:hAnsi="宋体"/>
          <w:b/>
          <w:sz w:val="24"/>
        </w:rPr>
      </w:pPr>
      <w:bookmarkStart w:id="989" w:name="_Toc24645"/>
      <w:bookmarkStart w:id="990" w:name="_Toc1010713786"/>
      <w:bookmarkStart w:id="991" w:name="_Toc11690251"/>
      <w:r>
        <w:rPr>
          <w:rFonts w:hint="eastAsia" w:ascii="宋体" w:hAnsi="宋体"/>
          <w:b/>
          <w:sz w:val="24"/>
        </w:rPr>
        <w:t>17.4 因不可抗力解除合同</w:t>
      </w:r>
      <w:bookmarkEnd w:id="989"/>
      <w:bookmarkEnd w:id="990"/>
      <w:bookmarkEnd w:id="991"/>
    </w:p>
    <w:p>
      <w:pPr>
        <w:spacing w:line="460" w:lineRule="exact"/>
        <w:ind w:firstLine="480" w:firstLineChars="200"/>
        <w:jc w:val="left"/>
        <w:rPr>
          <w:rFonts w:ascii="宋体" w:hAnsi="宋体"/>
          <w:sz w:val="24"/>
        </w:rPr>
      </w:pPr>
      <w:r>
        <w:rPr>
          <w:rFonts w:ascii="宋体" w:hAnsi="宋体"/>
          <w:sz w:val="24"/>
        </w:rPr>
        <w:t>合同解除后，发包人应在商定或确定发包人应支付款项后</w:t>
      </w:r>
      <w:r>
        <w:rPr>
          <w:rFonts w:ascii="宋体" w:hAnsi="宋体"/>
          <w:sz w:val="24"/>
          <w:u w:val="single"/>
        </w:rPr>
        <w:t xml:space="preserve">   </w:t>
      </w:r>
      <w:r>
        <w:rPr>
          <w:rFonts w:ascii="宋体" w:hAnsi="宋体"/>
          <w:sz w:val="24"/>
        </w:rPr>
        <w:t>天内完成款项的支付。</w:t>
      </w:r>
    </w:p>
    <w:p>
      <w:pPr>
        <w:pStyle w:val="3"/>
        <w:spacing w:line="460" w:lineRule="exact"/>
        <w:jc w:val="left"/>
        <w:rPr>
          <w:rFonts w:ascii="宋体" w:hAnsi="宋体"/>
          <w:sz w:val="24"/>
          <w:szCs w:val="24"/>
        </w:rPr>
      </w:pPr>
      <w:bookmarkStart w:id="992" w:name="_Toc266453569"/>
      <w:bookmarkStart w:id="993" w:name="_Toc1270684127"/>
      <w:r>
        <w:rPr>
          <w:rFonts w:ascii="宋体" w:hAnsi="宋体"/>
          <w:sz w:val="24"/>
          <w:szCs w:val="24"/>
        </w:rPr>
        <w:t>18. 保险</w:t>
      </w:r>
      <w:bookmarkEnd w:id="992"/>
      <w:bookmarkEnd w:id="993"/>
    </w:p>
    <w:bookmarkEnd w:id="977"/>
    <w:p>
      <w:pPr>
        <w:spacing w:line="460" w:lineRule="exact"/>
        <w:ind w:firstLine="481" w:firstLineChars="200"/>
        <w:outlineLvl w:val="2"/>
        <w:rPr>
          <w:rFonts w:ascii="宋体" w:hAnsi="宋体"/>
          <w:b/>
          <w:sz w:val="24"/>
        </w:rPr>
      </w:pPr>
      <w:bookmarkStart w:id="994" w:name="_Toc995365961"/>
      <w:bookmarkStart w:id="995" w:name="_Toc29058"/>
      <w:bookmarkStart w:id="996" w:name="_Toc552342053"/>
      <w:r>
        <w:rPr>
          <w:rFonts w:hint="eastAsia" w:ascii="宋体" w:hAnsi="宋体"/>
          <w:b/>
          <w:sz w:val="24"/>
        </w:rPr>
        <w:t>18.1 工程保险</w:t>
      </w:r>
      <w:bookmarkEnd w:id="994"/>
      <w:bookmarkEnd w:id="995"/>
      <w:bookmarkEnd w:id="996"/>
    </w:p>
    <w:p>
      <w:pPr>
        <w:spacing w:line="460" w:lineRule="exact"/>
        <w:ind w:firstLine="480" w:firstLineChars="200"/>
        <w:jc w:val="left"/>
        <w:rPr>
          <w:rFonts w:ascii="宋体" w:hAnsi="宋体"/>
          <w:sz w:val="24"/>
        </w:rPr>
      </w:pPr>
      <w:r>
        <w:rPr>
          <w:rFonts w:ascii="宋体" w:hAnsi="宋体"/>
          <w:sz w:val="24"/>
        </w:rPr>
        <w:t>关于工程保险的特别约定：</w:t>
      </w:r>
      <w:r>
        <w:rPr>
          <w:rFonts w:ascii="宋体" w:hAnsi="宋体"/>
          <w:kern w:val="0"/>
          <w:sz w:val="24"/>
          <w:u w:val="single"/>
        </w:rPr>
        <w:t xml:space="preserve">           </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u w:val="single"/>
        </w:rPr>
        <w:t xml:space="preserve">    </w:t>
      </w:r>
      <w:r>
        <w:rPr>
          <w:rFonts w:ascii="宋体" w:hAnsi="宋体"/>
          <w:kern w:val="0"/>
          <w:sz w:val="24"/>
        </w:rPr>
        <w:t>。</w:t>
      </w:r>
    </w:p>
    <w:p>
      <w:pPr>
        <w:spacing w:line="460" w:lineRule="exact"/>
        <w:ind w:firstLine="481" w:firstLineChars="200"/>
        <w:outlineLvl w:val="2"/>
        <w:rPr>
          <w:rFonts w:ascii="宋体" w:hAnsi="宋体"/>
          <w:b/>
          <w:sz w:val="24"/>
        </w:rPr>
      </w:pPr>
      <w:bookmarkStart w:id="997" w:name="_Toc11083"/>
      <w:bookmarkStart w:id="998" w:name="_Toc1714078037"/>
      <w:bookmarkStart w:id="999" w:name="_Toc1356197126"/>
      <w:r>
        <w:rPr>
          <w:rFonts w:hint="eastAsia" w:ascii="宋体" w:hAnsi="宋体"/>
          <w:b/>
          <w:sz w:val="24"/>
        </w:rPr>
        <w:t>18.3 其他保险</w:t>
      </w:r>
      <w:bookmarkEnd w:id="997"/>
      <w:bookmarkEnd w:id="998"/>
      <w:bookmarkEnd w:id="999"/>
    </w:p>
    <w:p>
      <w:pPr>
        <w:spacing w:line="460" w:lineRule="exact"/>
        <w:ind w:firstLine="480" w:firstLineChars="200"/>
        <w:jc w:val="left"/>
        <w:rPr>
          <w:rFonts w:ascii="宋体" w:hAnsi="宋体"/>
          <w:kern w:val="0"/>
          <w:sz w:val="24"/>
        </w:rPr>
      </w:pPr>
      <w:r>
        <w:rPr>
          <w:rFonts w:ascii="宋体" w:hAnsi="宋体"/>
          <w:sz w:val="24"/>
        </w:rPr>
        <w:t>关于其他保险的约定：</w:t>
      </w:r>
      <w:r>
        <w:rPr>
          <w:rFonts w:ascii="宋体" w:hAnsi="宋体"/>
          <w:kern w:val="0"/>
          <w:sz w:val="24"/>
          <w:u w:val="single"/>
        </w:rPr>
        <w:t xml:space="preserve">                </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u w:val="single"/>
        </w:rPr>
        <w:t xml:space="preserve">     </w:t>
      </w:r>
      <w:r>
        <w:rPr>
          <w:rFonts w:ascii="宋体" w:hAnsi="宋体"/>
          <w:kern w:val="0"/>
          <w:sz w:val="24"/>
        </w:rPr>
        <w:t>。</w:t>
      </w:r>
    </w:p>
    <w:p>
      <w:pPr>
        <w:spacing w:line="460" w:lineRule="exact"/>
        <w:ind w:firstLine="480" w:firstLineChars="200"/>
        <w:jc w:val="left"/>
        <w:rPr>
          <w:rFonts w:ascii="宋体" w:hAnsi="宋体"/>
          <w:sz w:val="24"/>
          <w:u w:val="single"/>
        </w:rPr>
      </w:pPr>
      <w:r>
        <w:rPr>
          <w:rFonts w:ascii="宋体" w:hAnsi="宋体"/>
          <w:sz w:val="24"/>
        </w:rPr>
        <w:t>承包人是否应为其施工设备等办理财产保险：</w:t>
      </w:r>
      <w:r>
        <w:rPr>
          <w:rFonts w:ascii="宋体" w:hAnsi="宋体"/>
          <w:sz w:val="24"/>
          <w:u w:val="single"/>
        </w:rPr>
        <w:t xml:space="preserve">      </w:t>
      </w:r>
      <w:r>
        <w:rPr>
          <w:rFonts w:hint="eastAsia" w:ascii="宋体" w:hAnsi="宋体"/>
          <w:sz w:val="24"/>
          <w:u w:val="single"/>
        </w:rPr>
        <w:t xml:space="preserve">     </w:t>
      </w:r>
      <w:r>
        <w:rPr>
          <w:rFonts w:ascii="宋体" w:hAnsi="宋体"/>
          <w:sz w:val="24"/>
        </w:rPr>
        <w:t>。</w:t>
      </w:r>
    </w:p>
    <w:p>
      <w:pPr>
        <w:spacing w:line="460" w:lineRule="exact"/>
        <w:ind w:firstLine="481" w:firstLineChars="200"/>
        <w:outlineLvl w:val="2"/>
        <w:rPr>
          <w:rFonts w:ascii="宋体" w:hAnsi="宋体"/>
          <w:b/>
          <w:sz w:val="24"/>
        </w:rPr>
      </w:pPr>
      <w:bookmarkStart w:id="1000" w:name="_Toc23310917"/>
      <w:bookmarkStart w:id="1001" w:name="_Toc221254894"/>
      <w:bookmarkStart w:id="1002" w:name="_Toc4543"/>
      <w:r>
        <w:rPr>
          <w:rFonts w:hint="eastAsia" w:ascii="宋体" w:hAnsi="宋体"/>
          <w:b/>
          <w:sz w:val="24"/>
        </w:rPr>
        <w:t>18.7 通知义务</w:t>
      </w:r>
      <w:bookmarkEnd w:id="1000"/>
      <w:bookmarkEnd w:id="1001"/>
      <w:bookmarkEnd w:id="1002"/>
    </w:p>
    <w:p>
      <w:pPr>
        <w:spacing w:line="460" w:lineRule="exact"/>
        <w:ind w:firstLine="480" w:firstLineChars="200"/>
        <w:jc w:val="left"/>
        <w:rPr>
          <w:rFonts w:ascii="宋体" w:hAnsi="宋体"/>
          <w:sz w:val="24"/>
          <w:u w:val="single"/>
        </w:rPr>
      </w:pPr>
      <w:r>
        <w:rPr>
          <w:rFonts w:ascii="宋体" w:hAnsi="宋体"/>
          <w:kern w:val="0"/>
          <w:sz w:val="24"/>
        </w:rPr>
        <w:t>关于变更保险合同时的通知义务的约定：</w:t>
      </w:r>
      <w:r>
        <w:rPr>
          <w:rFonts w:ascii="宋体" w:hAnsi="宋体"/>
          <w:sz w:val="24"/>
          <w:u w:val="single"/>
        </w:rPr>
        <w:t xml:space="preserve">            </w:t>
      </w:r>
      <w:r>
        <w:rPr>
          <w:rFonts w:hint="eastAsia" w:ascii="宋体" w:hAnsi="宋体"/>
          <w:sz w:val="24"/>
          <w:u w:val="single"/>
        </w:rPr>
        <w:t xml:space="preserve">   </w:t>
      </w:r>
      <w:r>
        <w:rPr>
          <w:rFonts w:ascii="宋体" w:hAnsi="宋体"/>
          <w:sz w:val="24"/>
        </w:rPr>
        <w:t>。</w:t>
      </w:r>
    </w:p>
    <w:bookmarkEnd w:id="949"/>
    <w:bookmarkEnd w:id="950"/>
    <w:bookmarkEnd w:id="951"/>
    <w:bookmarkEnd w:id="952"/>
    <w:bookmarkEnd w:id="953"/>
    <w:bookmarkEnd w:id="954"/>
    <w:bookmarkEnd w:id="955"/>
    <w:bookmarkEnd w:id="956"/>
    <w:bookmarkEnd w:id="957"/>
    <w:bookmarkEnd w:id="958"/>
    <w:bookmarkEnd w:id="959"/>
    <w:bookmarkEnd w:id="960"/>
    <w:p>
      <w:pPr>
        <w:pStyle w:val="3"/>
        <w:spacing w:line="460" w:lineRule="exact"/>
        <w:jc w:val="left"/>
        <w:rPr>
          <w:rFonts w:ascii="宋体" w:hAnsi="宋体"/>
          <w:sz w:val="24"/>
          <w:szCs w:val="24"/>
        </w:rPr>
      </w:pPr>
      <w:bookmarkStart w:id="1003" w:name="_Toc226165635"/>
      <w:bookmarkStart w:id="1004" w:name="_Toc417085405"/>
      <w:r>
        <w:rPr>
          <w:rFonts w:ascii="宋体" w:hAnsi="宋体"/>
          <w:sz w:val="24"/>
          <w:szCs w:val="24"/>
        </w:rPr>
        <w:t>20. 争议解决</w:t>
      </w:r>
      <w:bookmarkEnd w:id="1003"/>
      <w:bookmarkEnd w:id="1004"/>
    </w:p>
    <w:p>
      <w:pPr>
        <w:spacing w:line="460" w:lineRule="exact"/>
        <w:ind w:firstLine="481" w:firstLineChars="200"/>
        <w:outlineLvl w:val="2"/>
        <w:rPr>
          <w:rFonts w:ascii="宋体" w:hAnsi="宋体"/>
          <w:b/>
          <w:sz w:val="24"/>
        </w:rPr>
      </w:pPr>
      <w:bookmarkStart w:id="1005" w:name="_Toc1731520220"/>
      <w:bookmarkStart w:id="1006" w:name="_Toc4610"/>
      <w:bookmarkStart w:id="1007" w:name="_Toc846612084"/>
      <w:r>
        <w:rPr>
          <w:rFonts w:hint="eastAsia" w:ascii="宋体" w:hAnsi="宋体"/>
          <w:b/>
          <w:sz w:val="24"/>
        </w:rPr>
        <w:t>20.3 争议评审</w:t>
      </w:r>
      <w:bookmarkEnd w:id="1005"/>
      <w:bookmarkEnd w:id="1006"/>
      <w:bookmarkEnd w:id="1007"/>
    </w:p>
    <w:p>
      <w:pPr>
        <w:spacing w:line="460" w:lineRule="exact"/>
        <w:ind w:firstLine="480" w:firstLineChars="200"/>
        <w:jc w:val="left"/>
        <w:rPr>
          <w:rFonts w:ascii="宋体" w:hAnsi="宋体" w:cs="仿宋_GB2312"/>
          <w:sz w:val="24"/>
        </w:rPr>
      </w:pPr>
      <w:r>
        <w:rPr>
          <w:rFonts w:hint="eastAsia" w:ascii="宋体" w:hAnsi="宋体" w:cs="仿宋_GB2312"/>
          <w:sz w:val="24"/>
        </w:rPr>
        <w:t>本款补充20.3.1。</w:t>
      </w:r>
    </w:p>
    <w:p>
      <w:pPr>
        <w:spacing w:line="460" w:lineRule="exact"/>
        <w:ind w:left="149" w:leftChars="71" w:firstLine="360" w:firstLineChars="150"/>
        <w:jc w:val="left"/>
        <w:rPr>
          <w:rFonts w:ascii="宋体" w:hAnsi="宋体" w:cs="仿宋_GB2312"/>
          <w:sz w:val="24"/>
          <w:u w:val="single"/>
        </w:rPr>
      </w:pPr>
      <w:r>
        <w:rPr>
          <w:rFonts w:hint="eastAsia" w:ascii="宋体" w:hAnsi="宋体" w:cs="仿宋_GB2312"/>
          <w:sz w:val="24"/>
        </w:rPr>
        <w:t>合同当事人是否同意将工程争议提交争议评审小组决定：</w:t>
      </w:r>
      <w:r>
        <w:rPr>
          <w:rFonts w:hint="eastAsia" w:ascii="宋体" w:hAnsi="宋体" w:cs="仿宋_GB2312"/>
          <w:sz w:val="24"/>
          <w:u w:val="single"/>
        </w:rPr>
        <w:t xml:space="preserve">     </w:t>
      </w:r>
    </w:p>
    <w:p>
      <w:pPr>
        <w:spacing w:line="460" w:lineRule="exact"/>
        <w:rPr>
          <w:rFonts w:ascii="宋体" w:hAnsi="宋体" w:cs="仿宋_GB2312"/>
          <w:sz w:val="24"/>
        </w:rPr>
      </w:pPr>
      <w:r>
        <w:rPr>
          <w:rFonts w:hint="eastAsia" w:ascii="宋体" w:hAnsi="宋体" w:cs="仿宋_GB2312"/>
          <w:sz w:val="24"/>
          <w:u w:val="single"/>
        </w:rPr>
        <w:t xml:space="preserve">                                                      </w:t>
      </w:r>
      <w:r>
        <w:rPr>
          <w:rFonts w:hint="eastAsia" w:ascii="宋体" w:hAnsi="宋体" w:cs="仿宋_GB2312"/>
          <w:sz w:val="24"/>
        </w:rPr>
        <w:t>。</w:t>
      </w:r>
    </w:p>
    <w:bookmarkEnd w:id="961"/>
    <w:bookmarkEnd w:id="962"/>
    <w:bookmarkEnd w:id="963"/>
    <w:p>
      <w:pPr>
        <w:spacing w:line="460" w:lineRule="exact"/>
        <w:ind w:firstLine="480" w:firstLineChars="200"/>
        <w:jc w:val="left"/>
        <w:rPr>
          <w:rFonts w:ascii="宋体" w:hAnsi="宋体" w:cs="仿宋_GB2312"/>
          <w:sz w:val="24"/>
        </w:rPr>
      </w:pPr>
      <w:r>
        <w:rPr>
          <w:rFonts w:hint="eastAsia" w:ascii="宋体" w:hAnsi="宋体" w:cs="仿宋_GB2312"/>
          <w:sz w:val="24"/>
        </w:rPr>
        <w:t>20.3.1 争议评审小组的确定</w:t>
      </w:r>
    </w:p>
    <w:p>
      <w:pPr>
        <w:spacing w:line="460" w:lineRule="exact"/>
        <w:ind w:firstLine="480" w:firstLineChars="200"/>
        <w:jc w:val="left"/>
        <w:rPr>
          <w:rFonts w:ascii="宋体" w:hAnsi="宋体" w:cs="仿宋_GB2312"/>
          <w:sz w:val="24"/>
        </w:rPr>
      </w:pPr>
      <w:r>
        <w:rPr>
          <w:rFonts w:hint="eastAsia" w:ascii="宋体" w:hAnsi="宋体" w:cs="仿宋_GB2312"/>
          <w:sz w:val="24"/>
        </w:rPr>
        <w:t>关于评审机构的约定：</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jc w:val="left"/>
        <w:rPr>
          <w:rFonts w:ascii="宋体" w:hAnsi="宋体" w:cs="仿宋_GB2312"/>
          <w:sz w:val="24"/>
          <w:u w:val="single"/>
        </w:rPr>
      </w:pPr>
      <w:r>
        <w:rPr>
          <w:rFonts w:hint="eastAsia" w:ascii="宋体" w:hAnsi="宋体" w:cs="仿宋_GB2312"/>
          <w:sz w:val="24"/>
        </w:rPr>
        <w:t>争议评审小组成员的确定：</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jc w:val="left"/>
        <w:rPr>
          <w:rFonts w:ascii="宋体" w:hAnsi="宋体" w:cs="仿宋_GB2312"/>
          <w:sz w:val="24"/>
        </w:rPr>
      </w:pPr>
      <w:r>
        <w:rPr>
          <w:rFonts w:hint="eastAsia" w:ascii="宋体" w:hAnsi="宋体" w:cs="仿宋_GB2312"/>
          <w:sz w:val="24"/>
        </w:rPr>
        <w:t>选定争议评审员的期限：</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jc w:val="left"/>
        <w:rPr>
          <w:rFonts w:ascii="宋体" w:hAnsi="宋体" w:cs="仿宋_GB2312"/>
          <w:sz w:val="24"/>
        </w:rPr>
      </w:pPr>
      <w:r>
        <w:rPr>
          <w:rFonts w:hint="eastAsia" w:ascii="宋体" w:hAnsi="宋体" w:cs="仿宋_GB2312"/>
          <w:sz w:val="24"/>
        </w:rPr>
        <w:t>争议评审小组成员的报酬承担方式：</w:t>
      </w: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0" w:firstLineChars="200"/>
        <w:jc w:val="left"/>
        <w:rPr>
          <w:rFonts w:ascii="宋体" w:hAnsi="宋体" w:cs="仿宋_GB2312"/>
          <w:sz w:val="24"/>
        </w:rPr>
      </w:pPr>
      <w:r>
        <w:rPr>
          <w:rFonts w:hint="eastAsia" w:ascii="宋体" w:hAnsi="宋体" w:cs="仿宋_GB2312"/>
          <w:sz w:val="24"/>
        </w:rPr>
        <w:t>其他事项的约定：</w:t>
      </w:r>
      <w:r>
        <w:rPr>
          <w:rFonts w:hint="eastAsia" w:ascii="宋体" w:hAnsi="宋体" w:cs="仿宋_GB2312"/>
          <w:sz w:val="24"/>
          <w:u w:val="single"/>
        </w:rPr>
        <w:t xml:space="preserve">                                   </w:t>
      </w:r>
      <w:r>
        <w:rPr>
          <w:rFonts w:hint="eastAsia" w:ascii="宋体" w:hAnsi="宋体" w:cs="仿宋_GB2312"/>
          <w:sz w:val="24"/>
        </w:rPr>
        <w:t>。</w:t>
      </w:r>
    </w:p>
    <w:p>
      <w:pPr>
        <w:autoSpaceDE w:val="0"/>
        <w:autoSpaceDN w:val="0"/>
        <w:adjustRightInd w:val="0"/>
        <w:spacing w:line="460" w:lineRule="exact"/>
        <w:ind w:firstLine="480" w:firstLineChars="200"/>
        <w:jc w:val="left"/>
        <w:rPr>
          <w:rFonts w:ascii="宋体" w:hAnsi="宋体" w:cs="仿宋_GB2312"/>
          <w:kern w:val="0"/>
          <w:sz w:val="24"/>
        </w:rPr>
      </w:pPr>
      <w:r>
        <w:rPr>
          <w:rFonts w:hint="eastAsia" w:ascii="宋体" w:hAnsi="宋体" w:cs="仿宋_GB2312"/>
          <w:kern w:val="0"/>
          <w:sz w:val="24"/>
        </w:rPr>
        <w:t>20.3.2 争议评审小组的决定</w:t>
      </w:r>
    </w:p>
    <w:p>
      <w:pPr>
        <w:spacing w:line="460" w:lineRule="exact"/>
        <w:ind w:firstLine="480" w:firstLineChars="200"/>
        <w:jc w:val="left"/>
        <w:rPr>
          <w:rFonts w:ascii="宋体" w:hAnsi="宋体"/>
          <w:sz w:val="24"/>
          <w:u w:val="single"/>
        </w:rPr>
      </w:pPr>
      <w:r>
        <w:rPr>
          <w:rFonts w:hint="eastAsia" w:ascii="宋体" w:hAnsi="宋体" w:cs="仿宋_GB2312"/>
          <w:sz w:val="24"/>
        </w:rPr>
        <w:t>合同当事人关于本项的约定：</w:t>
      </w:r>
      <w:r>
        <w:rPr>
          <w:rFonts w:hint="eastAsia" w:ascii="宋体" w:hAnsi="宋体" w:cs="仿宋_GB2312"/>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spacing w:line="460" w:lineRule="exact"/>
        <w:jc w:val="left"/>
        <w:rPr>
          <w:rFonts w:ascii="宋体" w:hAnsi="宋体"/>
          <w:sz w:val="24"/>
          <w:u w:val="single"/>
        </w:rPr>
      </w:pPr>
      <w:r>
        <w:rPr>
          <w:rFonts w:hint="eastAsia" w:ascii="宋体" w:hAnsi="宋体" w:cs="仿宋_GB2312"/>
          <w:sz w:val="24"/>
          <w:u w:val="single"/>
        </w:rPr>
        <w:t xml:space="preserve">                                                      </w:t>
      </w:r>
      <w:r>
        <w:rPr>
          <w:rFonts w:hint="eastAsia" w:ascii="宋体" w:hAnsi="宋体" w:cs="仿宋_GB2312"/>
          <w:sz w:val="24"/>
        </w:rPr>
        <w:t>。</w:t>
      </w:r>
    </w:p>
    <w:p>
      <w:pPr>
        <w:spacing w:line="460" w:lineRule="exact"/>
        <w:ind w:firstLine="481" w:firstLineChars="200"/>
        <w:outlineLvl w:val="2"/>
        <w:rPr>
          <w:rFonts w:ascii="宋体" w:hAnsi="宋体"/>
          <w:b/>
          <w:sz w:val="24"/>
        </w:rPr>
      </w:pPr>
      <w:bookmarkStart w:id="1008" w:name="_Toc1638028047"/>
      <w:bookmarkStart w:id="1009" w:name="_Toc2061672555"/>
      <w:bookmarkStart w:id="1010" w:name="_Toc30811"/>
      <w:r>
        <w:rPr>
          <w:rFonts w:hint="eastAsia" w:ascii="宋体" w:hAnsi="宋体"/>
          <w:b/>
          <w:sz w:val="24"/>
        </w:rPr>
        <w:t>20.4 仲裁或诉讼</w:t>
      </w:r>
      <w:bookmarkEnd w:id="964"/>
      <w:bookmarkEnd w:id="1008"/>
      <w:bookmarkEnd w:id="1009"/>
      <w:bookmarkEnd w:id="1010"/>
    </w:p>
    <w:p>
      <w:pPr>
        <w:spacing w:line="460" w:lineRule="exact"/>
        <w:ind w:firstLine="480" w:firstLineChars="200"/>
        <w:rPr>
          <w:rFonts w:ascii="宋体" w:hAnsi="宋体"/>
          <w:sz w:val="24"/>
        </w:rPr>
      </w:pPr>
      <w:r>
        <w:rPr>
          <w:rFonts w:hint="eastAsia" w:ascii="宋体" w:hAnsi="宋体"/>
          <w:sz w:val="24"/>
        </w:rPr>
        <w:t>本款修改为：</w:t>
      </w:r>
    </w:p>
    <w:p>
      <w:pPr>
        <w:spacing w:line="460" w:lineRule="exact"/>
        <w:ind w:firstLine="480" w:firstLineChars="200"/>
        <w:jc w:val="left"/>
        <w:rPr>
          <w:rFonts w:ascii="宋体" w:hAnsi="宋体" w:cs="仿宋_GB2312"/>
          <w:sz w:val="24"/>
        </w:rPr>
      </w:pPr>
      <w:r>
        <w:rPr>
          <w:rFonts w:hint="eastAsia" w:ascii="宋体" w:hAnsi="宋体" w:cs="仿宋_GB2312"/>
          <w:sz w:val="24"/>
        </w:rPr>
        <w:t>因合同及合同有关事项发生的争议，按下列第</w:t>
      </w:r>
      <w:r>
        <w:rPr>
          <w:rFonts w:hint="eastAsia" w:ascii="宋体" w:hAnsi="宋体" w:cs="仿宋_GB2312"/>
          <w:sz w:val="24"/>
          <w:u w:val="single"/>
        </w:rPr>
        <w:t xml:space="preserve">    </w:t>
      </w:r>
      <w:r>
        <w:rPr>
          <w:rFonts w:hint="eastAsia" w:ascii="宋体" w:hAnsi="宋体" w:cs="仿宋_GB2312"/>
          <w:sz w:val="24"/>
        </w:rPr>
        <w:t>种方式解决：</w:t>
      </w:r>
    </w:p>
    <w:p>
      <w:pPr>
        <w:spacing w:line="460" w:lineRule="exact"/>
        <w:ind w:firstLine="480" w:firstLineChars="200"/>
        <w:jc w:val="left"/>
        <w:rPr>
          <w:rFonts w:ascii="宋体" w:hAnsi="宋体" w:cs="仿宋_GB2312"/>
          <w:sz w:val="24"/>
        </w:rPr>
      </w:pPr>
      <w:r>
        <w:rPr>
          <w:rFonts w:hint="eastAsia" w:ascii="宋体" w:hAnsi="宋体" w:cs="仿宋_GB2312"/>
          <w:sz w:val="24"/>
        </w:rPr>
        <w:t>（1）向</w:t>
      </w:r>
      <w:r>
        <w:rPr>
          <w:rFonts w:hint="eastAsia" w:ascii="宋体" w:hAnsi="宋体" w:cs="仿宋_GB2312"/>
          <w:sz w:val="24"/>
          <w:u w:val="single"/>
        </w:rPr>
        <w:t xml:space="preserve">                     </w:t>
      </w:r>
      <w:r>
        <w:rPr>
          <w:rFonts w:hint="eastAsia" w:ascii="宋体" w:hAnsi="宋体" w:cs="仿宋_GB2312"/>
          <w:sz w:val="24"/>
        </w:rPr>
        <w:t>仲裁委员会申请仲裁；</w:t>
      </w:r>
    </w:p>
    <w:p>
      <w:pPr>
        <w:spacing w:line="460" w:lineRule="exact"/>
        <w:ind w:firstLine="480" w:firstLineChars="200"/>
        <w:jc w:val="left"/>
        <w:rPr>
          <w:rFonts w:ascii="宋体" w:hAnsi="宋体"/>
          <w:sz w:val="24"/>
        </w:rPr>
      </w:pPr>
      <w:r>
        <w:rPr>
          <w:rFonts w:hint="eastAsia" w:ascii="宋体" w:hAnsi="宋体" w:cs="仿宋_GB2312"/>
          <w:sz w:val="24"/>
        </w:rPr>
        <w:t>（2）依法向</w:t>
      </w:r>
      <w:r>
        <w:rPr>
          <w:rFonts w:hint="eastAsia" w:ascii="宋体" w:hAnsi="宋体" w:cs="仿宋_GB2312"/>
          <w:sz w:val="24"/>
          <w:u w:val="single"/>
        </w:rPr>
        <w:t xml:space="preserve">      </w:t>
      </w:r>
      <w:r>
        <w:rPr>
          <w:rFonts w:ascii="宋体" w:hAnsi="宋体"/>
          <w:sz w:val="24"/>
          <w:u w:val="single"/>
        </w:rPr>
        <w:t xml:space="preserve">           </w:t>
      </w:r>
      <w:r>
        <w:rPr>
          <w:rFonts w:ascii="宋体" w:hAnsi="宋体"/>
          <w:sz w:val="24"/>
        </w:rPr>
        <w:t>人民法院起诉。</w:t>
      </w:r>
      <w:bookmarkEnd w:id="965"/>
      <w:bookmarkEnd w:id="966"/>
      <w:bookmarkEnd w:id="967"/>
      <w:bookmarkEnd w:id="968"/>
      <w:bookmarkEnd w:id="969"/>
      <w:bookmarkEnd w:id="970"/>
    </w:p>
    <w:p>
      <w:pPr>
        <w:spacing w:line="460" w:lineRule="exact"/>
        <w:ind w:firstLine="481" w:firstLineChars="200"/>
        <w:outlineLvl w:val="2"/>
        <w:rPr>
          <w:rFonts w:ascii="宋体" w:hAnsi="宋体"/>
          <w:b/>
          <w:sz w:val="24"/>
        </w:rPr>
      </w:pPr>
      <w:bookmarkStart w:id="1011" w:name="_Toc6183"/>
      <w:bookmarkStart w:id="1012" w:name="_Toc452738762"/>
      <w:bookmarkStart w:id="1013" w:name="_Toc365353596"/>
      <w:r>
        <w:rPr>
          <w:rFonts w:hint="eastAsia" w:ascii="宋体" w:hAnsi="宋体"/>
          <w:b/>
          <w:sz w:val="24"/>
        </w:rPr>
        <w:t>20.6 通知送达</w:t>
      </w:r>
      <w:bookmarkEnd w:id="1011"/>
      <w:bookmarkEnd w:id="1012"/>
      <w:bookmarkEnd w:id="1013"/>
    </w:p>
    <w:p>
      <w:pPr>
        <w:spacing w:line="460" w:lineRule="exact"/>
        <w:ind w:firstLine="480" w:firstLineChars="200"/>
        <w:outlineLvl w:val="2"/>
        <w:rPr>
          <w:rFonts w:ascii="宋体" w:hAnsi="宋体" w:cs="仿宋"/>
          <w:kern w:val="0"/>
          <w:sz w:val="24"/>
        </w:rPr>
      </w:pPr>
      <w:bookmarkStart w:id="1014" w:name="_Toc921481975"/>
      <w:bookmarkStart w:id="1015" w:name="_Toc1318438321"/>
      <w:r>
        <w:rPr>
          <w:rFonts w:hint="eastAsia" w:ascii="宋体" w:hAnsi="宋体" w:cs="仿宋"/>
          <w:kern w:val="0"/>
          <w:sz w:val="24"/>
        </w:rPr>
        <w:t>本款补充：</w:t>
      </w:r>
      <w:bookmarkEnd w:id="1014"/>
      <w:bookmarkEnd w:id="1015"/>
      <w:bookmarkStart w:id="1016" w:name="_Toc18712"/>
    </w:p>
    <w:p>
      <w:pPr>
        <w:spacing w:line="460" w:lineRule="exact"/>
        <w:ind w:firstLine="480" w:firstLineChars="200"/>
        <w:outlineLvl w:val="2"/>
        <w:rPr>
          <w:rFonts w:ascii="宋体" w:hAnsi="宋体" w:cs="仿宋"/>
          <w:kern w:val="0"/>
          <w:sz w:val="28"/>
          <w:szCs w:val="28"/>
        </w:rPr>
        <w:sectPr>
          <w:pgSz w:w="11906" w:h="16838"/>
          <w:pgMar w:top="2098" w:right="1757" w:bottom="1984" w:left="1757" w:header="851" w:footer="1417" w:gutter="0"/>
          <w:cols w:space="720" w:num="1"/>
          <w:docGrid w:type="lines" w:linePitch="312" w:charSpace="0"/>
        </w:sectPr>
      </w:pPr>
      <w:bookmarkStart w:id="1017" w:name="_Toc626862138"/>
      <w:bookmarkStart w:id="1018" w:name="_Toc1414635822"/>
      <w:r>
        <w:rPr>
          <w:rFonts w:hint="eastAsia" w:ascii="宋体" w:hAnsi="宋体" w:cs="仿宋"/>
          <w:kern w:val="0"/>
          <w:sz w:val="24"/>
        </w:rPr>
        <w:t>双方确认本合同载明的联系方式（联系电话、电子信箱、传真号码及通信地址）准确无误，如有变更应以书面方式及时通知另一方。由于一方联系方式错误、不详或者无法识别等导致无法送达，或者联系方式变更未及时通知另一方，以及其他不可归责于送达方原因造成相关通知或者文件无法送达、拒绝签收，则相关通知或文件自寄送或发送后第</w:t>
      </w:r>
      <w:r>
        <w:rPr>
          <w:rFonts w:hint="eastAsia" w:ascii="宋体" w:hAnsi="宋体" w:cs="仿宋"/>
          <w:kern w:val="0"/>
          <w:sz w:val="24"/>
          <w:u w:val="single"/>
        </w:rPr>
        <w:t xml:space="preserve">    </w:t>
      </w:r>
      <w:r>
        <w:rPr>
          <w:rFonts w:hint="eastAsia" w:ascii="宋体" w:hAnsi="宋体" w:cs="仿宋"/>
          <w:kern w:val="0"/>
          <w:sz w:val="24"/>
        </w:rPr>
        <w:t>天起视为已送达。</w:t>
      </w:r>
      <w:bookmarkEnd w:id="1017"/>
      <w:bookmarkEnd w:id="1018"/>
    </w:p>
    <w:p>
      <w:pPr>
        <w:outlineLvl w:val="1"/>
        <w:rPr>
          <w:rFonts w:ascii="宋体" w:hAnsi="宋体" w:cs="仿宋_GB2312"/>
          <w:sz w:val="28"/>
          <w:szCs w:val="28"/>
        </w:rPr>
      </w:pPr>
      <w:bookmarkStart w:id="1019" w:name="_Toc1508364105"/>
      <w:bookmarkStart w:id="1020" w:name="_Toc465626090"/>
      <w:bookmarkStart w:id="1021" w:name="_Toc372503870"/>
      <w:r>
        <w:rPr>
          <w:rFonts w:hint="eastAsia" w:ascii="宋体" w:hAnsi="宋体" w:cs="仿宋_GB2312"/>
          <w:sz w:val="28"/>
          <w:szCs w:val="28"/>
        </w:rPr>
        <w:t>附件1：</w:t>
      </w:r>
      <w:bookmarkEnd w:id="1019"/>
      <w:bookmarkEnd w:id="1020"/>
      <w:bookmarkEnd w:id="1021"/>
    </w:p>
    <w:p>
      <w:pPr>
        <w:autoSpaceDE w:val="0"/>
        <w:autoSpaceDN w:val="0"/>
        <w:adjustRightInd w:val="0"/>
        <w:snapToGrid w:val="0"/>
        <w:spacing w:line="360" w:lineRule="auto"/>
        <w:jc w:val="center"/>
        <w:outlineLvl w:val="1"/>
        <w:rPr>
          <w:rFonts w:ascii="黑体" w:hAnsi="黑体" w:eastAsia="黑体"/>
          <w:sz w:val="28"/>
          <w:szCs w:val="28"/>
        </w:rPr>
      </w:pPr>
      <w:bookmarkStart w:id="1022" w:name="_Toc26207"/>
      <w:bookmarkStart w:id="1023" w:name="_Toc25532"/>
      <w:bookmarkStart w:id="1024" w:name="_Toc19812"/>
      <w:bookmarkStart w:id="1025" w:name="_Toc1334624912"/>
      <w:bookmarkStart w:id="1026" w:name="_Toc30667"/>
      <w:bookmarkStart w:id="1027" w:name="_Toc290402072"/>
      <w:bookmarkStart w:id="1028" w:name="_Toc24448"/>
      <w:bookmarkStart w:id="1029" w:name="_Toc8135"/>
      <w:r>
        <w:rPr>
          <w:rFonts w:hint="eastAsia" w:ascii="黑体" w:hAnsi="黑体" w:eastAsia="黑体"/>
          <w:sz w:val="28"/>
          <w:szCs w:val="28"/>
        </w:rPr>
        <w:t>承包人承揽工程</w:t>
      </w:r>
      <w:r>
        <w:rPr>
          <w:rFonts w:ascii="黑体" w:hAnsi="黑体" w:eastAsia="黑体"/>
          <w:sz w:val="28"/>
          <w:szCs w:val="28"/>
        </w:rPr>
        <w:t>项目</w:t>
      </w:r>
      <w:r>
        <w:rPr>
          <w:rFonts w:hint="eastAsia" w:ascii="黑体" w:hAnsi="黑体" w:eastAsia="黑体"/>
          <w:sz w:val="28"/>
          <w:szCs w:val="28"/>
        </w:rPr>
        <w:t>一览表</w:t>
      </w:r>
      <w:bookmarkEnd w:id="1022"/>
      <w:bookmarkEnd w:id="1023"/>
      <w:bookmarkEnd w:id="1024"/>
      <w:bookmarkEnd w:id="1025"/>
      <w:bookmarkEnd w:id="1026"/>
      <w:bookmarkEnd w:id="1027"/>
      <w:bookmarkEnd w:id="1028"/>
      <w:bookmarkEnd w:id="1029"/>
    </w:p>
    <w:tbl>
      <w:tblPr>
        <w:tblStyle w:val="49"/>
        <w:tblW w:w="1375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31"/>
        <w:gridCol w:w="1418"/>
        <w:gridCol w:w="4832"/>
        <w:gridCol w:w="2126"/>
        <w:gridCol w:w="1843"/>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31" w:type="dxa"/>
            <w:tcBorders>
              <w:top w:val="single" w:color="auto" w:sz="12" w:space="0"/>
              <w:bottom w:val="single" w:color="auto" w:sz="4" w:space="0"/>
              <w:right w:val="single" w:color="auto" w:sz="4" w:space="0"/>
            </w:tcBorders>
            <w:vAlign w:val="center"/>
          </w:tcPr>
          <w:p>
            <w:pPr>
              <w:pStyle w:val="22"/>
              <w:keepNext/>
              <w:spacing w:line="440" w:lineRule="exact"/>
              <w:ind w:left="63" w:right="63"/>
              <w:rPr>
                <w:rFonts w:hAnsi="宋体" w:cs="仿宋_GB2312"/>
                <w:color w:val="auto"/>
                <w:szCs w:val="21"/>
              </w:rPr>
            </w:pPr>
            <w:r>
              <w:rPr>
                <w:rFonts w:hint="eastAsia" w:hAnsi="宋体" w:cs="仿宋_GB2312"/>
                <w:color w:val="auto"/>
                <w:szCs w:val="21"/>
              </w:rPr>
              <w:t>单位工程名称</w:t>
            </w:r>
          </w:p>
        </w:tc>
        <w:tc>
          <w:tcPr>
            <w:tcW w:w="1418" w:type="dxa"/>
            <w:tcBorders>
              <w:top w:val="single" w:color="auto" w:sz="12" w:space="0"/>
              <w:left w:val="single" w:color="auto" w:sz="4" w:space="0"/>
              <w:bottom w:val="single" w:color="auto" w:sz="4" w:space="0"/>
              <w:right w:val="single" w:color="auto" w:sz="4" w:space="0"/>
            </w:tcBorders>
            <w:vAlign w:val="center"/>
          </w:tcPr>
          <w:p>
            <w:pPr>
              <w:pStyle w:val="22"/>
              <w:keepNext/>
              <w:spacing w:line="440" w:lineRule="exact"/>
              <w:ind w:left="63" w:right="63"/>
              <w:rPr>
                <w:rFonts w:hAnsi="宋体" w:cs="仿宋_GB2312"/>
                <w:color w:val="auto"/>
                <w:szCs w:val="21"/>
              </w:rPr>
            </w:pPr>
            <w:r>
              <w:rPr>
                <w:rFonts w:hint="eastAsia" w:hAnsi="宋体" w:cs="仿宋_GB2312"/>
                <w:color w:val="auto"/>
                <w:szCs w:val="21"/>
              </w:rPr>
              <w:t>建设规模</w:t>
            </w:r>
          </w:p>
        </w:tc>
        <w:tc>
          <w:tcPr>
            <w:tcW w:w="4832" w:type="dxa"/>
            <w:tcBorders>
              <w:top w:val="single" w:color="auto" w:sz="12" w:space="0"/>
              <w:left w:val="single" w:color="auto" w:sz="4" w:space="0"/>
              <w:bottom w:val="single" w:color="auto" w:sz="4" w:space="0"/>
              <w:right w:val="single" w:color="auto" w:sz="4" w:space="0"/>
            </w:tcBorders>
            <w:vAlign w:val="center"/>
          </w:tcPr>
          <w:p>
            <w:pPr>
              <w:pStyle w:val="22"/>
              <w:keepNext/>
              <w:spacing w:line="440" w:lineRule="exact"/>
              <w:ind w:left="63" w:right="63"/>
              <w:rPr>
                <w:rFonts w:hAnsi="宋体" w:cs="仿宋_GB2312"/>
                <w:color w:val="auto"/>
                <w:szCs w:val="21"/>
              </w:rPr>
            </w:pPr>
            <w:r>
              <w:rPr>
                <w:rFonts w:hint="eastAsia" w:hAnsi="宋体" w:cs="仿宋_GB2312"/>
                <w:color w:val="auto"/>
                <w:szCs w:val="21"/>
              </w:rPr>
              <w:t>主要内容</w:t>
            </w:r>
          </w:p>
        </w:tc>
        <w:tc>
          <w:tcPr>
            <w:tcW w:w="2126" w:type="dxa"/>
            <w:tcBorders>
              <w:top w:val="single" w:color="auto" w:sz="12" w:space="0"/>
              <w:left w:val="single" w:color="auto" w:sz="4" w:space="0"/>
              <w:bottom w:val="single" w:color="auto" w:sz="4" w:space="0"/>
              <w:right w:val="single" w:color="auto" w:sz="4" w:space="0"/>
            </w:tcBorders>
            <w:vAlign w:val="center"/>
          </w:tcPr>
          <w:p>
            <w:pPr>
              <w:pStyle w:val="22"/>
              <w:keepNext/>
              <w:spacing w:line="440" w:lineRule="exact"/>
              <w:ind w:left="63" w:right="63"/>
              <w:rPr>
                <w:rFonts w:hAnsi="宋体" w:cs="仿宋_GB2312"/>
                <w:color w:val="auto"/>
                <w:szCs w:val="21"/>
              </w:rPr>
            </w:pPr>
            <w:r>
              <w:rPr>
                <w:rFonts w:hint="eastAsia" w:hAnsi="宋体" w:cs="仿宋_GB2312"/>
                <w:color w:val="auto"/>
                <w:szCs w:val="21"/>
              </w:rPr>
              <w:t>合同价格（元）</w:t>
            </w:r>
          </w:p>
        </w:tc>
        <w:tc>
          <w:tcPr>
            <w:tcW w:w="1843" w:type="dxa"/>
            <w:tcBorders>
              <w:top w:val="single" w:color="auto" w:sz="12" w:space="0"/>
              <w:left w:val="single" w:color="auto" w:sz="4" w:space="0"/>
              <w:bottom w:val="single" w:color="auto" w:sz="4" w:space="0"/>
              <w:right w:val="single" w:color="auto" w:sz="4" w:space="0"/>
            </w:tcBorders>
            <w:vAlign w:val="center"/>
          </w:tcPr>
          <w:p>
            <w:pPr>
              <w:pStyle w:val="22"/>
              <w:keepNext/>
              <w:spacing w:line="440" w:lineRule="exact"/>
              <w:ind w:left="63" w:right="63"/>
              <w:rPr>
                <w:rFonts w:hAnsi="宋体" w:cs="仿宋_GB2312"/>
                <w:color w:val="auto"/>
                <w:szCs w:val="21"/>
              </w:rPr>
            </w:pPr>
            <w:r>
              <w:rPr>
                <w:rFonts w:hint="eastAsia" w:hAnsi="宋体" w:cs="仿宋_GB2312"/>
                <w:color w:val="auto"/>
                <w:szCs w:val="21"/>
              </w:rPr>
              <w:t>开工日期</w:t>
            </w:r>
          </w:p>
        </w:tc>
        <w:tc>
          <w:tcPr>
            <w:tcW w:w="1701" w:type="dxa"/>
            <w:tcBorders>
              <w:top w:val="single" w:color="auto" w:sz="12" w:space="0"/>
              <w:left w:val="single" w:color="auto" w:sz="4" w:space="0"/>
              <w:bottom w:val="single" w:color="auto" w:sz="4" w:space="0"/>
            </w:tcBorders>
            <w:vAlign w:val="center"/>
          </w:tcPr>
          <w:p>
            <w:pPr>
              <w:pStyle w:val="22"/>
              <w:keepNext/>
              <w:spacing w:line="440" w:lineRule="exact"/>
              <w:ind w:left="63" w:right="63"/>
              <w:rPr>
                <w:rFonts w:hAnsi="宋体" w:cs="仿宋_GB2312"/>
                <w:color w:val="auto"/>
                <w:szCs w:val="21"/>
              </w:rPr>
            </w:pPr>
            <w:r>
              <w:rPr>
                <w:rFonts w:hint="eastAsia" w:hAnsi="宋体" w:cs="仿宋_GB2312"/>
                <w:color w:val="auto"/>
                <w:szCs w:val="21"/>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31" w:type="dxa"/>
            <w:tcBorders>
              <w:top w:val="single" w:color="auto" w:sz="4" w:space="0"/>
              <w:bottom w:val="single" w:color="auto" w:sz="4" w:space="0"/>
              <w:right w:val="single" w:color="auto" w:sz="4" w:space="0"/>
            </w:tcBorders>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4832" w:type="dxa"/>
            <w:tcBorders>
              <w:top w:val="single" w:color="auto" w:sz="4" w:space="0"/>
              <w:left w:val="single" w:color="auto" w:sz="4" w:space="0"/>
              <w:bottom w:val="single" w:color="auto" w:sz="4" w:space="0"/>
              <w:right w:val="single" w:color="auto" w:sz="4" w:space="0"/>
            </w:tcBorders>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701" w:type="dxa"/>
            <w:tcBorders>
              <w:top w:val="single" w:color="auto" w:sz="4" w:space="0"/>
              <w:left w:val="single" w:color="auto" w:sz="4" w:space="0"/>
              <w:bottom w:val="single" w:color="auto" w:sz="4" w:space="0"/>
            </w:tcBorders>
            <w:vAlign w:val="center"/>
          </w:tcPr>
          <w:p>
            <w:pPr>
              <w:pStyle w:val="22"/>
              <w:keepNext/>
              <w:spacing w:line="440" w:lineRule="exact"/>
              <w:ind w:left="63" w:right="63"/>
              <w:rPr>
                <w:rFonts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31" w:type="dxa"/>
            <w:tcBorders>
              <w:top w:val="single" w:color="auto" w:sz="4" w:space="0"/>
              <w:bottom w:val="single" w:color="auto" w:sz="4" w:space="0"/>
              <w:right w:val="single" w:color="auto" w:sz="4" w:space="0"/>
            </w:tcBorders>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4832" w:type="dxa"/>
            <w:tcBorders>
              <w:top w:val="single" w:color="auto" w:sz="4" w:space="0"/>
              <w:left w:val="single" w:color="auto" w:sz="4" w:space="0"/>
              <w:bottom w:val="single" w:color="auto" w:sz="4" w:space="0"/>
              <w:right w:val="single" w:color="auto" w:sz="4" w:space="0"/>
            </w:tcBorders>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701" w:type="dxa"/>
            <w:tcBorders>
              <w:top w:val="single" w:color="auto" w:sz="4" w:space="0"/>
              <w:left w:val="single" w:color="auto" w:sz="4" w:space="0"/>
              <w:bottom w:val="single" w:color="auto" w:sz="4" w:space="0"/>
            </w:tcBorders>
            <w:vAlign w:val="center"/>
          </w:tcPr>
          <w:p>
            <w:pPr>
              <w:pStyle w:val="22"/>
              <w:keepNext/>
              <w:spacing w:line="440" w:lineRule="exact"/>
              <w:ind w:left="63" w:right="63"/>
              <w:rPr>
                <w:rFonts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31" w:type="dxa"/>
            <w:tcBorders>
              <w:top w:val="single" w:color="auto" w:sz="4" w:space="0"/>
              <w:bottom w:val="single" w:color="auto" w:sz="4" w:space="0"/>
              <w:right w:val="single" w:color="auto" w:sz="4" w:space="0"/>
            </w:tcBorders>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4832" w:type="dxa"/>
            <w:tcBorders>
              <w:top w:val="single" w:color="auto" w:sz="4" w:space="0"/>
              <w:left w:val="single" w:color="auto" w:sz="4" w:space="0"/>
              <w:bottom w:val="single" w:color="auto" w:sz="4" w:space="0"/>
              <w:right w:val="single" w:color="auto" w:sz="4" w:space="0"/>
            </w:tcBorders>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701" w:type="dxa"/>
            <w:tcBorders>
              <w:top w:val="single" w:color="auto" w:sz="4" w:space="0"/>
              <w:left w:val="single" w:color="auto" w:sz="4" w:space="0"/>
              <w:bottom w:val="single" w:color="auto" w:sz="4" w:space="0"/>
            </w:tcBorders>
            <w:vAlign w:val="center"/>
          </w:tcPr>
          <w:p>
            <w:pPr>
              <w:pStyle w:val="22"/>
              <w:keepNext/>
              <w:spacing w:line="440" w:lineRule="exact"/>
              <w:ind w:left="63" w:right="63"/>
              <w:rPr>
                <w:rFonts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31" w:type="dxa"/>
            <w:tcBorders>
              <w:top w:val="single" w:color="auto" w:sz="4" w:space="0"/>
              <w:bottom w:val="single" w:color="auto" w:sz="4" w:space="0"/>
              <w:right w:val="single" w:color="auto" w:sz="4" w:space="0"/>
            </w:tcBorders>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4832" w:type="dxa"/>
            <w:tcBorders>
              <w:top w:val="single" w:color="auto" w:sz="4" w:space="0"/>
              <w:left w:val="single" w:color="auto" w:sz="4" w:space="0"/>
              <w:bottom w:val="single" w:color="auto" w:sz="4" w:space="0"/>
              <w:right w:val="single" w:color="auto" w:sz="4" w:space="0"/>
            </w:tcBorders>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701" w:type="dxa"/>
            <w:tcBorders>
              <w:top w:val="single" w:color="auto" w:sz="4" w:space="0"/>
              <w:left w:val="single" w:color="auto" w:sz="4" w:space="0"/>
              <w:bottom w:val="single" w:color="auto" w:sz="4" w:space="0"/>
            </w:tcBorders>
            <w:vAlign w:val="center"/>
          </w:tcPr>
          <w:p>
            <w:pPr>
              <w:pStyle w:val="22"/>
              <w:keepNext/>
              <w:spacing w:line="440" w:lineRule="exact"/>
              <w:ind w:left="63" w:right="63"/>
              <w:rPr>
                <w:rFonts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31" w:type="dxa"/>
            <w:tcBorders>
              <w:top w:val="single" w:color="auto" w:sz="4" w:space="0"/>
              <w:bottom w:val="single" w:color="auto" w:sz="4" w:space="0"/>
              <w:right w:val="single" w:color="auto" w:sz="4" w:space="0"/>
            </w:tcBorders>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4832" w:type="dxa"/>
            <w:tcBorders>
              <w:top w:val="single" w:color="auto" w:sz="4" w:space="0"/>
              <w:left w:val="single" w:color="auto" w:sz="4" w:space="0"/>
              <w:bottom w:val="single" w:color="auto" w:sz="4" w:space="0"/>
              <w:right w:val="single" w:color="auto" w:sz="4" w:space="0"/>
            </w:tcBorders>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701" w:type="dxa"/>
            <w:tcBorders>
              <w:top w:val="single" w:color="auto" w:sz="4" w:space="0"/>
              <w:left w:val="single" w:color="auto" w:sz="4" w:space="0"/>
              <w:bottom w:val="single" w:color="auto" w:sz="4" w:space="0"/>
            </w:tcBorders>
            <w:vAlign w:val="center"/>
          </w:tcPr>
          <w:p>
            <w:pPr>
              <w:pStyle w:val="22"/>
              <w:keepNext/>
              <w:spacing w:line="440" w:lineRule="exact"/>
              <w:ind w:left="63" w:right="63"/>
              <w:rPr>
                <w:rFonts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31" w:type="dxa"/>
            <w:tcBorders>
              <w:top w:val="single" w:color="auto" w:sz="4" w:space="0"/>
              <w:bottom w:val="single" w:color="auto" w:sz="4" w:space="0"/>
              <w:right w:val="single" w:color="auto" w:sz="4" w:space="0"/>
            </w:tcBorders>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4832" w:type="dxa"/>
            <w:tcBorders>
              <w:top w:val="single" w:color="auto" w:sz="4" w:space="0"/>
              <w:left w:val="single" w:color="auto" w:sz="4" w:space="0"/>
              <w:bottom w:val="single" w:color="auto" w:sz="4" w:space="0"/>
              <w:right w:val="single" w:color="auto" w:sz="4" w:space="0"/>
            </w:tcBorders>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701" w:type="dxa"/>
            <w:tcBorders>
              <w:top w:val="single" w:color="auto" w:sz="4" w:space="0"/>
              <w:left w:val="single" w:color="auto" w:sz="4" w:space="0"/>
              <w:bottom w:val="single" w:color="auto" w:sz="4" w:space="0"/>
            </w:tcBorders>
            <w:vAlign w:val="center"/>
          </w:tcPr>
          <w:p>
            <w:pPr>
              <w:pStyle w:val="22"/>
              <w:keepNext/>
              <w:spacing w:line="440" w:lineRule="exact"/>
              <w:ind w:left="63" w:right="63"/>
              <w:rPr>
                <w:rFonts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31" w:type="dxa"/>
            <w:tcBorders>
              <w:top w:val="single" w:color="auto" w:sz="4" w:space="0"/>
              <w:bottom w:val="single" w:color="auto" w:sz="4" w:space="0"/>
              <w:right w:val="single" w:color="auto" w:sz="4" w:space="0"/>
            </w:tcBorders>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4832" w:type="dxa"/>
            <w:tcBorders>
              <w:top w:val="single" w:color="auto" w:sz="4" w:space="0"/>
              <w:left w:val="single" w:color="auto" w:sz="4" w:space="0"/>
              <w:bottom w:val="single" w:color="auto" w:sz="4" w:space="0"/>
              <w:right w:val="single" w:color="auto" w:sz="4" w:space="0"/>
            </w:tcBorders>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701" w:type="dxa"/>
            <w:tcBorders>
              <w:top w:val="single" w:color="auto" w:sz="4" w:space="0"/>
              <w:left w:val="single" w:color="auto" w:sz="4" w:space="0"/>
              <w:bottom w:val="single" w:color="auto" w:sz="4" w:space="0"/>
            </w:tcBorders>
            <w:vAlign w:val="center"/>
          </w:tcPr>
          <w:p>
            <w:pPr>
              <w:pStyle w:val="22"/>
              <w:keepNext/>
              <w:spacing w:line="440" w:lineRule="exact"/>
              <w:ind w:left="63" w:right="63"/>
              <w:rPr>
                <w:rFonts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31" w:type="dxa"/>
            <w:tcBorders>
              <w:top w:val="single" w:color="auto" w:sz="4" w:space="0"/>
              <w:bottom w:val="single" w:color="auto" w:sz="4" w:space="0"/>
              <w:right w:val="single" w:color="auto" w:sz="4" w:space="0"/>
            </w:tcBorders>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4832" w:type="dxa"/>
            <w:tcBorders>
              <w:top w:val="single" w:color="auto" w:sz="4" w:space="0"/>
              <w:left w:val="single" w:color="auto" w:sz="4" w:space="0"/>
              <w:bottom w:val="single" w:color="auto" w:sz="4" w:space="0"/>
              <w:right w:val="single" w:color="auto" w:sz="4" w:space="0"/>
            </w:tcBorders>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701" w:type="dxa"/>
            <w:tcBorders>
              <w:top w:val="single" w:color="auto" w:sz="4" w:space="0"/>
              <w:left w:val="single" w:color="auto" w:sz="4" w:space="0"/>
              <w:bottom w:val="single" w:color="auto" w:sz="4" w:space="0"/>
            </w:tcBorders>
            <w:vAlign w:val="center"/>
          </w:tcPr>
          <w:p>
            <w:pPr>
              <w:pStyle w:val="22"/>
              <w:keepNext/>
              <w:spacing w:line="440" w:lineRule="exact"/>
              <w:ind w:left="63" w:right="63"/>
              <w:rPr>
                <w:rFonts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31" w:type="dxa"/>
            <w:tcBorders>
              <w:top w:val="single" w:color="auto" w:sz="4" w:space="0"/>
              <w:bottom w:val="single" w:color="auto" w:sz="4" w:space="0"/>
              <w:right w:val="single" w:color="auto" w:sz="4" w:space="0"/>
            </w:tcBorders>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4832" w:type="dxa"/>
            <w:tcBorders>
              <w:top w:val="single" w:color="auto" w:sz="4" w:space="0"/>
              <w:left w:val="single" w:color="auto" w:sz="4" w:space="0"/>
              <w:bottom w:val="single" w:color="auto" w:sz="4" w:space="0"/>
              <w:right w:val="single" w:color="auto" w:sz="4" w:space="0"/>
            </w:tcBorders>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701" w:type="dxa"/>
            <w:tcBorders>
              <w:top w:val="single" w:color="auto" w:sz="4" w:space="0"/>
              <w:left w:val="single" w:color="auto" w:sz="4" w:space="0"/>
              <w:bottom w:val="single" w:color="auto" w:sz="4" w:space="0"/>
            </w:tcBorders>
            <w:vAlign w:val="center"/>
          </w:tcPr>
          <w:p>
            <w:pPr>
              <w:pStyle w:val="22"/>
              <w:keepNext/>
              <w:spacing w:line="440" w:lineRule="exact"/>
              <w:ind w:left="63" w:right="63"/>
              <w:rPr>
                <w:rFonts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831" w:type="dxa"/>
            <w:tcBorders>
              <w:top w:val="single" w:color="auto" w:sz="4" w:space="0"/>
              <w:right w:val="single" w:color="auto" w:sz="4" w:space="0"/>
            </w:tcBorders>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418" w:type="dxa"/>
            <w:tcBorders>
              <w:top w:val="single" w:color="auto" w:sz="4" w:space="0"/>
              <w:left w:val="single" w:color="auto" w:sz="4" w:space="0"/>
              <w:right w:val="single" w:color="auto" w:sz="4" w:space="0"/>
            </w:tcBorders>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4832" w:type="dxa"/>
            <w:tcBorders>
              <w:top w:val="single" w:color="auto" w:sz="4" w:space="0"/>
              <w:left w:val="single" w:color="auto" w:sz="4" w:space="0"/>
              <w:right w:val="single" w:color="auto" w:sz="4" w:space="0"/>
            </w:tcBorders>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2126" w:type="dxa"/>
            <w:tcBorders>
              <w:top w:val="single" w:color="auto" w:sz="4" w:space="0"/>
              <w:left w:val="single" w:color="auto" w:sz="4" w:space="0"/>
              <w:right w:val="single" w:color="auto" w:sz="4" w:space="0"/>
            </w:tcBorders>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843" w:type="dxa"/>
            <w:tcBorders>
              <w:top w:val="single" w:color="auto" w:sz="4" w:space="0"/>
              <w:left w:val="single" w:color="auto" w:sz="4" w:space="0"/>
              <w:right w:val="single" w:color="auto" w:sz="4" w:space="0"/>
            </w:tcBorders>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701" w:type="dxa"/>
            <w:tcBorders>
              <w:top w:val="single" w:color="auto" w:sz="4" w:space="0"/>
              <w:left w:val="single" w:color="auto" w:sz="4" w:space="0"/>
            </w:tcBorders>
            <w:vAlign w:val="center"/>
          </w:tcPr>
          <w:p>
            <w:pPr>
              <w:pStyle w:val="22"/>
              <w:keepNext/>
              <w:spacing w:line="440" w:lineRule="exact"/>
              <w:ind w:left="63" w:right="63"/>
              <w:rPr>
                <w:rFonts w:ascii="仿宋_GB2312" w:hAnsi="仿宋_GB2312" w:eastAsia="仿宋_GB2312" w:cs="仿宋_GB2312"/>
                <w:color w:val="auto"/>
                <w:sz w:val="28"/>
                <w:szCs w:val="28"/>
              </w:rPr>
            </w:pPr>
          </w:p>
        </w:tc>
      </w:tr>
    </w:tbl>
    <w:p/>
    <w:p>
      <w:pPr>
        <w:rPr>
          <w:rFonts w:eastAsia="仿宋_GB2312"/>
          <w:sz w:val="30"/>
          <w:szCs w:val="32"/>
        </w:rPr>
        <w:sectPr>
          <w:pgSz w:w="16838" w:h="11906" w:orient="landscape"/>
          <w:pgMar w:top="1757" w:right="1531" w:bottom="1757" w:left="1531" w:header="851" w:footer="992" w:gutter="0"/>
          <w:cols w:space="720" w:num="1"/>
          <w:titlePg/>
          <w:docGrid w:type="lines" w:linePitch="312" w:charSpace="0"/>
        </w:sectPr>
      </w:pPr>
    </w:p>
    <w:p>
      <w:pPr>
        <w:outlineLvl w:val="1"/>
        <w:rPr>
          <w:rFonts w:ascii="宋体" w:hAnsi="宋体" w:cs="仿宋_GB2312"/>
          <w:sz w:val="28"/>
          <w:szCs w:val="28"/>
        </w:rPr>
      </w:pPr>
      <w:bookmarkStart w:id="1030" w:name="_Toc381252179"/>
      <w:bookmarkStart w:id="1031" w:name="_Toc48854864"/>
      <w:bookmarkStart w:id="1032" w:name="_Toc87754172"/>
      <w:r>
        <w:rPr>
          <w:rFonts w:hint="eastAsia" w:ascii="宋体" w:hAnsi="宋体" w:cs="仿宋_GB2312"/>
          <w:sz w:val="28"/>
          <w:szCs w:val="28"/>
        </w:rPr>
        <w:t>附件2：</w:t>
      </w:r>
      <w:bookmarkEnd w:id="1030"/>
      <w:bookmarkEnd w:id="1031"/>
      <w:bookmarkEnd w:id="1032"/>
    </w:p>
    <w:p>
      <w:pPr>
        <w:autoSpaceDE w:val="0"/>
        <w:autoSpaceDN w:val="0"/>
        <w:adjustRightInd w:val="0"/>
        <w:snapToGrid w:val="0"/>
        <w:spacing w:line="360" w:lineRule="auto"/>
        <w:jc w:val="center"/>
        <w:outlineLvl w:val="1"/>
        <w:rPr>
          <w:rFonts w:ascii="黑体" w:hAnsi="黑体" w:eastAsia="黑体"/>
          <w:sz w:val="28"/>
          <w:szCs w:val="28"/>
        </w:rPr>
      </w:pPr>
      <w:bookmarkStart w:id="1033" w:name="_Toc21439"/>
      <w:bookmarkStart w:id="1034" w:name="_Toc1215922451"/>
      <w:bookmarkStart w:id="1035" w:name="_Toc1905339115"/>
      <w:bookmarkStart w:id="1036" w:name="_Toc5927"/>
      <w:bookmarkStart w:id="1037" w:name="_Toc32548"/>
      <w:bookmarkStart w:id="1038" w:name="_Toc24383"/>
      <w:r>
        <w:rPr>
          <w:rFonts w:hint="eastAsia" w:ascii="黑体" w:hAnsi="黑体" w:eastAsia="黑体"/>
          <w:sz w:val="28"/>
          <w:szCs w:val="28"/>
        </w:rPr>
        <w:t>现状树木一览表</w:t>
      </w:r>
      <w:bookmarkEnd w:id="1033"/>
      <w:bookmarkEnd w:id="1034"/>
      <w:bookmarkEnd w:id="1035"/>
      <w:bookmarkEnd w:id="1036"/>
      <w:bookmarkEnd w:id="1037"/>
      <w:bookmarkEnd w:id="1038"/>
    </w:p>
    <w:tbl>
      <w:tblPr>
        <w:tblStyle w:val="49"/>
        <w:tblpPr w:leftFromText="180" w:rightFromText="180" w:vertAnchor="text" w:horzAnchor="page" w:tblpX="1487" w:tblpY="20"/>
        <w:tblOverlap w:val="never"/>
        <w:tblW w:w="1405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342"/>
        <w:gridCol w:w="1609"/>
        <w:gridCol w:w="1059"/>
        <w:gridCol w:w="1220"/>
        <w:gridCol w:w="3603"/>
        <w:gridCol w:w="1991"/>
        <w:gridCol w:w="2198"/>
        <w:gridCol w:w="10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1" w:hRule="atLeast"/>
        </w:trPr>
        <w:tc>
          <w:tcPr>
            <w:tcW w:w="1342" w:type="dxa"/>
            <w:vAlign w:val="center"/>
          </w:tcPr>
          <w:p>
            <w:pPr>
              <w:pStyle w:val="22"/>
              <w:keepNext/>
              <w:spacing w:line="440" w:lineRule="exact"/>
              <w:ind w:left="63" w:right="63"/>
              <w:rPr>
                <w:rFonts w:hAnsi="宋体" w:cs="仿宋_GB2312"/>
                <w:color w:val="auto"/>
                <w:szCs w:val="21"/>
              </w:rPr>
            </w:pPr>
            <w:r>
              <w:rPr>
                <w:rFonts w:hint="eastAsia" w:hAnsi="宋体" w:cs="仿宋_GB2312"/>
                <w:color w:val="auto"/>
                <w:szCs w:val="21"/>
              </w:rPr>
              <w:t>树木名称</w:t>
            </w:r>
          </w:p>
        </w:tc>
        <w:tc>
          <w:tcPr>
            <w:tcW w:w="1609" w:type="dxa"/>
            <w:vAlign w:val="center"/>
          </w:tcPr>
          <w:p>
            <w:pPr>
              <w:pStyle w:val="22"/>
              <w:keepNext/>
              <w:spacing w:line="440" w:lineRule="exact"/>
              <w:ind w:left="63" w:right="63"/>
              <w:rPr>
                <w:rFonts w:hAnsi="宋体" w:cs="仿宋_GB2312"/>
                <w:color w:val="auto"/>
                <w:szCs w:val="21"/>
              </w:rPr>
            </w:pPr>
            <w:r>
              <w:rPr>
                <w:rFonts w:hint="eastAsia" w:hAnsi="宋体" w:cs="仿宋_GB2312"/>
                <w:color w:val="auto"/>
                <w:szCs w:val="21"/>
              </w:rPr>
              <w:t>规格</w:t>
            </w:r>
          </w:p>
        </w:tc>
        <w:tc>
          <w:tcPr>
            <w:tcW w:w="1059" w:type="dxa"/>
            <w:vAlign w:val="center"/>
          </w:tcPr>
          <w:p>
            <w:pPr>
              <w:pStyle w:val="22"/>
              <w:keepNext/>
              <w:spacing w:line="440" w:lineRule="exact"/>
              <w:ind w:left="63" w:right="63"/>
              <w:rPr>
                <w:rFonts w:hAnsi="宋体" w:cs="仿宋_GB2312"/>
                <w:color w:val="auto"/>
                <w:szCs w:val="21"/>
              </w:rPr>
            </w:pPr>
            <w:r>
              <w:rPr>
                <w:rFonts w:hint="eastAsia" w:hAnsi="宋体" w:cs="仿宋_GB2312"/>
                <w:color w:val="auto"/>
                <w:szCs w:val="21"/>
              </w:rPr>
              <w:t>数量</w:t>
            </w:r>
          </w:p>
        </w:tc>
        <w:tc>
          <w:tcPr>
            <w:tcW w:w="1220" w:type="dxa"/>
            <w:vAlign w:val="center"/>
          </w:tcPr>
          <w:p>
            <w:pPr>
              <w:pStyle w:val="22"/>
              <w:keepNext/>
              <w:spacing w:line="440" w:lineRule="exact"/>
              <w:ind w:left="63" w:right="63"/>
              <w:rPr>
                <w:rFonts w:hAnsi="宋体" w:cs="仿宋_GB2312"/>
                <w:color w:val="auto"/>
                <w:szCs w:val="21"/>
              </w:rPr>
            </w:pPr>
            <w:r>
              <w:rPr>
                <w:rFonts w:hint="eastAsia" w:hAnsi="宋体" w:cs="仿宋_GB2312"/>
                <w:color w:val="auto"/>
                <w:szCs w:val="21"/>
              </w:rPr>
              <w:t>单位</w:t>
            </w:r>
          </w:p>
        </w:tc>
        <w:tc>
          <w:tcPr>
            <w:tcW w:w="3603" w:type="dxa"/>
            <w:vAlign w:val="center"/>
          </w:tcPr>
          <w:p>
            <w:pPr>
              <w:pStyle w:val="22"/>
              <w:keepNext/>
              <w:spacing w:line="440" w:lineRule="exact"/>
              <w:ind w:left="63" w:right="63"/>
              <w:rPr>
                <w:rFonts w:hAnsi="宋体" w:cs="仿宋_GB2312"/>
                <w:color w:val="auto"/>
                <w:szCs w:val="21"/>
              </w:rPr>
            </w:pPr>
            <w:r>
              <w:rPr>
                <w:rFonts w:hint="eastAsia" w:hAnsi="宋体" w:cs="仿宋_GB2312"/>
                <w:color w:val="auto"/>
                <w:szCs w:val="21"/>
              </w:rPr>
              <w:t>生长情况</w:t>
            </w:r>
          </w:p>
        </w:tc>
        <w:tc>
          <w:tcPr>
            <w:tcW w:w="1991" w:type="dxa"/>
            <w:vAlign w:val="center"/>
          </w:tcPr>
          <w:p>
            <w:pPr>
              <w:pStyle w:val="22"/>
              <w:keepNext/>
              <w:spacing w:line="440" w:lineRule="exact"/>
              <w:ind w:left="63" w:right="63"/>
              <w:rPr>
                <w:rFonts w:hAnsi="宋体" w:cs="仿宋_GB2312"/>
                <w:color w:val="auto"/>
                <w:szCs w:val="21"/>
              </w:rPr>
            </w:pPr>
            <w:r>
              <w:rPr>
                <w:rFonts w:hint="eastAsia" w:hAnsi="宋体" w:cs="仿宋_GB2312"/>
                <w:color w:val="auto"/>
                <w:szCs w:val="21"/>
              </w:rPr>
              <w:t>是否古树名木</w:t>
            </w:r>
          </w:p>
        </w:tc>
        <w:tc>
          <w:tcPr>
            <w:tcW w:w="2198" w:type="dxa"/>
            <w:vAlign w:val="center"/>
          </w:tcPr>
          <w:p>
            <w:pPr>
              <w:pStyle w:val="22"/>
              <w:keepNext/>
              <w:spacing w:line="440" w:lineRule="exact"/>
              <w:ind w:left="63" w:right="63"/>
              <w:rPr>
                <w:rFonts w:hAnsi="宋体" w:cs="仿宋_GB2312"/>
                <w:color w:val="auto"/>
                <w:szCs w:val="21"/>
              </w:rPr>
            </w:pPr>
            <w:r>
              <w:rPr>
                <w:rFonts w:hint="eastAsia" w:hAnsi="宋体" w:cs="仿宋_GB2312"/>
                <w:color w:val="auto"/>
                <w:szCs w:val="21"/>
              </w:rPr>
              <w:t>处置情况</w:t>
            </w:r>
          </w:p>
        </w:tc>
        <w:tc>
          <w:tcPr>
            <w:tcW w:w="1036" w:type="dxa"/>
            <w:vAlign w:val="center"/>
          </w:tcPr>
          <w:p>
            <w:pPr>
              <w:pStyle w:val="22"/>
              <w:keepNext/>
              <w:spacing w:line="440" w:lineRule="exact"/>
              <w:ind w:left="63" w:right="63"/>
              <w:rPr>
                <w:rFonts w:hAnsi="宋体" w:cs="仿宋_GB2312"/>
                <w:color w:val="auto"/>
                <w:szCs w:val="21"/>
              </w:rPr>
            </w:pPr>
            <w:r>
              <w:rPr>
                <w:rFonts w:hint="eastAsia" w:hAnsi="宋体" w:cs="仿宋_GB2312"/>
                <w:color w:val="auto"/>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05" w:hRule="atLeast"/>
        </w:trPr>
        <w:tc>
          <w:tcPr>
            <w:tcW w:w="1342"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609"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059"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220"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3603"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991"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2198"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036" w:type="dxa"/>
            <w:vAlign w:val="center"/>
          </w:tcPr>
          <w:p>
            <w:pPr>
              <w:pStyle w:val="22"/>
              <w:keepNext/>
              <w:spacing w:line="440" w:lineRule="exact"/>
              <w:ind w:left="63" w:right="63"/>
              <w:rPr>
                <w:rFonts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342"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609"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059"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220"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3603"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991"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2198"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036" w:type="dxa"/>
            <w:vAlign w:val="center"/>
          </w:tcPr>
          <w:p>
            <w:pPr>
              <w:pStyle w:val="22"/>
              <w:keepNext/>
              <w:spacing w:line="440" w:lineRule="exact"/>
              <w:ind w:left="63" w:right="63"/>
              <w:rPr>
                <w:rFonts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342"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609"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059"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220"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3603"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991"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2198"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036" w:type="dxa"/>
            <w:vAlign w:val="center"/>
          </w:tcPr>
          <w:p>
            <w:pPr>
              <w:pStyle w:val="22"/>
              <w:keepNext/>
              <w:spacing w:line="440" w:lineRule="exact"/>
              <w:ind w:left="63" w:right="63"/>
              <w:rPr>
                <w:rFonts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342"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609"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059"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220"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3603"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991"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2198"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036" w:type="dxa"/>
            <w:vAlign w:val="center"/>
          </w:tcPr>
          <w:p>
            <w:pPr>
              <w:pStyle w:val="22"/>
              <w:keepNext/>
              <w:spacing w:line="440" w:lineRule="exact"/>
              <w:ind w:left="63" w:right="63"/>
              <w:rPr>
                <w:rFonts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342"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609"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059"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220"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3603"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991"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2198"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036" w:type="dxa"/>
            <w:vAlign w:val="center"/>
          </w:tcPr>
          <w:p>
            <w:pPr>
              <w:pStyle w:val="22"/>
              <w:keepNext/>
              <w:spacing w:line="440" w:lineRule="exact"/>
              <w:ind w:left="63" w:right="63"/>
              <w:rPr>
                <w:rFonts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342"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609"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059"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220"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3603"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991"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2198"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036" w:type="dxa"/>
            <w:vAlign w:val="center"/>
          </w:tcPr>
          <w:p>
            <w:pPr>
              <w:pStyle w:val="22"/>
              <w:keepNext/>
              <w:spacing w:line="440" w:lineRule="exact"/>
              <w:ind w:left="63" w:right="63"/>
              <w:rPr>
                <w:rFonts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342"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609"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059"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220"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3603"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991"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2198"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036" w:type="dxa"/>
            <w:vAlign w:val="center"/>
          </w:tcPr>
          <w:p>
            <w:pPr>
              <w:pStyle w:val="22"/>
              <w:keepNext/>
              <w:spacing w:line="440" w:lineRule="exact"/>
              <w:ind w:left="63" w:right="63"/>
              <w:rPr>
                <w:rFonts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342"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609"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059"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220"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3603"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991"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2198"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036" w:type="dxa"/>
            <w:vAlign w:val="center"/>
          </w:tcPr>
          <w:p>
            <w:pPr>
              <w:pStyle w:val="22"/>
              <w:keepNext/>
              <w:spacing w:line="440" w:lineRule="exact"/>
              <w:ind w:left="63" w:right="63"/>
              <w:rPr>
                <w:rFonts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342"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609"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059"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220"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3603"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991"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2198"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036" w:type="dxa"/>
            <w:vAlign w:val="center"/>
          </w:tcPr>
          <w:p>
            <w:pPr>
              <w:pStyle w:val="22"/>
              <w:keepNext/>
              <w:spacing w:line="440" w:lineRule="exact"/>
              <w:ind w:left="63" w:right="63"/>
              <w:rPr>
                <w:rFonts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3" w:hRule="atLeast"/>
        </w:trPr>
        <w:tc>
          <w:tcPr>
            <w:tcW w:w="1342"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609"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059"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220"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3603"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991"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2198" w:type="dxa"/>
            <w:vAlign w:val="center"/>
          </w:tcPr>
          <w:p>
            <w:pPr>
              <w:pStyle w:val="22"/>
              <w:keepNext/>
              <w:spacing w:line="440" w:lineRule="exact"/>
              <w:ind w:left="63" w:right="63"/>
              <w:rPr>
                <w:rFonts w:ascii="仿宋_GB2312" w:hAnsi="仿宋_GB2312" w:eastAsia="仿宋_GB2312" w:cs="仿宋_GB2312"/>
                <w:color w:val="auto"/>
                <w:sz w:val="28"/>
                <w:szCs w:val="28"/>
              </w:rPr>
            </w:pPr>
          </w:p>
        </w:tc>
        <w:tc>
          <w:tcPr>
            <w:tcW w:w="1036" w:type="dxa"/>
            <w:vAlign w:val="center"/>
          </w:tcPr>
          <w:p>
            <w:pPr>
              <w:pStyle w:val="22"/>
              <w:keepNext/>
              <w:spacing w:line="440" w:lineRule="exact"/>
              <w:ind w:left="63" w:right="63"/>
              <w:rPr>
                <w:rFonts w:ascii="仿宋_GB2312" w:hAnsi="仿宋_GB2312" w:eastAsia="仿宋_GB2312" w:cs="仿宋_GB2312"/>
                <w:color w:val="auto"/>
                <w:sz w:val="28"/>
                <w:szCs w:val="28"/>
              </w:rPr>
            </w:pPr>
          </w:p>
        </w:tc>
      </w:tr>
    </w:tbl>
    <w:p>
      <w:pPr>
        <w:outlineLvl w:val="1"/>
        <w:rPr>
          <w:rFonts w:ascii="仿宋_GB2312" w:hAnsi="仿宋_GB2312" w:eastAsia="仿宋_GB2312" w:cs="仿宋_GB2312"/>
          <w:sz w:val="30"/>
          <w:szCs w:val="32"/>
        </w:rPr>
        <w:sectPr>
          <w:pgSz w:w="16838" w:h="11906" w:orient="landscape"/>
          <w:pgMar w:top="1757" w:right="1531" w:bottom="1757" w:left="1531" w:header="851" w:footer="992" w:gutter="0"/>
          <w:cols w:space="720" w:num="1"/>
          <w:docGrid w:type="lines" w:linePitch="312" w:charSpace="0"/>
        </w:sectPr>
      </w:pPr>
    </w:p>
    <w:p>
      <w:pPr>
        <w:outlineLvl w:val="1"/>
        <w:rPr>
          <w:rFonts w:ascii="宋体" w:hAnsi="宋体" w:cs="仿宋_GB2312"/>
          <w:sz w:val="28"/>
          <w:szCs w:val="28"/>
        </w:rPr>
      </w:pPr>
      <w:bookmarkStart w:id="1039" w:name="_Toc1616868245"/>
      <w:bookmarkStart w:id="1040" w:name="_Toc41530498"/>
      <w:bookmarkStart w:id="1041" w:name="_Toc935379669"/>
      <w:r>
        <w:rPr>
          <w:rFonts w:hint="eastAsia" w:ascii="宋体" w:hAnsi="宋体" w:cs="仿宋_GB2312"/>
          <w:sz w:val="28"/>
          <w:szCs w:val="28"/>
        </w:rPr>
        <w:t>附件3：</w:t>
      </w:r>
      <w:bookmarkEnd w:id="1039"/>
      <w:bookmarkEnd w:id="1040"/>
      <w:bookmarkEnd w:id="1041"/>
    </w:p>
    <w:p>
      <w:pPr>
        <w:spacing w:line="360" w:lineRule="auto"/>
        <w:jc w:val="center"/>
        <w:outlineLvl w:val="1"/>
        <w:rPr>
          <w:rFonts w:ascii="宋体" w:hAnsi="宋体"/>
          <w:szCs w:val="21"/>
        </w:rPr>
      </w:pPr>
      <w:bookmarkStart w:id="1042" w:name="_Toc608362669"/>
      <w:bookmarkStart w:id="1043" w:name="_Toc698560855"/>
      <w:bookmarkStart w:id="1044" w:name="_Toc9180"/>
      <w:bookmarkStart w:id="1045" w:name="_Toc1635"/>
      <w:bookmarkStart w:id="1046" w:name="_Toc1160"/>
      <w:bookmarkStart w:id="1047" w:name="_Toc23614"/>
      <w:bookmarkStart w:id="1048" w:name="_Toc30400"/>
      <w:r>
        <w:rPr>
          <w:rFonts w:hint="eastAsia" w:ascii="黑体" w:hAnsi="黑体" w:eastAsia="黑体"/>
          <w:sz w:val="28"/>
          <w:szCs w:val="28"/>
        </w:rPr>
        <w:t>暂估价一览表</w:t>
      </w:r>
      <w:bookmarkEnd w:id="1042"/>
      <w:bookmarkEnd w:id="1043"/>
      <w:bookmarkEnd w:id="1044"/>
      <w:bookmarkEnd w:id="1045"/>
      <w:bookmarkEnd w:id="1046"/>
      <w:bookmarkEnd w:id="1047"/>
      <w:bookmarkEnd w:id="1048"/>
    </w:p>
    <w:tbl>
      <w:tblPr>
        <w:tblStyle w:val="49"/>
        <w:tblW w:w="844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798"/>
        <w:gridCol w:w="1974"/>
        <w:gridCol w:w="792"/>
        <w:gridCol w:w="721"/>
        <w:gridCol w:w="1259"/>
        <w:gridCol w:w="1320"/>
        <w:gridCol w:w="15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0" w:hRule="atLeast"/>
          <w:jc w:val="center"/>
        </w:trPr>
        <w:tc>
          <w:tcPr>
            <w:tcW w:w="798" w:type="dxa"/>
            <w:vAlign w:val="center"/>
          </w:tcPr>
          <w:p>
            <w:pPr>
              <w:pStyle w:val="22"/>
              <w:keepNext/>
              <w:spacing w:line="440" w:lineRule="exact"/>
              <w:ind w:left="63" w:right="63"/>
              <w:rPr>
                <w:rFonts w:hAnsi="宋体" w:cs="仿宋_GB2312"/>
                <w:color w:val="auto"/>
                <w:szCs w:val="21"/>
              </w:rPr>
            </w:pPr>
            <w:r>
              <w:rPr>
                <w:rFonts w:hint="eastAsia" w:hAnsi="宋体" w:cs="仿宋_GB2312"/>
                <w:color w:val="auto"/>
                <w:szCs w:val="21"/>
              </w:rPr>
              <w:t>序号</w:t>
            </w:r>
          </w:p>
        </w:tc>
        <w:tc>
          <w:tcPr>
            <w:tcW w:w="1974" w:type="dxa"/>
            <w:vAlign w:val="center"/>
          </w:tcPr>
          <w:p>
            <w:pPr>
              <w:pStyle w:val="22"/>
              <w:keepNext/>
              <w:spacing w:line="440" w:lineRule="exact"/>
              <w:ind w:left="63" w:right="63"/>
              <w:rPr>
                <w:rFonts w:hAnsi="宋体" w:cs="仿宋_GB2312"/>
                <w:color w:val="auto"/>
                <w:szCs w:val="21"/>
              </w:rPr>
            </w:pPr>
            <w:r>
              <w:rPr>
                <w:rFonts w:hint="eastAsia" w:hAnsi="宋体" w:cs="仿宋_GB2312"/>
                <w:color w:val="auto"/>
                <w:szCs w:val="21"/>
              </w:rPr>
              <w:t>名称</w:t>
            </w:r>
          </w:p>
        </w:tc>
        <w:tc>
          <w:tcPr>
            <w:tcW w:w="792" w:type="dxa"/>
            <w:vAlign w:val="center"/>
          </w:tcPr>
          <w:p>
            <w:pPr>
              <w:pStyle w:val="22"/>
              <w:keepNext/>
              <w:spacing w:line="440" w:lineRule="exact"/>
              <w:ind w:left="63" w:right="63"/>
              <w:rPr>
                <w:rFonts w:hAnsi="宋体" w:cs="仿宋_GB2312"/>
                <w:color w:val="auto"/>
                <w:szCs w:val="21"/>
              </w:rPr>
            </w:pPr>
            <w:r>
              <w:rPr>
                <w:rFonts w:hint="eastAsia" w:hAnsi="宋体" w:cs="仿宋_GB2312"/>
                <w:color w:val="auto"/>
                <w:szCs w:val="21"/>
              </w:rPr>
              <w:t>单位</w:t>
            </w:r>
          </w:p>
        </w:tc>
        <w:tc>
          <w:tcPr>
            <w:tcW w:w="721" w:type="dxa"/>
            <w:vAlign w:val="center"/>
          </w:tcPr>
          <w:p>
            <w:pPr>
              <w:pStyle w:val="22"/>
              <w:keepNext/>
              <w:rPr>
                <w:rFonts w:hAnsi="宋体" w:cs="仿宋_GB2312"/>
                <w:color w:val="auto"/>
                <w:szCs w:val="21"/>
              </w:rPr>
            </w:pPr>
            <w:r>
              <w:rPr>
                <w:rFonts w:hint="eastAsia" w:hAnsi="宋体" w:cs="仿宋_GB2312"/>
                <w:color w:val="auto"/>
                <w:szCs w:val="21"/>
              </w:rPr>
              <w:t>数量</w:t>
            </w:r>
          </w:p>
        </w:tc>
        <w:tc>
          <w:tcPr>
            <w:tcW w:w="1259" w:type="dxa"/>
            <w:vAlign w:val="center"/>
          </w:tcPr>
          <w:p>
            <w:pPr>
              <w:pStyle w:val="22"/>
              <w:keepNext/>
              <w:rPr>
                <w:rFonts w:hAnsi="宋体" w:cs="仿宋_GB2312"/>
                <w:color w:val="auto"/>
                <w:szCs w:val="21"/>
              </w:rPr>
            </w:pPr>
            <w:r>
              <w:rPr>
                <w:rFonts w:hint="eastAsia" w:hAnsi="宋体" w:cs="仿宋_GB2312"/>
                <w:color w:val="auto"/>
                <w:szCs w:val="21"/>
              </w:rPr>
              <w:t>单价（元）</w:t>
            </w:r>
          </w:p>
        </w:tc>
        <w:tc>
          <w:tcPr>
            <w:tcW w:w="1320" w:type="dxa"/>
            <w:vAlign w:val="center"/>
          </w:tcPr>
          <w:p>
            <w:pPr>
              <w:pStyle w:val="22"/>
              <w:keepNext/>
              <w:spacing w:line="440" w:lineRule="exact"/>
              <w:ind w:left="63" w:right="63"/>
              <w:rPr>
                <w:rFonts w:hAnsi="宋体" w:cs="仿宋_GB2312"/>
                <w:color w:val="auto"/>
                <w:szCs w:val="21"/>
              </w:rPr>
            </w:pPr>
            <w:r>
              <w:rPr>
                <w:rFonts w:hint="eastAsia" w:hAnsi="宋体" w:cs="仿宋_GB2312"/>
                <w:color w:val="auto"/>
                <w:szCs w:val="21"/>
              </w:rPr>
              <w:t>合价（元）</w:t>
            </w:r>
          </w:p>
        </w:tc>
        <w:tc>
          <w:tcPr>
            <w:tcW w:w="1584" w:type="dxa"/>
            <w:vAlign w:val="center"/>
          </w:tcPr>
          <w:p>
            <w:pPr>
              <w:pStyle w:val="22"/>
              <w:keepNext/>
              <w:spacing w:line="440" w:lineRule="exact"/>
              <w:ind w:left="63" w:right="63"/>
              <w:rPr>
                <w:rFonts w:hAnsi="宋体" w:cs="仿宋_GB2312"/>
                <w:color w:val="auto"/>
                <w:szCs w:val="21"/>
              </w:rPr>
            </w:pPr>
            <w:r>
              <w:rPr>
                <w:rFonts w:hint="eastAsia" w:hAnsi="宋体" w:cs="仿宋_GB2312"/>
                <w:color w:val="auto"/>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pPr>
              <w:pStyle w:val="22"/>
              <w:keepNext/>
              <w:spacing w:line="440" w:lineRule="exact"/>
              <w:ind w:left="63" w:right="63"/>
              <w:rPr>
                <w:rFonts w:ascii="仿宋_GB2312" w:hAnsi="仿宋_GB2312" w:eastAsia="仿宋_GB2312" w:cs="仿宋_GB2312"/>
                <w:color w:val="auto"/>
                <w:sz w:val="28"/>
                <w:szCs w:val="28"/>
              </w:rPr>
            </w:pPr>
          </w:p>
        </w:tc>
        <w:tc>
          <w:tcPr>
            <w:tcW w:w="1974" w:type="dxa"/>
          </w:tcPr>
          <w:p>
            <w:pPr>
              <w:pStyle w:val="22"/>
              <w:keepNext/>
              <w:spacing w:line="440" w:lineRule="exact"/>
              <w:ind w:left="63" w:right="63"/>
              <w:rPr>
                <w:rFonts w:ascii="仿宋_GB2312" w:hAnsi="仿宋_GB2312" w:eastAsia="仿宋_GB2312" w:cs="仿宋_GB2312"/>
                <w:color w:val="auto"/>
                <w:sz w:val="28"/>
                <w:szCs w:val="28"/>
              </w:rPr>
            </w:pPr>
          </w:p>
        </w:tc>
        <w:tc>
          <w:tcPr>
            <w:tcW w:w="792" w:type="dxa"/>
          </w:tcPr>
          <w:p>
            <w:pPr>
              <w:pStyle w:val="22"/>
              <w:keepNext/>
              <w:spacing w:line="440" w:lineRule="exact"/>
              <w:ind w:left="63" w:right="63"/>
              <w:rPr>
                <w:rFonts w:ascii="仿宋_GB2312" w:hAnsi="仿宋_GB2312" w:eastAsia="仿宋_GB2312" w:cs="仿宋_GB2312"/>
                <w:color w:val="auto"/>
                <w:sz w:val="28"/>
                <w:szCs w:val="28"/>
              </w:rPr>
            </w:pPr>
          </w:p>
        </w:tc>
        <w:tc>
          <w:tcPr>
            <w:tcW w:w="721" w:type="dxa"/>
          </w:tcPr>
          <w:p>
            <w:pPr>
              <w:pStyle w:val="22"/>
              <w:keepNext/>
              <w:spacing w:line="440" w:lineRule="exact"/>
              <w:ind w:left="63" w:right="63"/>
              <w:rPr>
                <w:rFonts w:ascii="仿宋_GB2312" w:hAnsi="仿宋_GB2312" w:eastAsia="仿宋_GB2312" w:cs="仿宋_GB2312"/>
                <w:color w:val="auto"/>
                <w:sz w:val="28"/>
                <w:szCs w:val="28"/>
              </w:rPr>
            </w:pPr>
          </w:p>
        </w:tc>
        <w:tc>
          <w:tcPr>
            <w:tcW w:w="1259" w:type="dxa"/>
          </w:tcPr>
          <w:p>
            <w:pPr>
              <w:pStyle w:val="22"/>
              <w:keepNext/>
              <w:spacing w:line="440" w:lineRule="exact"/>
              <w:ind w:left="63" w:right="63"/>
              <w:rPr>
                <w:rFonts w:ascii="仿宋_GB2312" w:hAnsi="仿宋_GB2312" w:eastAsia="仿宋_GB2312" w:cs="仿宋_GB2312"/>
                <w:color w:val="auto"/>
                <w:sz w:val="28"/>
                <w:szCs w:val="28"/>
              </w:rPr>
            </w:pPr>
          </w:p>
        </w:tc>
        <w:tc>
          <w:tcPr>
            <w:tcW w:w="1320" w:type="dxa"/>
          </w:tcPr>
          <w:p>
            <w:pPr>
              <w:pStyle w:val="22"/>
              <w:keepNext/>
              <w:spacing w:line="440" w:lineRule="exact"/>
              <w:ind w:left="63" w:right="63"/>
              <w:rPr>
                <w:rFonts w:ascii="仿宋_GB2312" w:hAnsi="仿宋_GB2312" w:eastAsia="仿宋_GB2312" w:cs="仿宋_GB2312"/>
                <w:color w:val="auto"/>
                <w:sz w:val="28"/>
                <w:szCs w:val="28"/>
              </w:rPr>
            </w:pPr>
          </w:p>
        </w:tc>
        <w:tc>
          <w:tcPr>
            <w:tcW w:w="1584" w:type="dxa"/>
          </w:tcPr>
          <w:p>
            <w:pPr>
              <w:pStyle w:val="22"/>
              <w:keepNext/>
              <w:spacing w:line="440" w:lineRule="exact"/>
              <w:ind w:left="63" w:right="63"/>
              <w:rPr>
                <w:rFonts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pPr>
              <w:pStyle w:val="22"/>
              <w:keepNext/>
              <w:spacing w:line="440" w:lineRule="exact"/>
              <w:ind w:left="63" w:right="63"/>
              <w:rPr>
                <w:rFonts w:ascii="仿宋_GB2312" w:hAnsi="仿宋_GB2312" w:eastAsia="仿宋_GB2312" w:cs="仿宋_GB2312"/>
                <w:color w:val="auto"/>
                <w:sz w:val="28"/>
                <w:szCs w:val="28"/>
              </w:rPr>
            </w:pPr>
          </w:p>
        </w:tc>
        <w:tc>
          <w:tcPr>
            <w:tcW w:w="1974" w:type="dxa"/>
          </w:tcPr>
          <w:p>
            <w:pPr>
              <w:pStyle w:val="22"/>
              <w:keepNext/>
              <w:spacing w:line="440" w:lineRule="exact"/>
              <w:ind w:left="63" w:right="63"/>
              <w:rPr>
                <w:rFonts w:ascii="仿宋_GB2312" w:hAnsi="仿宋_GB2312" w:eastAsia="仿宋_GB2312" w:cs="仿宋_GB2312"/>
                <w:color w:val="auto"/>
                <w:sz w:val="28"/>
                <w:szCs w:val="28"/>
              </w:rPr>
            </w:pPr>
          </w:p>
        </w:tc>
        <w:tc>
          <w:tcPr>
            <w:tcW w:w="792" w:type="dxa"/>
          </w:tcPr>
          <w:p>
            <w:pPr>
              <w:pStyle w:val="22"/>
              <w:keepNext/>
              <w:spacing w:line="440" w:lineRule="exact"/>
              <w:ind w:left="63" w:right="63"/>
              <w:rPr>
                <w:rFonts w:ascii="仿宋_GB2312" w:hAnsi="仿宋_GB2312" w:eastAsia="仿宋_GB2312" w:cs="仿宋_GB2312"/>
                <w:color w:val="auto"/>
                <w:sz w:val="28"/>
                <w:szCs w:val="28"/>
              </w:rPr>
            </w:pPr>
          </w:p>
        </w:tc>
        <w:tc>
          <w:tcPr>
            <w:tcW w:w="721" w:type="dxa"/>
          </w:tcPr>
          <w:p>
            <w:pPr>
              <w:pStyle w:val="22"/>
              <w:keepNext/>
              <w:spacing w:line="440" w:lineRule="exact"/>
              <w:ind w:left="63" w:right="63"/>
              <w:rPr>
                <w:rFonts w:ascii="仿宋_GB2312" w:hAnsi="仿宋_GB2312" w:eastAsia="仿宋_GB2312" w:cs="仿宋_GB2312"/>
                <w:color w:val="auto"/>
                <w:sz w:val="28"/>
                <w:szCs w:val="28"/>
              </w:rPr>
            </w:pPr>
          </w:p>
        </w:tc>
        <w:tc>
          <w:tcPr>
            <w:tcW w:w="1259" w:type="dxa"/>
          </w:tcPr>
          <w:p>
            <w:pPr>
              <w:pStyle w:val="22"/>
              <w:keepNext/>
              <w:spacing w:line="440" w:lineRule="exact"/>
              <w:ind w:left="63" w:right="63"/>
              <w:rPr>
                <w:rFonts w:ascii="仿宋_GB2312" w:hAnsi="仿宋_GB2312" w:eastAsia="仿宋_GB2312" w:cs="仿宋_GB2312"/>
                <w:color w:val="auto"/>
                <w:sz w:val="28"/>
                <w:szCs w:val="28"/>
              </w:rPr>
            </w:pPr>
          </w:p>
        </w:tc>
        <w:tc>
          <w:tcPr>
            <w:tcW w:w="1320" w:type="dxa"/>
          </w:tcPr>
          <w:p>
            <w:pPr>
              <w:pStyle w:val="22"/>
              <w:keepNext/>
              <w:spacing w:line="440" w:lineRule="exact"/>
              <w:ind w:left="63" w:right="63"/>
              <w:rPr>
                <w:rFonts w:ascii="仿宋_GB2312" w:hAnsi="仿宋_GB2312" w:eastAsia="仿宋_GB2312" w:cs="仿宋_GB2312"/>
                <w:color w:val="auto"/>
                <w:sz w:val="28"/>
                <w:szCs w:val="28"/>
              </w:rPr>
            </w:pPr>
          </w:p>
        </w:tc>
        <w:tc>
          <w:tcPr>
            <w:tcW w:w="1584" w:type="dxa"/>
          </w:tcPr>
          <w:p>
            <w:pPr>
              <w:pStyle w:val="22"/>
              <w:keepNext/>
              <w:spacing w:line="440" w:lineRule="exact"/>
              <w:ind w:left="63" w:right="63"/>
              <w:rPr>
                <w:rFonts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pPr>
              <w:pStyle w:val="22"/>
              <w:keepNext/>
              <w:spacing w:line="440" w:lineRule="exact"/>
              <w:ind w:left="63" w:right="63"/>
              <w:rPr>
                <w:rFonts w:ascii="仿宋_GB2312" w:hAnsi="仿宋_GB2312" w:eastAsia="仿宋_GB2312" w:cs="仿宋_GB2312"/>
                <w:color w:val="auto"/>
                <w:sz w:val="28"/>
                <w:szCs w:val="28"/>
              </w:rPr>
            </w:pPr>
          </w:p>
        </w:tc>
        <w:tc>
          <w:tcPr>
            <w:tcW w:w="1974" w:type="dxa"/>
          </w:tcPr>
          <w:p>
            <w:pPr>
              <w:pStyle w:val="22"/>
              <w:keepNext/>
              <w:spacing w:line="440" w:lineRule="exact"/>
              <w:ind w:left="63" w:right="63"/>
              <w:rPr>
                <w:rFonts w:ascii="仿宋_GB2312" w:hAnsi="仿宋_GB2312" w:eastAsia="仿宋_GB2312" w:cs="仿宋_GB2312"/>
                <w:color w:val="auto"/>
                <w:sz w:val="28"/>
                <w:szCs w:val="28"/>
              </w:rPr>
            </w:pPr>
          </w:p>
        </w:tc>
        <w:tc>
          <w:tcPr>
            <w:tcW w:w="792" w:type="dxa"/>
          </w:tcPr>
          <w:p>
            <w:pPr>
              <w:pStyle w:val="22"/>
              <w:keepNext/>
              <w:spacing w:line="440" w:lineRule="exact"/>
              <w:ind w:left="63" w:right="63"/>
              <w:rPr>
                <w:rFonts w:ascii="仿宋_GB2312" w:hAnsi="仿宋_GB2312" w:eastAsia="仿宋_GB2312" w:cs="仿宋_GB2312"/>
                <w:color w:val="auto"/>
                <w:sz w:val="28"/>
                <w:szCs w:val="28"/>
              </w:rPr>
            </w:pPr>
          </w:p>
        </w:tc>
        <w:tc>
          <w:tcPr>
            <w:tcW w:w="721" w:type="dxa"/>
          </w:tcPr>
          <w:p>
            <w:pPr>
              <w:pStyle w:val="22"/>
              <w:keepNext/>
              <w:spacing w:line="440" w:lineRule="exact"/>
              <w:ind w:left="63" w:right="63"/>
              <w:rPr>
                <w:rFonts w:ascii="仿宋_GB2312" w:hAnsi="仿宋_GB2312" w:eastAsia="仿宋_GB2312" w:cs="仿宋_GB2312"/>
                <w:color w:val="auto"/>
                <w:sz w:val="28"/>
                <w:szCs w:val="28"/>
              </w:rPr>
            </w:pPr>
          </w:p>
        </w:tc>
        <w:tc>
          <w:tcPr>
            <w:tcW w:w="1259" w:type="dxa"/>
          </w:tcPr>
          <w:p>
            <w:pPr>
              <w:pStyle w:val="22"/>
              <w:keepNext/>
              <w:spacing w:line="440" w:lineRule="exact"/>
              <w:ind w:left="63" w:right="63"/>
              <w:rPr>
                <w:rFonts w:ascii="仿宋_GB2312" w:hAnsi="仿宋_GB2312" w:eastAsia="仿宋_GB2312" w:cs="仿宋_GB2312"/>
                <w:color w:val="auto"/>
                <w:sz w:val="28"/>
                <w:szCs w:val="28"/>
              </w:rPr>
            </w:pPr>
          </w:p>
        </w:tc>
        <w:tc>
          <w:tcPr>
            <w:tcW w:w="1320" w:type="dxa"/>
          </w:tcPr>
          <w:p>
            <w:pPr>
              <w:pStyle w:val="22"/>
              <w:keepNext/>
              <w:spacing w:line="440" w:lineRule="exact"/>
              <w:ind w:left="63" w:right="63"/>
              <w:rPr>
                <w:rFonts w:ascii="仿宋_GB2312" w:hAnsi="仿宋_GB2312" w:eastAsia="仿宋_GB2312" w:cs="仿宋_GB2312"/>
                <w:color w:val="auto"/>
                <w:sz w:val="28"/>
                <w:szCs w:val="28"/>
              </w:rPr>
            </w:pPr>
          </w:p>
        </w:tc>
        <w:tc>
          <w:tcPr>
            <w:tcW w:w="1584" w:type="dxa"/>
          </w:tcPr>
          <w:p>
            <w:pPr>
              <w:pStyle w:val="22"/>
              <w:keepNext/>
              <w:spacing w:line="440" w:lineRule="exact"/>
              <w:ind w:left="63" w:right="63"/>
              <w:rPr>
                <w:rFonts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pPr>
              <w:pStyle w:val="22"/>
              <w:keepNext/>
              <w:spacing w:line="440" w:lineRule="exact"/>
              <w:ind w:left="63" w:right="63"/>
              <w:rPr>
                <w:rFonts w:ascii="仿宋_GB2312" w:hAnsi="仿宋_GB2312" w:eastAsia="仿宋_GB2312" w:cs="仿宋_GB2312"/>
                <w:color w:val="auto"/>
                <w:sz w:val="28"/>
                <w:szCs w:val="28"/>
              </w:rPr>
            </w:pPr>
          </w:p>
        </w:tc>
        <w:tc>
          <w:tcPr>
            <w:tcW w:w="1974" w:type="dxa"/>
          </w:tcPr>
          <w:p>
            <w:pPr>
              <w:pStyle w:val="22"/>
              <w:keepNext/>
              <w:spacing w:line="440" w:lineRule="exact"/>
              <w:ind w:left="63" w:right="63"/>
              <w:rPr>
                <w:rFonts w:ascii="仿宋_GB2312" w:hAnsi="仿宋_GB2312" w:eastAsia="仿宋_GB2312" w:cs="仿宋_GB2312"/>
                <w:color w:val="auto"/>
                <w:sz w:val="28"/>
                <w:szCs w:val="28"/>
              </w:rPr>
            </w:pPr>
          </w:p>
        </w:tc>
        <w:tc>
          <w:tcPr>
            <w:tcW w:w="792" w:type="dxa"/>
          </w:tcPr>
          <w:p>
            <w:pPr>
              <w:pStyle w:val="22"/>
              <w:keepNext/>
              <w:spacing w:line="440" w:lineRule="exact"/>
              <w:ind w:left="63" w:right="63"/>
              <w:rPr>
                <w:rFonts w:ascii="仿宋_GB2312" w:hAnsi="仿宋_GB2312" w:eastAsia="仿宋_GB2312" w:cs="仿宋_GB2312"/>
                <w:color w:val="auto"/>
                <w:sz w:val="28"/>
                <w:szCs w:val="28"/>
              </w:rPr>
            </w:pPr>
          </w:p>
        </w:tc>
        <w:tc>
          <w:tcPr>
            <w:tcW w:w="721" w:type="dxa"/>
          </w:tcPr>
          <w:p>
            <w:pPr>
              <w:pStyle w:val="22"/>
              <w:keepNext/>
              <w:spacing w:line="440" w:lineRule="exact"/>
              <w:ind w:left="63" w:right="63"/>
              <w:rPr>
                <w:rFonts w:ascii="仿宋_GB2312" w:hAnsi="仿宋_GB2312" w:eastAsia="仿宋_GB2312" w:cs="仿宋_GB2312"/>
                <w:color w:val="auto"/>
                <w:sz w:val="28"/>
                <w:szCs w:val="28"/>
              </w:rPr>
            </w:pPr>
          </w:p>
        </w:tc>
        <w:tc>
          <w:tcPr>
            <w:tcW w:w="1259" w:type="dxa"/>
          </w:tcPr>
          <w:p>
            <w:pPr>
              <w:pStyle w:val="22"/>
              <w:keepNext/>
              <w:spacing w:line="440" w:lineRule="exact"/>
              <w:ind w:left="63" w:right="63"/>
              <w:rPr>
                <w:rFonts w:ascii="仿宋_GB2312" w:hAnsi="仿宋_GB2312" w:eastAsia="仿宋_GB2312" w:cs="仿宋_GB2312"/>
                <w:color w:val="auto"/>
                <w:sz w:val="28"/>
                <w:szCs w:val="28"/>
              </w:rPr>
            </w:pPr>
          </w:p>
        </w:tc>
        <w:tc>
          <w:tcPr>
            <w:tcW w:w="1320" w:type="dxa"/>
          </w:tcPr>
          <w:p>
            <w:pPr>
              <w:pStyle w:val="22"/>
              <w:keepNext/>
              <w:spacing w:line="440" w:lineRule="exact"/>
              <w:ind w:left="63" w:right="63"/>
              <w:rPr>
                <w:rFonts w:ascii="仿宋_GB2312" w:hAnsi="仿宋_GB2312" w:eastAsia="仿宋_GB2312" w:cs="仿宋_GB2312"/>
                <w:color w:val="auto"/>
                <w:sz w:val="28"/>
                <w:szCs w:val="28"/>
              </w:rPr>
            </w:pPr>
          </w:p>
        </w:tc>
        <w:tc>
          <w:tcPr>
            <w:tcW w:w="1584" w:type="dxa"/>
          </w:tcPr>
          <w:p>
            <w:pPr>
              <w:pStyle w:val="22"/>
              <w:keepNext/>
              <w:spacing w:line="440" w:lineRule="exact"/>
              <w:ind w:left="63" w:right="63"/>
              <w:rPr>
                <w:rFonts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pPr>
              <w:pStyle w:val="22"/>
              <w:keepNext/>
              <w:spacing w:line="440" w:lineRule="exact"/>
              <w:ind w:left="63" w:right="63"/>
              <w:rPr>
                <w:rFonts w:ascii="仿宋_GB2312" w:hAnsi="仿宋_GB2312" w:eastAsia="仿宋_GB2312" w:cs="仿宋_GB2312"/>
                <w:color w:val="auto"/>
                <w:sz w:val="28"/>
                <w:szCs w:val="28"/>
              </w:rPr>
            </w:pPr>
          </w:p>
        </w:tc>
        <w:tc>
          <w:tcPr>
            <w:tcW w:w="1974" w:type="dxa"/>
          </w:tcPr>
          <w:p>
            <w:pPr>
              <w:pStyle w:val="22"/>
              <w:keepNext/>
              <w:spacing w:line="440" w:lineRule="exact"/>
              <w:ind w:left="63" w:right="63"/>
              <w:rPr>
                <w:rFonts w:ascii="仿宋_GB2312" w:hAnsi="仿宋_GB2312" w:eastAsia="仿宋_GB2312" w:cs="仿宋_GB2312"/>
                <w:color w:val="auto"/>
                <w:sz w:val="28"/>
                <w:szCs w:val="28"/>
              </w:rPr>
            </w:pPr>
          </w:p>
        </w:tc>
        <w:tc>
          <w:tcPr>
            <w:tcW w:w="792" w:type="dxa"/>
          </w:tcPr>
          <w:p>
            <w:pPr>
              <w:pStyle w:val="22"/>
              <w:keepNext/>
              <w:spacing w:line="440" w:lineRule="exact"/>
              <w:ind w:left="63" w:right="63"/>
              <w:rPr>
                <w:rFonts w:ascii="仿宋_GB2312" w:hAnsi="仿宋_GB2312" w:eastAsia="仿宋_GB2312" w:cs="仿宋_GB2312"/>
                <w:color w:val="auto"/>
                <w:sz w:val="28"/>
                <w:szCs w:val="28"/>
              </w:rPr>
            </w:pPr>
          </w:p>
        </w:tc>
        <w:tc>
          <w:tcPr>
            <w:tcW w:w="721" w:type="dxa"/>
          </w:tcPr>
          <w:p>
            <w:pPr>
              <w:pStyle w:val="22"/>
              <w:keepNext/>
              <w:spacing w:line="440" w:lineRule="exact"/>
              <w:ind w:left="63" w:right="63"/>
              <w:rPr>
                <w:rFonts w:ascii="仿宋_GB2312" w:hAnsi="仿宋_GB2312" w:eastAsia="仿宋_GB2312" w:cs="仿宋_GB2312"/>
                <w:color w:val="auto"/>
                <w:sz w:val="28"/>
                <w:szCs w:val="28"/>
              </w:rPr>
            </w:pPr>
          </w:p>
        </w:tc>
        <w:tc>
          <w:tcPr>
            <w:tcW w:w="1259" w:type="dxa"/>
          </w:tcPr>
          <w:p>
            <w:pPr>
              <w:pStyle w:val="22"/>
              <w:keepNext/>
              <w:spacing w:line="440" w:lineRule="exact"/>
              <w:ind w:left="63" w:right="63"/>
              <w:rPr>
                <w:rFonts w:ascii="仿宋_GB2312" w:hAnsi="仿宋_GB2312" w:eastAsia="仿宋_GB2312" w:cs="仿宋_GB2312"/>
                <w:color w:val="auto"/>
                <w:sz w:val="28"/>
                <w:szCs w:val="28"/>
              </w:rPr>
            </w:pPr>
          </w:p>
        </w:tc>
        <w:tc>
          <w:tcPr>
            <w:tcW w:w="1320" w:type="dxa"/>
          </w:tcPr>
          <w:p>
            <w:pPr>
              <w:pStyle w:val="22"/>
              <w:keepNext/>
              <w:spacing w:line="440" w:lineRule="exact"/>
              <w:ind w:left="63" w:right="63"/>
              <w:rPr>
                <w:rFonts w:ascii="仿宋_GB2312" w:hAnsi="仿宋_GB2312" w:eastAsia="仿宋_GB2312" w:cs="仿宋_GB2312"/>
                <w:color w:val="auto"/>
                <w:sz w:val="28"/>
                <w:szCs w:val="28"/>
              </w:rPr>
            </w:pPr>
          </w:p>
        </w:tc>
        <w:tc>
          <w:tcPr>
            <w:tcW w:w="1584" w:type="dxa"/>
          </w:tcPr>
          <w:p>
            <w:pPr>
              <w:pStyle w:val="22"/>
              <w:keepNext/>
              <w:spacing w:line="440" w:lineRule="exact"/>
              <w:ind w:left="63" w:right="63"/>
              <w:rPr>
                <w:rFonts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pPr>
              <w:pStyle w:val="22"/>
              <w:keepNext/>
              <w:spacing w:line="440" w:lineRule="exact"/>
              <w:ind w:left="63" w:right="63"/>
              <w:rPr>
                <w:rFonts w:ascii="仿宋_GB2312" w:hAnsi="仿宋_GB2312" w:eastAsia="仿宋_GB2312" w:cs="仿宋_GB2312"/>
                <w:color w:val="auto"/>
                <w:sz w:val="28"/>
                <w:szCs w:val="28"/>
              </w:rPr>
            </w:pPr>
          </w:p>
        </w:tc>
        <w:tc>
          <w:tcPr>
            <w:tcW w:w="1974" w:type="dxa"/>
          </w:tcPr>
          <w:p>
            <w:pPr>
              <w:pStyle w:val="22"/>
              <w:keepNext/>
              <w:spacing w:line="440" w:lineRule="exact"/>
              <w:ind w:left="63" w:right="63"/>
              <w:rPr>
                <w:rFonts w:ascii="仿宋_GB2312" w:hAnsi="仿宋_GB2312" w:eastAsia="仿宋_GB2312" w:cs="仿宋_GB2312"/>
                <w:color w:val="auto"/>
                <w:sz w:val="28"/>
                <w:szCs w:val="28"/>
              </w:rPr>
            </w:pPr>
          </w:p>
        </w:tc>
        <w:tc>
          <w:tcPr>
            <w:tcW w:w="792" w:type="dxa"/>
          </w:tcPr>
          <w:p>
            <w:pPr>
              <w:pStyle w:val="22"/>
              <w:keepNext/>
              <w:spacing w:line="440" w:lineRule="exact"/>
              <w:ind w:left="63" w:right="63"/>
              <w:rPr>
                <w:rFonts w:ascii="仿宋_GB2312" w:hAnsi="仿宋_GB2312" w:eastAsia="仿宋_GB2312" w:cs="仿宋_GB2312"/>
                <w:color w:val="auto"/>
                <w:sz w:val="28"/>
                <w:szCs w:val="28"/>
              </w:rPr>
            </w:pPr>
          </w:p>
        </w:tc>
        <w:tc>
          <w:tcPr>
            <w:tcW w:w="721" w:type="dxa"/>
          </w:tcPr>
          <w:p>
            <w:pPr>
              <w:pStyle w:val="22"/>
              <w:keepNext/>
              <w:spacing w:line="440" w:lineRule="exact"/>
              <w:ind w:left="63" w:right="63"/>
              <w:rPr>
                <w:rFonts w:ascii="仿宋_GB2312" w:hAnsi="仿宋_GB2312" w:eastAsia="仿宋_GB2312" w:cs="仿宋_GB2312"/>
                <w:color w:val="auto"/>
                <w:sz w:val="28"/>
                <w:szCs w:val="28"/>
              </w:rPr>
            </w:pPr>
          </w:p>
        </w:tc>
        <w:tc>
          <w:tcPr>
            <w:tcW w:w="1259" w:type="dxa"/>
          </w:tcPr>
          <w:p>
            <w:pPr>
              <w:pStyle w:val="22"/>
              <w:keepNext/>
              <w:spacing w:line="440" w:lineRule="exact"/>
              <w:ind w:left="63" w:right="63"/>
              <w:rPr>
                <w:rFonts w:ascii="仿宋_GB2312" w:hAnsi="仿宋_GB2312" w:eastAsia="仿宋_GB2312" w:cs="仿宋_GB2312"/>
                <w:color w:val="auto"/>
                <w:sz w:val="28"/>
                <w:szCs w:val="28"/>
              </w:rPr>
            </w:pPr>
          </w:p>
        </w:tc>
        <w:tc>
          <w:tcPr>
            <w:tcW w:w="1320" w:type="dxa"/>
          </w:tcPr>
          <w:p>
            <w:pPr>
              <w:pStyle w:val="22"/>
              <w:keepNext/>
              <w:spacing w:line="440" w:lineRule="exact"/>
              <w:ind w:left="63" w:right="63"/>
              <w:rPr>
                <w:rFonts w:ascii="仿宋_GB2312" w:hAnsi="仿宋_GB2312" w:eastAsia="仿宋_GB2312" w:cs="仿宋_GB2312"/>
                <w:color w:val="auto"/>
                <w:sz w:val="28"/>
                <w:szCs w:val="28"/>
              </w:rPr>
            </w:pPr>
          </w:p>
        </w:tc>
        <w:tc>
          <w:tcPr>
            <w:tcW w:w="1584" w:type="dxa"/>
          </w:tcPr>
          <w:p>
            <w:pPr>
              <w:pStyle w:val="22"/>
              <w:keepNext/>
              <w:spacing w:line="440" w:lineRule="exact"/>
              <w:ind w:left="63" w:right="63"/>
              <w:rPr>
                <w:rFonts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pPr>
              <w:pStyle w:val="22"/>
              <w:keepNext/>
              <w:spacing w:line="440" w:lineRule="exact"/>
              <w:ind w:left="63" w:right="63"/>
              <w:rPr>
                <w:rFonts w:ascii="仿宋_GB2312" w:hAnsi="仿宋_GB2312" w:eastAsia="仿宋_GB2312" w:cs="仿宋_GB2312"/>
                <w:color w:val="auto"/>
                <w:sz w:val="28"/>
                <w:szCs w:val="28"/>
              </w:rPr>
            </w:pPr>
          </w:p>
        </w:tc>
        <w:tc>
          <w:tcPr>
            <w:tcW w:w="1974" w:type="dxa"/>
          </w:tcPr>
          <w:p>
            <w:pPr>
              <w:pStyle w:val="22"/>
              <w:keepNext/>
              <w:spacing w:line="440" w:lineRule="exact"/>
              <w:ind w:left="63" w:right="63"/>
              <w:rPr>
                <w:rFonts w:ascii="仿宋_GB2312" w:hAnsi="仿宋_GB2312" w:eastAsia="仿宋_GB2312" w:cs="仿宋_GB2312"/>
                <w:color w:val="auto"/>
                <w:sz w:val="28"/>
                <w:szCs w:val="28"/>
              </w:rPr>
            </w:pPr>
          </w:p>
        </w:tc>
        <w:tc>
          <w:tcPr>
            <w:tcW w:w="792" w:type="dxa"/>
          </w:tcPr>
          <w:p>
            <w:pPr>
              <w:pStyle w:val="22"/>
              <w:keepNext/>
              <w:spacing w:line="440" w:lineRule="exact"/>
              <w:ind w:left="63" w:right="63"/>
              <w:rPr>
                <w:rFonts w:ascii="仿宋_GB2312" w:hAnsi="仿宋_GB2312" w:eastAsia="仿宋_GB2312" w:cs="仿宋_GB2312"/>
                <w:color w:val="auto"/>
                <w:sz w:val="28"/>
                <w:szCs w:val="28"/>
              </w:rPr>
            </w:pPr>
          </w:p>
        </w:tc>
        <w:tc>
          <w:tcPr>
            <w:tcW w:w="721" w:type="dxa"/>
          </w:tcPr>
          <w:p>
            <w:pPr>
              <w:pStyle w:val="22"/>
              <w:keepNext/>
              <w:spacing w:line="440" w:lineRule="exact"/>
              <w:ind w:left="63" w:right="63"/>
              <w:rPr>
                <w:rFonts w:ascii="仿宋_GB2312" w:hAnsi="仿宋_GB2312" w:eastAsia="仿宋_GB2312" w:cs="仿宋_GB2312"/>
                <w:color w:val="auto"/>
                <w:sz w:val="28"/>
                <w:szCs w:val="28"/>
              </w:rPr>
            </w:pPr>
          </w:p>
        </w:tc>
        <w:tc>
          <w:tcPr>
            <w:tcW w:w="1259" w:type="dxa"/>
          </w:tcPr>
          <w:p>
            <w:pPr>
              <w:pStyle w:val="22"/>
              <w:keepNext/>
              <w:spacing w:line="440" w:lineRule="exact"/>
              <w:ind w:left="63" w:right="63"/>
              <w:rPr>
                <w:rFonts w:ascii="仿宋_GB2312" w:hAnsi="仿宋_GB2312" w:eastAsia="仿宋_GB2312" w:cs="仿宋_GB2312"/>
                <w:color w:val="auto"/>
                <w:sz w:val="28"/>
                <w:szCs w:val="28"/>
              </w:rPr>
            </w:pPr>
          </w:p>
        </w:tc>
        <w:tc>
          <w:tcPr>
            <w:tcW w:w="1320" w:type="dxa"/>
          </w:tcPr>
          <w:p>
            <w:pPr>
              <w:pStyle w:val="22"/>
              <w:keepNext/>
              <w:spacing w:line="440" w:lineRule="exact"/>
              <w:ind w:left="63" w:right="63"/>
              <w:rPr>
                <w:rFonts w:ascii="仿宋_GB2312" w:hAnsi="仿宋_GB2312" w:eastAsia="仿宋_GB2312" w:cs="仿宋_GB2312"/>
                <w:color w:val="auto"/>
                <w:sz w:val="28"/>
                <w:szCs w:val="28"/>
              </w:rPr>
            </w:pPr>
          </w:p>
        </w:tc>
        <w:tc>
          <w:tcPr>
            <w:tcW w:w="1584" w:type="dxa"/>
          </w:tcPr>
          <w:p>
            <w:pPr>
              <w:pStyle w:val="22"/>
              <w:keepNext/>
              <w:spacing w:line="440" w:lineRule="exact"/>
              <w:ind w:left="63" w:right="63"/>
              <w:rPr>
                <w:rFonts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pPr>
              <w:pStyle w:val="22"/>
              <w:keepNext/>
              <w:spacing w:line="440" w:lineRule="exact"/>
              <w:ind w:left="63" w:right="63"/>
              <w:rPr>
                <w:rFonts w:ascii="仿宋_GB2312" w:hAnsi="仿宋_GB2312" w:eastAsia="仿宋_GB2312" w:cs="仿宋_GB2312"/>
                <w:color w:val="auto"/>
                <w:sz w:val="28"/>
                <w:szCs w:val="28"/>
              </w:rPr>
            </w:pPr>
          </w:p>
        </w:tc>
        <w:tc>
          <w:tcPr>
            <w:tcW w:w="1974" w:type="dxa"/>
          </w:tcPr>
          <w:p>
            <w:pPr>
              <w:pStyle w:val="22"/>
              <w:keepNext/>
              <w:spacing w:line="440" w:lineRule="exact"/>
              <w:ind w:left="63" w:right="63"/>
              <w:rPr>
                <w:rFonts w:ascii="仿宋_GB2312" w:hAnsi="仿宋_GB2312" w:eastAsia="仿宋_GB2312" w:cs="仿宋_GB2312"/>
                <w:color w:val="auto"/>
                <w:sz w:val="28"/>
                <w:szCs w:val="28"/>
              </w:rPr>
            </w:pPr>
          </w:p>
        </w:tc>
        <w:tc>
          <w:tcPr>
            <w:tcW w:w="792" w:type="dxa"/>
          </w:tcPr>
          <w:p>
            <w:pPr>
              <w:pStyle w:val="22"/>
              <w:keepNext/>
              <w:spacing w:line="440" w:lineRule="exact"/>
              <w:ind w:left="63" w:right="63"/>
              <w:rPr>
                <w:rFonts w:ascii="仿宋_GB2312" w:hAnsi="仿宋_GB2312" w:eastAsia="仿宋_GB2312" w:cs="仿宋_GB2312"/>
                <w:color w:val="auto"/>
                <w:sz w:val="28"/>
                <w:szCs w:val="28"/>
              </w:rPr>
            </w:pPr>
          </w:p>
        </w:tc>
        <w:tc>
          <w:tcPr>
            <w:tcW w:w="721" w:type="dxa"/>
          </w:tcPr>
          <w:p>
            <w:pPr>
              <w:pStyle w:val="22"/>
              <w:keepNext/>
              <w:spacing w:line="440" w:lineRule="exact"/>
              <w:ind w:left="63" w:right="63"/>
              <w:rPr>
                <w:rFonts w:ascii="仿宋_GB2312" w:hAnsi="仿宋_GB2312" w:eastAsia="仿宋_GB2312" w:cs="仿宋_GB2312"/>
                <w:color w:val="auto"/>
                <w:sz w:val="28"/>
                <w:szCs w:val="28"/>
              </w:rPr>
            </w:pPr>
          </w:p>
        </w:tc>
        <w:tc>
          <w:tcPr>
            <w:tcW w:w="1259" w:type="dxa"/>
          </w:tcPr>
          <w:p>
            <w:pPr>
              <w:pStyle w:val="22"/>
              <w:keepNext/>
              <w:spacing w:line="440" w:lineRule="exact"/>
              <w:ind w:left="63" w:right="63"/>
              <w:rPr>
                <w:rFonts w:ascii="仿宋_GB2312" w:hAnsi="仿宋_GB2312" w:eastAsia="仿宋_GB2312" w:cs="仿宋_GB2312"/>
                <w:color w:val="auto"/>
                <w:sz w:val="28"/>
                <w:szCs w:val="28"/>
              </w:rPr>
            </w:pPr>
          </w:p>
        </w:tc>
        <w:tc>
          <w:tcPr>
            <w:tcW w:w="1320" w:type="dxa"/>
          </w:tcPr>
          <w:p>
            <w:pPr>
              <w:pStyle w:val="22"/>
              <w:keepNext/>
              <w:spacing w:line="440" w:lineRule="exact"/>
              <w:ind w:left="63" w:right="63"/>
              <w:rPr>
                <w:rFonts w:ascii="仿宋_GB2312" w:hAnsi="仿宋_GB2312" w:eastAsia="仿宋_GB2312" w:cs="仿宋_GB2312"/>
                <w:color w:val="auto"/>
                <w:sz w:val="28"/>
                <w:szCs w:val="28"/>
              </w:rPr>
            </w:pPr>
          </w:p>
        </w:tc>
        <w:tc>
          <w:tcPr>
            <w:tcW w:w="1584" w:type="dxa"/>
          </w:tcPr>
          <w:p>
            <w:pPr>
              <w:pStyle w:val="22"/>
              <w:keepNext/>
              <w:spacing w:line="440" w:lineRule="exact"/>
              <w:ind w:left="63" w:right="63"/>
              <w:rPr>
                <w:rFonts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pPr>
              <w:pStyle w:val="22"/>
              <w:keepNext/>
              <w:spacing w:line="440" w:lineRule="exact"/>
              <w:ind w:left="63" w:right="63"/>
              <w:rPr>
                <w:rFonts w:ascii="仿宋_GB2312" w:hAnsi="仿宋_GB2312" w:eastAsia="仿宋_GB2312" w:cs="仿宋_GB2312"/>
                <w:color w:val="auto"/>
                <w:sz w:val="28"/>
                <w:szCs w:val="28"/>
              </w:rPr>
            </w:pPr>
          </w:p>
        </w:tc>
        <w:tc>
          <w:tcPr>
            <w:tcW w:w="1974" w:type="dxa"/>
          </w:tcPr>
          <w:p>
            <w:pPr>
              <w:pStyle w:val="22"/>
              <w:keepNext/>
              <w:spacing w:line="440" w:lineRule="exact"/>
              <w:ind w:left="63" w:right="63"/>
              <w:rPr>
                <w:rFonts w:ascii="仿宋_GB2312" w:hAnsi="仿宋_GB2312" w:eastAsia="仿宋_GB2312" w:cs="仿宋_GB2312"/>
                <w:color w:val="auto"/>
                <w:sz w:val="28"/>
                <w:szCs w:val="28"/>
              </w:rPr>
            </w:pPr>
          </w:p>
        </w:tc>
        <w:tc>
          <w:tcPr>
            <w:tcW w:w="792" w:type="dxa"/>
          </w:tcPr>
          <w:p>
            <w:pPr>
              <w:pStyle w:val="22"/>
              <w:keepNext/>
              <w:spacing w:line="440" w:lineRule="exact"/>
              <w:ind w:left="63" w:right="63"/>
              <w:rPr>
                <w:rFonts w:ascii="仿宋_GB2312" w:hAnsi="仿宋_GB2312" w:eastAsia="仿宋_GB2312" w:cs="仿宋_GB2312"/>
                <w:color w:val="auto"/>
                <w:sz w:val="28"/>
                <w:szCs w:val="28"/>
              </w:rPr>
            </w:pPr>
          </w:p>
        </w:tc>
        <w:tc>
          <w:tcPr>
            <w:tcW w:w="721" w:type="dxa"/>
          </w:tcPr>
          <w:p>
            <w:pPr>
              <w:pStyle w:val="22"/>
              <w:keepNext/>
              <w:spacing w:line="440" w:lineRule="exact"/>
              <w:ind w:left="63" w:right="63"/>
              <w:rPr>
                <w:rFonts w:ascii="仿宋_GB2312" w:hAnsi="仿宋_GB2312" w:eastAsia="仿宋_GB2312" w:cs="仿宋_GB2312"/>
                <w:color w:val="auto"/>
                <w:sz w:val="28"/>
                <w:szCs w:val="28"/>
              </w:rPr>
            </w:pPr>
          </w:p>
        </w:tc>
        <w:tc>
          <w:tcPr>
            <w:tcW w:w="1259" w:type="dxa"/>
          </w:tcPr>
          <w:p>
            <w:pPr>
              <w:pStyle w:val="22"/>
              <w:keepNext/>
              <w:spacing w:line="440" w:lineRule="exact"/>
              <w:ind w:left="63" w:right="63"/>
              <w:rPr>
                <w:rFonts w:ascii="仿宋_GB2312" w:hAnsi="仿宋_GB2312" w:eastAsia="仿宋_GB2312" w:cs="仿宋_GB2312"/>
                <w:color w:val="auto"/>
                <w:sz w:val="28"/>
                <w:szCs w:val="28"/>
              </w:rPr>
            </w:pPr>
          </w:p>
        </w:tc>
        <w:tc>
          <w:tcPr>
            <w:tcW w:w="1320" w:type="dxa"/>
          </w:tcPr>
          <w:p>
            <w:pPr>
              <w:pStyle w:val="22"/>
              <w:keepNext/>
              <w:spacing w:line="440" w:lineRule="exact"/>
              <w:ind w:left="63" w:right="63"/>
              <w:rPr>
                <w:rFonts w:ascii="仿宋_GB2312" w:hAnsi="仿宋_GB2312" w:eastAsia="仿宋_GB2312" w:cs="仿宋_GB2312"/>
                <w:color w:val="auto"/>
                <w:sz w:val="28"/>
                <w:szCs w:val="28"/>
              </w:rPr>
            </w:pPr>
          </w:p>
        </w:tc>
        <w:tc>
          <w:tcPr>
            <w:tcW w:w="1584" w:type="dxa"/>
          </w:tcPr>
          <w:p>
            <w:pPr>
              <w:pStyle w:val="22"/>
              <w:keepNext/>
              <w:spacing w:line="440" w:lineRule="exact"/>
              <w:ind w:left="63" w:right="63"/>
              <w:rPr>
                <w:rFonts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pPr>
              <w:pStyle w:val="22"/>
              <w:keepNext/>
              <w:spacing w:line="440" w:lineRule="exact"/>
              <w:ind w:left="63" w:right="63"/>
              <w:rPr>
                <w:rFonts w:ascii="仿宋_GB2312" w:hAnsi="仿宋_GB2312" w:eastAsia="仿宋_GB2312" w:cs="仿宋_GB2312"/>
                <w:color w:val="auto"/>
                <w:sz w:val="28"/>
                <w:szCs w:val="28"/>
              </w:rPr>
            </w:pPr>
          </w:p>
        </w:tc>
        <w:tc>
          <w:tcPr>
            <w:tcW w:w="1974" w:type="dxa"/>
          </w:tcPr>
          <w:p>
            <w:pPr>
              <w:pStyle w:val="22"/>
              <w:keepNext/>
              <w:spacing w:line="440" w:lineRule="exact"/>
              <w:ind w:left="63" w:right="63"/>
              <w:rPr>
                <w:rFonts w:ascii="仿宋_GB2312" w:hAnsi="仿宋_GB2312" w:eastAsia="仿宋_GB2312" w:cs="仿宋_GB2312"/>
                <w:color w:val="auto"/>
                <w:sz w:val="28"/>
                <w:szCs w:val="28"/>
              </w:rPr>
            </w:pPr>
          </w:p>
        </w:tc>
        <w:tc>
          <w:tcPr>
            <w:tcW w:w="792" w:type="dxa"/>
          </w:tcPr>
          <w:p>
            <w:pPr>
              <w:pStyle w:val="22"/>
              <w:keepNext/>
              <w:spacing w:line="440" w:lineRule="exact"/>
              <w:ind w:left="63" w:right="63"/>
              <w:rPr>
                <w:rFonts w:ascii="仿宋_GB2312" w:hAnsi="仿宋_GB2312" w:eastAsia="仿宋_GB2312" w:cs="仿宋_GB2312"/>
                <w:color w:val="auto"/>
                <w:sz w:val="28"/>
                <w:szCs w:val="28"/>
              </w:rPr>
            </w:pPr>
          </w:p>
        </w:tc>
        <w:tc>
          <w:tcPr>
            <w:tcW w:w="721" w:type="dxa"/>
          </w:tcPr>
          <w:p>
            <w:pPr>
              <w:pStyle w:val="22"/>
              <w:keepNext/>
              <w:spacing w:line="440" w:lineRule="exact"/>
              <w:ind w:left="63" w:right="63"/>
              <w:rPr>
                <w:rFonts w:ascii="仿宋_GB2312" w:hAnsi="仿宋_GB2312" w:eastAsia="仿宋_GB2312" w:cs="仿宋_GB2312"/>
                <w:color w:val="auto"/>
                <w:sz w:val="28"/>
                <w:szCs w:val="28"/>
              </w:rPr>
            </w:pPr>
          </w:p>
        </w:tc>
        <w:tc>
          <w:tcPr>
            <w:tcW w:w="1259" w:type="dxa"/>
          </w:tcPr>
          <w:p>
            <w:pPr>
              <w:pStyle w:val="22"/>
              <w:keepNext/>
              <w:spacing w:line="440" w:lineRule="exact"/>
              <w:ind w:left="63" w:right="63"/>
              <w:rPr>
                <w:rFonts w:ascii="仿宋_GB2312" w:hAnsi="仿宋_GB2312" w:eastAsia="仿宋_GB2312" w:cs="仿宋_GB2312"/>
                <w:color w:val="auto"/>
                <w:sz w:val="28"/>
                <w:szCs w:val="28"/>
              </w:rPr>
            </w:pPr>
          </w:p>
        </w:tc>
        <w:tc>
          <w:tcPr>
            <w:tcW w:w="1320" w:type="dxa"/>
          </w:tcPr>
          <w:p>
            <w:pPr>
              <w:pStyle w:val="22"/>
              <w:keepNext/>
              <w:spacing w:line="440" w:lineRule="exact"/>
              <w:ind w:left="63" w:right="63"/>
              <w:rPr>
                <w:rFonts w:ascii="仿宋_GB2312" w:hAnsi="仿宋_GB2312" w:eastAsia="仿宋_GB2312" w:cs="仿宋_GB2312"/>
                <w:color w:val="auto"/>
                <w:sz w:val="28"/>
                <w:szCs w:val="28"/>
              </w:rPr>
            </w:pPr>
          </w:p>
        </w:tc>
        <w:tc>
          <w:tcPr>
            <w:tcW w:w="1584" w:type="dxa"/>
          </w:tcPr>
          <w:p>
            <w:pPr>
              <w:pStyle w:val="22"/>
              <w:keepNext/>
              <w:spacing w:line="440" w:lineRule="exact"/>
              <w:ind w:left="63" w:right="63"/>
              <w:rPr>
                <w:rFonts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pPr>
              <w:pStyle w:val="22"/>
              <w:keepNext/>
              <w:spacing w:line="440" w:lineRule="exact"/>
              <w:ind w:left="63" w:right="63"/>
              <w:rPr>
                <w:rFonts w:ascii="仿宋_GB2312" w:hAnsi="仿宋_GB2312" w:eastAsia="仿宋_GB2312" w:cs="仿宋_GB2312"/>
                <w:color w:val="auto"/>
                <w:sz w:val="28"/>
                <w:szCs w:val="28"/>
              </w:rPr>
            </w:pPr>
          </w:p>
        </w:tc>
        <w:tc>
          <w:tcPr>
            <w:tcW w:w="1974" w:type="dxa"/>
          </w:tcPr>
          <w:p>
            <w:pPr>
              <w:pStyle w:val="22"/>
              <w:keepNext/>
              <w:spacing w:line="440" w:lineRule="exact"/>
              <w:ind w:left="63" w:right="63"/>
              <w:rPr>
                <w:rFonts w:ascii="仿宋_GB2312" w:hAnsi="仿宋_GB2312" w:eastAsia="仿宋_GB2312" w:cs="仿宋_GB2312"/>
                <w:color w:val="auto"/>
                <w:sz w:val="28"/>
                <w:szCs w:val="28"/>
              </w:rPr>
            </w:pPr>
          </w:p>
        </w:tc>
        <w:tc>
          <w:tcPr>
            <w:tcW w:w="792" w:type="dxa"/>
          </w:tcPr>
          <w:p>
            <w:pPr>
              <w:pStyle w:val="22"/>
              <w:keepNext/>
              <w:spacing w:line="440" w:lineRule="exact"/>
              <w:ind w:left="63" w:right="63"/>
              <w:rPr>
                <w:rFonts w:ascii="仿宋_GB2312" w:hAnsi="仿宋_GB2312" w:eastAsia="仿宋_GB2312" w:cs="仿宋_GB2312"/>
                <w:color w:val="auto"/>
                <w:sz w:val="28"/>
                <w:szCs w:val="28"/>
              </w:rPr>
            </w:pPr>
          </w:p>
        </w:tc>
        <w:tc>
          <w:tcPr>
            <w:tcW w:w="721" w:type="dxa"/>
          </w:tcPr>
          <w:p>
            <w:pPr>
              <w:pStyle w:val="22"/>
              <w:keepNext/>
              <w:spacing w:line="440" w:lineRule="exact"/>
              <w:ind w:left="63" w:right="63"/>
              <w:rPr>
                <w:rFonts w:ascii="仿宋_GB2312" w:hAnsi="仿宋_GB2312" w:eastAsia="仿宋_GB2312" w:cs="仿宋_GB2312"/>
                <w:color w:val="auto"/>
                <w:sz w:val="28"/>
                <w:szCs w:val="28"/>
              </w:rPr>
            </w:pPr>
          </w:p>
        </w:tc>
        <w:tc>
          <w:tcPr>
            <w:tcW w:w="1259" w:type="dxa"/>
          </w:tcPr>
          <w:p>
            <w:pPr>
              <w:pStyle w:val="22"/>
              <w:keepNext/>
              <w:spacing w:line="440" w:lineRule="exact"/>
              <w:ind w:left="63" w:right="63"/>
              <w:rPr>
                <w:rFonts w:ascii="仿宋_GB2312" w:hAnsi="仿宋_GB2312" w:eastAsia="仿宋_GB2312" w:cs="仿宋_GB2312"/>
                <w:color w:val="auto"/>
                <w:sz w:val="28"/>
                <w:szCs w:val="28"/>
              </w:rPr>
            </w:pPr>
          </w:p>
        </w:tc>
        <w:tc>
          <w:tcPr>
            <w:tcW w:w="1320" w:type="dxa"/>
          </w:tcPr>
          <w:p>
            <w:pPr>
              <w:pStyle w:val="22"/>
              <w:keepNext/>
              <w:spacing w:line="440" w:lineRule="exact"/>
              <w:ind w:left="63" w:right="63"/>
              <w:rPr>
                <w:rFonts w:ascii="仿宋_GB2312" w:hAnsi="仿宋_GB2312" w:eastAsia="仿宋_GB2312" w:cs="仿宋_GB2312"/>
                <w:color w:val="auto"/>
                <w:sz w:val="28"/>
                <w:szCs w:val="28"/>
              </w:rPr>
            </w:pPr>
          </w:p>
        </w:tc>
        <w:tc>
          <w:tcPr>
            <w:tcW w:w="1584" w:type="dxa"/>
          </w:tcPr>
          <w:p>
            <w:pPr>
              <w:pStyle w:val="22"/>
              <w:keepNext/>
              <w:spacing w:line="440" w:lineRule="exact"/>
              <w:ind w:left="63" w:right="63"/>
              <w:rPr>
                <w:rFonts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pPr>
              <w:pStyle w:val="22"/>
              <w:keepNext/>
              <w:spacing w:line="440" w:lineRule="exact"/>
              <w:ind w:left="63" w:right="63"/>
              <w:rPr>
                <w:rFonts w:ascii="仿宋_GB2312" w:hAnsi="仿宋_GB2312" w:eastAsia="仿宋_GB2312" w:cs="仿宋_GB2312"/>
                <w:color w:val="auto"/>
                <w:sz w:val="28"/>
                <w:szCs w:val="28"/>
              </w:rPr>
            </w:pPr>
          </w:p>
        </w:tc>
        <w:tc>
          <w:tcPr>
            <w:tcW w:w="1974" w:type="dxa"/>
          </w:tcPr>
          <w:p>
            <w:pPr>
              <w:pStyle w:val="22"/>
              <w:keepNext/>
              <w:spacing w:line="440" w:lineRule="exact"/>
              <w:ind w:left="63" w:right="63"/>
              <w:rPr>
                <w:rFonts w:ascii="仿宋_GB2312" w:hAnsi="仿宋_GB2312" w:eastAsia="仿宋_GB2312" w:cs="仿宋_GB2312"/>
                <w:color w:val="auto"/>
                <w:sz w:val="28"/>
                <w:szCs w:val="28"/>
              </w:rPr>
            </w:pPr>
          </w:p>
        </w:tc>
        <w:tc>
          <w:tcPr>
            <w:tcW w:w="792" w:type="dxa"/>
          </w:tcPr>
          <w:p>
            <w:pPr>
              <w:pStyle w:val="22"/>
              <w:keepNext/>
              <w:spacing w:line="440" w:lineRule="exact"/>
              <w:ind w:left="63" w:right="63"/>
              <w:rPr>
                <w:rFonts w:ascii="仿宋_GB2312" w:hAnsi="仿宋_GB2312" w:eastAsia="仿宋_GB2312" w:cs="仿宋_GB2312"/>
                <w:color w:val="auto"/>
                <w:sz w:val="28"/>
                <w:szCs w:val="28"/>
              </w:rPr>
            </w:pPr>
          </w:p>
        </w:tc>
        <w:tc>
          <w:tcPr>
            <w:tcW w:w="721" w:type="dxa"/>
          </w:tcPr>
          <w:p>
            <w:pPr>
              <w:pStyle w:val="22"/>
              <w:keepNext/>
              <w:spacing w:line="440" w:lineRule="exact"/>
              <w:ind w:left="63" w:right="63"/>
              <w:rPr>
                <w:rFonts w:ascii="仿宋_GB2312" w:hAnsi="仿宋_GB2312" w:eastAsia="仿宋_GB2312" w:cs="仿宋_GB2312"/>
                <w:color w:val="auto"/>
                <w:sz w:val="28"/>
                <w:szCs w:val="28"/>
              </w:rPr>
            </w:pPr>
          </w:p>
        </w:tc>
        <w:tc>
          <w:tcPr>
            <w:tcW w:w="1259" w:type="dxa"/>
          </w:tcPr>
          <w:p>
            <w:pPr>
              <w:pStyle w:val="22"/>
              <w:keepNext/>
              <w:spacing w:line="440" w:lineRule="exact"/>
              <w:ind w:left="63" w:right="63"/>
              <w:rPr>
                <w:rFonts w:ascii="仿宋_GB2312" w:hAnsi="仿宋_GB2312" w:eastAsia="仿宋_GB2312" w:cs="仿宋_GB2312"/>
                <w:color w:val="auto"/>
                <w:sz w:val="28"/>
                <w:szCs w:val="28"/>
              </w:rPr>
            </w:pPr>
          </w:p>
        </w:tc>
        <w:tc>
          <w:tcPr>
            <w:tcW w:w="1320" w:type="dxa"/>
          </w:tcPr>
          <w:p>
            <w:pPr>
              <w:pStyle w:val="22"/>
              <w:keepNext/>
              <w:spacing w:line="440" w:lineRule="exact"/>
              <w:ind w:left="63" w:right="63"/>
              <w:rPr>
                <w:rFonts w:ascii="仿宋_GB2312" w:hAnsi="仿宋_GB2312" w:eastAsia="仿宋_GB2312" w:cs="仿宋_GB2312"/>
                <w:color w:val="auto"/>
                <w:sz w:val="28"/>
                <w:szCs w:val="28"/>
              </w:rPr>
            </w:pPr>
          </w:p>
        </w:tc>
        <w:tc>
          <w:tcPr>
            <w:tcW w:w="1584" w:type="dxa"/>
          </w:tcPr>
          <w:p>
            <w:pPr>
              <w:pStyle w:val="22"/>
              <w:keepNext/>
              <w:spacing w:line="440" w:lineRule="exact"/>
              <w:ind w:left="63" w:right="63"/>
              <w:rPr>
                <w:rFonts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pPr>
              <w:pStyle w:val="22"/>
              <w:keepNext/>
              <w:spacing w:line="440" w:lineRule="exact"/>
              <w:ind w:left="63" w:right="63"/>
              <w:rPr>
                <w:rFonts w:ascii="仿宋_GB2312" w:hAnsi="仿宋_GB2312" w:eastAsia="仿宋_GB2312" w:cs="仿宋_GB2312"/>
                <w:color w:val="auto"/>
                <w:sz w:val="28"/>
                <w:szCs w:val="28"/>
              </w:rPr>
            </w:pPr>
          </w:p>
        </w:tc>
        <w:tc>
          <w:tcPr>
            <w:tcW w:w="1974" w:type="dxa"/>
          </w:tcPr>
          <w:p>
            <w:pPr>
              <w:pStyle w:val="22"/>
              <w:keepNext/>
              <w:spacing w:line="440" w:lineRule="exact"/>
              <w:ind w:left="63" w:right="63"/>
              <w:rPr>
                <w:rFonts w:ascii="仿宋_GB2312" w:hAnsi="仿宋_GB2312" w:eastAsia="仿宋_GB2312" w:cs="仿宋_GB2312"/>
                <w:color w:val="auto"/>
                <w:sz w:val="28"/>
                <w:szCs w:val="28"/>
              </w:rPr>
            </w:pPr>
          </w:p>
        </w:tc>
        <w:tc>
          <w:tcPr>
            <w:tcW w:w="792" w:type="dxa"/>
          </w:tcPr>
          <w:p>
            <w:pPr>
              <w:pStyle w:val="22"/>
              <w:keepNext/>
              <w:spacing w:line="440" w:lineRule="exact"/>
              <w:ind w:left="63" w:right="63"/>
              <w:rPr>
                <w:rFonts w:ascii="仿宋_GB2312" w:hAnsi="仿宋_GB2312" w:eastAsia="仿宋_GB2312" w:cs="仿宋_GB2312"/>
                <w:color w:val="auto"/>
                <w:sz w:val="28"/>
                <w:szCs w:val="28"/>
              </w:rPr>
            </w:pPr>
          </w:p>
        </w:tc>
        <w:tc>
          <w:tcPr>
            <w:tcW w:w="721" w:type="dxa"/>
          </w:tcPr>
          <w:p>
            <w:pPr>
              <w:pStyle w:val="22"/>
              <w:keepNext/>
              <w:spacing w:line="440" w:lineRule="exact"/>
              <w:ind w:left="63" w:right="63"/>
              <w:rPr>
                <w:rFonts w:ascii="仿宋_GB2312" w:hAnsi="仿宋_GB2312" w:eastAsia="仿宋_GB2312" w:cs="仿宋_GB2312"/>
                <w:color w:val="auto"/>
                <w:sz w:val="28"/>
                <w:szCs w:val="28"/>
              </w:rPr>
            </w:pPr>
          </w:p>
        </w:tc>
        <w:tc>
          <w:tcPr>
            <w:tcW w:w="1259" w:type="dxa"/>
          </w:tcPr>
          <w:p>
            <w:pPr>
              <w:pStyle w:val="22"/>
              <w:keepNext/>
              <w:spacing w:line="440" w:lineRule="exact"/>
              <w:ind w:left="63" w:right="63"/>
              <w:rPr>
                <w:rFonts w:ascii="仿宋_GB2312" w:hAnsi="仿宋_GB2312" w:eastAsia="仿宋_GB2312" w:cs="仿宋_GB2312"/>
                <w:color w:val="auto"/>
                <w:sz w:val="28"/>
                <w:szCs w:val="28"/>
              </w:rPr>
            </w:pPr>
          </w:p>
        </w:tc>
        <w:tc>
          <w:tcPr>
            <w:tcW w:w="1320" w:type="dxa"/>
          </w:tcPr>
          <w:p>
            <w:pPr>
              <w:pStyle w:val="22"/>
              <w:keepNext/>
              <w:spacing w:line="440" w:lineRule="exact"/>
              <w:ind w:left="63" w:right="63"/>
              <w:rPr>
                <w:rFonts w:ascii="仿宋_GB2312" w:hAnsi="仿宋_GB2312" w:eastAsia="仿宋_GB2312" w:cs="仿宋_GB2312"/>
                <w:color w:val="auto"/>
                <w:sz w:val="28"/>
                <w:szCs w:val="28"/>
              </w:rPr>
            </w:pPr>
          </w:p>
        </w:tc>
        <w:tc>
          <w:tcPr>
            <w:tcW w:w="1584" w:type="dxa"/>
          </w:tcPr>
          <w:p>
            <w:pPr>
              <w:pStyle w:val="22"/>
              <w:keepNext/>
              <w:spacing w:line="440" w:lineRule="exact"/>
              <w:ind w:left="63" w:right="63"/>
              <w:rPr>
                <w:rFonts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pPr>
              <w:pStyle w:val="22"/>
              <w:keepNext/>
              <w:spacing w:line="440" w:lineRule="exact"/>
              <w:ind w:left="63" w:right="63"/>
              <w:rPr>
                <w:rFonts w:ascii="仿宋_GB2312" w:hAnsi="仿宋_GB2312" w:eastAsia="仿宋_GB2312" w:cs="仿宋_GB2312"/>
                <w:color w:val="auto"/>
                <w:sz w:val="28"/>
                <w:szCs w:val="28"/>
              </w:rPr>
            </w:pPr>
          </w:p>
        </w:tc>
        <w:tc>
          <w:tcPr>
            <w:tcW w:w="1974" w:type="dxa"/>
          </w:tcPr>
          <w:p>
            <w:pPr>
              <w:pStyle w:val="22"/>
              <w:keepNext/>
              <w:spacing w:line="440" w:lineRule="exact"/>
              <w:ind w:left="63" w:right="63"/>
              <w:rPr>
                <w:rFonts w:ascii="仿宋_GB2312" w:hAnsi="仿宋_GB2312" w:eastAsia="仿宋_GB2312" w:cs="仿宋_GB2312"/>
                <w:color w:val="auto"/>
                <w:sz w:val="28"/>
                <w:szCs w:val="28"/>
              </w:rPr>
            </w:pPr>
          </w:p>
        </w:tc>
        <w:tc>
          <w:tcPr>
            <w:tcW w:w="792" w:type="dxa"/>
          </w:tcPr>
          <w:p>
            <w:pPr>
              <w:pStyle w:val="22"/>
              <w:keepNext/>
              <w:spacing w:line="440" w:lineRule="exact"/>
              <w:ind w:left="63" w:right="63"/>
              <w:rPr>
                <w:rFonts w:ascii="仿宋_GB2312" w:hAnsi="仿宋_GB2312" w:eastAsia="仿宋_GB2312" w:cs="仿宋_GB2312"/>
                <w:color w:val="auto"/>
                <w:sz w:val="28"/>
                <w:szCs w:val="28"/>
              </w:rPr>
            </w:pPr>
          </w:p>
        </w:tc>
        <w:tc>
          <w:tcPr>
            <w:tcW w:w="721" w:type="dxa"/>
          </w:tcPr>
          <w:p>
            <w:pPr>
              <w:pStyle w:val="22"/>
              <w:keepNext/>
              <w:spacing w:line="440" w:lineRule="exact"/>
              <w:ind w:left="63" w:right="63"/>
              <w:rPr>
                <w:rFonts w:ascii="仿宋_GB2312" w:hAnsi="仿宋_GB2312" w:eastAsia="仿宋_GB2312" w:cs="仿宋_GB2312"/>
                <w:color w:val="auto"/>
                <w:sz w:val="28"/>
                <w:szCs w:val="28"/>
              </w:rPr>
            </w:pPr>
          </w:p>
        </w:tc>
        <w:tc>
          <w:tcPr>
            <w:tcW w:w="1259" w:type="dxa"/>
          </w:tcPr>
          <w:p>
            <w:pPr>
              <w:pStyle w:val="22"/>
              <w:keepNext/>
              <w:spacing w:line="440" w:lineRule="exact"/>
              <w:ind w:left="63" w:right="63"/>
              <w:rPr>
                <w:rFonts w:ascii="仿宋_GB2312" w:hAnsi="仿宋_GB2312" w:eastAsia="仿宋_GB2312" w:cs="仿宋_GB2312"/>
                <w:color w:val="auto"/>
                <w:sz w:val="28"/>
                <w:szCs w:val="28"/>
              </w:rPr>
            </w:pPr>
          </w:p>
        </w:tc>
        <w:tc>
          <w:tcPr>
            <w:tcW w:w="1320" w:type="dxa"/>
          </w:tcPr>
          <w:p>
            <w:pPr>
              <w:pStyle w:val="22"/>
              <w:keepNext/>
              <w:spacing w:line="440" w:lineRule="exact"/>
              <w:ind w:left="63" w:right="63"/>
              <w:rPr>
                <w:rFonts w:ascii="仿宋_GB2312" w:hAnsi="仿宋_GB2312" w:eastAsia="仿宋_GB2312" w:cs="仿宋_GB2312"/>
                <w:color w:val="auto"/>
                <w:sz w:val="28"/>
                <w:szCs w:val="28"/>
              </w:rPr>
            </w:pPr>
          </w:p>
        </w:tc>
        <w:tc>
          <w:tcPr>
            <w:tcW w:w="1584" w:type="dxa"/>
          </w:tcPr>
          <w:p>
            <w:pPr>
              <w:pStyle w:val="22"/>
              <w:keepNext/>
              <w:spacing w:line="440" w:lineRule="exact"/>
              <w:ind w:left="63" w:right="63"/>
              <w:rPr>
                <w:rFonts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pPr>
              <w:pStyle w:val="22"/>
              <w:keepNext/>
              <w:spacing w:line="440" w:lineRule="exact"/>
              <w:ind w:left="63" w:right="63"/>
              <w:rPr>
                <w:rFonts w:ascii="仿宋_GB2312" w:hAnsi="仿宋_GB2312" w:eastAsia="仿宋_GB2312" w:cs="仿宋_GB2312"/>
                <w:color w:val="auto"/>
                <w:sz w:val="28"/>
                <w:szCs w:val="28"/>
              </w:rPr>
            </w:pPr>
          </w:p>
        </w:tc>
        <w:tc>
          <w:tcPr>
            <w:tcW w:w="1974" w:type="dxa"/>
          </w:tcPr>
          <w:p>
            <w:pPr>
              <w:pStyle w:val="22"/>
              <w:keepNext/>
              <w:spacing w:line="440" w:lineRule="exact"/>
              <w:ind w:left="63" w:right="63"/>
              <w:rPr>
                <w:rFonts w:ascii="仿宋_GB2312" w:hAnsi="仿宋_GB2312" w:eastAsia="仿宋_GB2312" w:cs="仿宋_GB2312"/>
                <w:color w:val="auto"/>
                <w:sz w:val="28"/>
                <w:szCs w:val="28"/>
              </w:rPr>
            </w:pPr>
          </w:p>
        </w:tc>
        <w:tc>
          <w:tcPr>
            <w:tcW w:w="792" w:type="dxa"/>
          </w:tcPr>
          <w:p>
            <w:pPr>
              <w:pStyle w:val="22"/>
              <w:keepNext/>
              <w:spacing w:line="440" w:lineRule="exact"/>
              <w:ind w:left="63" w:right="63"/>
              <w:rPr>
                <w:rFonts w:ascii="仿宋_GB2312" w:hAnsi="仿宋_GB2312" w:eastAsia="仿宋_GB2312" w:cs="仿宋_GB2312"/>
                <w:color w:val="auto"/>
                <w:sz w:val="28"/>
                <w:szCs w:val="28"/>
              </w:rPr>
            </w:pPr>
          </w:p>
        </w:tc>
        <w:tc>
          <w:tcPr>
            <w:tcW w:w="721" w:type="dxa"/>
          </w:tcPr>
          <w:p>
            <w:pPr>
              <w:pStyle w:val="22"/>
              <w:keepNext/>
              <w:spacing w:line="440" w:lineRule="exact"/>
              <w:ind w:left="63" w:right="63"/>
              <w:rPr>
                <w:rFonts w:ascii="仿宋_GB2312" w:hAnsi="仿宋_GB2312" w:eastAsia="仿宋_GB2312" w:cs="仿宋_GB2312"/>
                <w:color w:val="auto"/>
                <w:sz w:val="28"/>
                <w:szCs w:val="28"/>
              </w:rPr>
            </w:pPr>
          </w:p>
        </w:tc>
        <w:tc>
          <w:tcPr>
            <w:tcW w:w="1259" w:type="dxa"/>
          </w:tcPr>
          <w:p>
            <w:pPr>
              <w:pStyle w:val="22"/>
              <w:keepNext/>
              <w:spacing w:line="440" w:lineRule="exact"/>
              <w:ind w:left="63" w:right="63"/>
              <w:rPr>
                <w:rFonts w:ascii="仿宋_GB2312" w:hAnsi="仿宋_GB2312" w:eastAsia="仿宋_GB2312" w:cs="仿宋_GB2312"/>
                <w:color w:val="auto"/>
                <w:sz w:val="28"/>
                <w:szCs w:val="28"/>
              </w:rPr>
            </w:pPr>
          </w:p>
        </w:tc>
        <w:tc>
          <w:tcPr>
            <w:tcW w:w="1320" w:type="dxa"/>
          </w:tcPr>
          <w:p>
            <w:pPr>
              <w:pStyle w:val="22"/>
              <w:keepNext/>
              <w:spacing w:line="440" w:lineRule="exact"/>
              <w:ind w:left="63" w:right="63"/>
              <w:rPr>
                <w:rFonts w:ascii="仿宋_GB2312" w:hAnsi="仿宋_GB2312" w:eastAsia="仿宋_GB2312" w:cs="仿宋_GB2312"/>
                <w:color w:val="auto"/>
                <w:sz w:val="28"/>
                <w:szCs w:val="28"/>
              </w:rPr>
            </w:pPr>
          </w:p>
        </w:tc>
        <w:tc>
          <w:tcPr>
            <w:tcW w:w="1584" w:type="dxa"/>
          </w:tcPr>
          <w:p>
            <w:pPr>
              <w:pStyle w:val="22"/>
              <w:keepNext/>
              <w:spacing w:line="440" w:lineRule="exact"/>
              <w:ind w:left="63" w:right="63"/>
              <w:rPr>
                <w:rFonts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pPr>
              <w:pStyle w:val="22"/>
              <w:keepNext/>
              <w:spacing w:line="440" w:lineRule="exact"/>
              <w:ind w:left="63" w:right="63"/>
              <w:rPr>
                <w:rFonts w:ascii="仿宋_GB2312" w:hAnsi="仿宋_GB2312" w:eastAsia="仿宋_GB2312" w:cs="仿宋_GB2312"/>
                <w:color w:val="auto"/>
                <w:sz w:val="28"/>
                <w:szCs w:val="28"/>
              </w:rPr>
            </w:pPr>
          </w:p>
        </w:tc>
        <w:tc>
          <w:tcPr>
            <w:tcW w:w="1974" w:type="dxa"/>
          </w:tcPr>
          <w:p>
            <w:pPr>
              <w:pStyle w:val="22"/>
              <w:keepNext/>
              <w:spacing w:line="440" w:lineRule="exact"/>
              <w:ind w:left="63" w:right="63"/>
              <w:rPr>
                <w:rFonts w:ascii="仿宋_GB2312" w:hAnsi="仿宋_GB2312" w:eastAsia="仿宋_GB2312" w:cs="仿宋_GB2312"/>
                <w:color w:val="auto"/>
                <w:sz w:val="28"/>
                <w:szCs w:val="28"/>
              </w:rPr>
            </w:pPr>
          </w:p>
        </w:tc>
        <w:tc>
          <w:tcPr>
            <w:tcW w:w="792" w:type="dxa"/>
          </w:tcPr>
          <w:p>
            <w:pPr>
              <w:pStyle w:val="22"/>
              <w:keepNext/>
              <w:spacing w:line="440" w:lineRule="exact"/>
              <w:ind w:left="63" w:right="63"/>
              <w:rPr>
                <w:rFonts w:ascii="仿宋_GB2312" w:hAnsi="仿宋_GB2312" w:eastAsia="仿宋_GB2312" w:cs="仿宋_GB2312"/>
                <w:color w:val="auto"/>
                <w:sz w:val="28"/>
                <w:szCs w:val="28"/>
              </w:rPr>
            </w:pPr>
          </w:p>
        </w:tc>
        <w:tc>
          <w:tcPr>
            <w:tcW w:w="721" w:type="dxa"/>
          </w:tcPr>
          <w:p>
            <w:pPr>
              <w:pStyle w:val="22"/>
              <w:keepNext/>
              <w:spacing w:line="440" w:lineRule="exact"/>
              <w:ind w:left="63" w:right="63"/>
              <w:rPr>
                <w:rFonts w:ascii="仿宋_GB2312" w:hAnsi="仿宋_GB2312" w:eastAsia="仿宋_GB2312" w:cs="仿宋_GB2312"/>
                <w:color w:val="auto"/>
                <w:sz w:val="28"/>
                <w:szCs w:val="28"/>
              </w:rPr>
            </w:pPr>
          </w:p>
        </w:tc>
        <w:tc>
          <w:tcPr>
            <w:tcW w:w="1259" w:type="dxa"/>
          </w:tcPr>
          <w:p>
            <w:pPr>
              <w:pStyle w:val="22"/>
              <w:keepNext/>
              <w:spacing w:line="440" w:lineRule="exact"/>
              <w:ind w:left="63" w:right="63"/>
              <w:rPr>
                <w:rFonts w:ascii="仿宋_GB2312" w:hAnsi="仿宋_GB2312" w:eastAsia="仿宋_GB2312" w:cs="仿宋_GB2312"/>
                <w:color w:val="auto"/>
                <w:sz w:val="28"/>
                <w:szCs w:val="28"/>
              </w:rPr>
            </w:pPr>
          </w:p>
        </w:tc>
        <w:tc>
          <w:tcPr>
            <w:tcW w:w="1320" w:type="dxa"/>
          </w:tcPr>
          <w:p>
            <w:pPr>
              <w:pStyle w:val="22"/>
              <w:keepNext/>
              <w:spacing w:line="440" w:lineRule="exact"/>
              <w:ind w:left="63" w:right="63"/>
              <w:rPr>
                <w:rFonts w:ascii="仿宋_GB2312" w:hAnsi="仿宋_GB2312" w:eastAsia="仿宋_GB2312" w:cs="仿宋_GB2312"/>
                <w:color w:val="auto"/>
                <w:sz w:val="28"/>
                <w:szCs w:val="28"/>
              </w:rPr>
            </w:pPr>
          </w:p>
        </w:tc>
        <w:tc>
          <w:tcPr>
            <w:tcW w:w="1584" w:type="dxa"/>
          </w:tcPr>
          <w:p>
            <w:pPr>
              <w:pStyle w:val="22"/>
              <w:keepNext/>
              <w:spacing w:line="440" w:lineRule="exact"/>
              <w:ind w:left="63" w:right="63"/>
              <w:rPr>
                <w:rFonts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798" w:type="dxa"/>
          </w:tcPr>
          <w:p>
            <w:pPr>
              <w:pStyle w:val="22"/>
              <w:keepNext/>
              <w:spacing w:line="440" w:lineRule="exact"/>
              <w:ind w:left="63" w:right="63"/>
              <w:rPr>
                <w:rFonts w:ascii="仿宋_GB2312" w:hAnsi="仿宋_GB2312" w:eastAsia="仿宋_GB2312" w:cs="仿宋_GB2312"/>
                <w:color w:val="auto"/>
                <w:sz w:val="28"/>
                <w:szCs w:val="28"/>
              </w:rPr>
            </w:pPr>
          </w:p>
        </w:tc>
        <w:tc>
          <w:tcPr>
            <w:tcW w:w="1974" w:type="dxa"/>
          </w:tcPr>
          <w:p>
            <w:pPr>
              <w:pStyle w:val="22"/>
              <w:keepNext/>
              <w:spacing w:line="440" w:lineRule="exact"/>
              <w:ind w:left="63" w:right="63"/>
              <w:rPr>
                <w:rFonts w:ascii="仿宋_GB2312" w:hAnsi="仿宋_GB2312" w:eastAsia="仿宋_GB2312" w:cs="仿宋_GB2312"/>
                <w:color w:val="auto"/>
                <w:sz w:val="28"/>
                <w:szCs w:val="28"/>
              </w:rPr>
            </w:pPr>
          </w:p>
        </w:tc>
        <w:tc>
          <w:tcPr>
            <w:tcW w:w="792" w:type="dxa"/>
          </w:tcPr>
          <w:p>
            <w:pPr>
              <w:pStyle w:val="22"/>
              <w:keepNext/>
              <w:spacing w:line="440" w:lineRule="exact"/>
              <w:ind w:left="63" w:right="63"/>
              <w:rPr>
                <w:rFonts w:ascii="仿宋_GB2312" w:hAnsi="仿宋_GB2312" w:eastAsia="仿宋_GB2312" w:cs="仿宋_GB2312"/>
                <w:color w:val="auto"/>
                <w:sz w:val="28"/>
                <w:szCs w:val="28"/>
              </w:rPr>
            </w:pPr>
          </w:p>
        </w:tc>
        <w:tc>
          <w:tcPr>
            <w:tcW w:w="721" w:type="dxa"/>
          </w:tcPr>
          <w:p>
            <w:pPr>
              <w:pStyle w:val="22"/>
              <w:keepNext/>
              <w:spacing w:line="440" w:lineRule="exact"/>
              <w:ind w:left="63" w:right="63"/>
              <w:rPr>
                <w:rFonts w:ascii="仿宋_GB2312" w:hAnsi="仿宋_GB2312" w:eastAsia="仿宋_GB2312" w:cs="仿宋_GB2312"/>
                <w:color w:val="auto"/>
                <w:sz w:val="28"/>
                <w:szCs w:val="28"/>
              </w:rPr>
            </w:pPr>
          </w:p>
        </w:tc>
        <w:tc>
          <w:tcPr>
            <w:tcW w:w="1259" w:type="dxa"/>
          </w:tcPr>
          <w:p>
            <w:pPr>
              <w:pStyle w:val="22"/>
              <w:keepNext/>
              <w:spacing w:line="440" w:lineRule="exact"/>
              <w:ind w:left="63" w:right="63"/>
              <w:rPr>
                <w:rFonts w:ascii="仿宋_GB2312" w:hAnsi="仿宋_GB2312" w:eastAsia="仿宋_GB2312" w:cs="仿宋_GB2312"/>
                <w:color w:val="auto"/>
                <w:sz w:val="28"/>
                <w:szCs w:val="28"/>
              </w:rPr>
            </w:pPr>
          </w:p>
        </w:tc>
        <w:tc>
          <w:tcPr>
            <w:tcW w:w="1320" w:type="dxa"/>
          </w:tcPr>
          <w:p>
            <w:pPr>
              <w:pStyle w:val="22"/>
              <w:keepNext/>
              <w:spacing w:line="440" w:lineRule="exact"/>
              <w:ind w:left="63" w:right="63"/>
              <w:rPr>
                <w:rFonts w:ascii="仿宋_GB2312" w:hAnsi="仿宋_GB2312" w:eastAsia="仿宋_GB2312" w:cs="仿宋_GB2312"/>
                <w:color w:val="auto"/>
                <w:sz w:val="28"/>
                <w:szCs w:val="28"/>
              </w:rPr>
            </w:pPr>
          </w:p>
        </w:tc>
        <w:tc>
          <w:tcPr>
            <w:tcW w:w="1584" w:type="dxa"/>
          </w:tcPr>
          <w:p>
            <w:pPr>
              <w:pStyle w:val="22"/>
              <w:keepNext/>
              <w:spacing w:line="440" w:lineRule="exact"/>
              <w:ind w:left="63" w:right="63"/>
              <w:rPr>
                <w:rFonts w:ascii="仿宋_GB2312" w:hAnsi="仿宋_GB2312" w:eastAsia="仿宋_GB2312" w:cs="仿宋_GB2312"/>
                <w:color w:val="auto"/>
                <w:sz w:val="28"/>
                <w:szCs w:val="28"/>
              </w:rPr>
            </w:pPr>
          </w:p>
        </w:tc>
      </w:tr>
    </w:tbl>
    <w:p>
      <w:pPr>
        <w:spacing w:line="360" w:lineRule="auto"/>
      </w:pPr>
    </w:p>
    <w:p>
      <w:pPr>
        <w:outlineLvl w:val="1"/>
        <w:rPr>
          <w:rFonts w:ascii="仿宋_GB2312" w:hAnsi="仿宋_GB2312" w:eastAsia="仿宋_GB2312" w:cs="仿宋_GB2312"/>
          <w:sz w:val="30"/>
          <w:szCs w:val="32"/>
        </w:rPr>
        <w:sectPr>
          <w:pgSz w:w="11906" w:h="16838"/>
          <w:pgMar w:top="2098" w:right="1757" w:bottom="1984" w:left="1757" w:header="851" w:footer="1417" w:gutter="0"/>
          <w:cols w:space="720" w:num="1"/>
          <w:titlePg/>
          <w:docGrid w:type="lines" w:linePitch="312" w:charSpace="0"/>
        </w:sectPr>
      </w:pPr>
    </w:p>
    <w:p>
      <w:pPr>
        <w:outlineLvl w:val="1"/>
        <w:rPr>
          <w:rFonts w:ascii="宋体" w:hAnsi="宋体" w:cs="仿宋_GB2312"/>
          <w:sz w:val="28"/>
          <w:szCs w:val="28"/>
        </w:rPr>
      </w:pPr>
      <w:bookmarkStart w:id="1049" w:name="_Toc1492274086"/>
      <w:bookmarkStart w:id="1050" w:name="_Toc785335212"/>
      <w:bookmarkStart w:id="1051" w:name="_Toc245732170"/>
      <w:r>
        <w:rPr>
          <w:rFonts w:hint="eastAsia" w:ascii="宋体" w:hAnsi="宋体" w:cs="仿宋_GB2312"/>
          <w:sz w:val="28"/>
          <w:szCs w:val="28"/>
        </w:rPr>
        <w:t>附件4：</w:t>
      </w:r>
      <w:bookmarkEnd w:id="1049"/>
      <w:bookmarkEnd w:id="1050"/>
      <w:bookmarkEnd w:id="1051"/>
    </w:p>
    <w:p>
      <w:pPr>
        <w:jc w:val="center"/>
        <w:outlineLvl w:val="1"/>
        <w:rPr>
          <w:rFonts w:ascii="黑体" w:hAnsi="黑体" w:eastAsia="黑体"/>
          <w:sz w:val="28"/>
          <w:szCs w:val="28"/>
        </w:rPr>
      </w:pPr>
      <w:bookmarkStart w:id="1052" w:name="_Toc30933"/>
      <w:bookmarkStart w:id="1053" w:name="_Toc887574828"/>
      <w:bookmarkStart w:id="1054" w:name="_Toc15104"/>
      <w:bookmarkStart w:id="1055" w:name="_Toc1935472469"/>
      <w:bookmarkStart w:id="1056" w:name="_Toc101"/>
      <w:bookmarkStart w:id="1057" w:name="_Toc22735"/>
      <w:bookmarkStart w:id="1058" w:name="_Toc23900"/>
      <w:r>
        <w:rPr>
          <w:rFonts w:hint="eastAsia" w:ascii="黑体" w:hAnsi="黑体" w:eastAsia="黑体"/>
          <w:sz w:val="28"/>
          <w:szCs w:val="28"/>
        </w:rPr>
        <w:t>发包人供应材料设备一览表</w:t>
      </w:r>
      <w:bookmarkEnd w:id="1052"/>
      <w:bookmarkEnd w:id="1053"/>
      <w:bookmarkEnd w:id="1054"/>
      <w:bookmarkEnd w:id="1055"/>
      <w:bookmarkEnd w:id="1056"/>
      <w:bookmarkEnd w:id="1057"/>
      <w:bookmarkEnd w:id="1058"/>
    </w:p>
    <w:tbl>
      <w:tblPr>
        <w:tblStyle w:val="49"/>
        <w:tblW w:w="89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676"/>
        <w:gridCol w:w="1311"/>
        <w:gridCol w:w="1325"/>
        <w:gridCol w:w="879"/>
        <w:gridCol w:w="795"/>
        <w:gridCol w:w="975"/>
        <w:gridCol w:w="927"/>
        <w:gridCol w:w="695"/>
        <w:gridCol w:w="798"/>
        <w:gridCol w:w="5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00" w:hRule="atLeast"/>
          <w:jc w:val="center"/>
        </w:trPr>
        <w:tc>
          <w:tcPr>
            <w:tcW w:w="676" w:type="dxa"/>
            <w:vAlign w:val="center"/>
          </w:tcPr>
          <w:p>
            <w:pPr>
              <w:pStyle w:val="22"/>
              <w:keepNext/>
              <w:snapToGrid w:val="0"/>
              <w:ind w:right="63"/>
              <w:rPr>
                <w:rFonts w:hAnsi="宋体" w:cs="仿宋_GB2312"/>
                <w:color w:val="auto"/>
                <w:szCs w:val="21"/>
              </w:rPr>
            </w:pPr>
            <w:r>
              <w:rPr>
                <w:rFonts w:hint="eastAsia" w:hAnsi="宋体" w:cs="仿宋_GB2312"/>
                <w:color w:val="auto"/>
                <w:szCs w:val="21"/>
              </w:rPr>
              <w:t>序号</w:t>
            </w:r>
          </w:p>
        </w:tc>
        <w:tc>
          <w:tcPr>
            <w:tcW w:w="1311" w:type="dxa"/>
            <w:vAlign w:val="center"/>
          </w:tcPr>
          <w:p>
            <w:pPr>
              <w:pStyle w:val="22"/>
              <w:keepNext/>
              <w:snapToGrid w:val="0"/>
              <w:ind w:right="63"/>
              <w:rPr>
                <w:rFonts w:hAnsi="宋体" w:cs="仿宋_GB2312"/>
                <w:color w:val="auto"/>
                <w:szCs w:val="21"/>
              </w:rPr>
            </w:pPr>
            <w:r>
              <w:rPr>
                <w:rFonts w:hint="eastAsia" w:hAnsi="宋体" w:cs="仿宋_GB2312"/>
                <w:color w:val="auto"/>
                <w:szCs w:val="21"/>
              </w:rPr>
              <w:t>材  料、</w:t>
            </w:r>
          </w:p>
          <w:p>
            <w:pPr>
              <w:pStyle w:val="22"/>
              <w:keepNext/>
              <w:snapToGrid w:val="0"/>
              <w:ind w:right="63"/>
              <w:rPr>
                <w:rFonts w:hAnsi="宋体" w:cs="仿宋_GB2312"/>
                <w:color w:val="auto"/>
                <w:szCs w:val="21"/>
              </w:rPr>
            </w:pPr>
            <w:r>
              <w:rPr>
                <w:rFonts w:hint="eastAsia" w:hAnsi="宋体" w:cs="仿宋_GB2312"/>
                <w:color w:val="auto"/>
                <w:szCs w:val="21"/>
              </w:rPr>
              <w:t>设备品种</w:t>
            </w:r>
          </w:p>
        </w:tc>
        <w:tc>
          <w:tcPr>
            <w:tcW w:w="1325" w:type="dxa"/>
            <w:vAlign w:val="center"/>
          </w:tcPr>
          <w:p>
            <w:pPr>
              <w:pStyle w:val="22"/>
              <w:keepNext/>
              <w:snapToGrid w:val="0"/>
              <w:ind w:right="63"/>
              <w:rPr>
                <w:rFonts w:hAnsi="宋体" w:cs="仿宋_GB2312"/>
                <w:color w:val="auto"/>
                <w:szCs w:val="21"/>
              </w:rPr>
            </w:pPr>
            <w:r>
              <w:rPr>
                <w:rFonts w:hint="eastAsia" w:hAnsi="宋体" w:cs="仿宋_GB2312"/>
                <w:color w:val="auto"/>
                <w:szCs w:val="21"/>
              </w:rPr>
              <w:t>规格型号</w:t>
            </w:r>
          </w:p>
        </w:tc>
        <w:tc>
          <w:tcPr>
            <w:tcW w:w="879" w:type="dxa"/>
            <w:vAlign w:val="center"/>
          </w:tcPr>
          <w:p>
            <w:pPr>
              <w:pStyle w:val="22"/>
              <w:keepNext/>
              <w:snapToGrid w:val="0"/>
              <w:ind w:right="63"/>
              <w:rPr>
                <w:rFonts w:hAnsi="宋体" w:cs="仿宋_GB2312"/>
                <w:color w:val="auto"/>
                <w:szCs w:val="21"/>
              </w:rPr>
            </w:pPr>
            <w:r>
              <w:rPr>
                <w:rFonts w:hint="eastAsia" w:hAnsi="宋体" w:cs="仿宋_GB2312"/>
                <w:color w:val="auto"/>
                <w:szCs w:val="21"/>
              </w:rPr>
              <w:t>单位</w:t>
            </w:r>
          </w:p>
        </w:tc>
        <w:tc>
          <w:tcPr>
            <w:tcW w:w="795" w:type="dxa"/>
            <w:vAlign w:val="center"/>
          </w:tcPr>
          <w:p>
            <w:pPr>
              <w:pStyle w:val="22"/>
              <w:keepNext/>
              <w:snapToGrid w:val="0"/>
              <w:ind w:right="63"/>
              <w:rPr>
                <w:rFonts w:hAnsi="宋体" w:cs="仿宋_GB2312"/>
                <w:color w:val="auto"/>
                <w:szCs w:val="21"/>
              </w:rPr>
            </w:pPr>
            <w:r>
              <w:rPr>
                <w:rFonts w:hint="eastAsia" w:hAnsi="宋体" w:cs="仿宋_GB2312"/>
                <w:color w:val="auto"/>
                <w:szCs w:val="21"/>
              </w:rPr>
              <w:t>数量</w:t>
            </w:r>
          </w:p>
        </w:tc>
        <w:tc>
          <w:tcPr>
            <w:tcW w:w="975" w:type="dxa"/>
            <w:vAlign w:val="center"/>
          </w:tcPr>
          <w:p>
            <w:pPr>
              <w:pStyle w:val="22"/>
              <w:keepNext/>
              <w:snapToGrid w:val="0"/>
              <w:rPr>
                <w:rFonts w:hAnsi="宋体" w:cs="仿宋_GB2312"/>
                <w:color w:val="auto"/>
                <w:szCs w:val="21"/>
              </w:rPr>
            </w:pPr>
            <w:r>
              <w:rPr>
                <w:rFonts w:hint="eastAsia" w:hAnsi="宋体" w:cs="仿宋_GB2312"/>
                <w:color w:val="auto"/>
                <w:szCs w:val="21"/>
              </w:rPr>
              <w:t>单价（元）</w:t>
            </w:r>
          </w:p>
        </w:tc>
        <w:tc>
          <w:tcPr>
            <w:tcW w:w="927" w:type="dxa"/>
            <w:vAlign w:val="center"/>
          </w:tcPr>
          <w:p>
            <w:pPr>
              <w:pStyle w:val="22"/>
              <w:keepNext/>
              <w:snapToGrid w:val="0"/>
              <w:ind w:right="63"/>
              <w:rPr>
                <w:rFonts w:hAnsi="宋体" w:cs="仿宋_GB2312"/>
                <w:color w:val="auto"/>
                <w:szCs w:val="21"/>
              </w:rPr>
            </w:pPr>
            <w:r>
              <w:rPr>
                <w:rFonts w:hint="eastAsia" w:hAnsi="宋体" w:cs="仿宋_GB2312"/>
                <w:color w:val="auto"/>
                <w:szCs w:val="21"/>
              </w:rPr>
              <w:t>质量</w:t>
            </w:r>
          </w:p>
          <w:p>
            <w:pPr>
              <w:pStyle w:val="22"/>
              <w:keepNext/>
              <w:snapToGrid w:val="0"/>
              <w:ind w:right="63"/>
              <w:rPr>
                <w:rFonts w:hAnsi="宋体" w:cs="仿宋_GB2312"/>
                <w:color w:val="auto"/>
                <w:szCs w:val="21"/>
              </w:rPr>
            </w:pPr>
            <w:r>
              <w:rPr>
                <w:rFonts w:hint="eastAsia" w:hAnsi="宋体" w:cs="仿宋_GB2312"/>
                <w:color w:val="auto"/>
                <w:szCs w:val="21"/>
              </w:rPr>
              <w:t>等级</w:t>
            </w:r>
          </w:p>
        </w:tc>
        <w:tc>
          <w:tcPr>
            <w:tcW w:w="695" w:type="dxa"/>
            <w:vAlign w:val="center"/>
          </w:tcPr>
          <w:p>
            <w:pPr>
              <w:pStyle w:val="22"/>
              <w:keepNext/>
              <w:snapToGrid w:val="0"/>
              <w:ind w:right="63"/>
              <w:rPr>
                <w:rFonts w:hAnsi="宋体" w:cs="仿宋_GB2312"/>
                <w:color w:val="auto"/>
                <w:szCs w:val="21"/>
              </w:rPr>
            </w:pPr>
            <w:r>
              <w:rPr>
                <w:rFonts w:hint="eastAsia" w:hAnsi="宋体" w:cs="仿宋_GB2312"/>
                <w:color w:val="auto"/>
                <w:szCs w:val="21"/>
              </w:rPr>
              <w:t>供应</w:t>
            </w:r>
          </w:p>
          <w:p>
            <w:pPr>
              <w:pStyle w:val="22"/>
              <w:keepNext/>
              <w:snapToGrid w:val="0"/>
              <w:ind w:right="63"/>
              <w:rPr>
                <w:rFonts w:hAnsi="宋体" w:cs="仿宋_GB2312"/>
                <w:color w:val="auto"/>
                <w:szCs w:val="21"/>
              </w:rPr>
            </w:pPr>
            <w:r>
              <w:rPr>
                <w:rFonts w:hint="eastAsia" w:hAnsi="宋体" w:cs="仿宋_GB2312"/>
                <w:color w:val="auto"/>
                <w:szCs w:val="21"/>
              </w:rPr>
              <w:t>时间</w:t>
            </w:r>
          </w:p>
        </w:tc>
        <w:tc>
          <w:tcPr>
            <w:tcW w:w="798" w:type="dxa"/>
            <w:vAlign w:val="center"/>
          </w:tcPr>
          <w:p>
            <w:pPr>
              <w:pStyle w:val="22"/>
              <w:keepNext/>
              <w:snapToGrid w:val="0"/>
              <w:ind w:right="63"/>
              <w:rPr>
                <w:rFonts w:hAnsi="宋体" w:cs="仿宋_GB2312"/>
                <w:color w:val="auto"/>
                <w:szCs w:val="21"/>
              </w:rPr>
            </w:pPr>
            <w:r>
              <w:rPr>
                <w:rFonts w:hint="eastAsia" w:hAnsi="宋体" w:cs="仿宋_GB2312"/>
                <w:color w:val="auto"/>
                <w:szCs w:val="21"/>
              </w:rPr>
              <w:t>送达</w:t>
            </w:r>
          </w:p>
          <w:p>
            <w:pPr>
              <w:pStyle w:val="22"/>
              <w:keepNext/>
              <w:snapToGrid w:val="0"/>
              <w:ind w:right="63"/>
              <w:rPr>
                <w:rFonts w:hAnsi="宋体" w:cs="仿宋_GB2312"/>
                <w:color w:val="auto"/>
                <w:szCs w:val="21"/>
              </w:rPr>
            </w:pPr>
            <w:r>
              <w:rPr>
                <w:rFonts w:hint="eastAsia" w:hAnsi="宋体" w:cs="仿宋_GB2312"/>
                <w:color w:val="auto"/>
                <w:szCs w:val="21"/>
              </w:rPr>
              <w:t>地点</w:t>
            </w:r>
          </w:p>
        </w:tc>
        <w:tc>
          <w:tcPr>
            <w:tcW w:w="519" w:type="dxa"/>
            <w:vAlign w:val="center"/>
          </w:tcPr>
          <w:p>
            <w:pPr>
              <w:pStyle w:val="22"/>
              <w:keepNext/>
              <w:snapToGrid w:val="0"/>
              <w:ind w:right="63"/>
              <w:jc w:val="right"/>
              <w:rPr>
                <w:rFonts w:hAnsi="宋体" w:cs="仿宋_GB2312"/>
                <w:color w:val="auto"/>
                <w:szCs w:val="21"/>
              </w:rPr>
            </w:pPr>
            <w:r>
              <w:rPr>
                <w:rFonts w:hint="eastAsia" w:hAnsi="宋体" w:cs="仿宋_GB2312"/>
                <w:color w:val="auto"/>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311"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32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879"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79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97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927"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69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798"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519"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311"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32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879"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79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97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927"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69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798"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519"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311"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32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879"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79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97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927"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69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798"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519"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311"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32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879"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79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97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927"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69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798"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519"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311"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32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879"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79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97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927"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69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798"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519"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311"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32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879"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79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97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927"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69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798"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519"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pPr>
              <w:snapToGrid w:val="0"/>
              <w:spacing w:line="360" w:lineRule="auto"/>
              <w:ind w:firstLine="480"/>
              <w:jc w:val="center"/>
              <w:rPr>
                <w:rFonts w:ascii="仿宋_GB2312" w:hAnsi="仿宋_GB2312" w:eastAsia="仿宋_GB2312" w:cs="仿宋_GB2312"/>
                <w:sz w:val="28"/>
                <w:szCs w:val="28"/>
              </w:rPr>
            </w:pPr>
          </w:p>
        </w:tc>
        <w:tc>
          <w:tcPr>
            <w:tcW w:w="1311" w:type="dxa"/>
            <w:vAlign w:val="center"/>
          </w:tcPr>
          <w:p>
            <w:pPr>
              <w:snapToGrid w:val="0"/>
              <w:spacing w:line="360" w:lineRule="auto"/>
              <w:ind w:firstLine="480"/>
              <w:jc w:val="center"/>
              <w:rPr>
                <w:rFonts w:ascii="仿宋_GB2312" w:hAnsi="仿宋_GB2312" w:eastAsia="仿宋_GB2312" w:cs="仿宋_GB2312"/>
                <w:sz w:val="28"/>
                <w:szCs w:val="28"/>
              </w:rPr>
            </w:pPr>
          </w:p>
        </w:tc>
        <w:tc>
          <w:tcPr>
            <w:tcW w:w="1325" w:type="dxa"/>
            <w:vAlign w:val="center"/>
          </w:tcPr>
          <w:p>
            <w:pPr>
              <w:snapToGrid w:val="0"/>
              <w:spacing w:line="360" w:lineRule="auto"/>
              <w:ind w:firstLine="480"/>
              <w:jc w:val="center"/>
              <w:rPr>
                <w:rFonts w:ascii="仿宋_GB2312" w:hAnsi="仿宋_GB2312" w:eastAsia="仿宋_GB2312" w:cs="仿宋_GB2312"/>
                <w:sz w:val="28"/>
                <w:szCs w:val="28"/>
              </w:rPr>
            </w:pPr>
          </w:p>
        </w:tc>
        <w:tc>
          <w:tcPr>
            <w:tcW w:w="879" w:type="dxa"/>
            <w:vAlign w:val="center"/>
          </w:tcPr>
          <w:p>
            <w:pPr>
              <w:snapToGrid w:val="0"/>
              <w:spacing w:line="360" w:lineRule="auto"/>
              <w:ind w:firstLine="480"/>
              <w:jc w:val="center"/>
              <w:rPr>
                <w:rFonts w:ascii="仿宋_GB2312" w:hAnsi="仿宋_GB2312" w:eastAsia="仿宋_GB2312" w:cs="仿宋_GB2312"/>
                <w:sz w:val="28"/>
                <w:szCs w:val="28"/>
              </w:rPr>
            </w:pPr>
          </w:p>
        </w:tc>
        <w:tc>
          <w:tcPr>
            <w:tcW w:w="795" w:type="dxa"/>
            <w:vAlign w:val="center"/>
          </w:tcPr>
          <w:p>
            <w:pPr>
              <w:snapToGrid w:val="0"/>
              <w:spacing w:line="360" w:lineRule="auto"/>
              <w:ind w:firstLine="480"/>
              <w:jc w:val="center"/>
              <w:rPr>
                <w:rFonts w:ascii="仿宋_GB2312" w:hAnsi="仿宋_GB2312" w:eastAsia="仿宋_GB2312" w:cs="仿宋_GB2312"/>
                <w:sz w:val="28"/>
                <w:szCs w:val="28"/>
              </w:rPr>
            </w:pPr>
          </w:p>
        </w:tc>
        <w:tc>
          <w:tcPr>
            <w:tcW w:w="975" w:type="dxa"/>
            <w:vAlign w:val="center"/>
          </w:tcPr>
          <w:p>
            <w:pPr>
              <w:snapToGrid w:val="0"/>
              <w:spacing w:line="360" w:lineRule="auto"/>
              <w:ind w:firstLine="480"/>
              <w:jc w:val="center"/>
              <w:rPr>
                <w:rFonts w:ascii="仿宋_GB2312" w:hAnsi="仿宋_GB2312" w:eastAsia="仿宋_GB2312" w:cs="仿宋_GB2312"/>
                <w:sz w:val="28"/>
                <w:szCs w:val="28"/>
              </w:rPr>
            </w:pPr>
          </w:p>
        </w:tc>
        <w:tc>
          <w:tcPr>
            <w:tcW w:w="927" w:type="dxa"/>
            <w:vAlign w:val="center"/>
          </w:tcPr>
          <w:p>
            <w:pPr>
              <w:snapToGrid w:val="0"/>
              <w:spacing w:line="360" w:lineRule="auto"/>
              <w:ind w:firstLine="480"/>
              <w:jc w:val="center"/>
              <w:rPr>
                <w:rFonts w:ascii="仿宋_GB2312" w:hAnsi="仿宋_GB2312" w:eastAsia="仿宋_GB2312" w:cs="仿宋_GB2312"/>
                <w:sz w:val="28"/>
                <w:szCs w:val="28"/>
              </w:rPr>
            </w:pPr>
          </w:p>
        </w:tc>
        <w:tc>
          <w:tcPr>
            <w:tcW w:w="695" w:type="dxa"/>
            <w:vAlign w:val="center"/>
          </w:tcPr>
          <w:p>
            <w:pPr>
              <w:snapToGrid w:val="0"/>
              <w:spacing w:line="360" w:lineRule="auto"/>
              <w:ind w:firstLine="480"/>
              <w:jc w:val="center"/>
              <w:rPr>
                <w:rFonts w:ascii="仿宋_GB2312" w:hAnsi="仿宋_GB2312" w:eastAsia="仿宋_GB2312" w:cs="仿宋_GB2312"/>
                <w:sz w:val="28"/>
                <w:szCs w:val="28"/>
              </w:rPr>
            </w:pPr>
          </w:p>
        </w:tc>
        <w:tc>
          <w:tcPr>
            <w:tcW w:w="798" w:type="dxa"/>
            <w:vAlign w:val="center"/>
          </w:tcPr>
          <w:p>
            <w:pPr>
              <w:snapToGrid w:val="0"/>
              <w:spacing w:line="360" w:lineRule="auto"/>
              <w:ind w:firstLine="480"/>
              <w:jc w:val="center"/>
              <w:rPr>
                <w:rFonts w:ascii="仿宋_GB2312" w:hAnsi="仿宋_GB2312" w:eastAsia="仿宋_GB2312" w:cs="仿宋_GB2312"/>
                <w:sz w:val="28"/>
                <w:szCs w:val="28"/>
              </w:rPr>
            </w:pPr>
          </w:p>
        </w:tc>
        <w:tc>
          <w:tcPr>
            <w:tcW w:w="519" w:type="dxa"/>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311"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32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879"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79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97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927"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69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798"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519"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pPr>
              <w:snapToGrid w:val="0"/>
              <w:spacing w:line="360" w:lineRule="auto"/>
              <w:ind w:firstLine="480"/>
              <w:jc w:val="center"/>
              <w:rPr>
                <w:rFonts w:ascii="仿宋_GB2312" w:hAnsi="仿宋_GB2312" w:eastAsia="仿宋_GB2312" w:cs="仿宋_GB2312"/>
                <w:sz w:val="28"/>
                <w:szCs w:val="28"/>
              </w:rPr>
            </w:pPr>
          </w:p>
        </w:tc>
        <w:tc>
          <w:tcPr>
            <w:tcW w:w="1311" w:type="dxa"/>
            <w:vAlign w:val="center"/>
          </w:tcPr>
          <w:p>
            <w:pPr>
              <w:snapToGrid w:val="0"/>
              <w:spacing w:line="360" w:lineRule="auto"/>
              <w:ind w:firstLine="480"/>
              <w:jc w:val="center"/>
              <w:rPr>
                <w:rFonts w:ascii="仿宋_GB2312" w:hAnsi="仿宋_GB2312" w:eastAsia="仿宋_GB2312" w:cs="仿宋_GB2312"/>
                <w:sz w:val="28"/>
                <w:szCs w:val="28"/>
              </w:rPr>
            </w:pPr>
          </w:p>
        </w:tc>
        <w:tc>
          <w:tcPr>
            <w:tcW w:w="1325" w:type="dxa"/>
            <w:vAlign w:val="center"/>
          </w:tcPr>
          <w:p>
            <w:pPr>
              <w:snapToGrid w:val="0"/>
              <w:spacing w:line="360" w:lineRule="auto"/>
              <w:ind w:firstLine="480"/>
              <w:jc w:val="center"/>
              <w:rPr>
                <w:rFonts w:ascii="仿宋_GB2312" w:hAnsi="仿宋_GB2312" w:eastAsia="仿宋_GB2312" w:cs="仿宋_GB2312"/>
                <w:sz w:val="28"/>
                <w:szCs w:val="28"/>
              </w:rPr>
            </w:pPr>
          </w:p>
        </w:tc>
        <w:tc>
          <w:tcPr>
            <w:tcW w:w="879" w:type="dxa"/>
            <w:vAlign w:val="center"/>
          </w:tcPr>
          <w:p>
            <w:pPr>
              <w:snapToGrid w:val="0"/>
              <w:spacing w:line="360" w:lineRule="auto"/>
              <w:ind w:firstLine="480"/>
              <w:jc w:val="center"/>
              <w:rPr>
                <w:rFonts w:ascii="仿宋_GB2312" w:hAnsi="仿宋_GB2312" w:eastAsia="仿宋_GB2312" w:cs="仿宋_GB2312"/>
                <w:sz w:val="28"/>
                <w:szCs w:val="28"/>
              </w:rPr>
            </w:pPr>
          </w:p>
        </w:tc>
        <w:tc>
          <w:tcPr>
            <w:tcW w:w="795" w:type="dxa"/>
            <w:vAlign w:val="center"/>
          </w:tcPr>
          <w:p>
            <w:pPr>
              <w:snapToGrid w:val="0"/>
              <w:spacing w:line="360" w:lineRule="auto"/>
              <w:ind w:firstLine="480"/>
              <w:jc w:val="center"/>
              <w:rPr>
                <w:rFonts w:ascii="仿宋_GB2312" w:hAnsi="仿宋_GB2312" w:eastAsia="仿宋_GB2312" w:cs="仿宋_GB2312"/>
                <w:sz w:val="28"/>
                <w:szCs w:val="28"/>
              </w:rPr>
            </w:pPr>
          </w:p>
        </w:tc>
        <w:tc>
          <w:tcPr>
            <w:tcW w:w="975" w:type="dxa"/>
            <w:vAlign w:val="center"/>
          </w:tcPr>
          <w:p>
            <w:pPr>
              <w:snapToGrid w:val="0"/>
              <w:spacing w:line="360" w:lineRule="auto"/>
              <w:ind w:firstLine="480"/>
              <w:jc w:val="center"/>
              <w:rPr>
                <w:rFonts w:ascii="仿宋_GB2312" w:hAnsi="仿宋_GB2312" w:eastAsia="仿宋_GB2312" w:cs="仿宋_GB2312"/>
                <w:sz w:val="28"/>
                <w:szCs w:val="28"/>
              </w:rPr>
            </w:pPr>
          </w:p>
        </w:tc>
        <w:tc>
          <w:tcPr>
            <w:tcW w:w="927" w:type="dxa"/>
            <w:vAlign w:val="center"/>
          </w:tcPr>
          <w:p>
            <w:pPr>
              <w:snapToGrid w:val="0"/>
              <w:spacing w:line="360" w:lineRule="auto"/>
              <w:ind w:firstLine="480"/>
              <w:jc w:val="center"/>
              <w:rPr>
                <w:rFonts w:ascii="仿宋_GB2312" w:hAnsi="仿宋_GB2312" w:eastAsia="仿宋_GB2312" w:cs="仿宋_GB2312"/>
                <w:sz w:val="28"/>
                <w:szCs w:val="28"/>
              </w:rPr>
            </w:pPr>
          </w:p>
        </w:tc>
        <w:tc>
          <w:tcPr>
            <w:tcW w:w="695" w:type="dxa"/>
            <w:vAlign w:val="center"/>
          </w:tcPr>
          <w:p>
            <w:pPr>
              <w:snapToGrid w:val="0"/>
              <w:spacing w:line="360" w:lineRule="auto"/>
              <w:ind w:firstLine="480"/>
              <w:jc w:val="center"/>
              <w:rPr>
                <w:rFonts w:ascii="仿宋_GB2312" w:hAnsi="仿宋_GB2312" w:eastAsia="仿宋_GB2312" w:cs="仿宋_GB2312"/>
                <w:sz w:val="28"/>
                <w:szCs w:val="28"/>
              </w:rPr>
            </w:pPr>
          </w:p>
        </w:tc>
        <w:tc>
          <w:tcPr>
            <w:tcW w:w="798" w:type="dxa"/>
            <w:vAlign w:val="center"/>
          </w:tcPr>
          <w:p>
            <w:pPr>
              <w:snapToGrid w:val="0"/>
              <w:spacing w:line="360" w:lineRule="auto"/>
              <w:ind w:firstLine="480"/>
              <w:jc w:val="center"/>
              <w:rPr>
                <w:rFonts w:ascii="仿宋_GB2312" w:hAnsi="仿宋_GB2312" w:eastAsia="仿宋_GB2312" w:cs="仿宋_GB2312"/>
                <w:sz w:val="28"/>
                <w:szCs w:val="28"/>
              </w:rPr>
            </w:pPr>
          </w:p>
        </w:tc>
        <w:tc>
          <w:tcPr>
            <w:tcW w:w="519" w:type="dxa"/>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pPr>
              <w:snapToGrid w:val="0"/>
              <w:spacing w:line="360" w:lineRule="auto"/>
              <w:ind w:firstLine="480"/>
              <w:jc w:val="center"/>
              <w:rPr>
                <w:rFonts w:ascii="仿宋_GB2312" w:hAnsi="仿宋_GB2312" w:eastAsia="仿宋_GB2312" w:cs="仿宋_GB2312"/>
                <w:sz w:val="28"/>
                <w:szCs w:val="28"/>
              </w:rPr>
            </w:pPr>
          </w:p>
        </w:tc>
        <w:tc>
          <w:tcPr>
            <w:tcW w:w="1311" w:type="dxa"/>
            <w:vAlign w:val="center"/>
          </w:tcPr>
          <w:p>
            <w:pPr>
              <w:snapToGrid w:val="0"/>
              <w:spacing w:line="360" w:lineRule="auto"/>
              <w:ind w:firstLine="480"/>
              <w:jc w:val="center"/>
              <w:rPr>
                <w:rFonts w:ascii="仿宋_GB2312" w:hAnsi="仿宋_GB2312" w:eastAsia="仿宋_GB2312" w:cs="仿宋_GB2312"/>
                <w:sz w:val="28"/>
                <w:szCs w:val="28"/>
              </w:rPr>
            </w:pPr>
          </w:p>
        </w:tc>
        <w:tc>
          <w:tcPr>
            <w:tcW w:w="1325" w:type="dxa"/>
            <w:vAlign w:val="center"/>
          </w:tcPr>
          <w:p>
            <w:pPr>
              <w:snapToGrid w:val="0"/>
              <w:spacing w:line="360" w:lineRule="auto"/>
              <w:ind w:firstLine="480"/>
              <w:jc w:val="center"/>
              <w:rPr>
                <w:rFonts w:ascii="仿宋_GB2312" w:hAnsi="仿宋_GB2312" w:eastAsia="仿宋_GB2312" w:cs="仿宋_GB2312"/>
                <w:sz w:val="28"/>
                <w:szCs w:val="28"/>
              </w:rPr>
            </w:pPr>
          </w:p>
        </w:tc>
        <w:tc>
          <w:tcPr>
            <w:tcW w:w="879" w:type="dxa"/>
            <w:vAlign w:val="center"/>
          </w:tcPr>
          <w:p>
            <w:pPr>
              <w:snapToGrid w:val="0"/>
              <w:spacing w:line="360" w:lineRule="auto"/>
              <w:ind w:firstLine="480"/>
              <w:jc w:val="center"/>
              <w:rPr>
                <w:rFonts w:ascii="仿宋_GB2312" w:hAnsi="仿宋_GB2312" w:eastAsia="仿宋_GB2312" w:cs="仿宋_GB2312"/>
                <w:sz w:val="28"/>
                <w:szCs w:val="28"/>
              </w:rPr>
            </w:pPr>
          </w:p>
        </w:tc>
        <w:tc>
          <w:tcPr>
            <w:tcW w:w="795" w:type="dxa"/>
            <w:vAlign w:val="center"/>
          </w:tcPr>
          <w:p>
            <w:pPr>
              <w:snapToGrid w:val="0"/>
              <w:spacing w:line="360" w:lineRule="auto"/>
              <w:ind w:firstLine="480"/>
              <w:jc w:val="center"/>
              <w:rPr>
                <w:rFonts w:ascii="仿宋_GB2312" w:hAnsi="仿宋_GB2312" w:eastAsia="仿宋_GB2312" w:cs="仿宋_GB2312"/>
                <w:sz w:val="28"/>
                <w:szCs w:val="28"/>
              </w:rPr>
            </w:pPr>
          </w:p>
        </w:tc>
        <w:tc>
          <w:tcPr>
            <w:tcW w:w="975" w:type="dxa"/>
            <w:vAlign w:val="center"/>
          </w:tcPr>
          <w:p>
            <w:pPr>
              <w:snapToGrid w:val="0"/>
              <w:spacing w:line="360" w:lineRule="auto"/>
              <w:ind w:firstLine="480"/>
              <w:jc w:val="center"/>
              <w:rPr>
                <w:rFonts w:ascii="仿宋_GB2312" w:hAnsi="仿宋_GB2312" w:eastAsia="仿宋_GB2312" w:cs="仿宋_GB2312"/>
                <w:sz w:val="28"/>
                <w:szCs w:val="28"/>
              </w:rPr>
            </w:pPr>
          </w:p>
        </w:tc>
        <w:tc>
          <w:tcPr>
            <w:tcW w:w="927" w:type="dxa"/>
            <w:vAlign w:val="center"/>
          </w:tcPr>
          <w:p>
            <w:pPr>
              <w:snapToGrid w:val="0"/>
              <w:spacing w:line="360" w:lineRule="auto"/>
              <w:ind w:firstLine="480"/>
              <w:jc w:val="center"/>
              <w:rPr>
                <w:rFonts w:ascii="仿宋_GB2312" w:hAnsi="仿宋_GB2312" w:eastAsia="仿宋_GB2312" w:cs="仿宋_GB2312"/>
                <w:sz w:val="28"/>
                <w:szCs w:val="28"/>
              </w:rPr>
            </w:pPr>
          </w:p>
        </w:tc>
        <w:tc>
          <w:tcPr>
            <w:tcW w:w="695" w:type="dxa"/>
            <w:vAlign w:val="center"/>
          </w:tcPr>
          <w:p>
            <w:pPr>
              <w:snapToGrid w:val="0"/>
              <w:spacing w:line="360" w:lineRule="auto"/>
              <w:ind w:firstLine="480"/>
              <w:jc w:val="center"/>
              <w:rPr>
                <w:rFonts w:ascii="仿宋_GB2312" w:hAnsi="仿宋_GB2312" w:eastAsia="仿宋_GB2312" w:cs="仿宋_GB2312"/>
                <w:sz w:val="28"/>
                <w:szCs w:val="28"/>
              </w:rPr>
            </w:pPr>
          </w:p>
        </w:tc>
        <w:tc>
          <w:tcPr>
            <w:tcW w:w="798" w:type="dxa"/>
            <w:vAlign w:val="center"/>
          </w:tcPr>
          <w:p>
            <w:pPr>
              <w:snapToGrid w:val="0"/>
              <w:spacing w:line="360" w:lineRule="auto"/>
              <w:ind w:firstLine="480"/>
              <w:jc w:val="center"/>
              <w:rPr>
                <w:rFonts w:ascii="仿宋_GB2312" w:hAnsi="仿宋_GB2312" w:eastAsia="仿宋_GB2312" w:cs="仿宋_GB2312"/>
                <w:sz w:val="28"/>
                <w:szCs w:val="28"/>
              </w:rPr>
            </w:pPr>
          </w:p>
        </w:tc>
        <w:tc>
          <w:tcPr>
            <w:tcW w:w="519" w:type="dxa"/>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pPr>
              <w:snapToGrid w:val="0"/>
              <w:spacing w:line="360" w:lineRule="auto"/>
              <w:ind w:firstLine="480"/>
              <w:jc w:val="center"/>
              <w:rPr>
                <w:rFonts w:ascii="仿宋_GB2312" w:hAnsi="仿宋_GB2312" w:eastAsia="仿宋_GB2312" w:cs="仿宋_GB2312"/>
                <w:sz w:val="28"/>
                <w:szCs w:val="28"/>
              </w:rPr>
            </w:pPr>
          </w:p>
        </w:tc>
        <w:tc>
          <w:tcPr>
            <w:tcW w:w="1311" w:type="dxa"/>
            <w:vAlign w:val="center"/>
          </w:tcPr>
          <w:p>
            <w:pPr>
              <w:snapToGrid w:val="0"/>
              <w:spacing w:line="360" w:lineRule="auto"/>
              <w:ind w:firstLine="480"/>
              <w:jc w:val="center"/>
              <w:rPr>
                <w:rFonts w:ascii="仿宋_GB2312" w:hAnsi="仿宋_GB2312" w:eastAsia="仿宋_GB2312" w:cs="仿宋_GB2312"/>
                <w:sz w:val="28"/>
                <w:szCs w:val="28"/>
              </w:rPr>
            </w:pPr>
          </w:p>
        </w:tc>
        <w:tc>
          <w:tcPr>
            <w:tcW w:w="1325" w:type="dxa"/>
            <w:vAlign w:val="center"/>
          </w:tcPr>
          <w:p>
            <w:pPr>
              <w:snapToGrid w:val="0"/>
              <w:spacing w:line="360" w:lineRule="auto"/>
              <w:ind w:firstLine="480"/>
              <w:jc w:val="center"/>
              <w:rPr>
                <w:rFonts w:ascii="仿宋_GB2312" w:hAnsi="仿宋_GB2312" w:eastAsia="仿宋_GB2312" w:cs="仿宋_GB2312"/>
                <w:sz w:val="28"/>
                <w:szCs w:val="28"/>
              </w:rPr>
            </w:pPr>
          </w:p>
        </w:tc>
        <w:tc>
          <w:tcPr>
            <w:tcW w:w="879" w:type="dxa"/>
            <w:vAlign w:val="center"/>
          </w:tcPr>
          <w:p>
            <w:pPr>
              <w:snapToGrid w:val="0"/>
              <w:spacing w:line="360" w:lineRule="auto"/>
              <w:ind w:firstLine="480"/>
              <w:jc w:val="center"/>
              <w:rPr>
                <w:rFonts w:ascii="仿宋_GB2312" w:hAnsi="仿宋_GB2312" w:eastAsia="仿宋_GB2312" w:cs="仿宋_GB2312"/>
                <w:sz w:val="28"/>
                <w:szCs w:val="28"/>
              </w:rPr>
            </w:pPr>
          </w:p>
        </w:tc>
        <w:tc>
          <w:tcPr>
            <w:tcW w:w="795" w:type="dxa"/>
            <w:vAlign w:val="center"/>
          </w:tcPr>
          <w:p>
            <w:pPr>
              <w:snapToGrid w:val="0"/>
              <w:spacing w:line="360" w:lineRule="auto"/>
              <w:ind w:firstLine="480"/>
              <w:jc w:val="center"/>
              <w:rPr>
                <w:rFonts w:ascii="仿宋_GB2312" w:hAnsi="仿宋_GB2312" w:eastAsia="仿宋_GB2312" w:cs="仿宋_GB2312"/>
                <w:sz w:val="28"/>
                <w:szCs w:val="28"/>
              </w:rPr>
            </w:pPr>
          </w:p>
        </w:tc>
        <w:tc>
          <w:tcPr>
            <w:tcW w:w="975" w:type="dxa"/>
            <w:vAlign w:val="center"/>
          </w:tcPr>
          <w:p>
            <w:pPr>
              <w:snapToGrid w:val="0"/>
              <w:spacing w:line="360" w:lineRule="auto"/>
              <w:ind w:firstLine="480"/>
              <w:jc w:val="center"/>
              <w:rPr>
                <w:rFonts w:ascii="仿宋_GB2312" w:hAnsi="仿宋_GB2312" w:eastAsia="仿宋_GB2312" w:cs="仿宋_GB2312"/>
                <w:sz w:val="28"/>
                <w:szCs w:val="28"/>
              </w:rPr>
            </w:pPr>
          </w:p>
        </w:tc>
        <w:tc>
          <w:tcPr>
            <w:tcW w:w="927" w:type="dxa"/>
            <w:vAlign w:val="center"/>
          </w:tcPr>
          <w:p>
            <w:pPr>
              <w:snapToGrid w:val="0"/>
              <w:spacing w:line="360" w:lineRule="auto"/>
              <w:ind w:firstLine="480"/>
              <w:jc w:val="center"/>
              <w:rPr>
                <w:rFonts w:ascii="仿宋_GB2312" w:hAnsi="仿宋_GB2312" w:eastAsia="仿宋_GB2312" w:cs="仿宋_GB2312"/>
                <w:sz w:val="28"/>
                <w:szCs w:val="28"/>
              </w:rPr>
            </w:pPr>
          </w:p>
        </w:tc>
        <w:tc>
          <w:tcPr>
            <w:tcW w:w="695" w:type="dxa"/>
            <w:vAlign w:val="center"/>
          </w:tcPr>
          <w:p>
            <w:pPr>
              <w:snapToGrid w:val="0"/>
              <w:spacing w:line="360" w:lineRule="auto"/>
              <w:ind w:firstLine="480"/>
              <w:jc w:val="center"/>
              <w:rPr>
                <w:rFonts w:ascii="仿宋_GB2312" w:hAnsi="仿宋_GB2312" w:eastAsia="仿宋_GB2312" w:cs="仿宋_GB2312"/>
                <w:sz w:val="28"/>
                <w:szCs w:val="28"/>
              </w:rPr>
            </w:pPr>
          </w:p>
        </w:tc>
        <w:tc>
          <w:tcPr>
            <w:tcW w:w="798" w:type="dxa"/>
            <w:vAlign w:val="center"/>
          </w:tcPr>
          <w:p>
            <w:pPr>
              <w:snapToGrid w:val="0"/>
              <w:spacing w:line="360" w:lineRule="auto"/>
              <w:ind w:firstLine="480"/>
              <w:jc w:val="center"/>
              <w:rPr>
                <w:rFonts w:ascii="仿宋_GB2312" w:hAnsi="仿宋_GB2312" w:eastAsia="仿宋_GB2312" w:cs="仿宋_GB2312"/>
                <w:sz w:val="28"/>
                <w:szCs w:val="28"/>
              </w:rPr>
            </w:pPr>
          </w:p>
        </w:tc>
        <w:tc>
          <w:tcPr>
            <w:tcW w:w="519" w:type="dxa"/>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pPr>
              <w:snapToGrid w:val="0"/>
              <w:spacing w:line="360" w:lineRule="auto"/>
              <w:ind w:firstLine="480"/>
              <w:jc w:val="center"/>
              <w:rPr>
                <w:rFonts w:ascii="仿宋_GB2312" w:hAnsi="仿宋_GB2312" w:eastAsia="仿宋_GB2312" w:cs="仿宋_GB2312"/>
                <w:sz w:val="28"/>
                <w:szCs w:val="28"/>
              </w:rPr>
            </w:pPr>
          </w:p>
        </w:tc>
        <w:tc>
          <w:tcPr>
            <w:tcW w:w="1311" w:type="dxa"/>
            <w:vAlign w:val="center"/>
          </w:tcPr>
          <w:p>
            <w:pPr>
              <w:snapToGrid w:val="0"/>
              <w:spacing w:line="360" w:lineRule="auto"/>
              <w:ind w:firstLine="480"/>
              <w:jc w:val="center"/>
              <w:rPr>
                <w:rFonts w:ascii="仿宋_GB2312" w:hAnsi="仿宋_GB2312" w:eastAsia="仿宋_GB2312" w:cs="仿宋_GB2312"/>
                <w:sz w:val="28"/>
                <w:szCs w:val="28"/>
              </w:rPr>
            </w:pPr>
          </w:p>
        </w:tc>
        <w:tc>
          <w:tcPr>
            <w:tcW w:w="1325" w:type="dxa"/>
            <w:vAlign w:val="center"/>
          </w:tcPr>
          <w:p>
            <w:pPr>
              <w:snapToGrid w:val="0"/>
              <w:spacing w:line="360" w:lineRule="auto"/>
              <w:ind w:firstLine="480"/>
              <w:jc w:val="center"/>
              <w:rPr>
                <w:rFonts w:ascii="仿宋_GB2312" w:hAnsi="仿宋_GB2312" w:eastAsia="仿宋_GB2312" w:cs="仿宋_GB2312"/>
                <w:sz w:val="28"/>
                <w:szCs w:val="28"/>
              </w:rPr>
            </w:pPr>
          </w:p>
        </w:tc>
        <w:tc>
          <w:tcPr>
            <w:tcW w:w="879" w:type="dxa"/>
            <w:vAlign w:val="center"/>
          </w:tcPr>
          <w:p>
            <w:pPr>
              <w:snapToGrid w:val="0"/>
              <w:spacing w:line="360" w:lineRule="auto"/>
              <w:ind w:firstLine="480"/>
              <w:jc w:val="center"/>
              <w:rPr>
                <w:rFonts w:ascii="仿宋_GB2312" w:hAnsi="仿宋_GB2312" w:eastAsia="仿宋_GB2312" w:cs="仿宋_GB2312"/>
                <w:sz w:val="28"/>
                <w:szCs w:val="28"/>
              </w:rPr>
            </w:pPr>
          </w:p>
        </w:tc>
        <w:tc>
          <w:tcPr>
            <w:tcW w:w="795" w:type="dxa"/>
            <w:vAlign w:val="center"/>
          </w:tcPr>
          <w:p>
            <w:pPr>
              <w:snapToGrid w:val="0"/>
              <w:spacing w:line="360" w:lineRule="auto"/>
              <w:ind w:firstLine="480"/>
              <w:jc w:val="center"/>
              <w:rPr>
                <w:rFonts w:ascii="仿宋_GB2312" w:hAnsi="仿宋_GB2312" w:eastAsia="仿宋_GB2312" w:cs="仿宋_GB2312"/>
                <w:sz w:val="28"/>
                <w:szCs w:val="28"/>
              </w:rPr>
            </w:pPr>
          </w:p>
        </w:tc>
        <w:tc>
          <w:tcPr>
            <w:tcW w:w="975" w:type="dxa"/>
            <w:vAlign w:val="center"/>
          </w:tcPr>
          <w:p>
            <w:pPr>
              <w:snapToGrid w:val="0"/>
              <w:spacing w:line="360" w:lineRule="auto"/>
              <w:ind w:firstLine="480"/>
              <w:jc w:val="center"/>
              <w:rPr>
                <w:rFonts w:ascii="仿宋_GB2312" w:hAnsi="仿宋_GB2312" w:eastAsia="仿宋_GB2312" w:cs="仿宋_GB2312"/>
                <w:sz w:val="28"/>
                <w:szCs w:val="28"/>
              </w:rPr>
            </w:pPr>
          </w:p>
        </w:tc>
        <w:tc>
          <w:tcPr>
            <w:tcW w:w="927" w:type="dxa"/>
            <w:vAlign w:val="center"/>
          </w:tcPr>
          <w:p>
            <w:pPr>
              <w:snapToGrid w:val="0"/>
              <w:spacing w:line="360" w:lineRule="auto"/>
              <w:ind w:firstLine="480"/>
              <w:jc w:val="center"/>
              <w:rPr>
                <w:rFonts w:ascii="仿宋_GB2312" w:hAnsi="仿宋_GB2312" w:eastAsia="仿宋_GB2312" w:cs="仿宋_GB2312"/>
                <w:sz w:val="28"/>
                <w:szCs w:val="28"/>
              </w:rPr>
            </w:pPr>
          </w:p>
        </w:tc>
        <w:tc>
          <w:tcPr>
            <w:tcW w:w="695" w:type="dxa"/>
            <w:vAlign w:val="center"/>
          </w:tcPr>
          <w:p>
            <w:pPr>
              <w:snapToGrid w:val="0"/>
              <w:spacing w:line="360" w:lineRule="auto"/>
              <w:ind w:firstLine="480"/>
              <w:jc w:val="center"/>
              <w:rPr>
                <w:rFonts w:ascii="仿宋_GB2312" w:hAnsi="仿宋_GB2312" w:eastAsia="仿宋_GB2312" w:cs="仿宋_GB2312"/>
                <w:sz w:val="28"/>
                <w:szCs w:val="28"/>
              </w:rPr>
            </w:pPr>
          </w:p>
        </w:tc>
        <w:tc>
          <w:tcPr>
            <w:tcW w:w="798" w:type="dxa"/>
            <w:vAlign w:val="center"/>
          </w:tcPr>
          <w:p>
            <w:pPr>
              <w:snapToGrid w:val="0"/>
              <w:spacing w:line="360" w:lineRule="auto"/>
              <w:ind w:firstLine="480"/>
              <w:jc w:val="center"/>
              <w:rPr>
                <w:rFonts w:ascii="仿宋_GB2312" w:hAnsi="仿宋_GB2312" w:eastAsia="仿宋_GB2312" w:cs="仿宋_GB2312"/>
                <w:sz w:val="28"/>
                <w:szCs w:val="28"/>
              </w:rPr>
            </w:pPr>
          </w:p>
        </w:tc>
        <w:tc>
          <w:tcPr>
            <w:tcW w:w="519" w:type="dxa"/>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pPr>
              <w:snapToGrid w:val="0"/>
              <w:spacing w:line="360" w:lineRule="auto"/>
              <w:ind w:firstLine="480"/>
              <w:jc w:val="center"/>
              <w:rPr>
                <w:rFonts w:ascii="仿宋_GB2312" w:hAnsi="仿宋_GB2312" w:eastAsia="仿宋_GB2312" w:cs="仿宋_GB2312"/>
                <w:sz w:val="28"/>
                <w:szCs w:val="28"/>
              </w:rPr>
            </w:pPr>
          </w:p>
        </w:tc>
        <w:tc>
          <w:tcPr>
            <w:tcW w:w="1311" w:type="dxa"/>
            <w:vAlign w:val="center"/>
          </w:tcPr>
          <w:p>
            <w:pPr>
              <w:snapToGrid w:val="0"/>
              <w:spacing w:line="360" w:lineRule="auto"/>
              <w:ind w:firstLine="480"/>
              <w:jc w:val="center"/>
              <w:rPr>
                <w:rFonts w:ascii="仿宋_GB2312" w:hAnsi="仿宋_GB2312" w:eastAsia="仿宋_GB2312" w:cs="仿宋_GB2312"/>
                <w:sz w:val="28"/>
                <w:szCs w:val="28"/>
              </w:rPr>
            </w:pPr>
          </w:p>
        </w:tc>
        <w:tc>
          <w:tcPr>
            <w:tcW w:w="1325" w:type="dxa"/>
            <w:vAlign w:val="center"/>
          </w:tcPr>
          <w:p>
            <w:pPr>
              <w:snapToGrid w:val="0"/>
              <w:spacing w:line="360" w:lineRule="auto"/>
              <w:ind w:firstLine="480"/>
              <w:jc w:val="center"/>
              <w:rPr>
                <w:rFonts w:ascii="仿宋_GB2312" w:hAnsi="仿宋_GB2312" w:eastAsia="仿宋_GB2312" w:cs="仿宋_GB2312"/>
                <w:sz w:val="28"/>
                <w:szCs w:val="28"/>
              </w:rPr>
            </w:pPr>
          </w:p>
        </w:tc>
        <w:tc>
          <w:tcPr>
            <w:tcW w:w="879" w:type="dxa"/>
            <w:vAlign w:val="center"/>
          </w:tcPr>
          <w:p>
            <w:pPr>
              <w:snapToGrid w:val="0"/>
              <w:spacing w:line="360" w:lineRule="auto"/>
              <w:ind w:firstLine="480"/>
              <w:jc w:val="center"/>
              <w:rPr>
                <w:rFonts w:ascii="仿宋_GB2312" w:hAnsi="仿宋_GB2312" w:eastAsia="仿宋_GB2312" w:cs="仿宋_GB2312"/>
                <w:sz w:val="28"/>
                <w:szCs w:val="28"/>
              </w:rPr>
            </w:pPr>
          </w:p>
        </w:tc>
        <w:tc>
          <w:tcPr>
            <w:tcW w:w="795" w:type="dxa"/>
            <w:vAlign w:val="center"/>
          </w:tcPr>
          <w:p>
            <w:pPr>
              <w:snapToGrid w:val="0"/>
              <w:spacing w:line="360" w:lineRule="auto"/>
              <w:ind w:firstLine="480"/>
              <w:jc w:val="center"/>
              <w:rPr>
                <w:rFonts w:ascii="仿宋_GB2312" w:hAnsi="仿宋_GB2312" w:eastAsia="仿宋_GB2312" w:cs="仿宋_GB2312"/>
                <w:sz w:val="28"/>
                <w:szCs w:val="28"/>
              </w:rPr>
            </w:pPr>
          </w:p>
        </w:tc>
        <w:tc>
          <w:tcPr>
            <w:tcW w:w="975" w:type="dxa"/>
            <w:vAlign w:val="center"/>
          </w:tcPr>
          <w:p>
            <w:pPr>
              <w:snapToGrid w:val="0"/>
              <w:spacing w:line="360" w:lineRule="auto"/>
              <w:ind w:firstLine="480"/>
              <w:jc w:val="center"/>
              <w:rPr>
                <w:rFonts w:ascii="仿宋_GB2312" w:hAnsi="仿宋_GB2312" w:eastAsia="仿宋_GB2312" w:cs="仿宋_GB2312"/>
                <w:sz w:val="28"/>
                <w:szCs w:val="28"/>
              </w:rPr>
            </w:pPr>
          </w:p>
        </w:tc>
        <w:tc>
          <w:tcPr>
            <w:tcW w:w="927" w:type="dxa"/>
            <w:vAlign w:val="center"/>
          </w:tcPr>
          <w:p>
            <w:pPr>
              <w:snapToGrid w:val="0"/>
              <w:spacing w:line="360" w:lineRule="auto"/>
              <w:ind w:firstLine="480"/>
              <w:jc w:val="center"/>
              <w:rPr>
                <w:rFonts w:ascii="仿宋_GB2312" w:hAnsi="仿宋_GB2312" w:eastAsia="仿宋_GB2312" w:cs="仿宋_GB2312"/>
                <w:sz w:val="28"/>
                <w:szCs w:val="28"/>
              </w:rPr>
            </w:pPr>
          </w:p>
        </w:tc>
        <w:tc>
          <w:tcPr>
            <w:tcW w:w="695" w:type="dxa"/>
            <w:vAlign w:val="center"/>
          </w:tcPr>
          <w:p>
            <w:pPr>
              <w:snapToGrid w:val="0"/>
              <w:spacing w:line="360" w:lineRule="auto"/>
              <w:ind w:firstLine="480"/>
              <w:jc w:val="center"/>
              <w:rPr>
                <w:rFonts w:ascii="仿宋_GB2312" w:hAnsi="仿宋_GB2312" w:eastAsia="仿宋_GB2312" w:cs="仿宋_GB2312"/>
                <w:sz w:val="28"/>
                <w:szCs w:val="28"/>
              </w:rPr>
            </w:pPr>
          </w:p>
        </w:tc>
        <w:tc>
          <w:tcPr>
            <w:tcW w:w="798" w:type="dxa"/>
            <w:vAlign w:val="center"/>
          </w:tcPr>
          <w:p>
            <w:pPr>
              <w:snapToGrid w:val="0"/>
              <w:spacing w:line="360" w:lineRule="auto"/>
              <w:ind w:firstLine="480"/>
              <w:jc w:val="center"/>
              <w:rPr>
                <w:rFonts w:ascii="仿宋_GB2312" w:hAnsi="仿宋_GB2312" w:eastAsia="仿宋_GB2312" w:cs="仿宋_GB2312"/>
                <w:sz w:val="28"/>
                <w:szCs w:val="28"/>
              </w:rPr>
            </w:pPr>
          </w:p>
        </w:tc>
        <w:tc>
          <w:tcPr>
            <w:tcW w:w="519" w:type="dxa"/>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pPr>
              <w:snapToGrid w:val="0"/>
              <w:spacing w:line="360" w:lineRule="auto"/>
              <w:ind w:firstLine="480"/>
              <w:jc w:val="center"/>
              <w:rPr>
                <w:rFonts w:ascii="仿宋_GB2312" w:hAnsi="仿宋_GB2312" w:eastAsia="仿宋_GB2312" w:cs="仿宋_GB2312"/>
                <w:sz w:val="28"/>
                <w:szCs w:val="28"/>
              </w:rPr>
            </w:pPr>
          </w:p>
        </w:tc>
        <w:tc>
          <w:tcPr>
            <w:tcW w:w="1311" w:type="dxa"/>
            <w:vAlign w:val="center"/>
          </w:tcPr>
          <w:p>
            <w:pPr>
              <w:snapToGrid w:val="0"/>
              <w:spacing w:line="360" w:lineRule="auto"/>
              <w:ind w:firstLine="480"/>
              <w:jc w:val="center"/>
              <w:rPr>
                <w:rFonts w:ascii="仿宋_GB2312" w:hAnsi="仿宋_GB2312" w:eastAsia="仿宋_GB2312" w:cs="仿宋_GB2312"/>
                <w:sz w:val="28"/>
                <w:szCs w:val="28"/>
              </w:rPr>
            </w:pPr>
          </w:p>
        </w:tc>
        <w:tc>
          <w:tcPr>
            <w:tcW w:w="1325" w:type="dxa"/>
            <w:vAlign w:val="center"/>
          </w:tcPr>
          <w:p>
            <w:pPr>
              <w:snapToGrid w:val="0"/>
              <w:spacing w:line="360" w:lineRule="auto"/>
              <w:ind w:firstLine="480"/>
              <w:jc w:val="center"/>
              <w:rPr>
                <w:rFonts w:ascii="仿宋_GB2312" w:hAnsi="仿宋_GB2312" w:eastAsia="仿宋_GB2312" w:cs="仿宋_GB2312"/>
                <w:sz w:val="28"/>
                <w:szCs w:val="28"/>
              </w:rPr>
            </w:pPr>
          </w:p>
        </w:tc>
        <w:tc>
          <w:tcPr>
            <w:tcW w:w="879" w:type="dxa"/>
            <w:vAlign w:val="center"/>
          </w:tcPr>
          <w:p>
            <w:pPr>
              <w:snapToGrid w:val="0"/>
              <w:spacing w:line="360" w:lineRule="auto"/>
              <w:ind w:firstLine="480"/>
              <w:jc w:val="center"/>
              <w:rPr>
                <w:rFonts w:ascii="仿宋_GB2312" w:hAnsi="仿宋_GB2312" w:eastAsia="仿宋_GB2312" w:cs="仿宋_GB2312"/>
                <w:sz w:val="28"/>
                <w:szCs w:val="28"/>
              </w:rPr>
            </w:pPr>
          </w:p>
        </w:tc>
        <w:tc>
          <w:tcPr>
            <w:tcW w:w="795" w:type="dxa"/>
            <w:vAlign w:val="center"/>
          </w:tcPr>
          <w:p>
            <w:pPr>
              <w:snapToGrid w:val="0"/>
              <w:spacing w:line="360" w:lineRule="auto"/>
              <w:ind w:firstLine="480"/>
              <w:jc w:val="center"/>
              <w:rPr>
                <w:rFonts w:ascii="仿宋_GB2312" w:hAnsi="仿宋_GB2312" w:eastAsia="仿宋_GB2312" w:cs="仿宋_GB2312"/>
                <w:sz w:val="28"/>
                <w:szCs w:val="28"/>
              </w:rPr>
            </w:pPr>
          </w:p>
        </w:tc>
        <w:tc>
          <w:tcPr>
            <w:tcW w:w="975" w:type="dxa"/>
            <w:vAlign w:val="center"/>
          </w:tcPr>
          <w:p>
            <w:pPr>
              <w:snapToGrid w:val="0"/>
              <w:spacing w:line="360" w:lineRule="auto"/>
              <w:ind w:firstLine="480"/>
              <w:jc w:val="center"/>
              <w:rPr>
                <w:rFonts w:ascii="仿宋_GB2312" w:hAnsi="仿宋_GB2312" w:eastAsia="仿宋_GB2312" w:cs="仿宋_GB2312"/>
                <w:sz w:val="28"/>
                <w:szCs w:val="28"/>
              </w:rPr>
            </w:pPr>
          </w:p>
        </w:tc>
        <w:tc>
          <w:tcPr>
            <w:tcW w:w="927" w:type="dxa"/>
            <w:vAlign w:val="center"/>
          </w:tcPr>
          <w:p>
            <w:pPr>
              <w:snapToGrid w:val="0"/>
              <w:spacing w:line="360" w:lineRule="auto"/>
              <w:ind w:firstLine="480"/>
              <w:jc w:val="center"/>
              <w:rPr>
                <w:rFonts w:ascii="仿宋_GB2312" w:hAnsi="仿宋_GB2312" w:eastAsia="仿宋_GB2312" w:cs="仿宋_GB2312"/>
                <w:sz w:val="28"/>
                <w:szCs w:val="28"/>
              </w:rPr>
            </w:pPr>
          </w:p>
        </w:tc>
        <w:tc>
          <w:tcPr>
            <w:tcW w:w="695" w:type="dxa"/>
            <w:vAlign w:val="center"/>
          </w:tcPr>
          <w:p>
            <w:pPr>
              <w:snapToGrid w:val="0"/>
              <w:spacing w:line="360" w:lineRule="auto"/>
              <w:ind w:firstLine="480"/>
              <w:jc w:val="center"/>
              <w:rPr>
                <w:rFonts w:ascii="仿宋_GB2312" w:hAnsi="仿宋_GB2312" w:eastAsia="仿宋_GB2312" w:cs="仿宋_GB2312"/>
                <w:sz w:val="28"/>
                <w:szCs w:val="28"/>
              </w:rPr>
            </w:pPr>
          </w:p>
        </w:tc>
        <w:tc>
          <w:tcPr>
            <w:tcW w:w="798" w:type="dxa"/>
            <w:vAlign w:val="center"/>
          </w:tcPr>
          <w:p>
            <w:pPr>
              <w:snapToGrid w:val="0"/>
              <w:spacing w:line="360" w:lineRule="auto"/>
              <w:ind w:firstLine="480"/>
              <w:jc w:val="center"/>
              <w:rPr>
                <w:rFonts w:ascii="仿宋_GB2312" w:hAnsi="仿宋_GB2312" w:eastAsia="仿宋_GB2312" w:cs="仿宋_GB2312"/>
                <w:sz w:val="28"/>
                <w:szCs w:val="28"/>
              </w:rPr>
            </w:pPr>
          </w:p>
        </w:tc>
        <w:tc>
          <w:tcPr>
            <w:tcW w:w="519" w:type="dxa"/>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pPr>
              <w:snapToGrid w:val="0"/>
              <w:spacing w:line="360" w:lineRule="auto"/>
              <w:ind w:firstLine="480"/>
              <w:jc w:val="center"/>
              <w:rPr>
                <w:rFonts w:ascii="仿宋_GB2312" w:hAnsi="仿宋_GB2312" w:eastAsia="仿宋_GB2312" w:cs="仿宋_GB2312"/>
                <w:sz w:val="28"/>
                <w:szCs w:val="28"/>
              </w:rPr>
            </w:pPr>
          </w:p>
        </w:tc>
        <w:tc>
          <w:tcPr>
            <w:tcW w:w="1311" w:type="dxa"/>
            <w:vAlign w:val="center"/>
          </w:tcPr>
          <w:p>
            <w:pPr>
              <w:snapToGrid w:val="0"/>
              <w:spacing w:line="360" w:lineRule="auto"/>
              <w:ind w:firstLine="480"/>
              <w:jc w:val="center"/>
              <w:rPr>
                <w:rFonts w:ascii="仿宋_GB2312" w:hAnsi="仿宋_GB2312" w:eastAsia="仿宋_GB2312" w:cs="仿宋_GB2312"/>
                <w:sz w:val="28"/>
                <w:szCs w:val="28"/>
              </w:rPr>
            </w:pPr>
          </w:p>
        </w:tc>
        <w:tc>
          <w:tcPr>
            <w:tcW w:w="1325" w:type="dxa"/>
            <w:vAlign w:val="center"/>
          </w:tcPr>
          <w:p>
            <w:pPr>
              <w:snapToGrid w:val="0"/>
              <w:spacing w:line="360" w:lineRule="auto"/>
              <w:ind w:firstLine="480"/>
              <w:jc w:val="center"/>
              <w:rPr>
                <w:rFonts w:ascii="仿宋_GB2312" w:hAnsi="仿宋_GB2312" w:eastAsia="仿宋_GB2312" w:cs="仿宋_GB2312"/>
                <w:sz w:val="28"/>
                <w:szCs w:val="28"/>
              </w:rPr>
            </w:pPr>
          </w:p>
        </w:tc>
        <w:tc>
          <w:tcPr>
            <w:tcW w:w="879" w:type="dxa"/>
            <w:vAlign w:val="center"/>
          </w:tcPr>
          <w:p>
            <w:pPr>
              <w:snapToGrid w:val="0"/>
              <w:spacing w:line="360" w:lineRule="auto"/>
              <w:ind w:firstLine="480"/>
              <w:jc w:val="center"/>
              <w:rPr>
                <w:rFonts w:ascii="仿宋_GB2312" w:hAnsi="仿宋_GB2312" w:eastAsia="仿宋_GB2312" w:cs="仿宋_GB2312"/>
                <w:sz w:val="28"/>
                <w:szCs w:val="28"/>
              </w:rPr>
            </w:pPr>
          </w:p>
        </w:tc>
        <w:tc>
          <w:tcPr>
            <w:tcW w:w="795" w:type="dxa"/>
            <w:vAlign w:val="center"/>
          </w:tcPr>
          <w:p>
            <w:pPr>
              <w:snapToGrid w:val="0"/>
              <w:spacing w:line="360" w:lineRule="auto"/>
              <w:ind w:firstLine="480"/>
              <w:jc w:val="center"/>
              <w:rPr>
                <w:rFonts w:ascii="仿宋_GB2312" w:hAnsi="仿宋_GB2312" w:eastAsia="仿宋_GB2312" w:cs="仿宋_GB2312"/>
                <w:sz w:val="28"/>
                <w:szCs w:val="28"/>
              </w:rPr>
            </w:pPr>
          </w:p>
        </w:tc>
        <w:tc>
          <w:tcPr>
            <w:tcW w:w="975" w:type="dxa"/>
            <w:vAlign w:val="center"/>
          </w:tcPr>
          <w:p>
            <w:pPr>
              <w:snapToGrid w:val="0"/>
              <w:spacing w:line="360" w:lineRule="auto"/>
              <w:ind w:firstLine="480"/>
              <w:jc w:val="center"/>
              <w:rPr>
                <w:rFonts w:ascii="仿宋_GB2312" w:hAnsi="仿宋_GB2312" w:eastAsia="仿宋_GB2312" w:cs="仿宋_GB2312"/>
                <w:sz w:val="28"/>
                <w:szCs w:val="28"/>
              </w:rPr>
            </w:pPr>
          </w:p>
        </w:tc>
        <w:tc>
          <w:tcPr>
            <w:tcW w:w="927" w:type="dxa"/>
            <w:vAlign w:val="center"/>
          </w:tcPr>
          <w:p>
            <w:pPr>
              <w:snapToGrid w:val="0"/>
              <w:spacing w:line="360" w:lineRule="auto"/>
              <w:ind w:firstLine="480"/>
              <w:jc w:val="center"/>
              <w:rPr>
                <w:rFonts w:ascii="仿宋_GB2312" w:hAnsi="仿宋_GB2312" w:eastAsia="仿宋_GB2312" w:cs="仿宋_GB2312"/>
                <w:sz w:val="28"/>
                <w:szCs w:val="28"/>
              </w:rPr>
            </w:pPr>
          </w:p>
        </w:tc>
        <w:tc>
          <w:tcPr>
            <w:tcW w:w="695" w:type="dxa"/>
            <w:vAlign w:val="center"/>
          </w:tcPr>
          <w:p>
            <w:pPr>
              <w:snapToGrid w:val="0"/>
              <w:spacing w:line="360" w:lineRule="auto"/>
              <w:ind w:firstLine="480"/>
              <w:jc w:val="center"/>
              <w:rPr>
                <w:rFonts w:ascii="仿宋_GB2312" w:hAnsi="仿宋_GB2312" w:eastAsia="仿宋_GB2312" w:cs="仿宋_GB2312"/>
                <w:sz w:val="28"/>
                <w:szCs w:val="28"/>
              </w:rPr>
            </w:pPr>
          </w:p>
        </w:tc>
        <w:tc>
          <w:tcPr>
            <w:tcW w:w="798" w:type="dxa"/>
            <w:vAlign w:val="center"/>
          </w:tcPr>
          <w:p>
            <w:pPr>
              <w:snapToGrid w:val="0"/>
              <w:spacing w:line="360" w:lineRule="auto"/>
              <w:ind w:firstLine="480"/>
              <w:jc w:val="center"/>
              <w:rPr>
                <w:rFonts w:ascii="仿宋_GB2312" w:hAnsi="仿宋_GB2312" w:eastAsia="仿宋_GB2312" w:cs="仿宋_GB2312"/>
                <w:sz w:val="28"/>
                <w:szCs w:val="28"/>
              </w:rPr>
            </w:pPr>
          </w:p>
        </w:tc>
        <w:tc>
          <w:tcPr>
            <w:tcW w:w="519" w:type="dxa"/>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pPr>
              <w:snapToGrid w:val="0"/>
              <w:spacing w:line="360" w:lineRule="auto"/>
              <w:ind w:firstLine="480"/>
              <w:jc w:val="center"/>
              <w:rPr>
                <w:rFonts w:ascii="仿宋_GB2312" w:hAnsi="仿宋_GB2312" w:eastAsia="仿宋_GB2312" w:cs="仿宋_GB2312"/>
                <w:sz w:val="28"/>
                <w:szCs w:val="28"/>
              </w:rPr>
            </w:pPr>
          </w:p>
        </w:tc>
        <w:tc>
          <w:tcPr>
            <w:tcW w:w="1311" w:type="dxa"/>
            <w:vAlign w:val="center"/>
          </w:tcPr>
          <w:p>
            <w:pPr>
              <w:snapToGrid w:val="0"/>
              <w:spacing w:line="360" w:lineRule="auto"/>
              <w:ind w:firstLine="480"/>
              <w:jc w:val="center"/>
              <w:rPr>
                <w:rFonts w:ascii="仿宋_GB2312" w:hAnsi="仿宋_GB2312" w:eastAsia="仿宋_GB2312" w:cs="仿宋_GB2312"/>
                <w:sz w:val="28"/>
                <w:szCs w:val="28"/>
              </w:rPr>
            </w:pPr>
          </w:p>
        </w:tc>
        <w:tc>
          <w:tcPr>
            <w:tcW w:w="1325" w:type="dxa"/>
            <w:vAlign w:val="center"/>
          </w:tcPr>
          <w:p>
            <w:pPr>
              <w:snapToGrid w:val="0"/>
              <w:spacing w:line="360" w:lineRule="auto"/>
              <w:ind w:firstLine="480"/>
              <w:jc w:val="center"/>
              <w:rPr>
                <w:rFonts w:ascii="仿宋_GB2312" w:hAnsi="仿宋_GB2312" w:eastAsia="仿宋_GB2312" w:cs="仿宋_GB2312"/>
                <w:sz w:val="28"/>
                <w:szCs w:val="28"/>
              </w:rPr>
            </w:pPr>
          </w:p>
        </w:tc>
        <w:tc>
          <w:tcPr>
            <w:tcW w:w="879" w:type="dxa"/>
            <w:vAlign w:val="center"/>
          </w:tcPr>
          <w:p>
            <w:pPr>
              <w:snapToGrid w:val="0"/>
              <w:spacing w:line="360" w:lineRule="auto"/>
              <w:ind w:firstLine="480"/>
              <w:jc w:val="center"/>
              <w:rPr>
                <w:rFonts w:ascii="仿宋_GB2312" w:hAnsi="仿宋_GB2312" w:eastAsia="仿宋_GB2312" w:cs="仿宋_GB2312"/>
                <w:sz w:val="28"/>
                <w:szCs w:val="28"/>
              </w:rPr>
            </w:pPr>
          </w:p>
        </w:tc>
        <w:tc>
          <w:tcPr>
            <w:tcW w:w="795" w:type="dxa"/>
            <w:vAlign w:val="center"/>
          </w:tcPr>
          <w:p>
            <w:pPr>
              <w:snapToGrid w:val="0"/>
              <w:spacing w:line="360" w:lineRule="auto"/>
              <w:ind w:firstLine="480"/>
              <w:jc w:val="center"/>
              <w:rPr>
                <w:rFonts w:ascii="仿宋_GB2312" w:hAnsi="仿宋_GB2312" w:eastAsia="仿宋_GB2312" w:cs="仿宋_GB2312"/>
                <w:sz w:val="28"/>
                <w:szCs w:val="28"/>
              </w:rPr>
            </w:pPr>
          </w:p>
        </w:tc>
        <w:tc>
          <w:tcPr>
            <w:tcW w:w="975" w:type="dxa"/>
            <w:vAlign w:val="center"/>
          </w:tcPr>
          <w:p>
            <w:pPr>
              <w:snapToGrid w:val="0"/>
              <w:spacing w:line="360" w:lineRule="auto"/>
              <w:ind w:firstLine="480"/>
              <w:jc w:val="center"/>
              <w:rPr>
                <w:rFonts w:ascii="仿宋_GB2312" w:hAnsi="仿宋_GB2312" w:eastAsia="仿宋_GB2312" w:cs="仿宋_GB2312"/>
                <w:sz w:val="28"/>
                <w:szCs w:val="28"/>
              </w:rPr>
            </w:pPr>
          </w:p>
        </w:tc>
        <w:tc>
          <w:tcPr>
            <w:tcW w:w="927" w:type="dxa"/>
            <w:vAlign w:val="center"/>
          </w:tcPr>
          <w:p>
            <w:pPr>
              <w:snapToGrid w:val="0"/>
              <w:spacing w:line="360" w:lineRule="auto"/>
              <w:ind w:firstLine="480"/>
              <w:jc w:val="center"/>
              <w:rPr>
                <w:rFonts w:ascii="仿宋_GB2312" w:hAnsi="仿宋_GB2312" w:eastAsia="仿宋_GB2312" w:cs="仿宋_GB2312"/>
                <w:sz w:val="28"/>
                <w:szCs w:val="28"/>
              </w:rPr>
            </w:pPr>
          </w:p>
        </w:tc>
        <w:tc>
          <w:tcPr>
            <w:tcW w:w="695" w:type="dxa"/>
            <w:vAlign w:val="center"/>
          </w:tcPr>
          <w:p>
            <w:pPr>
              <w:snapToGrid w:val="0"/>
              <w:spacing w:line="360" w:lineRule="auto"/>
              <w:ind w:firstLine="480"/>
              <w:jc w:val="center"/>
              <w:rPr>
                <w:rFonts w:ascii="仿宋_GB2312" w:hAnsi="仿宋_GB2312" w:eastAsia="仿宋_GB2312" w:cs="仿宋_GB2312"/>
                <w:sz w:val="28"/>
                <w:szCs w:val="28"/>
              </w:rPr>
            </w:pPr>
          </w:p>
        </w:tc>
        <w:tc>
          <w:tcPr>
            <w:tcW w:w="798" w:type="dxa"/>
            <w:vAlign w:val="center"/>
          </w:tcPr>
          <w:p>
            <w:pPr>
              <w:snapToGrid w:val="0"/>
              <w:spacing w:line="360" w:lineRule="auto"/>
              <w:ind w:firstLine="480"/>
              <w:jc w:val="center"/>
              <w:rPr>
                <w:rFonts w:ascii="仿宋_GB2312" w:hAnsi="仿宋_GB2312" w:eastAsia="仿宋_GB2312" w:cs="仿宋_GB2312"/>
                <w:sz w:val="28"/>
                <w:szCs w:val="28"/>
              </w:rPr>
            </w:pPr>
          </w:p>
        </w:tc>
        <w:tc>
          <w:tcPr>
            <w:tcW w:w="519" w:type="dxa"/>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6" w:type="dxa"/>
            <w:vAlign w:val="center"/>
          </w:tcPr>
          <w:p>
            <w:pPr>
              <w:snapToGrid w:val="0"/>
              <w:spacing w:line="360" w:lineRule="auto"/>
              <w:ind w:firstLine="480"/>
              <w:jc w:val="center"/>
              <w:rPr>
                <w:rFonts w:ascii="仿宋_GB2312" w:hAnsi="仿宋_GB2312" w:eastAsia="仿宋_GB2312" w:cs="仿宋_GB2312"/>
                <w:sz w:val="28"/>
                <w:szCs w:val="28"/>
              </w:rPr>
            </w:pPr>
          </w:p>
        </w:tc>
        <w:tc>
          <w:tcPr>
            <w:tcW w:w="1311" w:type="dxa"/>
            <w:vAlign w:val="center"/>
          </w:tcPr>
          <w:p>
            <w:pPr>
              <w:snapToGrid w:val="0"/>
              <w:spacing w:line="360" w:lineRule="auto"/>
              <w:ind w:firstLine="480"/>
              <w:jc w:val="center"/>
              <w:rPr>
                <w:rFonts w:ascii="仿宋_GB2312" w:hAnsi="仿宋_GB2312" w:eastAsia="仿宋_GB2312" w:cs="仿宋_GB2312"/>
                <w:sz w:val="28"/>
                <w:szCs w:val="28"/>
              </w:rPr>
            </w:pPr>
          </w:p>
        </w:tc>
        <w:tc>
          <w:tcPr>
            <w:tcW w:w="1325" w:type="dxa"/>
            <w:vAlign w:val="center"/>
          </w:tcPr>
          <w:p>
            <w:pPr>
              <w:snapToGrid w:val="0"/>
              <w:spacing w:line="360" w:lineRule="auto"/>
              <w:ind w:firstLine="480"/>
              <w:jc w:val="center"/>
              <w:rPr>
                <w:rFonts w:ascii="仿宋_GB2312" w:hAnsi="仿宋_GB2312" w:eastAsia="仿宋_GB2312" w:cs="仿宋_GB2312"/>
                <w:sz w:val="28"/>
                <w:szCs w:val="28"/>
              </w:rPr>
            </w:pPr>
          </w:p>
        </w:tc>
        <w:tc>
          <w:tcPr>
            <w:tcW w:w="879" w:type="dxa"/>
            <w:vAlign w:val="center"/>
          </w:tcPr>
          <w:p>
            <w:pPr>
              <w:snapToGrid w:val="0"/>
              <w:spacing w:line="360" w:lineRule="auto"/>
              <w:ind w:firstLine="480"/>
              <w:jc w:val="center"/>
              <w:rPr>
                <w:rFonts w:ascii="仿宋_GB2312" w:hAnsi="仿宋_GB2312" w:eastAsia="仿宋_GB2312" w:cs="仿宋_GB2312"/>
                <w:sz w:val="28"/>
                <w:szCs w:val="28"/>
              </w:rPr>
            </w:pPr>
          </w:p>
        </w:tc>
        <w:tc>
          <w:tcPr>
            <w:tcW w:w="795" w:type="dxa"/>
            <w:vAlign w:val="center"/>
          </w:tcPr>
          <w:p>
            <w:pPr>
              <w:snapToGrid w:val="0"/>
              <w:spacing w:line="360" w:lineRule="auto"/>
              <w:ind w:firstLine="480"/>
              <w:jc w:val="center"/>
              <w:rPr>
                <w:rFonts w:ascii="仿宋_GB2312" w:hAnsi="仿宋_GB2312" w:eastAsia="仿宋_GB2312" w:cs="仿宋_GB2312"/>
                <w:sz w:val="28"/>
                <w:szCs w:val="28"/>
              </w:rPr>
            </w:pPr>
          </w:p>
        </w:tc>
        <w:tc>
          <w:tcPr>
            <w:tcW w:w="975" w:type="dxa"/>
            <w:vAlign w:val="center"/>
          </w:tcPr>
          <w:p>
            <w:pPr>
              <w:snapToGrid w:val="0"/>
              <w:spacing w:line="360" w:lineRule="auto"/>
              <w:ind w:firstLine="480"/>
              <w:jc w:val="center"/>
              <w:rPr>
                <w:rFonts w:ascii="仿宋_GB2312" w:hAnsi="仿宋_GB2312" w:eastAsia="仿宋_GB2312" w:cs="仿宋_GB2312"/>
                <w:sz w:val="28"/>
                <w:szCs w:val="28"/>
              </w:rPr>
            </w:pPr>
          </w:p>
        </w:tc>
        <w:tc>
          <w:tcPr>
            <w:tcW w:w="927" w:type="dxa"/>
            <w:vAlign w:val="center"/>
          </w:tcPr>
          <w:p>
            <w:pPr>
              <w:snapToGrid w:val="0"/>
              <w:spacing w:line="360" w:lineRule="auto"/>
              <w:ind w:firstLine="480"/>
              <w:jc w:val="center"/>
              <w:rPr>
                <w:rFonts w:ascii="仿宋_GB2312" w:hAnsi="仿宋_GB2312" w:eastAsia="仿宋_GB2312" w:cs="仿宋_GB2312"/>
                <w:sz w:val="28"/>
                <w:szCs w:val="28"/>
              </w:rPr>
            </w:pPr>
          </w:p>
        </w:tc>
        <w:tc>
          <w:tcPr>
            <w:tcW w:w="695" w:type="dxa"/>
            <w:vAlign w:val="center"/>
          </w:tcPr>
          <w:p>
            <w:pPr>
              <w:snapToGrid w:val="0"/>
              <w:spacing w:line="360" w:lineRule="auto"/>
              <w:ind w:firstLine="480"/>
              <w:jc w:val="center"/>
              <w:rPr>
                <w:rFonts w:ascii="仿宋_GB2312" w:hAnsi="仿宋_GB2312" w:eastAsia="仿宋_GB2312" w:cs="仿宋_GB2312"/>
                <w:sz w:val="28"/>
                <w:szCs w:val="28"/>
              </w:rPr>
            </w:pPr>
          </w:p>
        </w:tc>
        <w:tc>
          <w:tcPr>
            <w:tcW w:w="798" w:type="dxa"/>
            <w:vAlign w:val="center"/>
          </w:tcPr>
          <w:p>
            <w:pPr>
              <w:snapToGrid w:val="0"/>
              <w:spacing w:line="360" w:lineRule="auto"/>
              <w:ind w:firstLine="480"/>
              <w:jc w:val="center"/>
              <w:rPr>
                <w:rFonts w:ascii="仿宋_GB2312" w:hAnsi="仿宋_GB2312" w:eastAsia="仿宋_GB2312" w:cs="仿宋_GB2312"/>
                <w:sz w:val="28"/>
                <w:szCs w:val="28"/>
              </w:rPr>
            </w:pPr>
          </w:p>
        </w:tc>
        <w:tc>
          <w:tcPr>
            <w:tcW w:w="519" w:type="dxa"/>
            <w:vAlign w:val="center"/>
          </w:tcPr>
          <w:p>
            <w:pPr>
              <w:snapToGrid w:val="0"/>
              <w:spacing w:line="360" w:lineRule="auto"/>
              <w:ind w:firstLine="480"/>
              <w:jc w:val="center"/>
              <w:rPr>
                <w:rFonts w:ascii="仿宋_GB2312" w:hAnsi="仿宋_GB2312" w:eastAsia="仿宋_GB2312" w:cs="仿宋_GB2312"/>
                <w:sz w:val="28"/>
                <w:szCs w:val="28"/>
              </w:rPr>
            </w:pPr>
          </w:p>
        </w:tc>
      </w:tr>
    </w:tbl>
    <w:p>
      <w:pPr>
        <w:spacing w:line="360" w:lineRule="auto"/>
      </w:pPr>
    </w:p>
    <w:p>
      <w:pPr>
        <w:spacing w:line="360" w:lineRule="auto"/>
      </w:pPr>
    </w:p>
    <w:p>
      <w:pPr>
        <w:outlineLvl w:val="1"/>
        <w:rPr>
          <w:rFonts w:ascii="仿宋_GB2312" w:hAnsi="仿宋_GB2312" w:eastAsia="仿宋_GB2312" w:cs="仿宋_GB2312"/>
          <w:sz w:val="30"/>
          <w:szCs w:val="32"/>
        </w:rPr>
        <w:sectPr>
          <w:pgSz w:w="11906" w:h="16838"/>
          <w:pgMar w:top="2098" w:right="1531" w:bottom="1984" w:left="1531" w:header="851" w:footer="1417" w:gutter="0"/>
          <w:cols w:space="720" w:num="1"/>
          <w:titlePg/>
          <w:docGrid w:type="lines" w:linePitch="312" w:charSpace="0"/>
        </w:sectPr>
      </w:pPr>
    </w:p>
    <w:p>
      <w:pPr>
        <w:outlineLvl w:val="1"/>
        <w:rPr>
          <w:rFonts w:ascii="宋体" w:hAnsi="宋体" w:cs="仿宋_GB2312"/>
          <w:sz w:val="28"/>
          <w:szCs w:val="28"/>
        </w:rPr>
      </w:pPr>
      <w:bookmarkStart w:id="1059" w:name="_Toc283425744"/>
      <w:bookmarkStart w:id="1060" w:name="_Toc121452988"/>
      <w:bookmarkStart w:id="1061" w:name="_Toc1053508749"/>
      <w:r>
        <w:rPr>
          <w:rFonts w:hint="eastAsia" w:ascii="宋体" w:hAnsi="宋体" w:cs="仿宋_GB2312"/>
          <w:sz w:val="28"/>
          <w:szCs w:val="28"/>
        </w:rPr>
        <w:t>附件5：</w:t>
      </w:r>
      <w:bookmarkEnd w:id="1059"/>
      <w:bookmarkEnd w:id="1060"/>
      <w:bookmarkEnd w:id="1061"/>
    </w:p>
    <w:p>
      <w:pPr>
        <w:jc w:val="center"/>
        <w:outlineLvl w:val="1"/>
        <w:rPr>
          <w:rFonts w:ascii="黑体" w:hAnsi="黑体" w:eastAsia="黑体"/>
          <w:sz w:val="28"/>
          <w:szCs w:val="28"/>
        </w:rPr>
      </w:pPr>
      <w:bookmarkStart w:id="1062" w:name="_Toc1909146247"/>
      <w:bookmarkStart w:id="1063" w:name="_Toc936"/>
      <w:bookmarkStart w:id="1064" w:name="_Toc1788163381"/>
      <w:bookmarkStart w:id="1065" w:name="_Toc18017"/>
      <w:bookmarkStart w:id="1066" w:name="_Toc23379"/>
      <w:bookmarkStart w:id="1067" w:name="_Toc30591"/>
      <w:r>
        <w:rPr>
          <w:rFonts w:hint="eastAsia" w:ascii="黑体" w:hAnsi="黑体" w:eastAsia="黑体"/>
          <w:sz w:val="28"/>
          <w:szCs w:val="28"/>
        </w:rPr>
        <w:t>发包人供应苗木一览表</w:t>
      </w:r>
      <w:bookmarkEnd w:id="1062"/>
      <w:bookmarkEnd w:id="1063"/>
      <w:bookmarkEnd w:id="1064"/>
      <w:bookmarkEnd w:id="1065"/>
      <w:bookmarkEnd w:id="1066"/>
      <w:bookmarkEnd w:id="1067"/>
    </w:p>
    <w:tbl>
      <w:tblPr>
        <w:tblStyle w:val="49"/>
        <w:tblW w:w="844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627"/>
        <w:gridCol w:w="1283"/>
        <w:gridCol w:w="1425"/>
        <w:gridCol w:w="945"/>
        <w:gridCol w:w="855"/>
        <w:gridCol w:w="1049"/>
        <w:gridCol w:w="855"/>
        <w:gridCol w:w="935"/>
        <w:gridCol w:w="4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pPr>
              <w:pStyle w:val="22"/>
              <w:keepNext/>
              <w:snapToGrid w:val="0"/>
              <w:ind w:right="63"/>
              <w:rPr>
                <w:rFonts w:hAnsi="宋体" w:cs="仿宋_GB2312"/>
                <w:color w:val="auto"/>
                <w:szCs w:val="21"/>
              </w:rPr>
            </w:pPr>
            <w:r>
              <w:rPr>
                <w:rFonts w:hint="eastAsia" w:hAnsi="宋体" w:cs="仿宋_GB2312"/>
                <w:color w:val="auto"/>
                <w:szCs w:val="21"/>
              </w:rPr>
              <w:t>序号</w:t>
            </w:r>
          </w:p>
        </w:tc>
        <w:tc>
          <w:tcPr>
            <w:tcW w:w="1283" w:type="dxa"/>
            <w:vAlign w:val="center"/>
          </w:tcPr>
          <w:p>
            <w:pPr>
              <w:pStyle w:val="22"/>
              <w:keepNext/>
              <w:snapToGrid w:val="0"/>
              <w:ind w:right="63"/>
              <w:rPr>
                <w:rFonts w:hAnsi="宋体" w:cs="仿宋_GB2312"/>
                <w:color w:val="auto"/>
                <w:szCs w:val="21"/>
              </w:rPr>
            </w:pPr>
            <w:r>
              <w:rPr>
                <w:rFonts w:hint="eastAsia" w:hAnsi="宋体" w:cs="仿宋_GB2312"/>
                <w:color w:val="auto"/>
                <w:szCs w:val="21"/>
              </w:rPr>
              <w:t>苗木材料名    称</w:t>
            </w:r>
          </w:p>
        </w:tc>
        <w:tc>
          <w:tcPr>
            <w:tcW w:w="1425" w:type="dxa"/>
            <w:vAlign w:val="center"/>
          </w:tcPr>
          <w:p>
            <w:pPr>
              <w:pStyle w:val="22"/>
              <w:keepNext/>
              <w:snapToGrid w:val="0"/>
              <w:ind w:right="63"/>
              <w:rPr>
                <w:rFonts w:hAnsi="宋体" w:cs="仿宋_GB2312"/>
                <w:color w:val="auto"/>
                <w:szCs w:val="21"/>
              </w:rPr>
            </w:pPr>
            <w:r>
              <w:rPr>
                <w:rFonts w:hint="eastAsia" w:hAnsi="宋体" w:cs="仿宋_GB2312"/>
                <w:color w:val="auto"/>
                <w:szCs w:val="21"/>
              </w:rPr>
              <w:t>规格</w:t>
            </w:r>
          </w:p>
        </w:tc>
        <w:tc>
          <w:tcPr>
            <w:tcW w:w="945" w:type="dxa"/>
            <w:vAlign w:val="center"/>
          </w:tcPr>
          <w:p>
            <w:pPr>
              <w:pStyle w:val="22"/>
              <w:keepNext/>
              <w:snapToGrid w:val="0"/>
              <w:ind w:right="63"/>
              <w:rPr>
                <w:rFonts w:hAnsi="宋体" w:cs="仿宋_GB2312"/>
                <w:color w:val="auto"/>
                <w:szCs w:val="21"/>
              </w:rPr>
            </w:pPr>
            <w:r>
              <w:rPr>
                <w:rFonts w:hint="eastAsia" w:hAnsi="宋体" w:cs="仿宋_GB2312"/>
                <w:color w:val="auto"/>
                <w:szCs w:val="21"/>
              </w:rPr>
              <w:t>单位</w:t>
            </w:r>
          </w:p>
        </w:tc>
        <w:tc>
          <w:tcPr>
            <w:tcW w:w="855" w:type="dxa"/>
            <w:vAlign w:val="center"/>
          </w:tcPr>
          <w:p>
            <w:pPr>
              <w:pStyle w:val="22"/>
              <w:keepNext/>
              <w:snapToGrid w:val="0"/>
              <w:ind w:right="63"/>
              <w:rPr>
                <w:rFonts w:hAnsi="宋体" w:cs="仿宋_GB2312"/>
                <w:color w:val="auto"/>
                <w:szCs w:val="21"/>
              </w:rPr>
            </w:pPr>
            <w:r>
              <w:rPr>
                <w:rFonts w:hint="eastAsia" w:hAnsi="宋体" w:cs="仿宋_GB2312"/>
                <w:color w:val="auto"/>
                <w:szCs w:val="21"/>
              </w:rPr>
              <w:t>数量</w:t>
            </w:r>
          </w:p>
        </w:tc>
        <w:tc>
          <w:tcPr>
            <w:tcW w:w="1049" w:type="dxa"/>
            <w:vAlign w:val="center"/>
          </w:tcPr>
          <w:p>
            <w:pPr>
              <w:pStyle w:val="22"/>
              <w:keepNext/>
              <w:snapToGrid w:val="0"/>
              <w:ind w:right="63"/>
              <w:rPr>
                <w:rFonts w:hAnsi="宋体" w:cs="仿宋_GB2312"/>
                <w:color w:val="auto"/>
                <w:szCs w:val="21"/>
              </w:rPr>
            </w:pPr>
            <w:r>
              <w:rPr>
                <w:rFonts w:hint="eastAsia" w:hAnsi="宋体" w:cs="仿宋_GB2312"/>
                <w:color w:val="auto"/>
                <w:szCs w:val="21"/>
              </w:rPr>
              <w:t>单价（元）</w:t>
            </w:r>
          </w:p>
        </w:tc>
        <w:tc>
          <w:tcPr>
            <w:tcW w:w="855" w:type="dxa"/>
            <w:vAlign w:val="center"/>
          </w:tcPr>
          <w:p>
            <w:pPr>
              <w:pStyle w:val="22"/>
              <w:keepNext/>
              <w:snapToGrid w:val="0"/>
              <w:ind w:right="63"/>
              <w:rPr>
                <w:rFonts w:hAnsi="宋体" w:cs="仿宋_GB2312"/>
                <w:color w:val="auto"/>
                <w:szCs w:val="21"/>
              </w:rPr>
            </w:pPr>
            <w:r>
              <w:rPr>
                <w:rFonts w:hint="eastAsia" w:hAnsi="宋体" w:cs="仿宋_GB2312"/>
                <w:color w:val="auto"/>
                <w:szCs w:val="21"/>
              </w:rPr>
              <w:t>供 应</w:t>
            </w:r>
          </w:p>
          <w:p>
            <w:pPr>
              <w:pStyle w:val="22"/>
              <w:keepNext/>
              <w:snapToGrid w:val="0"/>
              <w:ind w:right="63"/>
              <w:rPr>
                <w:rFonts w:hAnsi="宋体" w:cs="仿宋_GB2312"/>
                <w:color w:val="auto"/>
                <w:szCs w:val="21"/>
              </w:rPr>
            </w:pPr>
            <w:r>
              <w:rPr>
                <w:rFonts w:hint="eastAsia" w:hAnsi="宋体" w:cs="仿宋_GB2312"/>
                <w:color w:val="auto"/>
                <w:szCs w:val="21"/>
              </w:rPr>
              <w:t>时 间</w:t>
            </w:r>
          </w:p>
        </w:tc>
        <w:tc>
          <w:tcPr>
            <w:tcW w:w="935" w:type="dxa"/>
            <w:vAlign w:val="center"/>
          </w:tcPr>
          <w:p>
            <w:pPr>
              <w:pStyle w:val="22"/>
              <w:keepNext/>
              <w:snapToGrid w:val="0"/>
              <w:ind w:right="63"/>
              <w:rPr>
                <w:rFonts w:hAnsi="宋体" w:cs="仿宋_GB2312"/>
                <w:color w:val="auto"/>
                <w:szCs w:val="21"/>
              </w:rPr>
            </w:pPr>
            <w:r>
              <w:rPr>
                <w:rFonts w:hint="eastAsia" w:hAnsi="宋体" w:cs="仿宋_GB2312"/>
                <w:color w:val="auto"/>
                <w:szCs w:val="21"/>
              </w:rPr>
              <w:t>送 达</w:t>
            </w:r>
          </w:p>
          <w:p>
            <w:pPr>
              <w:pStyle w:val="22"/>
              <w:keepNext/>
              <w:snapToGrid w:val="0"/>
              <w:ind w:right="63"/>
              <w:rPr>
                <w:rFonts w:hAnsi="宋体" w:cs="仿宋_GB2312"/>
                <w:color w:val="auto"/>
                <w:szCs w:val="21"/>
              </w:rPr>
            </w:pPr>
            <w:r>
              <w:rPr>
                <w:rFonts w:hint="eastAsia" w:hAnsi="宋体" w:cs="仿宋_GB2312"/>
                <w:color w:val="auto"/>
                <w:szCs w:val="21"/>
              </w:rPr>
              <w:t>地 点</w:t>
            </w:r>
          </w:p>
        </w:tc>
        <w:tc>
          <w:tcPr>
            <w:tcW w:w="474" w:type="dxa"/>
            <w:vAlign w:val="center"/>
          </w:tcPr>
          <w:p>
            <w:pPr>
              <w:pStyle w:val="22"/>
              <w:keepNext/>
              <w:snapToGrid w:val="0"/>
              <w:ind w:right="63"/>
              <w:rPr>
                <w:rFonts w:hAnsi="宋体" w:cs="仿宋_GB2312"/>
                <w:color w:val="auto"/>
                <w:szCs w:val="21"/>
              </w:rPr>
            </w:pPr>
            <w:r>
              <w:rPr>
                <w:rFonts w:hint="eastAsia" w:hAnsi="宋体" w:cs="仿宋_GB2312"/>
                <w:color w:val="auto"/>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283"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42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94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85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049"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85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93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474"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283"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42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94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85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049"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85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93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474"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283"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42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94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85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049"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85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93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474"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283"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42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94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85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049"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85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93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474"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283"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42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94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85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049"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85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93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474"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283"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42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94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85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049"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85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93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474"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pPr>
              <w:snapToGrid w:val="0"/>
              <w:spacing w:line="360" w:lineRule="auto"/>
              <w:ind w:firstLine="480"/>
              <w:jc w:val="center"/>
              <w:rPr>
                <w:rFonts w:ascii="仿宋_GB2312" w:hAnsi="仿宋_GB2312" w:eastAsia="仿宋_GB2312" w:cs="仿宋_GB2312"/>
                <w:sz w:val="28"/>
                <w:szCs w:val="28"/>
              </w:rPr>
            </w:pPr>
          </w:p>
        </w:tc>
        <w:tc>
          <w:tcPr>
            <w:tcW w:w="1283" w:type="dxa"/>
            <w:vAlign w:val="center"/>
          </w:tcPr>
          <w:p>
            <w:pPr>
              <w:snapToGrid w:val="0"/>
              <w:spacing w:line="360" w:lineRule="auto"/>
              <w:ind w:firstLine="480"/>
              <w:jc w:val="center"/>
              <w:rPr>
                <w:rFonts w:ascii="仿宋_GB2312" w:hAnsi="仿宋_GB2312" w:eastAsia="仿宋_GB2312" w:cs="仿宋_GB2312"/>
                <w:sz w:val="28"/>
                <w:szCs w:val="28"/>
              </w:rPr>
            </w:pPr>
          </w:p>
        </w:tc>
        <w:tc>
          <w:tcPr>
            <w:tcW w:w="1425" w:type="dxa"/>
            <w:vAlign w:val="center"/>
          </w:tcPr>
          <w:p>
            <w:pPr>
              <w:snapToGrid w:val="0"/>
              <w:spacing w:line="360" w:lineRule="auto"/>
              <w:ind w:firstLine="480"/>
              <w:jc w:val="center"/>
              <w:rPr>
                <w:rFonts w:ascii="仿宋_GB2312" w:hAnsi="仿宋_GB2312" w:eastAsia="仿宋_GB2312" w:cs="仿宋_GB2312"/>
                <w:sz w:val="28"/>
                <w:szCs w:val="28"/>
              </w:rPr>
            </w:pPr>
          </w:p>
        </w:tc>
        <w:tc>
          <w:tcPr>
            <w:tcW w:w="945" w:type="dxa"/>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vAlign w:val="center"/>
          </w:tcPr>
          <w:p>
            <w:pPr>
              <w:snapToGrid w:val="0"/>
              <w:spacing w:line="360" w:lineRule="auto"/>
              <w:ind w:firstLine="480"/>
              <w:jc w:val="center"/>
              <w:rPr>
                <w:rFonts w:ascii="仿宋_GB2312" w:hAnsi="仿宋_GB2312" w:eastAsia="仿宋_GB2312" w:cs="仿宋_GB2312"/>
                <w:sz w:val="28"/>
                <w:szCs w:val="28"/>
              </w:rPr>
            </w:pPr>
          </w:p>
        </w:tc>
        <w:tc>
          <w:tcPr>
            <w:tcW w:w="1049" w:type="dxa"/>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vAlign w:val="center"/>
          </w:tcPr>
          <w:p>
            <w:pPr>
              <w:snapToGrid w:val="0"/>
              <w:spacing w:line="360" w:lineRule="auto"/>
              <w:ind w:firstLine="480"/>
              <w:jc w:val="center"/>
              <w:rPr>
                <w:rFonts w:ascii="仿宋_GB2312" w:hAnsi="仿宋_GB2312" w:eastAsia="仿宋_GB2312" w:cs="仿宋_GB2312"/>
                <w:sz w:val="28"/>
                <w:szCs w:val="28"/>
              </w:rPr>
            </w:pPr>
          </w:p>
        </w:tc>
        <w:tc>
          <w:tcPr>
            <w:tcW w:w="935" w:type="dxa"/>
            <w:vAlign w:val="center"/>
          </w:tcPr>
          <w:p>
            <w:pPr>
              <w:snapToGrid w:val="0"/>
              <w:spacing w:line="360" w:lineRule="auto"/>
              <w:ind w:firstLine="480"/>
              <w:jc w:val="center"/>
              <w:rPr>
                <w:rFonts w:ascii="仿宋_GB2312" w:hAnsi="仿宋_GB2312" w:eastAsia="仿宋_GB2312" w:cs="仿宋_GB2312"/>
                <w:sz w:val="28"/>
                <w:szCs w:val="28"/>
              </w:rPr>
            </w:pPr>
          </w:p>
        </w:tc>
        <w:tc>
          <w:tcPr>
            <w:tcW w:w="474" w:type="dxa"/>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283"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42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94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85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1049"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85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935"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c>
          <w:tcPr>
            <w:tcW w:w="474" w:type="dxa"/>
            <w:vAlign w:val="center"/>
          </w:tcPr>
          <w:p>
            <w:pPr>
              <w:pStyle w:val="22"/>
              <w:keepNext/>
              <w:snapToGrid w:val="0"/>
              <w:spacing w:line="360" w:lineRule="auto"/>
              <w:ind w:left="63" w:right="63" w:firstLine="480"/>
              <w:rPr>
                <w:rFonts w:ascii="仿宋_GB2312" w:hAnsi="仿宋_GB2312" w:eastAsia="仿宋_GB2312" w:cs="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pPr>
              <w:snapToGrid w:val="0"/>
              <w:spacing w:line="360" w:lineRule="auto"/>
              <w:ind w:firstLine="480"/>
              <w:jc w:val="center"/>
              <w:rPr>
                <w:rFonts w:ascii="仿宋_GB2312" w:hAnsi="仿宋_GB2312" w:eastAsia="仿宋_GB2312" w:cs="仿宋_GB2312"/>
                <w:sz w:val="28"/>
                <w:szCs w:val="28"/>
              </w:rPr>
            </w:pPr>
          </w:p>
        </w:tc>
        <w:tc>
          <w:tcPr>
            <w:tcW w:w="1283" w:type="dxa"/>
            <w:vAlign w:val="center"/>
          </w:tcPr>
          <w:p>
            <w:pPr>
              <w:snapToGrid w:val="0"/>
              <w:spacing w:line="360" w:lineRule="auto"/>
              <w:ind w:firstLine="480"/>
              <w:jc w:val="center"/>
              <w:rPr>
                <w:rFonts w:ascii="仿宋_GB2312" w:hAnsi="仿宋_GB2312" w:eastAsia="仿宋_GB2312" w:cs="仿宋_GB2312"/>
                <w:sz w:val="28"/>
                <w:szCs w:val="28"/>
              </w:rPr>
            </w:pPr>
          </w:p>
        </w:tc>
        <w:tc>
          <w:tcPr>
            <w:tcW w:w="1425" w:type="dxa"/>
            <w:vAlign w:val="center"/>
          </w:tcPr>
          <w:p>
            <w:pPr>
              <w:snapToGrid w:val="0"/>
              <w:spacing w:line="360" w:lineRule="auto"/>
              <w:ind w:firstLine="480"/>
              <w:jc w:val="center"/>
              <w:rPr>
                <w:rFonts w:ascii="仿宋_GB2312" w:hAnsi="仿宋_GB2312" w:eastAsia="仿宋_GB2312" w:cs="仿宋_GB2312"/>
                <w:sz w:val="28"/>
                <w:szCs w:val="28"/>
              </w:rPr>
            </w:pPr>
          </w:p>
        </w:tc>
        <w:tc>
          <w:tcPr>
            <w:tcW w:w="945" w:type="dxa"/>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vAlign w:val="center"/>
          </w:tcPr>
          <w:p>
            <w:pPr>
              <w:snapToGrid w:val="0"/>
              <w:spacing w:line="360" w:lineRule="auto"/>
              <w:ind w:firstLine="480"/>
              <w:jc w:val="center"/>
              <w:rPr>
                <w:rFonts w:ascii="仿宋_GB2312" w:hAnsi="仿宋_GB2312" w:eastAsia="仿宋_GB2312" w:cs="仿宋_GB2312"/>
                <w:sz w:val="28"/>
                <w:szCs w:val="28"/>
              </w:rPr>
            </w:pPr>
          </w:p>
        </w:tc>
        <w:tc>
          <w:tcPr>
            <w:tcW w:w="1049" w:type="dxa"/>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vAlign w:val="center"/>
          </w:tcPr>
          <w:p>
            <w:pPr>
              <w:snapToGrid w:val="0"/>
              <w:spacing w:line="360" w:lineRule="auto"/>
              <w:ind w:firstLine="480"/>
              <w:jc w:val="center"/>
              <w:rPr>
                <w:rFonts w:ascii="仿宋_GB2312" w:hAnsi="仿宋_GB2312" w:eastAsia="仿宋_GB2312" w:cs="仿宋_GB2312"/>
                <w:sz w:val="28"/>
                <w:szCs w:val="28"/>
              </w:rPr>
            </w:pPr>
          </w:p>
        </w:tc>
        <w:tc>
          <w:tcPr>
            <w:tcW w:w="935" w:type="dxa"/>
            <w:vAlign w:val="center"/>
          </w:tcPr>
          <w:p>
            <w:pPr>
              <w:snapToGrid w:val="0"/>
              <w:spacing w:line="360" w:lineRule="auto"/>
              <w:ind w:firstLine="480"/>
              <w:jc w:val="center"/>
              <w:rPr>
                <w:rFonts w:ascii="仿宋_GB2312" w:hAnsi="仿宋_GB2312" w:eastAsia="仿宋_GB2312" w:cs="仿宋_GB2312"/>
                <w:sz w:val="28"/>
                <w:szCs w:val="28"/>
              </w:rPr>
            </w:pPr>
          </w:p>
        </w:tc>
        <w:tc>
          <w:tcPr>
            <w:tcW w:w="474" w:type="dxa"/>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pPr>
              <w:snapToGrid w:val="0"/>
              <w:spacing w:line="360" w:lineRule="auto"/>
              <w:ind w:firstLine="480"/>
              <w:jc w:val="center"/>
              <w:rPr>
                <w:rFonts w:ascii="仿宋_GB2312" w:hAnsi="仿宋_GB2312" w:eastAsia="仿宋_GB2312" w:cs="仿宋_GB2312"/>
                <w:sz w:val="28"/>
                <w:szCs w:val="28"/>
              </w:rPr>
            </w:pPr>
          </w:p>
        </w:tc>
        <w:tc>
          <w:tcPr>
            <w:tcW w:w="1283" w:type="dxa"/>
            <w:vAlign w:val="center"/>
          </w:tcPr>
          <w:p>
            <w:pPr>
              <w:snapToGrid w:val="0"/>
              <w:spacing w:line="360" w:lineRule="auto"/>
              <w:ind w:firstLine="480"/>
              <w:jc w:val="center"/>
              <w:rPr>
                <w:rFonts w:ascii="仿宋_GB2312" w:hAnsi="仿宋_GB2312" w:eastAsia="仿宋_GB2312" w:cs="仿宋_GB2312"/>
                <w:sz w:val="28"/>
                <w:szCs w:val="28"/>
              </w:rPr>
            </w:pPr>
          </w:p>
        </w:tc>
        <w:tc>
          <w:tcPr>
            <w:tcW w:w="1425" w:type="dxa"/>
            <w:vAlign w:val="center"/>
          </w:tcPr>
          <w:p>
            <w:pPr>
              <w:snapToGrid w:val="0"/>
              <w:spacing w:line="360" w:lineRule="auto"/>
              <w:ind w:firstLine="480"/>
              <w:jc w:val="center"/>
              <w:rPr>
                <w:rFonts w:ascii="仿宋_GB2312" w:hAnsi="仿宋_GB2312" w:eastAsia="仿宋_GB2312" w:cs="仿宋_GB2312"/>
                <w:sz w:val="28"/>
                <w:szCs w:val="28"/>
              </w:rPr>
            </w:pPr>
          </w:p>
        </w:tc>
        <w:tc>
          <w:tcPr>
            <w:tcW w:w="945" w:type="dxa"/>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vAlign w:val="center"/>
          </w:tcPr>
          <w:p>
            <w:pPr>
              <w:snapToGrid w:val="0"/>
              <w:spacing w:line="360" w:lineRule="auto"/>
              <w:ind w:firstLine="480"/>
              <w:jc w:val="center"/>
              <w:rPr>
                <w:rFonts w:ascii="仿宋_GB2312" w:hAnsi="仿宋_GB2312" w:eastAsia="仿宋_GB2312" w:cs="仿宋_GB2312"/>
                <w:sz w:val="28"/>
                <w:szCs w:val="28"/>
              </w:rPr>
            </w:pPr>
          </w:p>
        </w:tc>
        <w:tc>
          <w:tcPr>
            <w:tcW w:w="1049" w:type="dxa"/>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vAlign w:val="center"/>
          </w:tcPr>
          <w:p>
            <w:pPr>
              <w:snapToGrid w:val="0"/>
              <w:spacing w:line="360" w:lineRule="auto"/>
              <w:ind w:firstLine="480"/>
              <w:jc w:val="center"/>
              <w:rPr>
                <w:rFonts w:ascii="仿宋_GB2312" w:hAnsi="仿宋_GB2312" w:eastAsia="仿宋_GB2312" w:cs="仿宋_GB2312"/>
                <w:sz w:val="28"/>
                <w:szCs w:val="28"/>
              </w:rPr>
            </w:pPr>
          </w:p>
        </w:tc>
        <w:tc>
          <w:tcPr>
            <w:tcW w:w="935" w:type="dxa"/>
            <w:vAlign w:val="center"/>
          </w:tcPr>
          <w:p>
            <w:pPr>
              <w:snapToGrid w:val="0"/>
              <w:spacing w:line="360" w:lineRule="auto"/>
              <w:ind w:firstLine="480"/>
              <w:jc w:val="center"/>
              <w:rPr>
                <w:rFonts w:ascii="仿宋_GB2312" w:hAnsi="仿宋_GB2312" w:eastAsia="仿宋_GB2312" w:cs="仿宋_GB2312"/>
                <w:sz w:val="28"/>
                <w:szCs w:val="28"/>
              </w:rPr>
            </w:pPr>
          </w:p>
        </w:tc>
        <w:tc>
          <w:tcPr>
            <w:tcW w:w="474" w:type="dxa"/>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pPr>
              <w:snapToGrid w:val="0"/>
              <w:spacing w:line="360" w:lineRule="auto"/>
              <w:ind w:firstLine="480"/>
              <w:jc w:val="center"/>
              <w:rPr>
                <w:rFonts w:ascii="仿宋_GB2312" w:hAnsi="仿宋_GB2312" w:eastAsia="仿宋_GB2312" w:cs="仿宋_GB2312"/>
                <w:sz w:val="28"/>
                <w:szCs w:val="28"/>
              </w:rPr>
            </w:pPr>
          </w:p>
        </w:tc>
        <w:tc>
          <w:tcPr>
            <w:tcW w:w="1283" w:type="dxa"/>
            <w:vAlign w:val="center"/>
          </w:tcPr>
          <w:p>
            <w:pPr>
              <w:snapToGrid w:val="0"/>
              <w:spacing w:line="360" w:lineRule="auto"/>
              <w:ind w:firstLine="480"/>
              <w:jc w:val="center"/>
              <w:rPr>
                <w:rFonts w:ascii="仿宋_GB2312" w:hAnsi="仿宋_GB2312" w:eastAsia="仿宋_GB2312" w:cs="仿宋_GB2312"/>
                <w:sz w:val="28"/>
                <w:szCs w:val="28"/>
              </w:rPr>
            </w:pPr>
          </w:p>
        </w:tc>
        <w:tc>
          <w:tcPr>
            <w:tcW w:w="1425" w:type="dxa"/>
            <w:vAlign w:val="center"/>
          </w:tcPr>
          <w:p>
            <w:pPr>
              <w:snapToGrid w:val="0"/>
              <w:spacing w:line="360" w:lineRule="auto"/>
              <w:ind w:firstLine="480"/>
              <w:jc w:val="center"/>
              <w:rPr>
                <w:rFonts w:ascii="仿宋_GB2312" w:hAnsi="仿宋_GB2312" w:eastAsia="仿宋_GB2312" w:cs="仿宋_GB2312"/>
                <w:sz w:val="28"/>
                <w:szCs w:val="28"/>
              </w:rPr>
            </w:pPr>
          </w:p>
        </w:tc>
        <w:tc>
          <w:tcPr>
            <w:tcW w:w="945" w:type="dxa"/>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vAlign w:val="center"/>
          </w:tcPr>
          <w:p>
            <w:pPr>
              <w:snapToGrid w:val="0"/>
              <w:spacing w:line="360" w:lineRule="auto"/>
              <w:ind w:firstLine="480"/>
              <w:jc w:val="center"/>
              <w:rPr>
                <w:rFonts w:ascii="仿宋_GB2312" w:hAnsi="仿宋_GB2312" w:eastAsia="仿宋_GB2312" w:cs="仿宋_GB2312"/>
                <w:sz w:val="28"/>
                <w:szCs w:val="28"/>
              </w:rPr>
            </w:pPr>
          </w:p>
        </w:tc>
        <w:tc>
          <w:tcPr>
            <w:tcW w:w="1049" w:type="dxa"/>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vAlign w:val="center"/>
          </w:tcPr>
          <w:p>
            <w:pPr>
              <w:snapToGrid w:val="0"/>
              <w:spacing w:line="360" w:lineRule="auto"/>
              <w:ind w:firstLine="480"/>
              <w:jc w:val="center"/>
              <w:rPr>
                <w:rFonts w:ascii="仿宋_GB2312" w:hAnsi="仿宋_GB2312" w:eastAsia="仿宋_GB2312" w:cs="仿宋_GB2312"/>
                <w:sz w:val="28"/>
                <w:szCs w:val="28"/>
              </w:rPr>
            </w:pPr>
          </w:p>
        </w:tc>
        <w:tc>
          <w:tcPr>
            <w:tcW w:w="935" w:type="dxa"/>
            <w:vAlign w:val="center"/>
          </w:tcPr>
          <w:p>
            <w:pPr>
              <w:snapToGrid w:val="0"/>
              <w:spacing w:line="360" w:lineRule="auto"/>
              <w:ind w:firstLine="480"/>
              <w:jc w:val="center"/>
              <w:rPr>
                <w:rFonts w:ascii="仿宋_GB2312" w:hAnsi="仿宋_GB2312" w:eastAsia="仿宋_GB2312" w:cs="仿宋_GB2312"/>
                <w:sz w:val="28"/>
                <w:szCs w:val="28"/>
              </w:rPr>
            </w:pPr>
          </w:p>
        </w:tc>
        <w:tc>
          <w:tcPr>
            <w:tcW w:w="474" w:type="dxa"/>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pPr>
              <w:snapToGrid w:val="0"/>
              <w:spacing w:line="360" w:lineRule="auto"/>
              <w:ind w:firstLine="480"/>
              <w:jc w:val="center"/>
              <w:rPr>
                <w:rFonts w:ascii="仿宋_GB2312" w:hAnsi="仿宋_GB2312" w:eastAsia="仿宋_GB2312" w:cs="仿宋_GB2312"/>
                <w:sz w:val="28"/>
                <w:szCs w:val="28"/>
              </w:rPr>
            </w:pPr>
          </w:p>
        </w:tc>
        <w:tc>
          <w:tcPr>
            <w:tcW w:w="1283" w:type="dxa"/>
            <w:vAlign w:val="center"/>
          </w:tcPr>
          <w:p>
            <w:pPr>
              <w:snapToGrid w:val="0"/>
              <w:spacing w:line="360" w:lineRule="auto"/>
              <w:ind w:firstLine="480"/>
              <w:jc w:val="center"/>
              <w:rPr>
                <w:rFonts w:ascii="仿宋_GB2312" w:hAnsi="仿宋_GB2312" w:eastAsia="仿宋_GB2312" w:cs="仿宋_GB2312"/>
                <w:sz w:val="28"/>
                <w:szCs w:val="28"/>
              </w:rPr>
            </w:pPr>
          </w:p>
        </w:tc>
        <w:tc>
          <w:tcPr>
            <w:tcW w:w="1425" w:type="dxa"/>
            <w:vAlign w:val="center"/>
          </w:tcPr>
          <w:p>
            <w:pPr>
              <w:snapToGrid w:val="0"/>
              <w:spacing w:line="360" w:lineRule="auto"/>
              <w:ind w:firstLine="480"/>
              <w:jc w:val="center"/>
              <w:rPr>
                <w:rFonts w:ascii="仿宋_GB2312" w:hAnsi="仿宋_GB2312" w:eastAsia="仿宋_GB2312" w:cs="仿宋_GB2312"/>
                <w:sz w:val="28"/>
                <w:szCs w:val="28"/>
              </w:rPr>
            </w:pPr>
          </w:p>
        </w:tc>
        <w:tc>
          <w:tcPr>
            <w:tcW w:w="945" w:type="dxa"/>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vAlign w:val="center"/>
          </w:tcPr>
          <w:p>
            <w:pPr>
              <w:snapToGrid w:val="0"/>
              <w:spacing w:line="360" w:lineRule="auto"/>
              <w:ind w:firstLine="480"/>
              <w:jc w:val="center"/>
              <w:rPr>
                <w:rFonts w:ascii="仿宋_GB2312" w:hAnsi="仿宋_GB2312" w:eastAsia="仿宋_GB2312" w:cs="仿宋_GB2312"/>
                <w:sz w:val="28"/>
                <w:szCs w:val="28"/>
              </w:rPr>
            </w:pPr>
          </w:p>
        </w:tc>
        <w:tc>
          <w:tcPr>
            <w:tcW w:w="1049" w:type="dxa"/>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vAlign w:val="center"/>
          </w:tcPr>
          <w:p>
            <w:pPr>
              <w:snapToGrid w:val="0"/>
              <w:spacing w:line="360" w:lineRule="auto"/>
              <w:ind w:firstLine="480"/>
              <w:jc w:val="center"/>
              <w:rPr>
                <w:rFonts w:ascii="仿宋_GB2312" w:hAnsi="仿宋_GB2312" w:eastAsia="仿宋_GB2312" w:cs="仿宋_GB2312"/>
                <w:sz w:val="28"/>
                <w:szCs w:val="28"/>
              </w:rPr>
            </w:pPr>
          </w:p>
        </w:tc>
        <w:tc>
          <w:tcPr>
            <w:tcW w:w="935" w:type="dxa"/>
            <w:vAlign w:val="center"/>
          </w:tcPr>
          <w:p>
            <w:pPr>
              <w:snapToGrid w:val="0"/>
              <w:spacing w:line="360" w:lineRule="auto"/>
              <w:ind w:firstLine="480"/>
              <w:jc w:val="center"/>
              <w:rPr>
                <w:rFonts w:ascii="仿宋_GB2312" w:hAnsi="仿宋_GB2312" w:eastAsia="仿宋_GB2312" w:cs="仿宋_GB2312"/>
                <w:sz w:val="28"/>
                <w:szCs w:val="28"/>
              </w:rPr>
            </w:pPr>
          </w:p>
        </w:tc>
        <w:tc>
          <w:tcPr>
            <w:tcW w:w="474" w:type="dxa"/>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pPr>
              <w:snapToGrid w:val="0"/>
              <w:spacing w:line="360" w:lineRule="auto"/>
              <w:ind w:firstLine="480"/>
              <w:jc w:val="center"/>
              <w:rPr>
                <w:rFonts w:ascii="仿宋_GB2312" w:hAnsi="仿宋_GB2312" w:eastAsia="仿宋_GB2312" w:cs="仿宋_GB2312"/>
                <w:sz w:val="28"/>
                <w:szCs w:val="28"/>
              </w:rPr>
            </w:pPr>
          </w:p>
        </w:tc>
        <w:tc>
          <w:tcPr>
            <w:tcW w:w="1283" w:type="dxa"/>
            <w:vAlign w:val="center"/>
          </w:tcPr>
          <w:p>
            <w:pPr>
              <w:snapToGrid w:val="0"/>
              <w:spacing w:line="360" w:lineRule="auto"/>
              <w:ind w:firstLine="480"/>
              <w:jc w:val="center"/>
              <w:rPr>
                <w:rFonts w:ascii="仿宋_GB2312" w:hAnsi="仿宋_GB2312" w:eastAsia="仿宋_GB2312" w:cs="仿宋_GB2312"/>
                <w:sz w:val="28"/>
                <w:szCs w:val="28"/>
              </w:rPr>
            </w:pPr>
          </w:p>
        </w:tc>
        <w:tc>
          <w:tcPr>
            <w:tcW w:w="1425" w:type="dxa"/>
            <w:vAlign w:val="center"/>
          </w:tcPr>
          <w:p>
            <w:pPr>
              <w:snapToGrid w:val="0"/>
              <w:spacing w:line="360" w:lineRule="auto"/>
              <w:ind w:firstLine="480"/>
              <w:jc w:val="center"/>
              <w:rPr>
                <w:rFonts w:ascii="仿宋_GB2312" w:hAnsi="仿宋_GB2312" w:eastAsia="仿宋_GB2312" w:cs="仿宋_GB2312"/>
                <w:sz w:val="28"/>
                <w:szCs w:val="28"/>
              </w:rPr>
            </w:pPr>
          </w:p>
        </w:tc>
        <w:tc>
          <w:tcPr>
            <w:tcW w:w="945" w:type="dxa"/>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vAlign w:val="center"/>
          </w:tcPr>
          <w:p>
            <w:pPr>
              <w:snapToGrid w:val="0"/>
              <w:spacing w:line="360" w:lineRule="auto"/>
              <w:ind w:firstLine="480"/>
              <w:jc w:val="center"/>
              <w:rPr>
                <w:rFonts w:ascii="仿宋_GB2312" w:hAnsi="仿宋_GB2312" w:eastAsia="仿宋_GB2312" w:cs="仿宋_GB2312"/>
                <w:sz w:val="28"/>
                <w:szCs w:val="28"/>
              </w:rPr>
            </w:pPr>
          </w:p>
        </w:tc>
        <w:tc>
          <w:tcPr>
            <w:tcW w:w="1049" w:type="dxa"/>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vAlign w:val="center"/>
          </w:tcPr>
          <w:p>
            <w:pPr>
              <w:snapToGrid w:val="0"/>
              <w:spacing w:line="360" w:lineRule="auto"/>
              <w:ind w:firstLine="480"/>
              <w:jc w:val="center"/>
              <w:rPr>
                <w:rFonts w:ascii="仿宋_GB2312" w:hAnsi="仿宋_GB2312" w:eastAsia="仿宋_GB2312" w:cs="仿宋_GB2312"/>
                <w:sz w:val="28"/>
                <w:szCs w:val="28"/>
              </w:rPr>
            </w:pPr>
          </w:p>
        </w:tc>
        <w:tc>
          <w:tcPr>
            <w:tcW w:w="935" w:type="dxa"/>
            <w:vAlign w:val="center"/>
          </w:tcPr>
          <w:p>
            <w:pPr>
              <w:snapToGrid w:val="0"/>
              <w:spacing w:line="360" w:lineRule="auto"/>
              <w:ind w:firstLine="480"/>
              <w:jc w:val="center"/>
              <w:rPr>
                <w:rFonts w:ascii="仿宋_GB2312" w:hAnsi="仿宋_GB2312" w:eastAsia="仿宋_GB2312" w:cs="仿宋_GB2312"/>
                <w:sz w:val="28"/>
                <w:szCs w:val="28"/>
              </w:rPr>
            </w:pPr>
          </w:p>
        </w:tc>
        <w:tc>
          <w:tcPr>
            <w:tcW w:w="474" w:type="dxa"/>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pPr>
              <w:snapToGrid w:val="0"/>
              <w:spacing w:line="360" w:lineRule="auto"/>
              <w:ind w:firstLine="480"/>
              <w:jc w:val="center"/>
              <w:rPr>
                <w:rFonts w:ascii="仿宋_GB2312" w:hAnsi="仿宋_GB2312" w:eastAsia="仿宋_GB2312" w:cs="仿宋_GB2312"/>
                <w:sz w:val="28"/>
                <w:szCs w:val="28"/>
              </w:rPr>
            </w:pPr>
          </w:p>
        </w:tc>
        <w:tc>
          <w:tcPr>
            <w:tcW w:w="1283" w:type="dxa"/>
            <w:vAlign w:val="center"/>
          </w:tcPr>
          <w:p>
            <w:pPr>
              <w:snapToGrid w:val="0"/>
              <w:spacing w:line="360" w:lineRule="auto"/>
              <w:ind w:firstLine="480"/>
              <w:jc w:val="center"/>
              <w:rPr>
                <w:rFonts w:ascii="仿宋_GB2312" w:hAnsi="仿宋_GB2312" w:eastAsia="仿宋_GB2312" w:cs="仿宋_GB2312"/>
                <w:sz w:val="28"/>
                <w:szCs w:val="28"/>
              </w:rPr>
            </w:pPr>
          </w:p>
        </w:tc>
        <w:tc>
          <w:tcPr>
            <w:tcW w:w="1425" w:type="dxa"/>
            <w:vAlign w:val="center"/>
          </w:tcPr>
          <w:p>
            <w:pPr>
              <w:snapToGrid w:val="0"/>
              <w:spacing w:line="360" w:lineRule="auto"/>
              <w:ind w:firstLine="480"/>
              <w:jc w:val="center"/>
              <w:rPr>
                <w:rFonts w:ascii="仿宋_GB2312" w:hAnsi="仿宋_GB2312" w:eastAsia="仿宋_GB2312" w:cs="仿宋_GB2312"/>
                <w:sz w:val="28"/>
                <w:szCs w:val="28"/>
              </w:rPr>
            </w:pPr>
          </w:p>
        </w:tc>
        <w:tc>
          <w:tcPr>
            <w:tcW w:w="945" w:type="dxa"/>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vAlign w:val="center"/>
          </w:tcPr>
          <w:p>
            <w:pPr>
              <w:snapToGrid w:val="0"/>
              <w:spacing w:line="360" w:lineRule="auto"/>
              <w:ind w:firstLine="480"/>
              <w:jc w:val="center"/>
              <w:rPr>
                <w:rFonts w:ascii="仿宋_GB2312" w:hAnsi="仿宋_GB2312" w:eastAsia="仿宋_GB2312" w:cs="仿宋_GB2312"/>
                <w:sz w:val="28"/>
                <w:szCs w:val="28"/>
              </w:rPr>
            </w:pPr>
          </w:p>
        </w:tc>
        <w:tc>
          <w:tcPr>
            <w:tcW w:w="1049" w:type="dxa"/>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vAlign w:val="center"/>
          </w:tcPr>
          <w:p>
            <w:pPr>
              <w:snapToGrid w:val="0"/>
              <w:spacing w:line="360" w:lineRule="auto"/>
              <w:ind w:firstLine="480"/>
              <w:jc w:val="center"/>
              <w:rPr>
                <w:rFonts w:ascii="仿宋_GB2312" w:hAnsi="仿宋_GB2312" w:eastAsia="仿宋_GB2312" w:cs="仿宋_GB2312"/>
                <w:sz w:val="28"/>
                <w:szCs w:val="28"/>
              </w:rPr>
            </w:pPr>
          </w:p>
        </w:tc>
        <w:tc>
          <w:tcPr>
            <w:tcW w:w="935" w:type="dxa"/>
            <w:vAlign w:val="center"/>
          </w:tcPr>
          <w:p>
            <w:pPr>
              <w:snapToGrid w:val="0"/>
              <w:spacing w:line="360" w:lineRule="auto"/>
              <w:ind w:firstLine="480"/>
              <w:jc w:val="center"/>
              <w:rPr>
                <w:rFonts w:ascii="仿宋_GB2312" w:hAnsi="仿宋_GB2312" w:eastAsia="仿宋_GB2312" w:cs="仿宋_GB2312"/>
                <w:sz w:val="28"/>
                <w:szCs w:val="28"/>
              </w:rPr>
            </w:pPr>
          </w:p>
        </w:tc>
        <w:tc>
          <w:tcPr>
            <w:tcW w:w="474" w:type="dxa"/>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pPr>
              <w:snapToGrid w:val="0"/>
              <w:spacing w:line="360" w:lineRule="auto"/>
              <w:ind w:firstLine="480"/>
              <w:jc w:val="center"/>
              <w:rPr>
                <w:rFonts w:ascii="仿宋_GB2312" w:hAnsi="仿宋_GB2312" w:eastAsia="仿宋_GB2312" w:cs="仿宋_GB2312"/>
                <w:sz w:val="28"/>
                <w:szCs w:val="28"/>
              </w:rPr>
            </w:pPr>
          </w:p>
        </w:tc>
        <w:tc>
          <w:tcPr>
            <w:tcW w:w="1283" w:type="dxa"/>
            <w:vAlign w:val="center"/>
          </w:tcPr>
          <w:p>
            <w:pPr>
              <w:snapToGrid w:val="0"/>
              <w:spacing w:line="360" w:lineRule="auto"/>
              <w:ind w:firstLine="480"/>
              <w:jc w:val="center"/>
              <w:rPr>
                <w:rFonts w:ascii="仿宋_GB2312" w:hAnsi="仿宋_GB2312" w:eastAsia="仿宋_GB2312" w:cs="仿宋_GB2312"/>
                <w:sz w:val="28"/>
                <w:szCs w:val="28"/>
              </w:rPr>
            </w:pPr>
          </w:p>
        </w:tc>
        <w:tc>
          <w:tcPr>
            <w:tcW w:w="1425" w:type="dxa"/>
            <w:vAlign w:val="center"/>
          </w:tcPr>
          <w:p>
            <w:pPr>
              <w:snapToGrid w:val="0"/>
              <w:spacing w:line="360" w:lineRule="auto"/>
              <w:ind w:firstLine="480"/>
              <w:jc w:val="center"/>
              <w:rPr>
                <w:rFonts w:ascii="仿宋_GB2312" w:hAnsi="仿宋_GB2312" w:eastAsia="仿宋_GB2312" w:cs="仿宋_GB2312"/>
                <w:sz w:val="28"/>
                <w:szCs w:val="28"/>
              </w:rPr>
            </w:pPr>
          </w:p>
        </w:tc>
        <w:tc>
          <w:tcPr>
            <w:tcW w:w="945" w:type="dxa"/>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vAlign w:val="center"/>
          </w:tcPr>
          <w:p>
            <w:pPr>
              <w:snapToGrid w:val="0"/>
              <w:spacing w:line="360" w:lineRule="auto"/>
              <w:ind w:firstLine="480"/>
              <w:jc w:val="center"/>
              <w:rPr>
                <w:rFonts w:ascii="仿宋_GB2312" w:hAnsi="仿宋_GB2312" w:eastAsia="仿宋_GB2312" w:cs="仿宋_GB2312"/>
                <w:sz w:val="28"/>
                <w:szCs w:val="28"/>
              </w:rPr>
            </w:pPr>
          </w:p>
        </w:tc>
        <w:tc>
          <w:tcPr>
            <w:tcW w:w="1049" w:type="dxa"/>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vAlign w:val="center"/>
          </w:tcPr>
          <w:p>
            <w:pPr>
              <w:snapToGrid w:val="0"/>
              <w:spacing w:line="360" w:lineRule="auto"/>
              <w:ind w:firstLine="480"/>
              <w:jc w:val="center"/>
              <w:rPr>
                <w:rFonts w:ascii="仿宋_GB2312" w:hAnsi="仿宋_GB2312" w:eastAsia="仿宋_GB2312" w:cs="仿宋_GB2312"/>
                <w:sz w:val="28"/>
                <w:szCs w:val="28"/>
              </w:rPr>
            </w:pPr>
          </w:p>
        </w:tc>
        <w:tc>
          <w:tcPr>
            <w:tcW w:w="935" w:type="dxa"/>
            <w:vAlign w:val="center"/>
          </w:tcPr>
          <w:p>
            <w:pPr>
              <w:snapToGrid w:val="0"/>
              <w:spacing w:line="360" w:lineRule="auto"/>
              <w:ind w:firstLine="480"/>
              <w:jc w:val="center"/>
              <w:rPr>
                <w:rFonts w:ascii="仿宋_GB2312" w:hAnsi="仿宋_GB2312" w:eastAsia="仿宋_GB2312" w:cs="仿宋_GB2312"/>
                <w:sz w:val="28"/>
                <w:szCs w:val="28"/>
              </w:rPr>
            </w:pPr>
          </w:p>
        </w:tc>
        <w:tc>
          <w:tcPr>
            <w:tcW w:w="474" w:type="dxa"/>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pPr>
              <w:snapToGrid w:val="0"/>
              <w:spacing w:line="360" w:lineRule="auto"/>
              <w:ind w:firstLine="480"/>
              <w:jc w:val="center"/>
              <w:rPr>
                <w:rFonts w:ascii="仿宋_GB2312" w:hAnsi="仿宋_GB2312" w:eastAsia="仿宋_GB2312" w:cs="仿宋_GB2312"/>
                <w:sz w:val="28"/>
                <w:szCs w:val="28"/>
              </w:rPr>
            </w:pPr>
          </w:p>
        </w:tc>
        <w:tc>
          <w:tcPr>
            <w:tcW w:w="1283" w:type="dxa"/>
            <w:vAlign w:val="center"/>
          </w:tcPr>
          <w:p>
            <w:pPr>
              <w:snapToGrid w:val="0"/>
              <w:spacing w:line="360" w:lineRule="auto"/>
              <w:ind w:firstLine="480"/>
              <w:jc w:val="center"/>
              <w:rPr>
                <w:rFonts w:ascii="仿宋_GB2312" w:hAnsi="仿宋_GB2312" w:eastAsia="仿宋_GB2312" w:cs="仿宋_GB2312"/>
                <w:sz w:val="28"/>
                <w:szCs w:val="28"/>
              </w:rPr>
            </w:pPr>
          </w:p>
        </w:tc>
        <w:tc>
          <w:tcPr>
            <w:tcW w:w="1425" w:type="dxa"/>
            <w:vAlign w:val="center"/>
          </w:tcPr>
          <w:p>
            <w:pPr>
              <w:snapToGrid w:val="0"/>
              <w:spacing w:line="360" w:lineRule="auto"/>
              <w:ind w:firstLine="480"/>
              <w:jc w:val="center"/>
              <w:rPr>
                <w:rFonts w:ascii="仿宋_GB2312" w:hAnsi="仿宋_GB2312" w:eastAsia="仿宋_GB2312" w:cs="仿宋_GB2312"/>
                <w:sz w:val="28"/>
                <w:szCs w:val="28"/>
              </w:rPr>
            </w:pPr>
          </w:p>
        </w:tc>
        <w:tc>
          <w:tcPr>
            <w:tcW w:w="945" w:type="dxa"/>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vAlign w:val="center"/>
          </w:tcPr>
          <w:p>
            <w:pPr>
              <w:snapToGrid w:val="0"/>
              <w:spacing w:line="360" w:lineRule="auto"/>
              <w:ind w:firstLine="480"/>
              <w:jc w:val="center"/>
              <w:rPr>
                <w:rFonts w:ascii="仿宋_GB2312" w:hAnsi="仿宋_GB2312" w:eastAsia="仿宋_GB2312" w:cs="仿宋_GB2312"/>
                <w:sz w:val="28"/>
                <w:szCs w:val="28"/>
              </w:rPr>
            </w:pPr>
          </w:p>
        </w:tc>
        <w:tc>
          <w:tcPr>
            <w:tcW w:w="1049" w:type="dxa"/>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vAlign w:val="center"/>
          </w:tcPr>
          <w:p>
            <w:pPr>
              <w:snapToGrid w:val="0"/>
              <w:spacing w:line="360" w:lineRule="auto"/>
              <w:ind w:firstLine="480"/>
              <w:jc w:val="center"/>
              <w:rPr>
                <w:rFonts w:ascii="仿宋_GB2312" w:hAnsi="仿宋_GB2312" w:eastAsia="仿宋_GB2312" w:cs="仿宋_GB2312"/>
                <w:sz w:val="28"/>
                <w:szCs w:val="28"/>
              </w:rPr>
            </w:pPr>
          </w:p>
        </w:tc>
        <w:tc>
          <w:tcPr>
            <w:tcW w:w="935" w:type="dxa"/>
            <w:vAlign w:val="center"/>
          </w:tcPr>
          <w:p>
            <w:pPr>
              <w:snapToGrid w:val="0"/>
              <w:spacing w:line="360" w:lineRule="auto"/>
              <w:ind w:firstLine="480"/>
              <w:jc w:val="center"/>
              <w:rPr>
                <w:rFonts w:ascii="仿宋_GB2312" w:hAnsi="仿宋_GB2312" w:eastAsia="仿宋_GB2312" w:cs="仿宋_GB2312"/>
                <w:sz w:val="28"/>
                <w:szCs w:val="28"/>
              </w:rPr>
            </w:pPr>
          </w:p>
        </w:tc>
        <w:tc>
          <w:tcPr>
            <w:tcW w:w="474" w:type="dxa"/>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7" w:type="dxa"/>
            <w:vAlign w:val="center"/>
          </w:tcPr>
          <w:p>
            <w:pPr>
              <w:snapToGrid w:val="0"/>
              <w:spacing w:line="360" w:lineRule="auto"/>
              <w:ind w:firstLine="480"/>
              <w:jc w:val="center"/>
              <w:rPr>
                <w:rFonts w:ascii="仿宋_GB2312" w:hAnsi="仿宋_GB2312" w:eastAsia="仿宋_GB2312" w:cs="仿宋_GB2312"/>
                <w:sz w:val="28"/>
                <w:szCs w:val="28"/>
              </w:rPr>
            </w:pPr>
          </w:p>
        </w:tc>
        <w:tc>
          <w:tcPr>
            <w:tcW w:w="1283" w:type="dxa"/>
            <w:vAlign w:val="center"/>
          </w:tcPr>
          <w:p>
            <w:pPr>
              <w:snapToGrid w:val="0"/>
              <w:spacing w:line="360" w:lineRule="auto"/>
              <w:ind w:firstLine="480"/>
              <w:jc w:val="center"/>
              <w:rPr>
                <w:rFonts w:ascii="仿宋_GB2312" w:hAnsi="仿宋_GB2312" w:eastAsia="仿宋_GB2312" w:cs="仿宋_GB2312"/>
                <w:sz w:val="28"/>
                <w:szCs w:val="28"/>
              </w:rPr>
            </w:pPr>
          </w:p>
        </w:tc>
        <w:tc>
          <w:tcPr>
            <w:tcW w:w="1425" w:type="dxa"/>
            <w:vAlign w:val="center"/>
          </w:tcPr>
          <w:p>
            <w:pPr>
              <w:snapToGrid w:val="0"/>
              <w:spacing w:line="360" w:lineRule="auto"/>
              <w:ind w:firstLine="480"/>
              <w:jc w:val="center"/>
              <w:rPr>
                <w:rFonts w:ascii="仿宋_GB2312" w:hAnsi="仿宋_GB2312" w:eastAsia="仿宋_GB2312" w:cs="仿宋_GB2312"/>
                <w:sz w:val="28"/>
                <w:szCs w:val="28"/>
              </w:rPr>
            </w:pPr>
          </w:p>
        </w:tc>
        <w:tc>
          <w:tcPr>
            <w:tcW w:w="945" w:type="dxa"/>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vAlign w:val="center"/>
          </w:tcPr>
          <w:p>
            <w:pPr>
              <w:snapToGrid w:val="0"/>
              <w:spacing w:line="360" w:lineRule="auto"/>
              <w:ind w:firstLine="480"/>
              <w:jc w:val="center"/>
              <w:rPr>
                <w:rFonts w:ascii="仿宋_GB2312" w:hAnsi="仿宋_GB2312" w:eastAsia="仿宋_GB2312" w:cs="仿宋_GB2312"/>
                <w:sz w:val="28"/>
                <w:szCs w:val="28"/>
              </w:rPr>
            </w:pPr>
          </w:p>
        </w:tc>
        <w:tc>
          <w:tcPr>
            <w:tcW w:w="1049" w:type="dxa"/>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vAlign w:val="center"/>
          </w:tcPr>
          <w:p>
            <w:pPr>
              <w:snapToGrid w:val="0"/>
              <w:spacing w:line="360" w:lineRule="auto"/>
              <w:ind w:firstLine="480"/>
              <w:jc w:val="center"/>
              <w:rPr>
                <w:rFonts w:ascii="仿宋_GB2312" w:hAnsi="仿宋_GB2312" w:eastAsia="仿宋_GB2312" w:cs="仿宋_GB2312"/>
                <w:sz w:val="28"/>
                <w:szCs w:val="28"/>
              </w:rPr>
            </w:pPr>
          </w:p>
        </w:tc>
        <w:tc>
          <w:tcPr>
            <w:tcW w:w="935" w:type="dxa"/>
            <w:vAlign w:val="center"/>
          </w:tcPr>
          <w:p>
            <w:pPr>
              <w:snapToGrid w:val="0"/>
              <w:spacing w:line="360" w:lineRule="auto"/>
              <w:ind w:firstLine="480"/>
              <w:jc w:val="center"/>
              <w:rPr>
                <w:rFonts w:ascii="仿宋_GB2312" w:hAnsi="仿宋_GB2312" w:eastAsia="仿宋_GB2312" w:cs="仿宋_GB2312"/>
                <w:sz w:val="28"/>
                <w:szCs w:val="28"/>
              </w:rPr>
            </w:pPr>
          </w:p>
        </w:tc>
        <w:tc>
          <w:tcPr>
            <w:tcW w:w="474" w:type="dxa"/>
            <w:vAlign w:val="center"/>
          </w:tcPr>
          <w:p>
            <w:pPr>
              <w:snapToGrid w:val="0"/>
              <w:spacing w:line="360" w:lineRule="auto"/>
              <w:ind w:firstLine="480"/>
              <w:jc w:val="center"/>
              <w:rPr>
                <w:rFonts w:ascii="仿宋_GB2312" w:hAnsi="仿宋_GB2312" w:eastAsia="仿宋_GB2312" w:cs="仿宋_GB2312"/>
                <w:sz w:val="28"/>
                <w:szCs w:val="28"/>
              </w:rPr>
            </w:pPr>
          </w:p>
        </w:tc>
      </w:tr>
    </w:tbl>
    <w:p/>
    <w:p/>
    <w:p>
      <w:bookmarkStart w:id="1068" w:name="_Toc1357349786"/>
      <w:bookmarkStart w:id="1069" w:name="_Toc1799881692"/>
      <w:bookmarkStart w:id="1070" w:name="_Toc2144979508"/>
    </w:p>
    <w:p/>
    <w:p/>
    <w:p>
      <w:pPr>
        <w:spacing w:line="360" w:lineRule="auto"/>
        <w:outlineLvl w:val="1"/>
        <w:rPr>
          <w:rFonts w:ascii="仿宋_GB2312" w:hAnsi="仿宋_GB2312" w:eastAsia="仿宋_GB2312" w:cs="仿宋_GB2312"/>
          <w:sz w:val="30"/>
          <w:szCs w:val="32"/>
        </w:rPr>
        <w:sectPr>
          <w:pgSz w:w="11906" w:h="16838"/>
          <w:pgMar w:top="1440" w:right="1797" w:bottom="1440" w:left="1797" w:header="851" w:footer="992" w:gutter="0"/>
          <w:cols w:space="720" w:num="1"/>
        </w:sectPr>
      </w:pPr>
    </w:p>
    <w:p>
      <w:pPr>
        <w:outlineLvl w:val="1"/>
        <w:rPr>
          <w:rFonts w:ascii="宋体" w:hAnsi="宋体" w:cs="仿宋_GB2312"/>
          <w:sz w:val="28"/>
          <w:szCs w:val="28"/>
        </w:rPr>
      </w:pPr>
      <w:r>
        <w:rPr>
          <w:rFonts w:hint="eastAsia" w:ascii="宋体" w:hAnsi="宋体" w:cs="仿宋_GB2312"/>
          <w:sz w:val="28"/>
          <w:szCs w:val="28"/>
        </w:rPr>
        <w:t>附件6:</w:t>
      </w:r>
      <w:bookmarkEnd w:id="1068"/>
      <w:bookmarkEnd w:id="1069"/>
      <w:bookmarkEnd w:id="1070"/>
    </w:p>
    <w:p>
      <w:pPr>
        <w:pStyle w:val="3"/>
        <w:spacing w:before="0" w:line="360" w:lineRule="auto"/>
        <w:rPr>
          <w:rFonts w:ascii="黑体" w:hAnsi="黑体" w:eastAsia="黑体"/>
          <w:b w:val="0"/>
          <w:kern w:val="2"/>
          <w:sz w:val="28"/>
          <w:szCs w:val="28"/>
        </w:rPr>
      </w:pPr>
      <w:bookmarkStart w:id="1071" w:name="_Toc2133128467"/>
      <w:bookmarkStart w:id="1072" w:name="_Toc1792836188"/>
      <w:r>
        <w:rPr>
          <w:rFonts w:hint="eastAsia" w:ascii="黑体" w:hAnsi="黑体" w:eastAsia="黑体"/>
          <w:b w:val="0"/>
          <w:kern w:val="2"/>
          <w:sz w:val="28"/>
          <w:szCs w:val="28"/>
        </w:rPr>
        <w:t>绿化养护责任书</w:t>
      </w:r>
      <w:bookmarkEnd w:id="1071"/>
      <w:bookmarkEnd w:id="1072"/>
    </w:p>
    <w:p>
      <w:pPr>
        <w:snapToGrid w:val="0"/>
        <w:spacing w:line="460" w:lineRule="exact"/>
        <w:ind w:firstLine="600"/>
        <w:jc w:val="distribute"/>
        <w:rPr>
          <w:rFonts w:ascii="宋体" w:hAnsi="宋体" w:cs="仿宋_GB2312"/>
          <w:sz w:val="24"/>
        </w:rPr>
      </w:pPr>
      <w:r>
        <w:rPr>
          <w:rFonts w:hint="eastAsia" w:ascii="宋体" w:hAnsi="宋体" w:cs="仿宋_GB2312"/>
          <w:sz w:val="24"/>
        </w:rPr>
        <w:t>发包人和承包人根据《园林绿化养护标准》（CJJ/T287）或</w:t>
      </w:r>
    </w:p>
    <w:p>
      <w:pPr>
        <w:snapToGrid w:val="0"/>
        <w:spacing w:line="460" w:lineRule="exact"/>
        <w:jc w:val="left"/>
        <w:rPr>
          <w:rFonts w:ascii="宋体" w:hAnsi="宋体" w:cs="仿宋_GB2312"/>
          <w:sz w:val="24"/>
          <w:u w:val="single"/>
        </w:rPr>
      </w:pPr>
      <w:r>
        <w:rPr>
          <w:rFonts w:hint="eastAsia" w:ascii="宋体" w:hAnsi="宋体" w:cs="仿宋_GB2312"/>
          <w:sz w:val="24"/>
          <w:u w:val="single"/>
        </w:rPr>
        <w:t xml:space="preserve">                    </w:t>
      </w:r>
      <w:r>
        <w:rPr>
          <w:rFonts w:hint="eastAsia" w:ascii="宋体" w:hAnsi="宋体" w:cs="仿宋_GB2312"/>
          <w:sz w:val="24"/>
        </w:rPr>
        <w:t>（地方标准）等相关规定，经协商一致就</w:t>
      </w:r>
      <w:r>
        <w:rPr>
          <w:rFonts w:hint="eastAsia" w:ascii="宋体" w:hAnsi="宋体" w:cs="仿宋_GB2312"/>
          <w:sz w:val="24"/>
          <w:u w:val="single"/>
        </w:rPr>
        <w:t xml:space="preserve">                   </w:t>
      </w:r>
    </w:p>
    <w:p>
      <w:pPr>
        <w:snapToGrid w:val="0"/>
        <w:spacing w:line="460" w:lineRule="exact"/>
        <w:jc w:val="left"/>
        <w:rPr>
          <w:rFonts w:ascii="宋体" w:hAnsi="宋体" w:cs="仿宋"/>
          <w:sz w:val="24"/>
        </w:rPr>
      </w:pPr>
      <w:r>
        <w:rPr>
          <w:rFonts w:hint="eastAsia" w:ascii="宋体" w:hAnsi="宋体" w:cs="仿宋_GB2312"/>
          <w:sz w:val="24"/>
          <w:u w:val="single"/>
        </w:rPr>
        <w:t xml:space="preserve">                    </w:t>
      </w:r>
      <w:r>
        <w:rPr>
          <w:rFonts w:hint="eastAsia" w:ascii="宋体" w:hAnsi="宋体" w:cs="仿宋_GB2312"/>
          <w:sz w:val="24"/>
        </w:rPr>
        <w:t>（工程全称）签订绿化养护责任</w:t>
      </w:r>
      <w:r>
        <w:rPr>
          <w:rFonts w:hint="eastAsia" w:ascii="宋体" w:hAnsi="宋体" w:cs="仿宋"/>
          <w:sz w:val="24"/>
        </w:rPr>
        <w:t>书。</w:t>
      </w:r>
    </w:p>
    <w:p>
      <w:pPr>
        <w:snapToGrid w:val="0"/>
        <w:spacing w:line="460" w:lineRule="exact"/>
        <w:ind w:firstLine="600"/>
        <w:rPr>
          <w:rFonts w:ascii="宋体" w:hAnsi="宋体" w:cs="仿宋"/>
          <w:b/>
          <w:sz w:val="24"/>
        </w:rPr>
      </w:pPr>
      <w:r>
        <w:rPr>
          <w:rFonts w:hint="eastAsia" w:ascii="宋体" w:hAnsi="宋体" w:cs="仿宋"/>
          <w:b/>
          <w:sz w:val="24"/>
        </w:rPr>
        <w:t>一、责任范围和内容</w:t>
      </w:r>
    </w:p>
    <w:p>
      <w:pPr>
        <w:snapToGrid w:val="0"/>
        <w:spacing w:line="460" w:lineRule="exact"/>
        <w:ind w:firstLine="600"/>
        <w:rPr>
          <w:rFonts w:ascii="宋体" w:hAnsi="宋体" w:cs="仿宋"/>
          <w:sz w:val="24"/>
        </w:rPr>
      </w:pPr>
      <w:r>
        <w:rPr>
          <w:rFonts w:hint="eastAsia" w:ascii="宋体" w:hAnsi="宋体" w:cs="仿宋"/>
          <w:sz w:val="24"/>
        </w:rPr>
        <w:t>承包人在绿化养护期内，按照有关法律规定和合同约定，承担施工范围内的绿化养护责任。</w:t>
      </w:r>
    </w:p>
    <w:p>
      <w:pPr>
        <w:snapToGrid w:val="0"/>
        <w:spacing w:line="460" w:lineRule="exact"/>
        <w:ind w:firstLine="600"/>
        <w:rPr>
          <w:rFonts w:ascii="宋体" w:hAnsi="宋体" w:cs="仿宋"/>
          <w:sz w:val="24"/>
          <w:u w:val="single"/>
        </w:rPr>
      </w:pPr>
      <w:r>
        <w:rPr>
          <w:rFonts w:hint="eastAsia" w:ascii="宋体" w:hAnsi="宋体" w:cs="仿宋"/>
          <w:sz w:val="24"/>
        </w:rPr>
        <w:t>内容包括对养护范围内</w:t>
      </w:r>
      <w:r>
        <w:rPr>
          <w:rFonts w:hint="eastAsia" w:ascii="宋体" w:hAnsi="宋体"/>
          <w:sz w:val="24"/>
        </w:rPr>
        <w:t>植物采取的整形修剪、松土除草、灌溉与排水、施肥、有害生物防治、改植与补植、绿地防护（如防台风、防寒）等技术措施</w:t>
      </w:r>
      <w:r>
        <w:rPr>
          <w:rFonts w:hint="eastAsia" w:ascii="宋体" w:hAnsi="宋体" w:cs="仿宋"/>
          <w:sz w:val="24"/>
        </w:rPr>
        <w:t>；</w:t>
      </w:r>
      <w:r>
        <w:rPr>
          <w:rFonts w:hint="eastAsia" w:ascii="宋体" w:hAnsi="宋体" w:cs="仿宋"/>
          <w:bCs/>
          <w:sz w:val="24"/>
        </w:rPr>
        <w:t>其他内容</w:t>
      </w:r>
      <w:r>
        <w:rPr>
          <w:rFonts w:hint="eastAsia" w:ascii="宋体" w:hAnsi="宋体" w:cs="仿宋"/>
          <w:sz w:val="24"/>
        </w:rPr>
        <w:t>双方约定如下：</w:t>
      </w:r>
      <w:r>
        <w:rPr>
          <w:rFonts w:hint="eastAsia" w:ascii="宋体" w:hAnsi="宋体" w:cs="仿宋"/>
          <w:sz w:val="24"/>
          <w:u w:val="single"/>
        </w:rPr>
        <w:t xml:space="preserve">          </w:t>
      </w:r>
    </w:p>
    <w:p>
      <w:pPr>
        <w:snapToGrid w:val="0"/>
        <w:spacing w:line="460" w:lineRule="exact"/>
        <w:rPr>
          <w:rFonts w:ascii="宋体" w:hAnsi="宋体" w:cs="仿宋"/>
          <w:sz w:val="24"/>
          <w:u w:val="single"/>
        </w:rPr>
      </w:pPr>
      <w:r>
        <w:rPr>
          <w:rFonts w:hint="eastAsia" w:ascii="宋体" w:hAnsi="宋体" w:cs="仿宋"/>
          <w:sz w:val="24"/>
          <w:u w:val="single"/>
        </w:rPr>
        <w:t xml:space="preserve">                                                       </w:t>
      </w:r>
      <w:r>
        <w:rPr>
          <w:rFonts w:hint="eastAsia" w:ascii="宋体" w:hAnsi="宋体" w:cs="仿宋"/>
          <w:sz w:val="24"/>
        </w:rPr>
        <w:t>。</w:t>
      </w:r>
    </w:p>
    <w:p>
      <w:pPr>
        <w:snapToGrid w:val="0"/>
        <w:spacing w:line="460" w:lineRule="exact"/>
        <w:ind w:firstLine="600"/>
        <w:rPr>
          <w:rFonts w:ascii="宋体" w:hAnsi="宋体" w:cs="仿宋"/>
          <w:b/>
          <w:sz w:val="24"/>
        </w:rPr>
      </w:pPr>
      <w:r>
        <w:rPr>
          <w:rFonts w:hint="eastAsia" w:ascii="宋体" w:hAnsi="宋体" w:cs="仿宋"/>
          <w:b/>
          <w:sz w:val="24"/>
        </w:rPr>
        <w:t>二、养护标准</w:t>
      </w:r>
    </w:p>
    <w:p>
      <w:pPr>
        <w:snapToGrid w:val="0"/>
        <w:spacing w:line="460" w:lineRule="exact"/>
        <w:ind w:firstLine="600"/>
        <w:jc w:val="distribute"/>
        <w:rPr>
          <w:rFonts w:ascii="宋体" w:hAnsi="宋体" w:cs="仿宋_GB2312"/>
          <w:sz w:val="24"/>
        </w:rPr>
      </w:pPr>
      <w:r>
        <w:rPr>
          <w:rFonts w:hint="eastAsia" w:ascii="宋体" w:hAnsi="宋体" w:cs="仿宋_GB2312"/>
          <w:sz w:val="24"/>
        </w:rPr>
        <w:t>绿化养护质量按照</w:t>
      </w:r>
      <w:r>
        <w:rPr>
          <w:rFonts w:hint="eastAsia" w:ascii="宋体" w:hAnsi="宋体" w:cs="仿宋_GB2312"/>
          <w:sz w:val="24"/>
        </w:rPr>
        <w:sym w:font="Wingdings" w:char="00A8"/>
      </w:r>
      <w:r>
        <w:rPr>
          <w:rFonts w:hint="eastAsia" w:ascii="宋体" w:hAnsi="宋体" w:cs="仿宋_GB2312"/>
          <w:sz w:val="24"/>
        </w:rPr>
        <w:t>《园林绿化养护标准》（CJJ/T287）或</w:t>
      </w:r>
    </w:p>
    <w:p>
      <w:pPr>
        <w:snapToGrid w:val="0"/>
        <w:spacing w:line="460" w:lineRule="exact"/>
        <w:rPr>
          <w:rFonts w:ascii="宋体" w:hAnsi="宋体"/>
          <w:sz w:val="24"/>
        </w:rPr>
      </w:pPr>
      <w:r>
        <w:rPr>
          <w:rFonts w:ascii="宋体" w:hAnsi="宋体"/>
          <w:sz w:val="24"/>
        </w:rPr>
        <w:sym w:font="Wingdings" w:char="00A8"/>
      </w:r>
      <w:r>
        <w:rPr>
          <w:rFonts w:hint="eastAsia" w:ascii="宋体" w:hAnsi="宋体"/>
          <w:sz w:val="24"/>
          <w:u w:val="single"/>
        </w:rPr>
        <w:t xml:space="preserve">                  </w:t>
      </w:r>
      <w:r>
        <w:rPr>
          <w:rFonts w:hint="eastAsia" w:ascii="宋体" w:hAnsi="宋体"/>
          <w:sz w:val="24"/>
        </w:rPr>
        <w:t>（地方标准）中</w:t>
      </w:r>
      <w:r>
        <w:rPr>
          <w:rFonts w:hint="eastAsia" w:ascii="宋体" w:hAnsi="宋体"/>
          <w:sz w:val="24"/>
          <w:u w:val="single"/>
        </w:rPr>
        <w:t xml:space="preserve">    </w:t>
      </w:r>
      <w:r>
        <w:rPr>
          <w:rFonts w:ascii="宋体" w:hAnsi="宋体"/>
          <w:sz w:val="24"/>
        </w:rPr>
        <w:t>级</w:t>
      </w:r>
      <w:r>
        <w:rPr>
          <w:rFonts w:hint="eastAsia" w:ascii="宋体" w:hAnsi="宋体"/>
          <w:sz w:val="24"/>
        </w:rPr>
        <w:t>标准</w:t>
      </w:r>
      <w:r>
        <w:rPr>
          <w:rFonts w:ascii="宋体" w:hAnsi="宋体"/>
          <w:sz w:val="24"/>
        </w:rPr>
        <w:t>。</w:t>
      </w:r>
    </w:p>
    <w:p>
      <w:pPr>
        <w:snapToGrid w:val="0"/>
        <w:spacing w:line="460" w:lineRule="exact"/>
        <w:ind w:firstLine="600"/>
        <w:rPr>
          <w:rFonts w:ascii="宋体" w:hAnsi="宋体" w:cs="仿宋"/>
          <w:b/>
          <w:sz w:val="24"/>
        </w:rPr>
      </w:pPr>
      <w:r>
        <w:rPr>
          <w:rFonts w:hint="eastAsia" w:ascii="宋体" w:hAnsi="宋体" w:cs="仿宋"/>
          <w:b/>
          <w:sz w:val="24"/>
        </w:rPr>
        <w:t>三、考核标准</w:t>
      </w:r>
    </w:p>
    <w:p>
      <w:pPr>
        <w:snapToGrid w:val="0"/>
        <w:spacing w:line="460" w:lineRule="exact"/>
        <w:ind w:firstLine="453" w:firstLineChars="189"/>
        <w:rPr>
          <w:rFonts w:ascii="宋体" w:hAnsi="宋体" w:cs="仿宋"/>
          <w:sz w:val="24"/>
        </w:rPr>
      </w:pPr>
      <w:r>
        <w:rPr>
          <w:rFonts w:hint="eastAsia" w:ascii="宋体" w:hAnsi="宋体"/>
          <w:sz w:val="24"/>
        </w:rPr>
        <w:t>由发包人按</w:t>
      </w:r>
      <w:r>
        <w:rPr>
          <w:rFonts w:hint="eastAsia" w:ascii="宋体" w:hAnsi="宋体"/>
          <w:sz w:val="24"/>
          <w:u w:val="single"/>
        </w:rPr>
        <w:t xml:space="preserve">                     </w:t>
      </w:r>
      <w:r>
        <w:rPr>
          <w:rFonts w:hint="eastAsia" w:ascii="宋体" w:hAnsi="宋体"/>
          <w:sz w:val="24"/>
        </w:rPr>
        <w:t>（</w:t>
      </w:r>
      <w:r>
        <w:rPr>
          <w:rFonts w:hint="eastAsia" w:ascii="宋体" w:hAnsi="宋体" w:cs="仿宋_GB2312"/>
          <w:sz w:val="24"/>
        </w:rPr>
        <w:sym w:font="Wingdings" w:char="00A8"/>
      </w:r>
      <w:r>
        <w:rPr>
          <w:rFonts w:hint="eastAsia" w:ascii="宋体" w:hAnsi="宋体"/>
          <w:sz w:val="24"/>
        </w:rPr>
        <w:t>国家标准</w:t>
      </w:r>
      <w:r>
        <w:rPr>
          <w:rFonts w:hint="eastAsia" w:ascii="宋体" w:hAnsi="宋体" w:cs="仿宋_GB2312"/>
          <w:sz w:val="24"/>
        </w:rPr>
        <w:sym w:font="Wingdings" w:char="00A8"/>
      </w:r>
      <w:r>
        <w:rPr>
          <w:rFonts w:hint="eastAsia" w:ascii="宋体" w:hAnsi="宋体"/>
          <w:sz w:val="24"/>
        </w:rPr>
        <w:t>行业标准</w:t>
      </w:r>
      <w:r>
        <w:rPr>
          <w:rFonts w:hint="eastAsia" w:ascii="宋体" w:hAnsi="宋体" w:cs="仿宋_GB2312"/>
          <w:sz w:val="24"/>
        </w:rPr>
        <w:sym w:font="Wingdings" w:char="00A8"/>
      </w:r>
      <w:r>
        <w:rPr>
          <w:rFonts w:hint="eastAsia" w:ascii="宋体" w:hAnsi="宋体"/>
          <w:sz w:val="24"/>
        </w:rPr>
        <w:t>地方标准）中</w:t>
      </w:r>
      <w:r>
        <w:rPr>
          <w:rFonts w:hint="eastAsia" w:ascii="宋体" w:hAnsi="宋体"/>
          <w:sz w:val="24"/>
          <w:u w:val="single"/>
        </w:rPr>
        <w:t xml:space="preserve">    </w:t>
      </w:r>
      <w:r>
        <w:rPr>
          <w:rFonts w:ascii="宋体" w:hAnsi="宋体"/>
          <w:sz w:val="24"/>
        </w:rPr>
        <w:t>级</w:t>
      </w:r>
      <w:r>
        <w:rPr>
          <w:rFonts w:hint="eastAsia" w:ascii="宋体" w:hAnsi="宋体"/>
          <w:sz w:val="24"/>
        </w:rPr>
        <w:t>标准进行考核，相关费用从质量保证金中扣除</w:t>
      </w:r>
      <w:r>
        <w:rPr>
          <w:rFonts w:ascii="宋体" w:hAnsi="宋体"/>
          <w:sz w:val="24"/>
        </w:rPr>
        <w:t>。</w:t>
      </w:r>
    </w:p>
    <w:p>
      <w:pPr>
        <w:snapToGrid w:val="0"/>
        <w:spacing w:line="460" w:lineRule="exact"/>
        <w:ind w:firstLine="600"/>
        <w:rPr>
          <w:rFonts w:ascii="宋体" w:hAnsi="宋体" w:cs="仿宋"/>
          <w:b/>
          <w:sz w:val="24"/>
        </w:rPr>
      </w:pPr>
      <w:r>
        <w:rPr>
          <w:rFonts w:hint="eastAsia" w:ascii="宋体" w:hAnsi="宋体" w:cs="仿宋"/>
          <w:b/>
          <w:sz w:val="24"/>
        </w:rPr>
        <w:t>四、绿化养护期</w:t>
      </w:r>
    </w:p>
    <w:p>
      <w:pPr>
        <w:snapToGrid w:val="0"/>
        <w:spacing w:line="460" w:lineRule="exact"/>
        <w:ind w:firstLine="600"/>
        <w:rPr>
          <w:rFonts w:ascii="宋体" w:hAnsi="宋体" w:cs="仿宋"/>
          <w:sz w:val="24"/>
        </w:rPr>
      </w:pPr>
      <w:r>
        <w:rPr>
          <w:rFonts w:hint="eastAsia" w:ascii="宋体" w:hAnsi="宋体"/>
          <w:sz w:val="24"/>
        </w:rPr>
        <w:t>绿化养护期</w:t>
      </w:r>
      <w:r>
        <w:rPr>
          <w:rFonts w:hint="eastAsia" w:ascii="宋体" w:hAnsi="宋体"/>
          <w:sz w:val="24"/>
          <w:u w:val="single"/>
        </w:rPr>
        <w:t xml:space="preserve">    </w:t>
      </w:r>
      <w:r>
        <w:rPr>
          <w:rFonts w:hint="eastAsia" w:ascii="宋体" w:hAnsi="宋体"/>
          <w:sz w:val="24"/>
        </w:rPr>
        <w:t>个月</w:t>
      </w:r>
      <w:r>
        <w:rPr>
          <w:rFonts w:hint="eastAsia" w:ascii="宋体" w:hAnsi="宋体" w:cs="仿宋"/>
          <w:sz w:val="24"/>
        </w:rPr>
        <w:t>，</w:t>
      </w:r>
      <w:r>
        <w:rPr>
          <w:rFonts w:hint="eastAsia" w:ascii="宋体" w:hAnsi="宋体"/>
          <w:kern w:val="0"/>
          <w:sz w:val="24"/>
        </w:rPr>
        <w:t>从工程竣工验收合格之日起计算</w:t>
      </w:r>
      <w:r>
        <w:rPr>
          <w:rFonts w:hint="eastAsia" w:ascii="宋体" w:hAnsi="宋体" w:cs="仿宋"/>
          <w:sz w:val="24"/>
        </w:rPr>
        <w:t>。</w:t>
      </w:r>
    </w:p>
    <w:p>
      <w:pPr>
        <w:snapToGrid w:val="0"/>
        <w:spacing w:line="460" w:lineRule="exact"/>
        <w:ind w:firstLine="600"/>
        <w:rPr>
          <w:rFonts w:ascii="宋体" w:hAnsi="宋体" w:cs="仿宋"/>
          <w:b/>
          <w:sz w:val="24"/>
        </w:rPr>
      </w:pPr>
      <w:r>
        <w:rPr>
          <w:rFonts w:hint="eastAsia" w:ascii="宋体" w:hAnsi="宋体" w:cs="仿宋"/>
          <w:b/>
          <w:sz w:val="24"/>
        </w:rPr>
        <w:t>五、养护责任</w:t>
      </w:r>
    </w:p>
    <w:p>
      <w:pPr>
        <w:snapToGrid w:val="0"/>
        <w:spacing w:line="460" w:lineRule="exact"/>
        <w:ind w:left="105" w:leftChars="50" w:firstLine="600"/>
        <w:rPr>
          <w:rFonts w:ascii="宋体" w:hAnsi="宋体" w:cs="仿宋"/>
          <w:sz w:val="24"/>
        </w:rPr>
      </w:pPr>
      <w:r>
        <w:rPr>
          <w:rFonts w:hint="eastAsia" w:ascii="宋体" w:hAnsi="宋体" w:cs="仿宋"/>
          <w:sz w:val="24"/>
        </w:rPr>
        <w:t>1．为确保养护质量，承包人应安排专业队伍和人员进行养护管理。</w:t>
      </w:r>
    </w:p>
    <w:p>
      <w:pPr>
        <w:snapToGrid w:val="0"/>
        <w:spacing w:line="460" w:lineRule="exact"/>
        <w:ind w:left="105" w:leftChars="50" w:firstLine="600"/>
        <w:rPr>
          <w:rFonts w:ascii="宋体" w:hAnsi="宋体" w:cs="仿宋"/>
          <w:sz w:val="24"/>
        </w:rPr>
      </w:pPr>
      <w:r>
        <w:rPr>
          <w:rFonts w:hint="eastAsia" w:ascii="宋体" w:hAnsi="宋体" w:cs="仿宋"/>
          <w:sz w:val="24"/>
        </w:rPr>
        <w:t>2．承包人在养护过程中应采取安全措施，避免造成对第三方人身和财产的损害。因承包人操作不当、管理不善而造成人身伤害或财产损失的，由承包人承担。发生紧急事故需处置的，承包人在接到事故通知后，应当立即到达事故现场处置。</w:t>
      </w:r>
    </w:p>
    <w:p>
      <w:pPr>
        <w:snapToGrid w:val="0"/>
        <w:spacing w:line="460" w:lineRule="exact"/>
        <w:ind w:left="105" w:leftChars="50" w:firstLine="600"/>
        <w:rPr>
          <w:rFonts w:ascii="宋体" w:hAnsi="宋体"/>
          <w:sz w:val="24"/>
        </w:rPr>
      </w:pPr>
      <w:r>
        <w:rPr>
          <w:rFonts w:hint="eastAsia" w:ascii="宋体" w:hAnsi="宋体" w:cs="仿宋"/>
          <w:sz w:val="24"/>
        </w:rPr>
        <w:t>3．</w:t>
      </w:r>
      <w:r>
        <w:rPr>
          <w:rFonts w:ascii="宋体" w:hAnsi="宋体"/>
          <w:sz w:val="24"/>
        </w:rPr>
        <w:t>苗木成活率</w:t>
      </w:r>
      <w:r>
        <w:rPr>
          <w:rFonts w:hint="eastAsia" w:ascii="宋体" w:hAnsi="宋体"/>
          <w:sz w:val="24"/>
        </w:rPr>
        <w:t>按合同</w:t>
      </w:r>
      <w:r>
        <w:rPr>
          <w:rFonts w:ascii="宋体" w:hAnsi="宋体"/>
          <w:sz w:val="24"/>
        </w:rPr>
        <w:t>约定</w:t>
      </w:r>
      <w:r>
        <w:rPr>
          <w:rFonts w:hint="eastAsia" w:ascii="宋体" w:hAnsi="宋体"/>
          <w:sz w:val="24"/>
        </w:rPr>
        <w:t>执行，</w:t>
      </w:r>
      <w:r>
        <w:rPr>
          <w:rFonts w:ascii="宋体" w:hAnsi="宋体"/>
          <w:sz w:val="24"/>
        </w:rPr>
        <w:t>发</w:t>
      </w:r>
      <w:r>
        <w:rPr>
          <w:rFonts w:hint="eastAsia" w:ascii="宋体" w:hAnsi="宋体"/>
          <w:sz w:val="24"/>
        </w:rPr>
        <w:t>生</w:t>
      </w:r>
      <w:r>
        <w:rPr>
          <w:rFonts w:ascii="宋体" w:hAnsi="宋体"/>
          <w:sz w:val="24"/>
        </w:rPr>
        <w:t>苗木等植物材料死亡，须按原设计品种和规格</w:t>
      </w:r>
      <w:r>
        <w:rPr>
          <w:rFonts w:hint="eastAsia" w:ascii="宋体" w:hAnsi="宋体"/>
          <w:sz w:val="24"/>
        </w:rPr>
        <w:t>及时</w:t>
      </w:r>
      <w:r>
        <w:rPr>
          <w:rFonts w:ascii="宋体" w:hAnsi="宋体"/>
          <w:sz w:val="24"/>
        </w:rPr>
        <w:t>更换，更换费用由承包人承担。</w:t>
      </w:r>
    </w:p>
    <w:p>
      <w:pPr>
        <w:snapToGrid w:val="0"/>
        <w:spacing w:line="460" w:lineRule="exact"/>
        <w:ind w:left="105" w:leftChars="50" w:firstLine="600"/>
        <w:rPr>
          <w:rFonts w:ascii="宋体" w:hAnsi="宋体"/>
          <w:sz w:val="24"/>
        </w:rPr>
      </w:pPr>
      <w:r>
        <w:rPr>
          <w:rFonts w:hint="eastAsia" w:ascii="宋体" w:hAnsi="宋体" w:cs="仿宋"/>
          <w:sz w:val="24"/>
        </w:rPr>
        <w:t>4．绿化养护期满后，由发包人组织验收。</w:t>
      </w:r>
    </w:p>
    <w:p>
      <w:pPr>
        <w:snapToGrid w:val="0"/>
        <w:spacing w:line="460" w:lineRule="exact"/>
        <w:ind w:left="105" w:leftChars="50" w:firstLine="600"/>
        <w:rPr>
          <w:rFonts w:ascii="宋体" w:hAnsi="宋体"/>
          <w:sz w:val="24"/>
          <w:u w:val="single"/>
        </w:rPr>
      </w:pPr>
      <w:r>
        <w:rPr>
          <w:rFonts w:hint="eastAsia" w:ascii="宋体" w:hAnsi="宋体" w:cs="仿宋"/>
          <w:sz w:val="24"/>
        </w:rPr>
        <w:t>5．</w:t>
      </w:r>
      <w:r>
        <w:rPr>
          <w:rFonts w:hint="eastAsia" w:ascii="宋体" w:hAnsi="宋体"/>
          <w:sz w:val="24"/>
        </w:rPr>
        <w:t>其他责任约定：</w:t>
      </w:r>
      <w:r>
        <w:rPr>
          <w:rFonts w:hint="eastAsia" w:ascii="宋体" w:hAnsi="宋体"/>
          <w:sz w:val="24"/>
          <w:u w:val="single"/>
        </w:rPr>
        <w:t xml:space="preserve">                                  </w:t>
      </w:r>
    </w:p>
    <w:p>
      <w:pPr>
        <w:snapToGrid w:val="0"/>
        <w:spacing w:line="460" w:lineRule="exact"/>
        <w:rPr>
          <w:rFonts w:ascii="宋体" w:hAnsi="宋体" w:cs="仿宋"/>
          <w:sz w:val="24"/>
        </w:rPr>
      </w:pPr>
      <w:r>
        <w:rPr>
          <w:rFonts w:hint="eastAsia" w:ascii="宋体" w:hAnsi="宋体" w:cs="仿宋"/>
          <w:sz w:val="24"/>
          <w:u w:val="single"/>
        </w:rPr>
        <w:t xml:space="preserve">                                                       </w:t>
      </w:r>
      <w:r>
        <w:rPr>
          <w:rFonts w:hint="eastAsia" w:ascii="宋体" w:hAnsi="宋体"/>
          <w:sz w:val="24"/>
        </w:rPr>
        <w:t>。</w:t>
      </w:r>
    </w:p>
    <w:p>
      <w:pPr>
        <w:snapToGrid w:val="0"/>
        <w:spacing w:line="460" w:lineRule="exact"/>
        <w:ind w:firstLine="600"/>
        <w:rPr>
          <w:rFonts w:ascii="宋体" w:hAnsi="宋体" w:cs="仿宋"/>
          <w:b/>
          <w:sz w:val="24"/>
        </w:rPr>
      </w:pPr>
      <w:r>
        <w:rPr>
          <w:rFonts w:hint="eastAsia" w:ascii="宋体" w:hAnsi="宋体" w:cs="仿宋"/>
          <w:b/>
          <w:sz w:val="24"/>
        </w:rPr>
        <w:t>六、养护费用</w:t>
      </w:r>
    </w:p>
    <w:p>
      <w:pPr>
        <w:snapToGrid w:val="0"/>
        <w:spacing w:line="460" w:lineRule="exact"/>
        <w:ind w:firstLine="600"/>
        <w:rPr>
          <w:rFonts w:ascii="宋体" w:hAnsi="宋体" w:cs="仿宋"/>
          <w:sz w:val="24"/>
        </w:rPr>
      </w:pPr>
      <w:r>
        <w:rPr>
          <w:rFonts w:hint="eastAsia" w:ascii="宋体" w:hAnsi="宋体" w:cs="仿宋"/>
          <w:sz w:val="24"/>
        </w:rPr>
        <w:t>养护费用由承包人承担。</w:t>
      </w:r>
    </w:p>
    <w:p>
      <w:pPr>
        <w:snapToGrid w:val="0"/>
        <w:spacing w:line="460" w:lineRule="exact"/>
        <w:jc w:val="left"/>
        <w:rPr>
          <w:rFonts w:ascii="宋体" w:hAnsi="宋体" w:cs="仿宋"/>
          <w:sz w:val="24"/>
        </w:rPr>
      </w:pPr>
      <w:r>
        <w:rPr>
          <w:rFonts w:hint="eastAsia" w:ascii="宋体" w:hAnsi="宋体" w:cs="仿宋"/>
          <w:b/>
          <w:sz w:val="24"/>
        </w:rPr>
        <w:t xml:space="preserve">    七、其他约定</w:t>
      </w:r>
      <w:r>
        <w:rPr>
          <w:rFonts w:hint="eastAsia" w:ascii="宋体" w:hAnsi="宋体" w:cs="仿宋"/>
          <w:sz w:val="24"/>
        </w:rPr>
        <w:t>：</w:t>
      </w:r>
      <w:r>
        <w:rPr>
          <w:rFonts w:hint="eastAsia" w:ascii="宋体" w:hAnsi="宋体" w:cs="仿宋"/>
          <w:sz w:val="24"/>
          <w:u w:val="single"/>
        </w:rPr>
        <w:t xml:space="preserve">                                      </w:t>
      </w:r>
    </w:p>
    <w:p>
      <w:pPr>
        <w:snapToGrid w:val="0"/>
        <w:spacing w:line="460" w:lineRule="exact"/>
        <w:jc w:val="left"/>
        <w:rPr>
          <w:rFonts w:ascii="宋体" w:hAnsi="宋体" w:cs="仿宋"/>
          <w:sz w:val="24"/>
        </w:rPr>
      </w:pPr>
      <w:r>
        <w:rPr>
          <w:rFonts w:hint="eastAsia" w:ascii="宋体" w:hAnsi="宋体" w:cs="仿宋"/>
          <w:sz w:val="24"/>
          <w:u w:val="single"/>
        </w:rPr>
        <w:t xml:space="preserve">                                                       </w:t>
      </w:r>
      <w:r>
        <w:rPr>
          <w:rFonts w:hint="eastAsia" w:ascii="宋体" w:hAnsi="宋体" w:cs="仿宋"/>
          <w:sz w:val="24"/>
        </w:rPr>
        <w:t>。</w:t>
      </w:r>
    </w:p>
    <w:p>
      <w:pPr>
        <w:snapToGrid w:val="0"/>
        <w:spacing w:line="460" w:lineRule="exact"/>
        <w:ind w:left="105" w:leftChars="50" w:firstLine="600"/>
        <w:rPr>
          <w:rFonts w:ascii="宋体" w:hAnsi="宋体" w:cs="仿宋"/>
          <w:sz w:val="30"/>
          <w:szCs w:val="30"/>
        </w:rPr>
      </w:pPr>
      <w:r>
        <w:rPr>
          <w:rFonts w:hint="eastAsia" w:ascii="宋体" w:hAnsi="宋体" w:cs="仿宋"/>
          <w:sz w:val="24"/>
        </w:rPr>
        <w:t>绿化养护责任书由发包人、承包人在工程竣工验收前共同签署，作为施工合同附件，其有效期限至绿化养护期满。</w:t>
      </w:r>
    </w:p>
    <w:p>
      <w:pPr>
        <w:rPr>
          <w:rFonts w:ascii="仿宋_GB2312" w:hAnsi="仿宋_GB2312" w:eastAsia="仿宋_GB2312" w:cs="仿宋_GB2312"/>
          <w:sz w:val="30"/>
          <w:szCs w:val="30"/>
        </w:rPr>
      </w:pPr>
      <w:r>
        <mc:AlternateContent>
          <mc:Choice Requires="wps">
            <w:drawing>
              <wp:anchor distT="0" distB="0" distL="114300" distR="114300" simplePos="0" relativeHeight="251665408" behindDoc="0" locked="0" layoutInCell="1" allowOverlap="1">
                <wp:simplePos x="0" y="0"/>
                <wp:positionH relativeFrom="column">
                  <wp:posOffset>2559050</wp:posOffset>
                </wp:positionH>
                <wp:positionV relativeFrom="paragraph">
                  <wp:posOffset>205740</wp:posOffset>
                </wp:positionV>
                <wp:extent cx="2770505" cy="1610360"/>
                <wp:effectExtent l="0" t="0" r="10795" b="8890"/>
                <wp:wrapNone/>
                <wp:docPr id="21" name="文本框 21"/>
                <wp:cNvGraphicFramePr/>
                <a:graphic xmlns:a="http://schemas.openxmlformats.org/drawingml/2006/main">
                  <a:graphicData uri="http://schemas.microsoft.com/office/word/2010/wordprocessingShape">
                    <wps:wsp>
                      <wps:cNvSpPr txBox="true"/>
                      <wps:spPr>
                        <a:xfrm>
                          <a:off x="0" y="0"/>
                          <a:ext cx="2770505" cy="1610360"/>
                        </a:xfrm>
                        <a:prstGeom prst="rect">
                          <a:avLst/>
                        </a:prstGeom>
                        <a:solidFill>
                          <a:srgbClr val="FFFFFF"/>
                        </a:solidFill>
                        <a:ln>
                          <a:noFill/>
                        </a:ln>
                        <a:effectLst/>
                      </wps:spPr>
                      <wps:txbx>
                        <w:txbxContent>
                          <w:p>
                            <w:pPr>
                              <w:ind w:firstLine="561"/>
                              <w:rPr>
                                <w:rFonts w:ascii="宋体" w:hAnsi="宋体" w:cs="仿宋"/>
                                <w:sz w:val="24"/>
                              </w:rPr>
                            </w:pPr>
                            <w:r>
                              <w:rPr>
                                <w:rFonts w:hint="eastAsia" w:ascii="宋体" w:hAnsi="宋体" w:cs="仿宋"/>
                                <w:sz w:val="24"/>
                              </w:rPr>
                              <w:t>承包人：（公章）</w:t>
                            </w:r>
                          </w:p>
                          <w:p>
                            <w:pPr>
                              <w:ind w:firstLine="561"/>
                              <w:rPr>
                                <w:rFonts w:ascii="宋体" w:hAnsi="宋体" w:cs="仿宋"/>
                                <w:sz w:val="24"/>
                                <w:u w:val="single"/>
                              </w:rPr>
                            </w:pPr>
                            <w:r>
                              <w:rPr>
                                <w:rFonts w:hint="eastAsia" w:ascii="宋体" w:hAnsi="宋体" w:cs="仿宋"/>
                                <w:sz w:val="24"/>
                              </w:rPr>
                              <w:t>法定代表人或其委托代理人：（签字）</w:t>
                            </w:r>
                            <w:r>
                              <w:rPr>
                                <w:rFonts w:hint="eastAsia" w:ascii="宋体" w:hAnsi="宋体" w:cs="仿宋"/>
                                <w:sz w:val="24"/>
                                <w:u w:val="single"/>
                              </w:rPr>
                              <w:t xml:space="preserve">                       </w:t>
                            </w:r>
                          </w:p>
                          <w:p>
                            <w:pPr>
                              <w:ind w:firstLine="561"/>
                              <w:rPr>
                                <w:rFonts w:ascii="宋体" w:hAnsi="宋体" w:cs="仿宋"/>
                                <w:sz w:val="24"/>
                                <w:u w:val="single"/>
                              </w:rPr>
                            </w:pPr>
                            <w:r>
                              <w:rPr>
                                <w:rFonts w:hint="eastAsia" w:ascii="宋体" w:hAnsi="宋体" w:cs="仿宋"/>
                                <w:sz w:val="24"/>
                              </w:rPr>
                              <w:t>地  址：</w:t>
                            </w:r>
                            <w:r>
                              <w:rPr>
                                <w:rFonts w:hint="eastAsia" w:ascii="宋体" w:hAnsi="宋体" w:cs="仿宋"/>
                                <w:sz w:val="24"/>
                                <w:u w:val="single"/>
                              </w:rPr>
                              <w:t xml:space="preserve">                            </w:t>
                            </w:r>
                            <w:r>
                              <w:rPr>
                                <w:rFonts w:hint="eastAsia" w:ascii="宋体" w:hAnsi="宋体" w:cs="仿宋"/>
                                <w:sz w:val="24"/>
                              </w:rPr>
                              <w:t xml:space="preserve"> </w:t>
                            </w:r>
                          </w:p>
                          <w:p>
                            <w:pPr>
                              <w:ind w:firstLine="561"/>
                              <w:rPr>
                                <w:rFonts w:ascii="宋体" w:hAnsi="宋体" w:cs="仿宋"/>
                                <w:sz w:val="24"/>
                                <w:u w:val="single"/>
                              </w:rPr>
                            </w:pPr>
                            <w:r>
                              <w:rPr>
                                <w:rFonts w:hint="eastAsia" w:ascii="宋体" w:hAnsi="宋体" w:cs="仿宋"/>
                                <w:sz w:val="24"/>
                              </w:rPr>
                              <w:t>电  话：</w:t>
                            </w:r>
                            <w:r>
                              <w:rPr>
                                <w:rFonts w:hint="eastAsia" w:ascii="宋体" w:hAnsi="宋体" w:cs="仿宋"/>
                                <w:sz w:val="24"/>
                                <w:u w:val="single"/>
                              </w:rPr>
                              <w:t xml:space="preserve">                            </w:t>
                            </w:r>
                            <w:r>
                              <w:rPr>
                                <w:rFonts w:hint="eastAsia" w:ascii="宋体" w:hAnsi="宋体" w:cs="仿宋"/>
                                <w:sz w:val="24"/>
                              </w:rPr>
                              <w:t xml:space="preserve"> </w:t>
                            </w:r>
                          </w:p>
                          <w:p>
                            <w:pPr>
                              <w:spacing w:line="460" w:lineRule="exact"/>
                              <w:ind w:firstLine="561"/>
                              <w:rPr>
                                <w:rFonts w:ascii="宋体" w:hAnsi="宋体"/>
                                <w:sz w:val="24"/>
                                <w:u w:val="single"/>
                              </w:rPr>
                            </w:pPr>
                            <w:r>
                              <w:rPr>
                                <w:rFonts w:hint="eastAsia" w:ascii="宋体" w:hAnsi="宋体" w:cs="仿宋"/>
                                <w:sz w:val="24"/>
                              </w:rPr>
                              <w:t>日  期：</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p>
                        </w:txbxContent>
                      </wps:txbx>
                      <wps:bodyPr wrap="square" upright="true"/>
                    </wps:wsp>
                  </a:graphicData>
                </a:graphic>
              </wp:anchor>
            </w:drawing>
          </mc:Choice>
          <mc:Fallback>
            <w:pict>
              <v:shape id="_x0000_s1026" o:spid="_x0000_s1026" o:spt="202" type="#_x0000_t202" style="position:absolute;left:0pt;margin-left:201.5pt;margin-top:16.2pt;height:126.8pt;width:218.15pt;z-index:251665408;mso-width-relative:page;mso-height-relative:page;" fillcolor="#FFFFFF" filled="t" stroked="f" coordsize="21600,21600" o:gfxdata="UEsFBgAAAAAAAAAAAAAAAAAAAAAAAFBLAwQKAAAAAACHTuJAAAAAAAAAAAAAAAAABAAAAGRycy9Q&#10;SwMEFAAAAAgAh07iQIHhzanZAAAACgEAAA8AAABkcnMvZG93bnJldi54bWxNj8FugzAQRO+V+g/W&#10;VuqlauwAIYRgIrVSq16T5gMW2AAKXiPshOTv657a42hGM2+K3c0M4kqT6y1rWC4UCOLaNj23Go7f&#10;H68ZCOeRGxwsk4Y7OdiVjw8F5o2deU/Xg29FKGGXo4bO+zGX0tUdGXQLOxIH72Qngz7IqZXNhHMo&#10;N4OMlEqlwZ7DQocjvXdUnw8Xo+H0Nb+sNnP16Y/rfZK+Yb+u7F3r56el2oLwdPN/YfjFD+hQBqbK&#10;XrhxYtCQqDh88RriKAERAlm8iUFUGqIsVSDLQv6/UP4AUEsDBBQAAAAIAIdO4kDms15iuwEAAE4D&#10;AAAOAAAAZHJzL2Uyb0RvYy54bWytU0uOEzEQ3SNxB8t74u6gyaBWnJGGUdggQBo4gON2d1vyj7KT&#10;7lwAbsCKDXvOlXNQdj7MDDs0WTh21avPe1W9vJmsITsFUXvHaT2rKFFO+la7ntMvn9ev3lASk3Ct&#10;MN4pTvcq0pvVyxfLMTRq7gdvWgUEk7jYjIHTIaXQMBbloKyIMx+UQ2fnwYqET+hZC2LE7NaweVUt&#10;2OihDeClihGtd0cnXZX8Xadk+th1USViOMXeUjmhnJt8stVSND2IMGh5akP8RxdWaIdFL6nuRBJk&#10;C/qfVFZL8NF3aSa9Zb7rtFSFA7Kpqyds7gcRVOGC4sRwkSk+X1r5YfcJiG45ndeUOGFxRocf3w8/&#10;fx9+fSNoQ4HGEBvE3QdEpunWT5wm2KqzK6I9U586sPkfSRGEoNr7i8JqSkSicX59XV1VV5RI9NWL&#10;unq9KDNgf8MDxPROeUvyhVPAERZlxe59TNgNQs+QXC16o9u1NqY8oN+8NUB2Ase9Lr/cJYY8ghmX&#10;wc7nsKP7aFFlYU5lMusjtXxL02Y6SbHx7R6VGHFpOI1ftwIUJdsAuh+w37MyLEfh0Er104LlrXj4&#10;xvvDz2D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IHhzanZAAAACgEAAA8AAAAAAAAAAQAgAAAA&#10;OAAAAGRycy9kb3ducmV2LnhtbFBLAQIUABQAAAAIAIdO4kDms15iuwEAAE4DAAAOAAAAAAAAAAEA&#10;IAAAAD4BAABkcnMvZTJvRG9jLnhtbFBLBQYAAAAABgAGAFkBAABrBQAAAAA=&#10;">
                <v:fill on="t" focussize="0,0"/>
                <v:stroke on="f"/>
                <v:imagedata o:title=""/>
                <o:lock v:ext="edit" aspectratio="f"/>
                <v:textbox>
                  <w:txbxContent>
                    <w:p>
                      <w:pPr>
                        <w:ind w:firstLine="561"/>
                        <w:rPr>
                          <w:rFonts w:ascii="宋体" w:hAnsi="宋体" w:cs="仿宋"/>
                          <w:sz w:val="24"/>
                        </w:rPr>
                      </w:pPr>
                      <w:r>
                        <w:rPr>
                          <w:rFonts w:hint="eastAsia" w:ascii="宋体" w:hAnsi="宋体" w:cs="仿宋"/>
                          <w:sz w:val="24"/>
                        </w:rPr>
                        <w:t>承包人：（公章）</w:t>
                      </w:r>
                    </w:p>
                    <w:p>
                      <w:pPr>
                        <w:ind w:firstLine="561"/>
                        <w:rPr>
                          <w:rFonts w:ascii="宋体" w:hAnsi="宋体" w:cs="仿宋"/>
                          <w:sz w:val="24"/>
                          <w:u w:val="single"/>
                        </w:rPr>
                      </w:pPr>
                      <w:r>
                        <w:rPr>
                          <w:rFonts w:hint="eastAsia" w:ascii="宋体" w:hAnsi="宋体" w:cs="仿宋"/>
                          <w:sz w:val="24"/>
                        </w:rPr>
                        <w:t>法定代表人或其委托代理人：（签字）</w:t>
                      </w:r>
                      <w:r>
                        <w:rPr>
                          <w:rFonts w:hint="eastAsia" w:ascii="宋体" w:hAnsi="宋体" w:cs="仿宋"/>
                          <w:sz w:val="24"/>
                          <w:u w:val="single"/>
                        </w:rPr>
                        <w:t xml:space="preserve">                       </w:t>
                      </w:r>
                    </w:p>
                    <w:p>
                      <w:pPr>
                        <w:ind w:firstLine="561"/>
                        <w:rPr>
                          <w:rFonts w:ascii="宋体" w:hAnsi="宋体" w:cs="仿宋"/>
                          <w:sz w:val="24"/>
                          <w:u w:val="single"/>
                        </w:rPr>
                      </w:pPr>
                      <w:r>
                        <w:rPr>
                          <w:rFonts w:hint="eastAsia" w:ascii="宋体" w:hAnsi="宋体" w:cs="仿宋"/>
                          <w:sz w:val="24"/>
                        </w:rPr>
                        <w:t>地  址：</w:t>
                      </w:r>
                      <w:r>
                        <w:rPr>
                          <w:rFonts w:hint="eastAsia" w:ascii="宋体" w:hAnsi="宋体" w:cs="仿宋"/>
                          <w:sz w:val="24"/>
                          <w:u w:val="single"/>
                        </w:rPr>
                        <w:t xml:space="preserve">                            </w:t>
                      </w:r>
                      <w:r>
                        <w:rPr>
                          <w:rFonts w:hint="eastAsia" w:ascii="宋体" w:hAnsi="宋体" w:cs="仿宋"/>
                          <w:sz w:val="24"/>
                        </w:rPr>
                        <w:t xml:space="preserve"> </w:t>
                      </w:r>
                    </w:p>
                    <w:p>
                      <w:pPr>
                        <w:ind w:firstLine="561"/>
                        <w:rPr>
                          <w:rFonts w:ascii="宋体" w:hAnsi="宋体" w:cs="仿宋"/>
                          <w:sz w:val="24"/>
                          <w:u w:val="single"/>
                        </w:rPr>
                      </w:pPr>
                      <w:r>
                        <w:rPr>
                          <w:rFonts w:hint="eastAsia" w:ascii="宋体" w:hAnsi="宋体" w:cs="仿宋"/>
                          <w:sz w:val="24"/>
                        </w:rPr>
                        <w:t>电  话：</w:t>
                      </w:r>
                      <w:r>
                        <w:rPr>
                          <w:rFonts w:hint="eastAsia" w:ascii="宋体" w:hAnsi="宋体" w:cs="仿宋"/>
                          <w:sz w:val="24"/>
                          <w:u w:val="single"/>
                        </w:rPr>
                        <w:t xml:space="preserve">                            </w:t>
                      </w:r>
                      <w:r>
                        <w:rPr>
                          <w:rFonts w:hint="eastAsia" w:ascii="宋体" w:hAnsi="宋体" w:cs="仿宋"/>
                          <w:sz w:val="24"/>
                        </w:rPr>
                        <w:t xml:space="preserve"> </w:t>
                      </w:r>
                    </w:p>
                    <w:p>
                      <w:pPr>
                        <w:spacing w:line="460" w:lineRule="exact"/>
                        <w:ind w:firstLine="561"/>
                        <w:rPr>
                          <w:rFonts w:ascii="宋体" w:hAnsi="宋体"/>
                          <w:sz w:val="24"/>
                          <w:u w:val="single"/>
                        </w:rPr>
                      </w:pPr>
                      <w:r>
                        <w:rPr>
                          <w:rFonts w:hint="eastAsia" w:ascii="宋体" w:hAnsi="宋体" w:cs="仿宋"/>
                          <w:sz w:val="24"/>
                        </w:rPr>
                        <w:t>日  期：</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-138430</wp:posOffset>
                </wp:positionH>
                <wp:positionV relativeFrom="paragraph">
                  <wp:posOffset>201295</wp:posOffset>
                </wp:positionV>
                <wp:extent cx="2697480" cy="1614805"/>
                <wp:effectExtent l="0" t="0" r="7620" b="4445"/>
                <wp:wrapNone/>
                <wp:docPr id="20" name="文本框 20"/>
                <wp:cNvGraphicFramePr/>
                <a:graphic xmlns:a="http://schemas.openxmlformats.org/drawingml/2006/main">
                  <a:graphicData uri="http://schemas.microsoft.com/office/word/2010/wordprocessingShape">
                    <wps:wsp>
                      <wps:cNvSpPr txBox="true"/>
                      <wps:spPr>
                        <a:xfrm>
                          <a:off x="0" y="0"/>
                          <a:ext cx="2697480" cy="1614805"/>
                        </a:xfrm>
                        <a:prstGeom prst="rect">
                          <a:avLst/>
                        </a:prstGeom>
                        <a:solidFill>
                          <a:srgbClr val="FFFFFF"/>
                        </a:solidFill>
                        <a:ln>
                          <a:noFill/>
                        </a:ln>
                        <a:effectLst/>
                      </wps:spPr>
                      <wps:txbx>
                        <w:txbxContent>
                          <w:p>
                            <w:pPr>
                              <w:ind w:firstLine="561"/>
                              <w:rPr>
                                <w:rFonts w:ascii="宋体" w:hAnsi="宋体" w:cs="仿宋"/>
                                <w:sz w:val="24"/>
                              </w:rPr>
                            </w:pPr>
                            <w:r>
                              <w:rPr>
                                <w:rFonts w:hint="eastAsia" w:ascii="宋体" w:hAnsi="宋体" w:cs="仿宋"/>
                                <w:sz w:val="24"/>
                              </w:rPr>
                              <w:t>发包人：（公章）</w:t>
                            </w:r>
                          </w:p>
                          <w:p>
                            <w:pPr>
                              <w:ind w:firstLine="561"/>
                              <w:rPr>
                                <w:rFonts w:ascii="宋体" w:hAnsi="宋体" w:cs="仿宋"/>
                                <w:sz w:val="24"/>
                                <w:u w:val="single"/>
                              </w:rPr>
                            </w:pPr>
                            <w:r>
                              <w:rPr>
                                <w:rFonts w:hint="eastAsia" w:ascii="宋体" w:hAnsi="宋体" w:cs="仿宋"/>
                                <w:sz w:val="24"/>
                              </w:rPr>
                              <w:t>法定代表人或其委托代理人：（签字）</w:t>
                            </w:r>
                            <w:r>
                              <w:rPr>
                                <w:rFonts w:hint="eastAsia" w:ascii="宋体" w:hAnsi="宋体" w:cs="仿宋"/>
                                <w:sz w:val="24"/>
                                <w:u w:val="single"/>
                              </w:rPr>
                              <w:t xml:space="preserve">                       </w:t>
                            </w:r>
                          </w:p>
                          <w:p>
                            <w:pPr>
                              <w:ind w:firstLine="561"/>
                              <w:rPr>
                                <w:rFonts w:ascii="宋体" w:hAnsi="宋体" w:cs="仿宋"/>
                                <w:sz w:val="24"/>
                                <w:u w:val="single"/>
                              </w:rPr>
                            </w:pPr>
                            <w:r>
                              <w:rPr>
                                <w:rFonts w:hint="eastAsia" w:ascii="宋体" w:hAnsi="宋体" w:cs="仿宋"/>
                                <w:sz w:val="24"/>
                              </w:rPr>
                              <w:t>地  址：</w:t>
                            </w:r>
                            <w:r>
                              <w:rPr>
                                <w:rFonts w:hint="eastAsia" w:ascii="宋体" w:hAnsi="宋体" w:cs="仿宋"/>
                                <w:sz w:val="24"/>
                                <w:u w:val="single"/>
                              </w:rPr>
                              <w:t xml:space="preserve">                            </w:t>
                            </w:r>
                            <w:r>
                              <w:rPr>
                                <w:rFonts w:hint="eastAsia" w:ascii="宋体" w:hAnsi="宋体" w:cs="仿宋"/>
                                <w:sz w:val="24"/>
                              </w:rPr>
                              <w:t xml:space="preserve"> </w:t>
                            </w:r>
                          </w:p>
                          <w:p>
                            <w:pPr>
                              <w:ind w:firstLine="561"/>
                              <w:rPr>
                                <w:rFonts w:ascii="宋体" w:hAnsi="宋体" w:cs="仿宋"/>
                                <w:sz w:val="24"/>
                                <w:u w:val="single"/>
                              </w:rPr>
                            </w:pPr>
                            <w:r>
                              <w:rPr>
                                <w:rFonts w:hint="eastAsia" w:ascii="宋体" w:hAnsi="宋体" w:cs="仿宋"/>
                                <w:sz w:val="24"/>
                              </w:rPr>
                              <w:t>电  话：</w:t>
                            </w:r>
                            <w:r>
                              <w:rPr>
                                <w:rFonts w:hint="eastAsia" w:ascii="宋体" w:hAnsi="宋体" w:cs="仿宋"/>
                                <w:sz w:val="24"/>
                                <w:u w:val="single"/>
                              </w:rPr>
                              <w:t xml:space="preserve">                            </w:t>
                            </w:r>
                            <w:r>
                              <w:rPr>
                                <w:rFonts w:hint="eastAsia" w:ascii="宋体" w:hAnsi="宋体" w:cs="仿宋"/>
                                <w:sz w:val="24"/>
                              </w:rPr>
                              <w:t xml:space="preserve"> </w:t>
                            </w:r>
                          </w:p>
                          <w:p>
                            <w:pPr>
                              <w:ind w:firstLine="561"/>
                              <w:rPr>
                                <w:rFonts w:ascii="宋体" w:hAnsi="宋体"/>
                                <w:sz w:val="24"/>
                                <w:u w:val="single"/>
                              </w:rPr>
                            </w:pPr>
                            <w:r>
                              <w:rPr>
                                <w:rFonts w:hint="eastAsia" w:ascii="宋体" w:hAnsi="宋体" w:cs="仿宋"/>
                                <w:sz w:val="24"/>
                              </w:rPr>
                              <w:t>日  期：</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p>
                        </w:txbxContent>
                      </wps:txbx>
                      <wps:bodyPr wrap="square" upright="true"/>
                    </wps:wsp>
                  </a:graphicData>
                </a:graphic>
              </wp:anchor>
            </w:drawing>
          </mc:Choice>
          <mc:Fallback>
            <w:pict>
              <v:shape id="_x0000_s1026" o:spid="_x0000_s1026" o:spt="202" type="#_x0000_t202" style="position:absolute;left:0pt;margin-left:-10.9pt;margin-top:15.85pt;height:127.15pt;width:212.4pt;z-index:251664384;mso-width-relative:page;mso-height-relative:page;" fillcolor="#FFFFFF" filled="t" stroked="f" coordsize="21600,21600" o:gfxdata="UEsFBgAAAAAAAAAAAAAAAAAAAAAAAFBLAwQKAAAAAACHTuJAAAAAAAAAAAAAAAAABAAAAGRycy9Q&#10;SwMEFAAAAAgAh07iQOtTfIvYAAAACgEAAA8AAABkcnMvZG93bnJldi54bWxNj8FOwzAQRO9I/IO1&#10;SFxQaydtkxKyqQQSiGtLP2ATb5OI2I5it2n/HnOC42hGM2/K3dUM4sKT751FSJYKBNvG6d62CMev&#10;98UWhA9kNQ3OMsKNPeyq+7uSCu1mu+fLIbQillhfEEIXwlhI6ZuODfmlG9lG7+QmQyHKqZV6ojmW&#10;m0GmSmXSUG/jQkcjv3XcfB/OBuH0OT9tnuf6Ixzz/Tp7pT6v3Q3x8SFRLyACX8NfGH7xIzpUkal2&#10;Z6u9GBAWaRLRA8IqyUHEwFqt4rkaId1mCmRVyv8Xqh9QSwMEFAAAAAgAh07iQHSSaIe3AQAATgMA&#10;AA4AAABkcnMvZTJvRG9jLnhtbK1TzY7TMBC+I/EOlu/btNVSdqO6K8GqXBAgLfsArmMnlvzH2G3S&#10;F4A34MSFO8/V52DspGWBGyIHZzwz/jzfN+P13WANOUiI2jtGF7M5JdIJ32jXMvr4cXt1Q0lM3DXc&#10;eCcZPcpI7zbPn637UMul77xpJBAEcbHuA6NdSqGuqig6aXmc+SAdBpUHyxNuoa0a4D2iW1Mt5/NV&#10;1XtoAnghY0Tv/Rikm4KvlBTpvVJRJmIYxdpSWaGsu7xWmzWvW+Ch02Iqg/9DFZZrh5deoO554mQP&#10;+i8oqwX46FWaCW8rr5QWsnBANov5H2weOh5k4YLixHCRKf4/WPHu8AGIbhhdojyOW+zR6euX07cf&#10;p++fCfpQoD7EGvMeAmam4ZUfGE2wl+dQRH+mPiiw+Y+kCKYg3PGisBwSEehcrm5fXt9gSGBssVqg&#10;/SLjVL+OB4jpjfSWZINRwBYWZfnhbUxj6jkl3xa90c1WG1M20O5eGyAHju3elm9C/y3NuJzsfD42&#10;Io4eWQZmuiazHqllKw27YZJi55sjKtHj0DAaP+05SEr2AXTbYb1nZap8CptWuE0Dlqfi6R7tp89g&#10;8x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DrU3yL2AAAAAoBAAAPAAAAAAAAAAEAIAAAADgAAABk&#10;cnMvZG93bnJldi54bWxQSwECFAAUAAAACACHTuJAdJJoh7cBAABOAwAADgAAAAAAAAABACAAAAA9&#10;AQAAZHJzL2Uyb0RvYy54bWxQSwUGAAAAAAYABgBZAQAAZgUAAAAA&#10;">
                <v:fill on="t" focussize="0,0"/>
                <v:stroke on="f"/>
                <v:imagedata o:title=""/>
                <o:lock v:ext="edit" aspectratio="f"/>
                <v:textbox>
                  <w:txbxContent>
                    <w:p>
                      <w:pPr>
                        <w:ind w:firstLine="561"/>
                        <w:rPr>
                          <w:rFonts w:ascii="宋体" w:hAnsi="宋体" w:cs="仿宋"/>
                          <w:sz w:val="24"/>
                        </w:rPr>
                      </w:pPr>
                      <w:r>
                        <w:rPr>
                          <w:rFonts w:hint="eastAsia" w:ascii="宋体" w:hAnsi="宋体" w:cs="仿宋"/>
                          <w:sz w:val="24"/>
                        </w:rPr>
                        <w:t>发包人：（公章）</w:t>
                      </w:r>
                    </w:p>
                    <w:p>
                      <w:pPr>
                        <w:ind w:firstLine="561"/>
                        <w:rPr>
                          <w:rFonts w:ascii="宋体" w:hAnsi="宋体" w:cs="仿宋"/>
                          <w:sz w:val="24"/>
                          <w:u w:val="single"/>
                        </w:rPr>
                      </w:pPr>
                      <w:r>
                        <w:rPr>
                          <w:rFonts w:hint="eastAsia" w:ascii="宋体" w:hAnsi="宋体" w:cs="仿宋"/>
                          <w:sz w:val="24"/>
                        </w:rPr>
                        <w:t>法定代表人或其委托代理人：（签字）</w:t>
                      </w:r>
                      <w:r>
                        <w:rPr>
                          <w:rFonts w:hint="eastAsia" w:ascii="宋体" w:hAnsi="宋体" w:cs="仿宋"/>
                          <w:sz w:val="24"/>
                          <w:u w:val="single"/>
                        </w:rPr>
                        <w:t xml:space="preserve">                       </w:t>
                      </w:r>
                    </w:p>
                    <w:p>
                      <w:pPr>
                        <w:ind w:firstLine="561"/>
                        <w:rPr>
                          <w:rFonts w:ascii="宋体" w:hAnsi="宋体" w:cs="仿宋"/>
                          <w:sz w:val="24"/>
                          <w:u w:val="single"/>
                        </w:rPr>
                      </w:pPr>
                      <w:r>
                        <w:rPr>
                          <w:rFonts w:hint="eastAsia" w:ascii="宋体" w:hAnsi="宋体" w:cs="仿宋"/>
                          <w:sz w:val="24"/>
                        </w:rPr>
                        <w:t>地  址：</w:t>
                      </w:r>
                      <w:r>
                        <w:rPr>
                          <w:rFonts w:hint="eastAsia" w:ascii="宋体" w:hAnsi="宋体" w:cs="仿宋"/>
                          <w:sz w:val="24"/>
                          <w:u w:val="single"/>
                        </w:rPr>
                        <w:t xml:space="preserve">                            </w:t>
                      </w:r>
                      <w:r>
                        <w:rPr>
                          <w:rFonts w:hint="eastAsia" w:ascii="宋体" w:hAnsi="宋体" w:cs="仿宋"/>
                          <w:sz w:val="24"/>
                        </w:rPr>
                        <w:t xml:space="preserve"> </w:t>
                      </w:r>
                    </w:p>
                    <w:p>
                      <w:pPr>
                        <w:ind w:firstLine="561"/>
                        <w:rPr>
                          <w:rFonts w:ascii="宋体" w:hAnsi="宋体" w:cs="仿宋"/>
                          <w:sz w:val="24"/>
                          <w:u w:val="single"/>
                        </w:rPr>
                      </w:pPr>
                      <w:r>
                        <w:rPr>
                          <w:rFonts w:hint="eastAsia" w:ascii="宋体" w:hAnsi="宋体" w:cs="仿宋"/>
                          <w:sz w:val="24"/>
                        </w:rPr>
                        <w:t>电  话：</w:t>
                      </w:r>
                      <w:r>
                        <w:rPr>
                          <w:rFonts w:hint="eastAsia" w:ascii="宋体" w:hAnsi="宋体" w:cs="仿宋"/>
                          <w:sz w:val="24"/>
                          <w:u w:val="single"/>
                        </w:rPr>
                        <w:t xml:space="preserve">                            </w:t>
                      </w:r>
                      <w:r>
                        <w:rPr>
                          <w:rFonts w:hint="eastAsia" w:ascii="宋体" w:hAnsi="宋体" w:cs="仿宋"/>
                          <w:sz w:val="24"/>
                        </w:rPr>
                        <w:t xml:space="preserve"> </w:t>
                      </w:r>
                    </w:p>
                    <w:p>
                      <w:pPr>
                        <w:ind w:firstLine="561"/>
                        <w:rPr>
                          <w:rFonts w:ascii="宋体" w:hAnsi="宋体"/>
                          <w:sz w:val="24"/>
                          <w:u w:val="single"/>
                        </w:rPr>
                      </w:pPr>
                      <w:r>
                        <w:rPr>
                          <w:rFonts w:hint="eastAsia" w:ascii="宋体" w:hAnsi="宋体" w:cs="仿宋"/>
                          <w:sz w:val="24"/>
                        </w:rPr>
                        <w:t>日  期：</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p>
                  </w:txbxContent>
                </v:textbox>
              </v:shape>
            </w:pict>
          </mc:Fallback>
        </mc:AlternateContent>
      </w: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outlineLvl w:val="1"/>
        <w:rPr>
          <w:rFonts w:ascii="仿宋_GB2312" w:hAnsi="仿宋_GB2312" w:eastAsia="仿宋_GB2312" w:cs="仿宋_GB2312"/>
          <w:sz w:val="30"/>
          <w:szCs w:val="30"/>
        </w:rPr>
      </w:pPr>
      <w:r>
        <w:rPr>
          <w:rFonts w:ascii="仿宋_GB2312" w:hAnsi="仿宋_GB2312" w:eastAsia="仿宋_GB2312" w:cs="仿宋_GB2312"/>
          <w:sz w:val="30"/>
          <w:szCs w:val="30"/>
        </w:rPr>
        <w:br w:type="page"/>
      </w:r>
      <w:bookmarkStart w:id="1073" w:name="_Toc732104650"/>
      <w:bookmarkStart w:id="1074" w:name="_Toc298211660"/>
      <w:bookmarkStart w:id="1075" w:name="_Toc1831685531"/>
      <w:r>
        <w:rPr>
          <w:rFonts w:hint="eastAsia" w:ascii="宋体" w:hAnsi="宋体" w:cs="仿宋_GB2312"/>
          <w:sz w:val="28"/>
          <w:szCs w:val="28"/>
        </w:rPr>
        <w:t>附件7：</w:t>
      </w:r>
      <w:bookmarkEnd w:id="1073"/>
      <w:bookmarkEnd w:id="1074"/>
      <w:bookmarkEnd w:id="1075"/>
    </w:p>
    <w:p>
      <w:pPr>
        <w:pStyle w:val="3"/>
        <w:spacing w:before="0" w:line="360" w:lineRule="auto"/>
        <w:rPr>
          <w:rFonts w:ascii="黑体" w:hAnsi="黑体" w:eastAsia="黑体"/>
          <w:b w:val="0"/>
          <w:kern w:val="2"/>
          <w:sz w:val="28"/>
          <w:szCs w:val="28"/>
        </w:rPr>
      </w:pPr>
      <w:bookmarkStart w:id="1076" w:name="_Toc358881767"/>
      <w:bookmarkStart w:id="1077" w:name="_Toc2084188277"/>
      <w:r>
        <w:rPr>
          <w:rFonts w:hint="eastAsia" w:ascii="黑体" w:hAnsi="黑体" w:eastAsia="黑体"/>
          <w:b w:val="0"/>
          <w:kern w:val="2"/>
          <w:sz w:val="28"/>
          <w:szCs w:val="28"/>
        </w:rPr>
        <w:t>工程质量保修书</w:t>
      </w:r>
      <w:bookmarkEnd w:id="1076"/>
      <w:bookmarkEnd w:id="1077"/>
    </w:p>
    <w:p>
      <w:pPr>
        <w:snapToGrid w:val="0"/>
        <w:spacing w:line="460" w:lineRule="exact"/>
        <w:ind w:firstLine="600"/>
        <w:rPr>
          <w:rFonts w:ascii="宋体" w:hAnsi="宋体" w:cs="仿宋"/>
          <w:sz w:val="24"/>
          <w:u w:val="single"/>
        </w:rPr>
      </w:pPr>
      <w:r>
        <w:rPr>
          <w:rFonts w:hint="eastAsia" w:ascii="宋体" w:hAnsi="宋体" w:cs="仿宋"/>
          <w:sz w:val="24"/>
        </w:rPr>
        <w:t>发包人和承包人根据《中华人民共和国建筑法》《建设工程质量管理条例》和《园林绿化工程施工及验收规范》</w:t>
      </w:r>
      <w:r>
        <w:rPr>
          <w:rFonts w:hint="eastAsia" w:ascii="宋体" w:hAnsi="宋体" w:cs="仿宋"/>
          <w:bCs/>
          <w:sz w:val="24"/>
        </w:rPr>
        <w:t>（CJJ82）以及</w:t>
      </w:r>
      <w:r>
        <w:rPr>
          <w:rFonts w:hint="eastAsia" w:ascii="宋体" w:hAnsi="宋体" w:cs="仿宋"/>
          <w:bCs/>
          <w:sz w:val="24"/>
          <w:u w:val="single"/>
        </w:rPr>
        <w:t xml:space="preserve">            </w:t>
      </w:r>
      <w:r>
        <w:rPr>
          <w:rFonts w:hint="eastAsia" w:ascii="宋体" w:hAnsi="宋体" w:cs="仿宋"/>
          <w:bCs/>
          <w:sz w:val="24"/>
        </w:rPr>
        <w:t>（地方标准），</w:t>
      </w:r>
      <w:r>
        <w:rPr>
          <w:rFonts w:hint="eastAsia" w:ascii="宋体" w:hAnsi="宋体" w:cs="仿宋"/>
          <w:sz w:val="24"/>
        </w:rPr>
        <w:t>经协商一致就</w:t>
      </w:r>
      <w:r>
        <w:rPr>
          <w:rFonts w:hint="eastAsia" w:ascii="宋体" w:hAnsi="宋体" w:cs="仿宋"/>
          <w:sz w:val="24"/>
          <w:u w:val="single"/>
        </w:rPr>
        <w:t xml:space="preserve">                </w:t>
      </w:r>
    </w:p>
    <w:p>
      <w:pPr>
        <w:snapToGrid w:val="0"/>
        <w:spacing w:line="460" w:lineRule="exact"/>
        <w:rPr>
          <w:rFonts w:ascii="宋体" w:hAnsi="宋体" w:cs="仿宋"/>
          <w:sz w:val="24"/>
        </w:rPr>
      </w:pPr>
      <w:r>
        <w:rPr>
          <w:rFonts w:hint="eastAsia" w:ascii="宋体" w:hAnsi="宋体" w:cs="仿宋"/>
          <w:sz w:val="24"/>
        </w:rPr>
        <w:t>（工程名称）签订工程质量保修书。</w:t>
      </w:r>
    </w:p>
    <w:p>
      <w:pPr>
        <w:snapToGrid w:val="0"/>
        <w:spacing w:line="460" w:lineRule="exact"/>
        <w:ind w:firstLine="600"/>
        <w:rPr>
          <w:rFonts w:ascii="宋体" w:hAnsi="宋体" w:cs="仿宋"/>
          <w:b/>
          <w:sz w:val="24"/>
        </w:rPr>
      </w:pPr>
      <w:r>
        <w:rPr>
          <w:rFonts w:hint="eastAsia" w:ascii="宋体" w:hAnsi="宋体" w:cs="仿宋"/>
          <w:b/>
          <w:sz w:val="24"/>
        </w:rPr>
        <w:t>一、工程质量保修范围和内容</w:t>
      </w:r>
    </w:p>
    <w:p>
      <w:pPr>
        <w:snapToGrid w:val="0"/>
        <w:spacing w:line="460" w:lineRule="exact"/>
        <w:ind w:firstLine="600"/>
        <w:rPr>
          <w:rFonts w:ascii="宋体" w:hAnsi="宋体" w:cs="仿宋"/>
          <w:sz w:val="24"/>
        </w:rPr>
      </w:pPr>
      <w:r>
        <w:rPr>
          <w:rFonts w:hint="eastAsia" w:ascii="宋体" w:hAnsi="宋体" w:cs="仿宋"/>
          <w:sz w:val="24"/>
        </w:rPr>
        <w:t>承包人在质量保修期内，按照有关法律规定和合同约定，承担工程质量保修责任。</w:t>
      </w:r>
    </w:p>
    <w:p>
      <w:pPr>
        <w:snapToGrid w:val="0"/>
        <w:spacing w:line="460" w:lineRule="exact"/>
        <w:ind w:firstLine="600"/>
        <w:rPr>
          <w:rFonts w:ascii="宋体" w:hAnsi="宋体" w:cs="仿宋_GB2312"/>
          <w:sz w:val="24"/>
        </w:rPr>
      </w:pPr>
      <w:r>
        <w:rPr>
          <w:rFonts w:hint="eastAsia" w:ascii="宋体" w:hAnsi="宋体" w:cs="仿宋"/>
          <w:sz w:val="24"/>
        </w:rPr>
        <w:t>质量保修范围包括地基基础工程、主体结构工程，屋面防水工程、有防水要求的卫生间、房间和外墙面的防渗漏，供热与供冷系统，电气管线、给排水管道、设备安装、装修工程，绿化工程、园林附属工程（园路与广场铺装、假山、叠石、置石、园林理水、园林设施安装），以及双方约定的其他项目。具体保修的内容，双方约定如下：</w:t>
      </w:r>
      <w:r>
        <w:rPr>
          <w:rFonts w:hint="eastAsia" w:ascii="宋体" w:hAnsi="宋体" w:cs="仿宋"/>
          <w:sz w:val="24"/>
          <w:u w:val="single"/>
        </w:rPr>
        <w:t xml:space="preserve">                                  </w:t>
      </w:r>
      <w:r>
        <w:rPr>
          <w:rFonts w:hint="eastAsia" w:ascii="宋体" w:hAnsi="宋体" w:cs="仿宋_GB2312"/>
          <w:sz w:val="24"/>
        </w:rPr>
        <w:t>。</w:t>
      </w:r>
    </w:p>
    <w:p>
      <w:pPr>
        <w:snapToGrid w:val="0"/>
        <w:spacing w:line="460" w:lineRule="exact"/>
        <w:ind w:firstLine="600"/>
        <w:rPr>
          <w:rFonts w:ascii="宋体" w:hAnsi="宋体" w:cs="仿宋"/>
          <w:b/>
          <w:sz w:val="24"/>
        </w:rPr>
      </w:pPr>
      <w:r>
        <w:rPr>
          <w:rFonts w:hint="eastAsia" w:ascii="宋体" w:hAnsi="宋体" w:cs="仿宋"/>
          <w:b/>
          <w:sz w:val="24"/>
        </w:rPr>
        <w:t>二、质量保修期</w:t>
      </w:r>
    </w:p>
    <w:p>
      <w:pPr>
        <w:snapToGrid w:val="0"/>
        <w:spacing w:line="460" w:lineRule="exact"/>
        <w:ind w:firstLine="600"/>
        <w:rPr>
          <w:rFonts w:ascii="宋体" w:hAnsi="宋体" w:cs="仿宋"/>
          <w:sz w:val="24"/>
        </w:rPr>
      </w:pPr>
      <w:r>
        <w:rPr>
          <w:rFonts w:hint="eastAsia" w:ascii="宋体" w:hAnsi="宋体" w:cs="仿宋"/>
          <w:sz w:val="24"/>
        </w:rPr>
        <w:t>工程的质量保修期如下：</w:t>
      </w:r>
    </w:p>
    <w:p>
      <w:pPr>
        <w:snapToGrid w:val="0"/>
        <w:spacing w:line="460" w:lineRule="exact"/>
        <w:rPr>
          <w:rFonts w:ascii="宋体" w:hAnsi="宋体" w:cs="仿宋_GB2312"/>
          <w:sz w:val="24"/>
        </w:rPr>
      </w:pPr>
      <w:r>
        <w:rPr>
          <w:rFonts w:hint="eastAsia" w:ascii="宋体" w:hAnsi="宋体" w:cs="仿宋_GB2312"/>
          <w:sz w:val="24"/>
        </w:rPr>
        <w:t xml:space="preserve">    1. 地基基础工程和主体结构工程为设计文件规定的工程合理使用年限；</w:t>
      </w:r>
    </w:p>
    <w:p>
      <w:pPr>
        <w:snapToGrid w:val="0"/>
        <w:spacing w:line="460" w:lineRule="exact"/>
        <w:ind w:firstLine="600"/>
        <w:rPr>
          <w:rFonts w:ascii="宋体" w:hAnsi="宋体" w:cs="仿宋_GB2312"/>
          <w:sz w:val="24"/>
        </w:rPr>
      </w:pPr>
      <w:r>
        <w:rPr>
          <w:rFonts w:hint="eastAsia" w:ascii="宋体" w:hAnsi="宋体" w:cs="仿宋_GB2312"/>
          <w:sz w:val="24"/>
        </w:rPr>
        <w:t>2. 屋面防水工程、有防水要求的卫生间、房间和外墙面的防渗为</w:t>
      </w:r>
      <w:r>
        <w:rPr>
          <w:rFonts w:hint="eastAsia" w:ascii="宋体" w:hAnsi="宋体" w:cs="仿宋_GB2312"/>
          <w:sz w:val="24"/>
          <w:u w:val="single"/>
        </w:rPr>
        <w:t xml:space="preserve">     </w:t>
      </w:r>
      <w:r>
        <w:rPr>
          <w:rFonts w:hint="eastAsia" w:ascii="宋体" w:hAnsi="宋体" w:cs="仿宋_GB2312"/>
          <w:sz w:val="24"/>
        </w:rPr>
        <w:t>年；其他防水工程</w:t>
      </w:r>
      <w:r>
        <w:rPr>
          <w:rFonts w:hint="eastAsia" w:ascii="宋体" w:hAnsi="宋体" w:cs="仿宋_GB2312"/>
          <w:sz w:val="24"/>
          <w:u w:val="single"/>
        </w:rPr>
        <w:t xml:space="preserve">    </w:t>
      </w:r>
      <w:r>
        <w:rPr>
          <w:rFonts w:hint="eastAsia" w:ascii="宋体" w:hAnsi="宋体" w:cs="仿宋_GB2312"/>
          <w:sz w:val="24"/>
        </w:rPr>
        <w:t>年。</w:t>
      </w:r>
    </w:p>
    <w:p>
      <w:pPr>
        <w:snapToGrid w:val="0"/>
        <w:spacing w:line="460" w:lineRule="exact"/>
        <w:ind w:firstLine="600"/>
        <w:rPr>
          <w:rFonts w:ascii="宋体" w:hAnsi="宋体" w:cs="仿宋_GB2312"/>
          <w:sz w:val="24"/>
        </w:rPr>
      </w:pPr>
      <w:r>
        <w:rPr>
          <w:rFonts w:hint="eastAsia" w:ascii="宋体" w:hAnsi="宋体" w:cs="仿宋_GB2312"/>
          <w:sz w:val="24"/>
        </w:rPr>
        <w:t>3. 装修工程为</w:t>
      </w:r>
      <w:r>
        <w:rPr>
          <w:rFonts w:hint="eastAsia" w:ascii="宋体" w:hAnsi="宋体" w:cs="仿宋_GB2312"/>
          <w:sz w:val="24"/>
          <w:u w:val="single"/>
        </w:rPr>
        <w:t xml:space="preserve">    </w:t>
      </w:r>
      <w:r>
        <w:rPr>
          <w:rFonts w:hint="eastAsia" w:ascii="宋体" w:hAnsi="宋体" w:cs="仿宋_GB2312"/>
          <w:sz w:val="24"/>
        </w:rPr>
        <w:t>年；</w:t>
      </w:r>
    </w:p>
    <w:p>
      <w:pPr>
        <w:snapToGrid w:val="0"/>
        <w:spacing w:line="460" w:lineRule="exact"/>
        <w:ind w:firstLine="600"/>
        <w:rPr>
          <w:rFonts w:ascii="宋体" w:hAnsi="宋体" w:cs="仿宋_GB2312"/>
          <w:sz w:val="24"/>
        </w:rPr>
      </w:pPr>
      <w:r>
        <w:rPr>
          <w:rFonts w:hint="eastAsia" w:ascii="宋体" w:hAnsi="宋体" w:cs="仿宋_GB2312"/>
          <w:sz w:val="24"/>
        </w:rPr>
        <w:t>4. 电气管线、给排水管道、设备安装工程为</w:t>
      </w:r>
      <w:r>
        <w:rPr>
          <w:rFonts w:hint="eastAsia" w:ascii="宋体" w:hAnsi="宋体" w:cs="仿宋_GB2312"/>
          <w:sz w:val="24"/>
          <w:u w:val="single"/>
        </w:rPr>
        <w:t xml:space="preserve">    </w:t>
      </w:r>
      <w:r>
        <w:rPr>
          <w:rFonts w:hint="eastAsia" w:ascii="宋体" w:hAnsi="宋体" w:cs="仿宋_GB2312"/>
          <w:sz w:val="24"/>
        </w:rPr>
        <w:t>年；</w:t>
      </w:r>
    </w:p>
    <w:p>
      <w:pPr>
        <w:snapToGrid w:val="0"/>
        <w:spacing w:line="460" w:lineRule="exact"/>
        <w:ind w:firstLine="600"/>
        <w:rPr>
          <w:rFonts w:ascii="宋体" w:hAnsi="宋体" w:cs="仿宋_GB2312"/>
          <w:sz w:val="24"/>
        </w:rPr>
      </w:pPr>
      <w:r>
        <w:rPr>
          <w:rFonts w:hint="eastAsia" w:ascii="宋体" w:hAnsi="宋体" w:cs="仿宋_GB2312"/>
          <w:sz w:val="24"/>
        </w:rPr>
        <w:t>5．供热与供冷系统为</w:t>
      </w:r>
      <w:r>
        <w:rPr>
          <w:rFonts w:hint="eastAsia" w:ascii="宋体" w:hAnsi="宋体" w:cs="仿宋_GB2312"/>
          <w:sz w:val="24"/>
          <w:u w:val="single"/>
        </w:rPr>
        <w:t xml:space="preserve">    </w:t>
      </w:r>
      <w:r>
        <w:rPr>
          <w:rFonts w:hint="eastAsia" w:ascii="宋体" w:hAnsi="宋体" w:cs="仿宋_GB2312"/>
          <w:sz w:val="24"/>
        </w:rPr>
        <w:t>个采暖期、供冷期；</w:t>
      </w:r>
    </w:p>
    <w:p>
      <w:pPr>
        <w:snapToGrid w:val="0"/>
        <w:spacing w:line="460" w:lineRule="exact"/>
        <w:ind w:firstLine="600"/>
        <w:rPr>
          <w:rFonts w:ascii="宋体" w:hAnsi="宋体" w:cs="仿宋_GB2312"/>
          <w:sz w:val="24"/>
        </w:rPr>
      </w:pPr>
      <w:r>
        <w:rPr>
          <w:rFonts w:hint="eastAsia" w:ascii="宋体" w:hAnsi="宋体" w:cs="仿宋_GB2312"/>
          <w:sz w:val="24"/>
        </w:rPr>
        <w:t>6. 绿化工程为</w:t>
      </w:r>
      <w:r>
        <w:rPr>
          <w:rFonts w:hint="eastAsia" w:ascii="宋体" w:hAnsi="宋体" w:cs="仿宋_GB2312"/>
          <w:sz w:val="24"/>
          <w:u w:val="single"/>
        </w:rPr>
        <w:t xml:space="preserve">          </w:t>
      </w:r>
      <w:r>
        <w:rPr>
          <w:rFonts w:hint="eastAsia" w:ascii="宋体" w:hAnsi="宋体" w:cs="仿宋_GB2312"/>
          <w:sz w:val="24"/>
        </w:rPr>
        <w:t>个月；</w:t>
      </w:r>
    </w:p>
    <w:p>
      <w:pPr>
        <w:snapToGrid w:val="0"/>
        <w:spacing w:line="460" w:lineRule="exact"/>
        <w:ind w:firstLine="600"/>
        <w:rPr>
          <w:rFonts w:ascii="宋体" w:hAnsi="宋体" w:cs="仿宋_GB2312"/>
          <w:sz w:val="24"/>
        </w:rPr>
      </w:pPr>
      <w:r>
        <w:rPr>
          <w:rFonts w:hint="eastAsia" w:ascii="宋体" w:hAnsi="宋体" w:cs="仿宋_GB2312"/>
          <w:sz w:val="24"/>
        </w:rPr>
        <w:t>7. 园林附属工程为</w:t>
      </w:r>
      <w:r>
        <w:rPr>
          <w:rFonts w:hint="eastAsia" w:ascii="宋体" w:hAnsi="宋体" w:cs="仿宋_GB2312"/>
          <w:sz w:val="24"/>
          <w:u w:val="single"/>
        </w:rPr>
        <w:t xml:space="preserve">      </w:t>
      </w:r>
      <w:r>
        <w:rPr>
          <w:rFonts w:hint="eastAsia" w:ascii="宋体" w:hAnsi="宋体" w:cs="仿宋_GB2312"/>
          <w:sz w:val="24"/>
        </w:rPr>
        <w:t>个月；</w:t>
      </w:r>
    </w:p>
    <w:p>
      <w:pPr>
        <w:snapToGrid w:val="0"/>
        <w:spacing w:line="460" w:lineRule="exact"/>
        <w:ind w:firstLine="600"/>
        <w:rPr>
          <w:rFonts w:ascii="宋体" w:hAnsi="宋体" w:cs="仿宋_GB2312"/>
          <w:sz w:val="24"/>
        </w:rPr>
      </w:pPr>
      <w:r>
        <w:rPr>
          <w:rFonts w:hint="eastAsia" w:ascii="宋体" w:hAnsi="宋体" w:cs="仿宋_GB2312"/>
          <w:sz w:val="24"/>
        </w:rPr>
        <w:t>8. 其他项目保修期限约定如下：</w:t>
      </w:r>
      <w:r>
        <w:rPr>
          <w:rFonts w:hint="eastAsia" w:ascii="宋体" w:hAnsi="宋体" w:cs="仿宋_GB2312"/>
          <w:sz w:val="24"/>
          <w:u w:val="single"/>
        </w:rPr>
        <w:t xml:space="preserve">                      </w:t>
      </w:r>
      <w:r>
        <w:rPr>
          <w:rFonts w:hint="eastAsia" w:ascii="宋体" w:hAnsi="宋体" w:cs="仿宋_GB2312"/>
          <w:sz w:val="24"/>
        </w:rPr>
        <w:t>。</w:t>
      </w:r>
    </w:p>
    <w:p>
      <w:pPr>
        <w:snapToGrid w:val="0"/>
        <w:spacing w:line="460" w:lineRule="exact"/>
        <w:ind w:firstLine="600"/>
        <w:rPr>
          <w:rFonts w:ascii="宋体" w:hAnsi="宋体" w:cs="仿宋_GB2312"/>
          <w:sz w:val="24"/>
        </w:rPr>
      </w:pPr>
      <w:r>
        <w:rPr>
          <w:rFonts w:hint="eastAsia" w:ascii="宋体" w:hAnsi="宋体" w:cs="仿宋_GB2312"/>
          <w:sz w:val="24"/>
        </w:rPr>
        <w:t>质量保修期自工程竣工验收合格之日起计算。</w:t>
      </w:r>
    </w:p>
    <w:p>
      <w:pPr>
        <w:numPr>
          <w:ilvl w:val="0"/>
          <w:numId w:val="11"/>
        </w:numPr>
        <w:snapToGrid w:val="0"/>
        <w:spacing w:line="460" w:lineRule="exact"/>
        <w:ind w:left="720" w:hanging="720"/>
        <w:rPr>
          <w:rFonts w:ascii="宋体" w:hAnsi="宋体" w:cs="仿宋"/>
          <w:b/>
          <w:sz w:val="24"/>
        </w:rPr>
      </w:pPr>
      <w:r>
        <w:rPr>
          <w:rFonts w:hint="eastAsia" w:ascii="宋体" w:hAnsi="宋体" w:cs="仿宋"/>
          <w:b/>
          <w:sz w:val="24"/>
        </w:rPr>
        <w:t>缺陷责任期</w:t>
      </w:r>
    </w:p>
    <w:p>
      <w:pPr>
        <w:snapToGrid w:val="0"/>
        <w:spacing w:line="460" w:lineRule="exact"/>
        <w:ind w:firstLine="480" w:firstLineChars="200"/>
        <w:rPr>
          <w:rFonts w:ascii="宋体" w:hAnsi="宋体" w:cs="仿宋"/>
          <w:sz w:val="24"/>
        </w:rPr>
      </w:pPr>
      <w:r>
        <w:rPr>
          <w:rFonts w:hint="eastAsia" w:ascii="宋体" w:hAnsi="宋体" w:cs="仿宋"/>
          <w:sz w:val="24"/>
        </w:rPr>
        <w:t>工程缺陷责任期为</w:t>
      </w:r>
      <w:r>
        <w:rPr>
          <w:rFonts w:hint="eastAsia" w:ascii="宋体" w:hAnsi="宋体" w:cs="仿宋"/>
          <w:sz w:val="24"/>
          <w:u w:val="single"/>
        </w:rPr>
        <w:t xml:space="preserve">    </w:t>
      </w:r>
      <w:r>
        <w:rPr>
          <w:rFonts w:hint="eastAsia" w:ascii="宋体" w:hAnsi="宋体" w:cs="仿宋"/>
          <w:sz w:val="24"/>
        </w:rPr>
        <w:t>个月，缺陷责任期自工程竣工验收合格之日起计算。单位工程先于全部工程进行验收，单位工程缺陷责任期自单位工程验收合格之日起算。</w:t>
      </w:r>
    </w:p>
    <w:p>
      <w:pPr>
        <w:snapToGrid w:val="0"/>
        <w:spacing w:line="460" w:lineRule="exact"/>
        <w:ind w:firstLine="480" w:firstLineChars="200"/>
        <w:rPr>
          <w:rFonts w:ascii="宋体" w:hAnsi="宋体"/>
          <w:sz w:val="24"/>
        </w:rPr>
      </w:pPr>
      <w:r>
        <w:rPr>
          <w:rFonts w:ascii="宋体" w:hAnsi="宋体"/>
          <w:sz w:val="24"/>
        </w:rPr>
        <w:t>缺陷责任期终止后，发包人应退还剩余的质量保证金。</w:t>
      </w:r>
    </w:p>
    <w:p>
      <w:pPr>
        <w:numPr>
          <w:ilvl w:val="0"/>
          <w:numId w:val="11"/>
        </w:numPr>
        <w:snapToGrid w:val="0"/>
        <w:spacing w:line="460" w:lineRule="exact"/>
        <w:ind w:left="720" w:hanging="720"/>
        <w:rPr>
          <w:rFonts w:ascii="宋体" w:hAnsi="宋体" w:cs="仿宋"/>
          <w:b/>
          <w:sz w:val="24"/>
        </w:rPr>
      </w:pPr>
      <w:r>
        <w:rPr>
          <w:rFonts w:hint="eastAsia" w:ascii="宋体" w:hAnsi="宋体" w:cs="仿宋"/>
          <w:b/>
          <w:sz w:val="24"/>
        </w:rPr>
        <w:t>质量保修责任</w:t>
      </w:r>
    </w:p>
    <w:p>
      <w:pPr>
        <w:numPr>
          <w:ilvl w:val="0"/>
          <w:numId w:val="12"/>
        </w:numPr>
        <w:snapToGrid w:val="0"/>
        <w:spacing w:line="460" w:lineRule="exact"/>
        <w:ind w:left="420" w:firstLine="480" w:firstLineChars="200"/>
        <w:rPr>
          <w:rFonts w:ascii="宋体" w:hAnsi="宋体" w:cs="仿宋"/>
          <w:sz w:val="24"/>
        </w:rPr>
      </w:pPr>
      <w:r>
        <w:rPr>
          <w:rFonts w:hint="eastAsia" w:ascii="宋体" w:hAnsi="宋体" w:cs="仿宋"/>
          <w:sz w:val="24"/>
        </w:rPr>
        <w:t>属于保修范围、内容的项目，承包人应当在接到保修通知之日起7天内派人保修。承包人不在约定期限内派人保修的，发包人可以委托他人修理，费用由承包人承担，从质量保证金中扣除。</w:t>
      </w:r>
    </w:p>
    <w:p>
      <w:pPr>
        <w:numPr>
          <w:ilvl w:val="0"/>
          <w:numId w:val="12"/>
        </w:numPr>
        <w:snapToGrid w:val="0"/>
        <w:spacing w:line="460" w:lineRule="exact"/>
        <w:ind w:left="420" w:firstLine="480" w:firstLineChars="200"/>
        <w:rPr>
          <w:rFonts w:ascii="宋体" w:hAnsi="宋体" w:cs="仿宋"/>
          <w:sz w:val="24"/>
        </w:rPr>
      </w:pPr>
      <w:r>
        <w:rPr>
          <w:rFonts w:hint="eastAsia" w:ascii="宋体" w:hAnsi="宋体" w:cs="仿宋"/>
          <w:sz w:val="24"/>
        </w:rPr>
        <w:t>发生紧急事故需抢修的，承包人在接到事故通知后，应当立即到达事故现场抢修。</w:t>
      </w:r>
    </w:p>
    <w:p>
      <w:pPr>
        <w:numPr>
          <w:ilvl w:val="0"/>
          <w:numId w:val="12"/>
        </w:numPr>
        <w:snapToGrid w:val="0"/>
        <w:spacing w:line="460" w:lineRule="exact"/>
        <w:ind w:left="420" w:firstLine="480" w:firstLineChars="200"/>
        <w:rPr>
          <w:rFonts w:ascii="宋体" w:hAnsi="宋体" w:cs="仿宋"/>
          <w:sz w:val="24"/>
        </w:rPr>
      </w:pPr>
      <w:r>
        <w:rPr>
          <w:rFonts w:hint="eastAsia" w:ascii="宋体" w:hAnsi="宋体" w:cs="仿宋"/>
          <w:sz w:val="24"/>
        </w:rPr>
        <w:t>对于涉及结构安全的质量问题，应当按照《建设工程质量管理条例》的规定，立即向当地住房和城乡建设行政主管部门及有关部门报告，采取安全防范措施，并由原设计人或者具有相应资质等级的设计人提出保修方案，承包人实施保修。</w:t>
      </w:r>
    </w:p>
    <w:p>
      <w:pPr>
        <w:numPr>
          <w:ilvl w:val="0"/>
          <w:numId w:val="12"/>
        </w:numPr>
        <w:snapToGrid w:val="0"/>
        <w:spacing w:line="460" w:lineRule="exact"/>
        <w:ind w:left="420" w:firstLine="480" w:firstLineChars="200"/>
        <w:rPr>
          <w:rFonts w:ascii="宋体" w:hAnsi="宋体" w:cs="仿宋"/>
          <w:sz w:val="24"/>
        </w:rPr>
      </w:pPr>
      <w:r>
        <w:rPr>
          <w:rFonts w:hint="eastAsia" w:ascii="宋体" w:hAnsi="宋体" w:cs="仿宋"/>
          <w:sz w:val="24"/>
        </w:rPr>
        <w:t>在工程质量保修期内，未能在合理期限对工程质量问题进行修复，或拒绝按要求进行修复的，承包人应向发包人支付修复工程支出的实际金额。</w:t>
      </w:r>
    </w:p>
    <w:p>
      <w:pPr>
        <w:numPr>
          <w:ilvl w:val="0"/>
          <w:numId w:val="12"/>
        </w:numPr>
        <w:snapToGrid w:val="0"/>
        <w:spacing w:line="460" w:lineRule="exact"/>
        <w:ind w:left="420" w:firstLine="480" w:firstLineChars="200"/>
        <w:rPr>
          <w:rFonts w:ascii="宋体" w:hAnsi="宋体" w:cs="仿宋"/>
          <w:sz w:val="24"/>
        </w:rPr>
      </w:pPr>
      <w:r>
        <w:rPr>
          <w:rFonts w:hint="eastAsia" w:ascii="宋体" w:hAnsi="宋体" w:cs="仿宋"/>
          <w:sz w:val="24"/>
        </w:rPr>
        <w:t>质量保修完成后，由发包人组织验收。</w:t>
      </w:r>
    </w:p>
    <w:p>
      <w:pPr>
        <w:snapToGrid w:val="0"/>
        <w:spacing w:line="460" w:lineRule="exact"/>
        <w:ind w:left="600"/>
        <w:rPr>
          <w:rFonts w:ascii="宋体" w:hAnsi="宋体" w:cs="仿宋"/>
          <w:sz w:val="24"/>
          <w:u w:val="single"/>
        </w:rPr>
      </w:pPr>
      <w:r>
        <w:rPr>
          <w:rFonts w:hint="eastAsia" w:ascii="宋体" w:hAnsi="宋体" w:cs="仿宋"/>
          <w:b/>
          <w:sz w:val="24"/>
        </w:rPr>
        <w:t>五、双方约定的其他工程质量保修项</w:t>
      </w:r>
      <w:r>
        <w:rPr>
          <w:rFonts w:hint="eastAsia" w:ascii="宋体" w:hAnsi="宋体" w:cs="仿宋"/>
          <w:sz w:val="24"/>
        </w:rPr>
        <w:t>：</w:t>
      </w:r>
      <w:r>
        <w:rPr>
          <w:rFonts w:hint="eastAsia" w:ascii="宋体" w:hAnsi="宋体" w:cs="仿宋"/>
          <w:sz w:val="24"/>
          <w:u w:val="single"/>
        </w:rPr>
        <w:t xml:space="preserve">                </w:t>
      </w:r>
      <w:r>
        <w:rPr>
          <w:rFonts w:hint="eastAsia" w:ascii="宋体" w:hAnsi="宋体" w:cs="仿宋_GB2312"/>
          <w:sz w:val="24"/>
          <w:u w:val="single"/>
        </w:rPr>
        <w:t xml:space="preserve">  </w:t>
      </w:r>
      <w:r>
        <w:rPr>
          <w:rFonts w:hint="eastAsia" w:ascii="宋体" w:hAnsi="宋体" w:cs="仿宋_GB2312"/>
          <w:sz w:val="24"/>
        </w:rPr>
        <w:t>。</w:t>
      </w:r>
    </w:p>
    <w:p>
      <w:pPr>
        <w:snapToGrid w:val="0"/>
        <w:spacing w:line="460" w:lineRule="exact"/>
        <w:ind w:firstLine="420" w:firstLineChars="200"/>
        <w:rPr>
          <w:rFonts w:ascii="仿宋_GB2312" w:hAnsi="仿宋" w:eastAsia="仿宋_GB2312" w:cs="仿宋"/>
          <w:sz w:val="30"/>
          <w:szCs w:val="30"/>
        </w:rPr>
      </w:pPr>
      <w:r>
        <mc:AlternateContent>
          <mc:Choice Requires="wps">
            <w:drawing>
              <wp:anchor distT="0" distB="0" distL="114300" distR="114300" simplePos="0" relativeHeight="251659264" behindDoc="0" locked="0" layoutInCell="1" allowOverlap="1">
                <wp:simplePos x="0" y="0"/>
                <wp:positionH relativeFrom="column">
                  <wp:posOffset>2330450</wp:posOffset>
                </wp:positionH>
                <wp:positionV relativeFrom="paragraph">
                  <wp:posOffset>892175</wp:posOffset>
                </wp:positionV>
                <wp:extent cx="2924175" cy="2637155"/>
                <wp:effectExtent l="0" t="0" r="9525" b="10795"/>
                <wp:wrapNone/>
                <wp:docPr id="19" name="文本框 19"/>
                <wp:cNvGraphicFramePr/>
                <a:graphic xmlns:a="http://schemas.openxmlformats.org/drawingml/2006/main">
                  <a:graphicData uri="http://schemas.microsoft.com/office/word/2010/wordprocessingShape">
                    <wps:wsp>
                      <wps:cNvSpPr txBox="true"/>
                      <wps:spPr>
                        <a:xfrm>
                          <a:off x="0" y="0"/>
                          <a:ext cx="2924175" cy="2637155"/>
                        </a:xfrm>
                        <a:prstGeom prst="rect">
                          <a:avLst/>
                        </a:prstGeom>
                        <a:solidFill>
                          <a:srgbClr val="FFFFFF"/>
                        </a:solidFill>
                        <a:ln>
                          <a:noFill/>
                        </a:ln>
                        <a:effectLst/>
                      </wps:spPr>
                      <wps:txbx>
                        <w:txbxContent>
                          <w:p>
                            <w:pPr>
                              <w:ind w:firstLine="560"/>
                              <w:rPr>
                                <w:rFonts w:ascii="宋体" w:hAnsi="宋体" w:cs="仿宋"/>
                                <w:sz w:val="24"/>
                              </w:rPr>
                            </w:pPr>
                            <w:r>
                              <w:rPr>
                                <w:rFonts w:hint="eastAsia" w:ascii="宋体" w:hAnsi="宋体" w:cs="仿宋"/>
                                <w:sz w:val="24"/>
                              </w:rPr>
                              <w:t>承包人：（公章）</w:t>
                            </w:r>
                          </w:p>
                          <w:p>
                            <w:pPr>
                              <w:ind w:firstLine="560"/>
                              <w:rPr>
                                <w:rFonts w:ascii="宋体" w:hAnsi="宋体" w:cs="仿宋"/>
                                <w:sz w:val="24"/>
                                <w:u w:val="single"/>
                              </w:rPr>
                            </w:pPr>
                            <w:r>
                              <w:rPr>
                                <w:rFonts w:hint="eastAsia" w:ascii="宋体" w:hAnsi="宋体" w:cs="仿宋"/>
                                <w:sz w:val="24"/>
                              </w:rPr>
                              <w:t>法定代表人或其委托代理人：（签字）</w:t>
                            </w:r>
                            <w:r>
                              <w:rPr>
                                <w:rFonts w:hint="eastAsia" w:ascii="宋体" w:hAnsi="宋体" w:cs="仿宋"/>
                                <w:sz w:val="24"/>
                                <w:u w:val="single"/>
                              </w:rPr>
                              <w:t xml:space="preserve">                        </w:t>
                            </w:r>
                          </w:p>
                          <w:p>
                            <w:pPr>
                              <w:ind w:firstLine="560"/>
                              <w:rPr>
                                <w:rFonts w:ascii="宋体" w:hAnsi="宋体" w:cs="仿宋"/>
                                <w:sz w:val="24"/>
                                <w:u w:val="single"/>
                              </w:rPr>
                            </w:pPr>
                            <w:r>
                              <w:rPr>
                                <w:rFonts w:hint="eastAsia" w:ascii="宋体" w:hAnsi="宋体" w:cs="仿宋"/>
                                <w:sz w:val="24"/>
                                <w:lang w:eastAsia="zh-CN"/>
                              </w:rPr>
                              <w:t>统一社会信用代码</w:t>
                            </w:r>
                            <w:r>
                              <w:rPr>
                                <w:rFonts w:hint="eastAsia" w:ascii="宋体" w:hAnsi="宋体" w:cs="仿宋"/>
                                <w:sz w:val="24"/>
                              </w:rPr>
                              <w:t>证号：</w:t>
                            </w:r>
                            <w:r>
                              <w:rPr>
                                <w:rFonts w:hint="eastAsia" w:ascii="宋体" w:hAnsi="宋体" w:cs="仿宋"/>
                                <w:sz w:val="24"/>
                                <w:u w:val="single"/>
                              </w:rPr>
                              <w:t xml:space="preserve">              </w:t>
                            </w:r>
                          </w:p>
                          <w:p>
                            <w:pPr>
                              <w:ind w:firstLine="560"/>
                              <w:rPr>
                                <w:rFonts w:ascii="宋体" w:hAnsi="宋体" w:cs="仿宋"/>
                                <w:sz w:val="24"/>
                                <w:u w:val="single"/>
                              </w:rPr>
                            </w:pPr>
                            <w:r>
                              <w:rPr>
                                <w:rFonts w:hint="eastAsia" w:ascii="宋体" w:hAnsi="宋体" w:cs="仿宋"/>
                                <w:sz w:val="24"/>
                                <w:u w:val="single"/>
                              </w:rPr>
                              <w:t xml:space="preserve">                                    </w:t>
                            </w:r>
                          </w:p>
                          <w:p>
                            <w:pPr>
                              <w:ind w:firstLine="560"/>
                              <w:rPr>
                                <w:rFonts w:ascii="宋体" w:hAnsi="宋体" w:cs="仿宋"/>
                                <w:sz w:val="24"/>
                              </w:rPr>
                            </w:pPr>
                            <w:r>
                              <w:rPr>
                                <w:rFonts w:hint="eastAsia" w:ascii="宋体" w:hAnsi="宋体" w:cs="仿宋"/>
                                <w:sz w:val="24"/>
                              </w:rPr>
                              <w:t>地  址：</w:t>
                            </w:r>
                            <w:r>
                              <w:rPr>
                                <w:rFonts w:hint="eastAsia" w:ascii="宋体" w:hAnsi="宋体" w:cs="仿宋"/>
                                <w:sz w:val="24"/>
                                <w:u w:val="single"/>
                              </w:rPr>
                              <w:t xml:space="preserve">                            </w:t>
                            </w:r>
                            <w:r>
                              <w:rPr>
                                <w:rFonts w:hint="eastAsia" w:ascii="宋体" w:hAnsi="宋体" w:cs="仿宋"/>
                                <w:sz w:val="24"/>
                              </w:rPr>
                              <w:t xml:space="preserve"> </w:t>
                            </w:r>
                          </w:p>
                          <w:p>
                            <w:pPr>
                              <w:ind w:firstLine="560"/>
                              <w:rPr>
                                <w:rFonts w:ascii="宋体" w:hAnsi="宋体" w:cs="仿宋"/>
                                <w:sz w:val="24"/>
                                <w:u w:val="single"/>
                              </w:rPr>
                            </w:pPr>
                            <w:r>
                              <w:rPr>
                                <w:rFonts w:hint="eastAsia" w:ascii="宋体" w:hAnsi="宋体" w:cs="仿宋"/>
                                <w:sz w:val="24"/>
                              </w:rPr>
                              <w:t>邮政编码：</w:t>
                            </w:r>
                            <w:r>
                              <w:rPr>
                                <w:rFonts w:hint="eastAsia" w:ascii="宋体" w:hAnsi="宋体" w:cs="仿宋"/>
                                <w:sz w:val="24"/>
                                <w:u w:val="single"/>
                              </w:rPr>
                              <w:t xml:space="preserve">                  </w:t>
                            </w:r>
                          </w:p>
                          <w:p>
                            <w:pPr>
                              <w:ind w:firstLine="560"/>
                              <w:rPr>
                                <w:rFonts w:ascii="宋体" w:hAnsi="宋体" w:cs="仿宋"/>
                                <w:sz w:val="24"/>
                              </w:rPr>
                            </w:pPr>
                            <w:r>
                              <w:rPr>
                                <w:rFonts w:hint="eastAsia" w:ascii="宋体" w:hAnsi="宋体" w:cs="仿宋"/>
                                <w:sz w:val="24"/>
                              </w:rPr>
                              <w:t>电  话：</w:t>
                            </w:r>
                            <w:r>
                              <w:rPr>
                                <w:rFonts w:hint="eastAsia" w:ascii="宋体" w:hAnsi="宋体" w:cs="仿宋"/>
                                <w:sz w:val="24"/>
                                <w:u w:val="single"/>
                              </w:rPr>
                              <w:t xml:space="preserve">                            </w:t>
                            </w:r>
                            <w:r>
                              <w:rPr>
                                <w:rFonts w:hint="eastAsia" w:ascii="宋体" w:hAnsi="宋体" w:cs="仿宋"/>
                                <w:sz w:val="24"/>
                              </w:rPr>
                              <w:t xml:space="preserve"> </w:t>
                            </w:r>
                          </w:p>
                          <w:p>
                            <w:pPr>
                              <w:ind w:firstLine="560"/>
                              <w:rPr>
                                <w:rFonts w:ascii="宋体" w:hAnsi="宋体" w:cs="仿宋"/>
                                <w:sz w:val="24"/>
                                <w:u w:val="single"/>
                              </w:rPr>
                            </w:pPr>
                            <w:r>
                              <w:rPr>
                                <w:rFonts w:hint="eastAsia" w:ascii="宋体" w:hAnsi="宋体" w:cs="仿宋"/>
                                <w:sz w:val="24"/>
                              </w:rPr>
                              <w:t>传  真：</w:t>
                            </w:r>
                            <w:r>
                              <w:rPr>
                                <w:rFonts w:hint="eastAsia" w:ascii="宋体" w:hAnsi="宋体" w:cs="仿宋"/>
                                <w:sz w:val="24"/>
                                <w:u w:val="single"/>
                              </w:rPr>
                              <w:t xml:space="preserve">                            </w:t>
                            </w:r>
                          </w:p>
                          <w:p>
                            <w:pPr>
                              <w:ind w:firstLine="560"/>
                              <w:rPr>
                                <w:rFonts w:ascii="宋体" w:hAnsi="宋体" w:cs="仿宋"/>
                                <w:sz w:val="24"/>
                                <w:u w:val="single"/>
                              </w:rPr>
                            </w:pPr>
                            <w:r>
                              <w:rPr>
                                <w:rFonts w:hint="eastAsia" w:ascii="宋体" w:hAnsi="宋体" w:cs="仿宋"/>
                                <w:sz w:val="24"/>
                              </w:rPr>
                              <w:t>开户银行：</w:t>
                            </w:r>
                            <w:r>
                              <w:rPr>
                                <w:rFonts w:hint="eastAsia" w:ascii="宋体" w:hAnsi="宋体" w:cs="仿宋"/>
                                <w:sz w:val="24"/>
                                <w:u w:val="single"/>
                              </w:rPr>
                              <w:t xml:space="preserve">                          </w:t>
                            </w:r>
                          </w:p>
                          <w:p>
                            <w:pPr>
                              <w:ind w:firstLine="560"/>
                              <w:rPr>
                                <w:rFonts w:ascii="宋体" w:hAnsi="宋体" w:cs="仿宋"/>
                                <w:sz w:val="24"/>
                                <w:u w:val="single"/>
                              </w:rPr>
                            </w:pPr>
                            <w:r>
                              <w:rPr>
                                <w:rFonts w:hint="eastAsia" w:ascii="宋体" w:hAnsi="宋体" w:cs="仿宋"/>
                                <w:sz w:val="24"/>
                              </w:rPr>
                              <w:t>账  号：</w:t>
                            </w:r>
                            <w:r>
                              <w:rPr>
                                <w:rFonts w:hint="eastAsia" w:ascii="宋体" w:hAnsi="宋体" w:cs="仿宋"/>
                                <w:sz w:val="24"/>
                                <w:u w:val="single"/>
                              </w:rPr>
                              <w:t xml:space="preserve">                            </w:t>
                            </w:r>
                          </w:p>
                          <w:p>
                            <w:pPr>
                              <w:ind w:firstLine="560"/>
                              <w:rPr>
                                <w:sz w:val="28"/>
                                <w:szCs w:val="28"/>
                                <w:u w:val="single"/>
                              </w:rPr>
                            </w:pPr>
                            <w:r>
                              <w:rPr>
                                <w:rFonts w:hint="eastAsia" w:ascii="宋体" w:hAnsi="宋体" w:cs="仿宋"/>
                                <w:sz w:val="24"/>
                              </w:rPr>
                              <w:t>日  期：</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仿宋_GB2312" w:hAnsi="仿宋" w:eastAsia="仿宋_GB2312" w:cs="仿宋"/>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8"/>
                                <w:szCs w:val="28"/>
                                <w:u w:val="single"/>
                              </w:rPr>
                              <w:t xml:space="preserve"> </w:t>
                            </w:r>
                          </w:p>
                        </w:txbxContent>
                      </wps:txbx>
                      <wps:bodyPr wrap="square" upright="true"/>
                    </wps:wsp>
                  </a:graphicData>
                </a:graphic>
              </wp:anchor>
            </w:drawing>
          </mc:Choice>
          <mc:Fallback>
            <w:pict>
              <v:shape id="_x0000_s1026" o:spid="_x0000_s1026" o:spt="202" type="#_x0000_t202" style="position:absolute;left:0pt;margin-left:183.5pt;margin-top:70.25pt;height:207.65pt;width:230.25pt;z-index:251659264;mso-width-relative:page;mso-height-relative:page;" fillcolor="#FFFFFF" filled="t" stroked="f" coordsize="21600,21600" o:gfxdata="UEsFBgAAAAAAAAAAAAAAAAAAAAAAAFBLAwQKAAAAAACHTuJAAAAAAAAAAAAAAAAABAAAAGRycy9Q&#10;SwMEFAAAAAgAh07iQOzUAY/ZAAAACwEAAA8AAABkcnMvZG93bnJldi54bWxNj8FOwzAQRO9I/IO1&#10;SFwQdVrqJIQ4lUAq4trSD3DibRIRr6PYbdq/73KC245mNPum3FzcIM44hd6ThuUiAYHUeNtTq+Hw&#10;vX3OQYRoyJrBE2q4YoBNdX9XmsL6mXZ43sdWcAmFwmjoYhwLKUPToTNh4Uck9o5+ciaynFppJzNz&#10;uRvkKklS6UxP/KEzI3502PzsT07D8Wt+Uq9z/RkP2W6dvps+q/1V68eHZfIGIuIl/oXhF5/RoWKm&#10;2p/IBjFoeEkz3hLZWCcKBCfyVcZHrUEplYOsSvl/Q3UDUEsDBBQAAAAIAIdO4kBc+qEJuwEAAE4D&#10;AAAOAAAAZHJzL2Uyb0RvYy54bWytU82O0zAQviPtO1i+b9Nm6S4bNV0JVuWCAGnhAVzHTiz5b8du&#10;k74AvAEnLtx5rj7Hjp20LHBD9ODaM58/z/fNZHU3GE32AoJytqaL2ZwSYblrlG1r+vnT5vIVJSEy&#10;2zDtrKjpQQR6t754sep9JUrXOd0IIEhiQ9X7mnYx+qooAu+EYWHmvLCYlA4Mi3iEtmiA9chudFHO&#10;59dF76Dx4LgIAaP3Y5KuM7+UgscPUgYRia4p1hbzCnndprVYr1jVAvOd4lMZ7B+qMExZfPRMdc8i&#10;IztQf1EZxcEFJ+OMO1M4KRUXWQOqWcz/UPPQMS+yFjQn+LNN4f/R8vf7j0BUg727pcQygz06fvt6&#10;/P7z+OMLwRga1PtQIe7BIzIOr91Q0wg7cUoFjCfpgwST/lEUQQi6fTg7LIZIOAbL2/Ll4mZJCcdc&#10;eX11s1guE0/x67qHEN8KZ0ja1BSwhdlZtn8X4gg9QdJrwWnVbJTW+QDt9o0GsmfY7k3+Tey/wbRN&#10;YOvStZFxjIg8MNMzSfUoLe3isB0mK7auOaATPQ5NTcPjjoGgZOdBtR3We3KmSLewaVnbNGBpKp6f&#10;cf/8M1g/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OzUAY/ZAAAACwEAAA8AAAAAAAAAAQAgAAAA&#10;OAAAAGRycy9kb3ducmV2LnhtbFBLAQIUABQAAAAIAIdO4kBc+qEJuwEAAE4DAAAOAAAAAAAAAAEA&#10;IAAAAD4BAABkcnMvZTJvRG9jLnhtbFBLBQYAAAAABgAGAFkBAABrBQAAAAA=&#10;">
                <v:fill on="t" focussize="0,0"/>
                <v:stroke on="f"/>
                <v:imagedata o:title=""/>
                <o:lock v:ext="edit" aspectratio="f"/>
                <v:textbox>
                  <w:txbxContent>
                    <w:p>
                      <w:pPr>
                        <w:ind w:firstLine="560"/>
                        <w:rPr>
                          <w:rFonts w:ascii="宋体" w:hAnsi="宋体" w:cs="仿宋"/>
                          <w:sz w:val="24"/>
                        </w:rPr>
                      </w:pPr>
                      <w:r>
                        <w:rPr>
                          <w:rFonts w:hint="eastAsia" w:ascii="宋体" w:hAnsi="宋体" w:cs="仿宋"/>
                          <w:sz w:val="24"/>
                        </w:rPr>
                        <w:t>承包人：（公章）</w:t>
                      </w:r>
                    </w:p>
                    <w:p>
                      <w:pPr>
                        <w:ind w:firstLine="560"/>
                        <w:rPr>
                          <w:rFonts w:ascii="宋体" w:hAnsi="宋体" w:cs="仿宋"/>
                          <w:sz w:val="24"/>
                          <w:u w:val="single"/>
                        </w:rPr>
                      </w:pPr>
                      <w:r>
                        <w:rPr>
                          <w:rFonts w:hint="eastAsia" w:ascii="宋体" w:hAnsi="宋体" w:cs="仿宋"/>
                          <w:sz w:val="24"/>
                        </w:rPr>
                        <w:t>法定代表人或其委托代理人：（签字）</w:t>
                      </w:r>
                      <w:r>
                        <w:rPr>
                          <w:rFonts w:hint="eastAsia" w:ascii="宋体" w:hAnsi="宋体" w:cs="仿宋"/>
                          <w:sz w:val="24"/>
                          <w:u w:val="single"/>
                        </w:rPr>
                        <w:t xml:space="preserve">                        </w:t>
                      </w:r>
                    </w:p>
                    <w:p>
                      <w:pPr>
                        <w:ind w:firstLine="560"/>
                        <w:rPr>
                          <w:rFonts w:ascii="宋体" w:hAnsi="宋体" w:cs="仿宋"/>
                          <w:sz w:val="24"/>
                          <w:u w:val="single"/>
                        </w:rPr>
                      </w:pPr>
                      <w:r>
                        <w:rPr>
                          <w:rFonts w:hint="eastAsia" w:ascii="宋体" w:hAnsi="宋体" w:cs="仿宋"/>
                          <w:sz w:val="24"/>
                          <w:lang w:eastAsia="zh-CN"/>
                        </w:rPr>
                        <w:t>统一社会信用代码</w:t>
                      </w:r>
                      <w:r>
                        <w:rPr>
                          <w:rFonts w:hint="eastAsia" w:ascii="宋体" w:hAnsi="宋体" w:cs="仿宋"/>
                          <w:sz w:val="24"/>
                        </w:rPr>
                        <w:t>证号：</w:t>
                      </w:r>
                      <w:r>
                        <w:rPr>
                          <w:rFonts w:hint="eastAsia" w:ascii="宋体" w:hAnsi="宋体" w:cs="仿宋"/>
                          <w:sz w:val="24"/>
                          <w:u w:val="single"/>
                        </w:rPr>
                        <w:t xml:space="preserve">              </w:t>
                      </w:r>
                    </w:p>
                    <w:p>
                      <w:pPr>
                        <w:ind w:firstLine="560"/>
                        <w:rPr>
                          <w:rFonts w:ascii="宋体" w:hAnsi="宋体" w:cs="仿宋"/>
                          <w:sz w:val="24"/>
                          <w:u w:val="single"/>
                        </w:rPr>
                      </w:pPr>
                      <w:r>
                        <w:rPr>
                          <w:rFonts w:hint="eastAsia" w:ascii="宋体" w:hAnsi="宋体" w:cs="仿宋"/>
                          <w:sz w:val="24"/>
                          <w:u w:val="single"/>
                        </w:rPr>
                        <w:t xml:space="preserve">                                    </w:t>
                      </w:r>
                    </w:p>
                    <w:p>
                      <w:pPr>
                        <w:ind w:firstLine="560"/>
                        <w:rPr>
                          <w:rFonts w:ascii="宋体" w:hAnsi="宋体" w:cs="仿宋"/>
                          <w:sz w:val="24"/>
                        </w:rPr>
                      </w:pPr>
                      <w:r>
                        <w:rPr>
                          <w:rFonts w:hint="eastAsia" w:ascii="宋体" w:hAnsi="宋体" w:cs="仿宋"/>
                          <w:sz w:val="24"/>
                        </w:rPr>
                        <w:t>地  址：</w:t>
                      </w:r>
                      <w:r>
                        <w:rPr>
                          <w:rFonts w:hint="eastAsia" w:ascii="宋体" w:hAnsi="宋体" w:cs="仿宋"/>
                          <w:sz w:val="24"/>
                          <w:u w:val="single"/>
                        </w:rPr>
                        <w:t xml:space="preserve">                            </w:t>
                      </w:r>
                      <w:r>
                        <w:rPr>
                          <w:rFonts w:hint="eastAsia" w:ascii="宋体" w:hAnsi="宋体" w:cs="仿宋"/>
                          <w:sz w:val="24"/>
                        </w:rPr>
                        <w:t xml:space="preserve"> </w:t>
                      </w:r>
                    </w:p>
                    <w:p>
                      <w:pPr>
                        <w:ind w:firstLine="560"/>
                        <w:rPr>
                          <w:rFonts w:ascii="宋体" w:hAnsi="宋体" w:cs="仿宋"/>
                          <w:sz w:val="24"/>
                          <w:u w:val="single"/>
                        </w:rPr>
                      </w:pPr>
                      <w:r>
                        <w:rPr>
                          <w:rFonts w:hint="eastAsia" w:ascii="宋体" w:hAnsi="宋体" w:cs="仿宋"/>
                          <w:sz w:val="24"/>
                        </w:rPr>
                        <w:t>邮政编码：</w:t>
                      </w:r>
                      <w:r>
                        <w:rPr>
                          <w:rFonts w:hint="eastAsia" w:ascii="宋体" w:hAnsi="宋体" w:cs="仿宋"/>
                          <w:sz w:val="24"/>
                          <w:u w:val="single"/>
                        </w:rPr>
                        <w:t xml:space="preserve">                  </w:t>
                      </w:r>
                    </w:p>
                    <w:p>
                      <w:pPr>
                        <w:ind w:firstLine="560"/>
                        <w:rPr>
                          <w:rFonts w:ascii="宋体" w:hAnsi="宋体" w:cs="仿宋"/>
                          <w:sz w:val="24"/>
                        </w:rPr>
                      </w:pPr>
                      <w:r>
                        <w:rPr>
                          <w:rFonts w:hint="eastAsia" w:ascii="宋体" w:hAnsi="宋体" w:cs="仿宋"/>
                          <w:sz w:val="24"/>
                        </w:rPr>
                        <w:t>电  话：</w:t>
                      </w:r>
                      <w:r>
                        <w:rPr>
                          <w:rFonts w:hint="eastAsia" w:ascii="宋体" w:hAnsi="宋体" w:cs="仿宋"/>
                          <w:sz w:val="24"/>
                          <w:u w:val="single"/>
                        </w:rPr>
                        <w:t xml:space="preserve">                            </w:t>
                      </w:r>
                      <w:r>
                        <w:rPr>
                          <w:rFonts w:hint="eastAsia" w:ascii="宋体" w:hAnsi="宋体" w:cs="仿宋"/>
                          <w:sz w:val="24"/>
                        </w:rPr>
                        <w:t xml:space="preserve"> </w:t>
                      </w:r>
                    </w:p>
                    <w:p>
                      <w:pPr>
                        <w:ind w:firstLine="560"/>
                        <w:rPr>
                          <w:rFonts w:ascii="宋体" w:hAnsi="宋体" w:cs="仿宋"/>
                          <w:sz w:val="24"/>
                          <w:u w:val="single"/>
                        </w:rPr>
                      </w:pPr>
                      <w:r>
                        <w:rPr>
                          <w:rFonts w:hint="eastAsia" w:ascii="宋体" w:hAnsi="宋体" w:cs="仿宋"/>
                          <w:sz w:val="24"/>
                        </w:rPr>
                        <w:t>传  真：</w:t>
                      </w:r>
                      <w:r>
                        <w:rPr>
                          <w:rFonts w:hint="eastAsia" w:ascii="宋体" w:hAnsi="宋体" w:cs="仿宋"/>
                          <w:sz w:val="24"/>
                          <w:u w:val="single"/>
                        </w:rPr>
                        <w:t xml:space="preserve">                            </w:t>
                      </w:r>
                    </w:p>
                    <w:p>
                      <w:pPr>
                        <w:ind w:firstLine="560"/>
                        <w:rPr>
                          <w:rFonts w:ascii="宋体" w:hAnsi="宋体" w:cs="仿宋"/>
                          <w:sz w:val="24"/>
                          <w:u w:val="single"/>
                        </w:rPr>
                      </w:pPr>
                      <w:r>
                        <w:rPr>
                          <w:rFonts w:hint="eastAsia" w:ascii="宋体" w:hAnsi="宋体" w:cs="仿宋"/>
                          <w:sz w:val="24"/>
                        </w:rPr>
                        <w:t>开户银行：</w:t>
                      </w:r>
                      <w:r>
                        <w:rPr>
                          <w:rFonts w:hint="eastAsia" w:ascii="宋体" w:hAnsi="宋体" w:cs="仿宋"/>
                          <w:sz w:val="24"/>
                          <w:u w:val="single"/>
                        </w:rPr>
                        <w:t xml:space="preserve">                          </w:t>
                      </w:r>
                    </w:p>
                    <w:p>
                      <w:pPr>
                        <w:ind w:firstLine="560"/>
                        <w:rPr>
                          <w:rFonts w:ascii="宋体" w:hAnsi="宋体" w:cs="仿宋"/>
                          <w:sz w:val="24"/>
                          <w:u w:val="single"/>
                        </w:rPr>
                      </w:pPr>
                      <w:r>
                        <w:rPr>
                          <w:rFonts w:hint="eastAsia" w:ascii="宋体" w:hAnsi="宋体" w:cs="仿宋"/>
                          <w:sz w:val="24"/>
                        </w:rPr>
                        <w:t>账  号：</w:t>
                      </w:r>
                      <w:r>
                        <w:rPr>
                          <w:rFonts w:hint="eastAsia" w:ascii="宋体" w:hAnsi="宋体" w:cs="仿宋"/>
                          <w:sz w:val="24"/>
                          <w:u w:val="single"/>
                        </w:rPr>
                        <w:t xml:space="preserve">                            </w:t>
                      </w:r>
                    </w:p>
                    <w:p>
                      <w:pPr>
                        <w:ind w:firstLine="560"/>
                        <w:rPr>
                          <w:sz w:val="28"/>
                          <w:szCs w:val="28"/>
                          <w:u w:val="single"/>
                        </w:rPr>
                      </w:pPr>
                      <w:r>
                        <w:rPr>
                          <w:rFonts w:hint="eastAsia" w:ascii="宋体" w:hAnsi="宋体" w:cs="仿宋"/>
                          <w:sz w:val="24"/>
                        </w:rPr>
                        <w:t>日  期：</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仿宋_GB2312" w:hAnsi="仿宋" w:eastAsia="仿宋_GB2312" w:cs="仿宋"/>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8"/>
                          <w:szCs w:val="28"/>
                          <w:u w:val="single"/>
                        </w:rPr>
                        <w:t xml:space="preserve"> </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-329565</wp:posOffset>
                </wp:positionH>
                <wp:positionV relativeFrom="paragraph">
                  <wp:posOffset>732790</wp:posOffset>
                </wp:positionV>
                <wp:extent cx="2843530" cy="2529205"/>
                <wp:effectExtent l="0" t="0" r="13970" b="4445"/>
                <wp:wrapTopAndBottom/>
                <wp:docPr id="12" name="文本框 12"/>
                <wp:cNvGraphicFramePr/>
                <a:graphic xmlns:a="http://schemas.openxmlformats.org/drawingml/2006/main">
                  <a:graphicData uri="http://schemas.microsoft.com/office/word/2010/wordprocessingShape">
                    <wps:wsp>
                      <wps:cNvSpPr txBox="true">
                        <a:spLocks noChangeArrowheads="true"/>
                      </wps:cNvSpPr>
                      <wps:spPr bwMode="auto">
                        <a:xfrm>
                          <a:off x="0" y="0"/>
                          <a:ext cx="2843530" cy="2529205"/>
                        </a:xfrm>
                        <a:prstGeom prst="rect">
                          <a:avLst/>
                        </a:prstGeom>
                        <a:solidFill>
                          <a:srgbClr val="FFFFFF"/>
                        </a:solidFill>
                        <a:ln>
                          <a:noFill/>
                        </a:ln>
                        <a:effectLst/>
                      </wps:spPr>
                      <wps:txbx>
                        <w:txbxContent>
                          <w:p>
                            <w:pPr>
                              <w:ind w:firstLine="560"/>
                              <w:rPr>
                                <w:rFonts w:ascii="宋体" w:hAnsi="宋体" w:cs="仿宋"/>
                                <w:sz w:val="24"/>
                              </w:rPr>
                            </w:pPr>
                            <w:r>
                              <w:rPr>
                                <w:rFonts w:hint="eastAsia" w:ascii="宋体" w:hAnsi="宋体" w:cs="仿宋"/>
                                <w:sz w:val="24"/>
                              </w:rPr>
                              <w:t>发包人：（公章）</w:t>
                            </w:r>
                          </w:p>
                          <w:p>
                            <w:pPr>
                              <w:ind w:firstLine="560"/>
                              <w:rPr>
                                <w:rFonts w:ascii="宋体" w:hAnsi="宋体" w:cs="仿宋"/>
                                <w:sz w:val="24"/>
                                <w:u w:val="single"/>
                              </w:rPr>
                            </w:pPr>
                            <w:r>
                              <w:rPr>
                                <w:rFonts w:hint="eastAsia" w:ascii="宋体" w:hAnsi="宋体" w:cs="仿宋"/>
                                <w:sz w:val="24"/>
                              </w:rPr>
                              <w:t>法定代表人或其委托代理人：（签字）</w:t>
                            </w:r>
                            <w:r>
                              <w:rPr>
                                <w:rFonts w:hint="eastAsia" w:ascii="宋体" w:hAnsi="宋体" w:cs="仿宋"/>
                                <w:sz w:val="24"/>
                                <w:u w:val="single"/>
                              </w:rPr>
                              <w:t xml:space="preserve">                        </w:t>
                            </w:r>
                          </w:p>
                          <w:p>
                            <w:pPr>
                              <w:ind w:firstLine="560"/>
                              <w:rPr>
                                <w:rFonts w:ascii="宋体" w:hAnsi="宋体" w:cs="仿宋"/>
                                <w:sz w:val="24"/>
                                <w:u w:val="single"/>
                              </w:rPr>
                            </w:pPr>
                            <w:r>
                              <w:rPr>
                                <w:rFonts w:hint="eastAsia" w:ascii="宋体" w:hAnsi="宋体" w:cs="仿宋"/>
                                <w:sz w:val="24"/>
                                <w:lang w:eastAsia="zh-CN"/>
                              </w:rPr>
                              <w:t>统一社会信用代码</w:t>
                            </w:r>
                            <w:r>
                              <w:rPr>
                                <w:rFonts w:hint="eastAsia" w:ascii="宋体" w:hAnsi="宋体" w:cs="仿宋"/>
                                <w:sz w:val="24"/>
                              </w:rPr>
                              <w:t>证号：</w:t>
                            </w:r>
                            <w:r>
                              <w:rPr>
                                <w:rFonts w:hint="eastAsia" w:ascii="宋体" w:hAnsi="宋体" w:cs="仿宋"/>
                                <w:sz w:val="24"/>
                                <w:u w:val="single"/>
                              </w:rPr>
                              <w:t xml:space="preserve">              </w:t>
                            </w:r>
                          </w:p>
                          <w:p>
                            <w:pPr>
                              <w:ind w:firstLine="560"/>
                              <w:rPr>
                                <w:rFonts w:ascii="宋体" w:hAnsi="宋体" w:cs="仿宋"/>
                                <w:sz w:val="24"/>
                                <w:u w:val="single"/>
                              </w:rPr>
                            </w:pPr>
                            <w:r>
                              <w:rPr>
                                <w:rFonts w:hint="eastAsia" w:ascii="宋体" w:hAnsi="宋体" w:cs="仿宋"/>
                                <w:sz w:val="24"/>
                                <w:u w:val="single"/>
                              </w:rPr>
                              <w:t xml:space="preserve">                                    </w:t>
                            </w:r>
                          </w:p>
                          <w:p>
                            <w:pPr>
                              <w:ind w:firstLine="560"/>
                              <w:rPr>
                                <w:rFonts w:ascii="宋体" w:hAnsi="宋体" w:cs="仿宋"/>
                                <w:sz w:val="24"/>
                              </w:rPr>
                            </w:pPr>
                            <w:r>
                              <w:rPr>
                                <w:rFonts w:hint="eastAsia" w:ascii="宋体" w:hAnsi="宋体" w:cs="仿宋"/>
                                <w:sz w:val="24"/>
                              </w:rPr>
                              <w:t>地  址：</w:t>
                            </w:r>
                            <w:r>
                              <w:rPr>
                                <w:rFonts w:hint="eastAsia" w:ascii="宋体" w:hAnsi="宋体" w:cs="仿宋"/>
                                <w:sz w:val="24"/>
                                <w:u w:val="single"/>
                              </w:rPr>
                              <w:t xml:space="preserve">                            </w:t>
                            </w:r>
                            <w:r>
                              <w:rPr>
                                <w:rFonts w:hint="eastAsia" w:ascii="宋体" w:hAnsi="宋体" w:cs="仿宋"/>
                                <w:sz w:val="24"/>
                              </w:rPr>
                              <w:t xml:space="preserve"> </w:t>
                            </w:r>
                          </w:p>
                          <w:p>
                            <w:pPr>
                              <w:ind w:firstLine="560"/>
                              <w:rPr>
                                <w:rFonts w:ascii="宋体" w:hAnsi="宋体" w:cs="仿宋"/>
                                <w:sz w:val="24"/>
                                <w:u w:val="single"/>
                              </w:rPr>
                            </w:pPr>
                            <w:r>
                              <w:rPr>
                                <w:rFonts w:hint="eastAsia" w:ascii="宋体" w:hAnsi="宋体" w:cs="仿宋"/>
                                <w:sz w:val="24"/>
                              </w:rPr>
                              <w:t>邮政编码：</w:t>
                            </w:r>
                            <w:r>
                              <w:rPr>
                                <w:rFonts w:hint="eastAsia" w:ascii="宋体" w:hAnsi="宋体" w:cs="仿宋"/>
                                <w:sz w:val="24"/>
                                <w:u w:val="single"/>
                              </w:rPr>
                              <w:t xml:space="preserve">                  </w:t>
                            </w:r>
                          </w:p>
                          <w:p>
                            <w:pPr>
                              <w:ind w:firstLine="560"/>
                              <w:rPr>
                                <w:rFonts w:ascii="宋体" w:hAnsi="宋体" w:cs="仿宋"/>
                                <w:sz w:val="24"/>
                              </w:rPr>
                            </w:pPr>
                            <w:r>
                              <w:rPr>
                                <w:rFonts w:hint="eastAsia" w:ascii="宋体" w:hAnsi="宋体" w:cs="仿宋"/>
                                <w:sz w:val="24"/>
                              </w:rPr>
                              <w:t>电  话：</w:t>
                            </w:r>
                            <w:r>
                              <w:rPr>
                                <w:rFonts w:hint="eastAsia" w:ascii="宋体" w:hAnsi="宋体" w:cs="仿宋"/>
                                <w:sz w:val="24"/>
                                <w:u w:val="single"/>
                              </w:rPr>
                              <w:t xml:space="preserve">                            </w:t>
                            </w:r>
                            <w:r>
                              <w:rPr>
                                <w:rFonts w:hint="eastAsia" w:ascii="宋体" w:hAnsi="宋体" w:cs="仿宋"/>
                                <w:sz w:val="24"/>
                              </w:rPr>
                              <w:t xml:space="preserve"> </w:t>
                            </w:r>
                          </w:p>
                          <w:p>
                            <w:pPr>
                              <w:ind w:firstLine="560"/>
                              <w:rPr>
                                <w:rFonts w:ascii="宋体" w:hAnsi="宋体" w:cs="仿宋"/>
                                <w:sz w:val="24"/>
                                <w:u w:val="single"/>
                              </w:rPr>
                            </w:pPr>
                            <w:r>
                              <w:rPr>
                                <w:rFonts w:hint="eastAsia" w:ascii="宋体" w:hAnsi="宋体" w:cs="仿宋"/>
                                <w:sz w:val="24"/>
                              </w:rPr>
                              <w:t>传  真：</w:t>
                            </w:r>
                            <w:r>
                              <w:rPr>
                                <w:rFonts w:hint="eastAsia" w:ascii="宋体" w:hAnsi="宋体" w:cs="仿宋"/>
                                <w:sz w:val="24"/>
                                <w:u w:val="single"/>
                              </w:rPr>
                              <w:t xml:space="preserve">                            </w:t>
                            </w:r>
                          </w:p>
                          <w:p>
                            <w:pPr>
                              <w:ind w:firstLine="560"/>
                              <w:rPr>
                                <w:rFonts w:ascii="宋体" w:hAnsi="宋体" w:cs="仿宋"/>
                                <w:sz w:val="24"/>
                                <w:u w:val="single"/>
                              </w:rPr>
                            </w:pPr>
                            <w:r>
                              <w:rPr>
                                <w:rFonts w:hint="eastAsia" w:ascii="宋体" w:hAnsi="宋体" w:cs="仿宋"/>
                                <w:sz w:val="24"/>
                              </w:rPr>
                              <w:t>开户银行：</w:t>
                            </w:r>
                            <w:r>
                              <w:rPr>
                                <w:rFonts w:hint="eastAsia" w:ascii="宋体" w:hAnsi="宋体" w:cs="仿宋"/>
                                <w:sz w:val="24"/>
                                <w:u w:val="single"/>
                              </w:rPr>
                              <w:t xml:space="preserve">                          </w:t>
                            </w:r>
                          </w:p>
                          <w:p>
                            <w:pPr>
                              <w:ind w:firstLine="560"/>
                              <w:rPr>
                                <w:rFonts w:ascii="宋体" w:hAnsi="宋体" w:cs="仿宋"/>
                                <w:sz w:val="24"/>
                                <w:u w:val="single"/>
                              </w:rPr>
                            </w:pPr>
                            <w:r>
                              <w:rPr>
                                <w:rFonts w:hint="eastAsia" w:ascii="宋体" w:hAnsi="宋体" w:cs="仿宋"/>
                                <w:sz w:val="24"/>
                              </w:rPr>
                              <w:t>账  号：</w:t>
                            </w:r>
                            <w:r>
                              <w:rPr>
                                <w:rFonts w:hint="eastAsia" w:ascii="宋体" w:hAnsi="宋体" w:cs="仿宋"/>
                                <w:sz w:val="24"/>
                                <w:u w:val="single"/>
                              </w:rPr>
                              <w:t xml:space="preserve">                            </w:t>
                            </w:r>
                          </w:p>
                          <w:p>
                            <w:pPr>
                              <w:ind w:firstLine="560"/>
                              <w:rPr>
                                <w:sz w:val="28"/>
                                <w:szCs w:val="28"/>
                                <w:u w:val="single"/>
                              </w:rPr>
                            </w:pPr>
                            <w:r>
                              <w:rPr>
                                <w:rFonts w:hint="eastAsia" w:ascii="宋体" w:hAnsi="宋体" w:cs="仿宋"/>
                                <w:sz w:val="24"/>
                              </w:rPr>
                              <w:t>日  期：</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28"/>
                                <w:szCs w:val="28"/>
                                <w:u w:val="single"/>
                              </w:rPr>
                              <w:t xml:space="preserve">  </w:t>
                            </w: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5.95pt;margin-top:57.7pt;height:199.15pt;width:223.9pt;mso-wrap-distance-bottom:0pt;mso-wrap-distance-top:0pt;z-index:251660288;mso-width-relative:page;mso-height-relative:page;" fillcolor="#FFFFFF" filled="t" stroked="f" coordsize="21600,21600" o:gfxdata="UEsFBgAAAAAAAAAAAAAAAAAAAAAAAFBLAwQKAAAAAACHTuJAAAAAAAAAAAAAAAAABAAAAGRycy9Q&#10;SwMEFAAAAAgAh07iQPkZXwfZAAAACwEAAA8AAABkcnMvZG93bnJldi54bWxNj8tOwzAQRfdI/IM1&#10;SGxQ64TWDQlxKoEEYtvHBzjxNImIx1HsNu3fM6xgOXOP7pwpt1c3iAtOofekIV0mIJAab3tqNRwP&#10;H4sXECEasmbwhBpuGGBb3d+VprB+ph1e9rEVXEKhMBq6GMdCytB06ExY+hGJs5OfnIk8Tq20k5m5&#10;3A3yOUk20pme+EJnRnzvsPnen52G09f8pPK5/ozHbLfevJk+q/1N68eHNHkFEfEa/2D41Wd1qNip&#10;9meyQQwaFirNGeUgVWsQTKxyxZtag0pXGciqlP9/qH4AUEsDBBQAAAAIAIdO4kCFBnhlGwIAAA4E&#10;AAAOAAAAZHJzL2Uyb0RvYy54bWytU82O0zAQviPxDpbvNG22hd2o6Wrpqghp+ZEWHsBxnMQi8Zix&#10;26Q8ALwBJy7cea4+B2On263ghsjBysx8/mbmm/HyeuhatlPoNJiczyZTzpSRUGpT5/zjh82zS86c&#10;F6YULRiV871y/Hr19Mmyt5lKoYG2VMiIxListzlvvLdZkjjZqE64CVhlKFgBdsKTiXVSouiJvWuT&#10;dDp9nvSApUWQyjny3o5Bvor8VaWkf1dVTnnW5pxq8/HEeBbhTFZLkdUobKPlsQzxD1V0QhtKeqK6&#10;FV6wLeq/qDotERxUfiKhS6CqtFSxB+pmNv2jm/tGWBV7IXGcPcnk/h+tfLt7j0yXNLuUMyM6mtHh&#10;+7fDj1+Hn18Z+Uig3rqMcPeWkH54CUPOPW5DYSJz9g7kJ8cMrBthanWDCH2jREk1RhDdT84IRjYX&#10;qIr+DZSUTmw9RK6hwi5wkiqMctC49qcRqcEzSc70cn6xuKCQpFi6SK/S6SLUmIjs4bpF518p6Fj4&#10;yTnSDkR6sbtzfoQ+QGIH0Opyo9s2GlgX6xbZTtC+bOJ3ZHfnsNYEsIFwbWQcPSpu3DFN6Do0Orbs&#10;h2IgaHAWUO6pf4RxG+n10E8D+IWznjYx5+7zVqDirH1tSMar2XweVjca88WLlAw8jxTnEWEkUZH4&#10;nI2/a09WJVpHhFuLum4o22l+Bm5I/kpHYR6LOw6Nli5Ke3wgYavP7Yh6fMa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PkZXwfZAAAACwEAAA8AAAAAAAAAAQAgAAAAOAAAAGRycy9kb3ducmV2Lnht&#10;bFBLAQIUABQAAAAIAIdO4kCFBnhlGwIAAA4EAAAOAAAAAAAAAAEAIAAAAD4BAABkcnMvZTJvRG9j&#10;LnhtbFBLBQYAAAAABgAGAFkBAADLBQAAAAA=&#10;">
                <v:fill on="t" focussize="0,0"/>
                <v:stroke on="f"/>
                <v:imagedata o:title=""/>
                <o:lock v:ext="edit" aspectratio="f"/>
                <v:textbox>
                  <w:txbxContent>
                    <w:p>
                      <w:pPr>
                        <w:ind w:firstLine="560"/>
                        <w:rPr>
                          <w:rFonts w:ascii="宋体" w:hAnsi="宋体" w:cs="仿宋"/>
                          <w:sz w:val="24"/>
                        </w:rPr>
                      </w:pPr>
                      <w:r>
                        <w:rPr>
                          <w:rFonts w:hint="eastAsia" w:ascii="宋体" w:hAnsi="宋体" w:cs="仿宋"/>
                          <w:sz w:val="24"/>
                        </w:rPr>
                        <w:t>发包人：（公章）</w:t>
                      </w:r>
                    </w:p>
                    <w:p>
                      <w:pPr>
                        <w:ind w:firstLine="560"/>
                        <w:rPr>
                          <w:rFonts w:ascii="宋体" w:hAnsi="宋体" w:cs="仿宋"/>
                          <w:sz w:val="24"/>
                          <w:u w:val="single"/>
                        </w:rPr>
                      </w:pPr>
                      <w:r>
                        <w:rPr>
                          <w:rFonts w:hint="eastAsia" w:ascii="宋体" w:hAnsi="宋体" w:cs="仿宋"/>
                          <w:sz w:val="24"/>
                        </w:rPr>
                        <w:t>法定代表人或其委托代理人：（签字）</w:t>
                      </w:r>
                      <w:r>
                        <w:rPr>
                          <w:rFonts w:hint="eastAsia" w:ascii="宋体" w:hAnsi="宋体" w:cs="仿宋"/>
                          <w:sz w:val="24"/>
                          <w:u w:val="single"/>
                        </w:rPr>
                        <w:t xml:space="preserve">                        </w:t>
                      </w:r>
                    </w:p>
                    <w:p>
                      <w:pPr>
                        <w:ind w:firstLine="560"/>
                        <w:rPr>
                          <w:rFonts w:ascii="宋体" w:hAnsi="宋体" w:cs="仿宋"/>
                          <w:sz w:val="24"/>
                          <w:u w:val="single"/>
                        </w:rPr>
                      </w:pPr>
                      <w:r>
                        <w:rPr>
                          <w:rFonts w:hint="eastAsia" w:ascii="宋体" w:hAnsi="宋体" w:cs="仿宋"/>
                          <w:sz w:val="24"/>
                          <w:lang w:eastAsia="zh-CN"/>
                        </w:rPr>
                        <w:t>统一社会信用代码</w:t>
                      </w:r>
                      <w:r>
                        <w:rPr>
                          <w:rFonts w:hint="eastAsia" w:ascii="宋体" w:hAnsi="宋体" w:cs="仿宋"/>
                          <w:sz w:val="24"/>
                        </w:rPr>
                        <w:t>证号：</w:t>
                      </w:r>
                      <w:r>
                        <w:rPr>
                          <w:rFonts w:hint="eastAsia" w:ascii="宋体" w:hAnsi="宋体" w:cs="仿宋"/>
                          <w:sz w:val="24"/>
                          <w:u w:val="single"/>
                        </w:rPr>
                        <w:t xml:space="preserve">              </w:t>
                      </w:r>
                    </w:p>
                    <w:p>
                      <w:pPr>
                        <w:ind w:firstLine="560"/>
                        <w:rPr>
                          <w:rFonts w:ascii="宋体" w:hAnsi="宋体" w:cs="仿宋"/>
                          <w:sz w:val="24"/>
                          <w:u w:val="single"/>
                        </w:rPr>
                      </w:pPr>
                      <w:r>
                        <w:rPr>
                          <w:rFonts w:hint="eastAsia" w:ascii="宋体" w:hAnsi="宋体" w:cs="仿宋"/>
                          <w:sz w:val="24"/>
                          <w:u w:val="single"/>
                        </w:rPr>
                        <w:t xml:space="preserve">                                    </w:t>
                      </w:r>
                    </w:p>
                    <w:p>
                      <w:pPr>
                        <w:ind w:firstLine="560"/>
                        <w:rPr>
                          <w:rFonts w:ascii="宋体" w:hAnsi="宋体" w:cs="仿宋"/>
                          <w:sz w:val="24"/>
                        </w:rPr>
                      </w:pPr>
                      <w:r>
                        <w:rPr>
                          <w:rFonts w:hint="eastAsia" w:ascii="宋体" w:hAnsi="宋体" w:cs="仿宋"/>
                          <w:sz w:val="24"/>
                        </w:rPr>
                        <w:t>地  址：</w:t>
                      </w:r>
                      <w:r>
                        <w:rPr>
                          <w:rFonts w:hint="eastAsia" w:ascii="宋体" w:hAnsi="宋体" w:cs="仿宋"/>
                          <w:sz w:val="24"/>
                          <w:u w:val="single"/>
                        </w:rPr>
                        <w:t xml:space="preserve">                            </w:t>
                      </w:r>
                      <w:r>
                        <w:rPr>
                          <w:rFonts w:hint="eastAsia" w:ascii="宋体" w:hAnsi="宋体" w:cs="仿宋"/>
                          <w:sz w:val="24"/>
                        </w:rPr>
                        <w:t xml:space="preserve"> </w:t>
                      </w:r>
                    </w:p>
                    <w:p>
                      <w:pPr>
                        <w:ind w:firstLine="560"/>
                        <w:rPr>
                          <w:rFonts w:ascii="宋体" w:hAnsi="宋体" w:cs="仿宋"/>
                          <w:sz w:val="24"/>
                          <w:u w:val="single"/>
                        </w:rPr>
                      </w:pPr>
                      <w:r>
                        <w:rPr>
                          <w:rFonts w:hint="eastAsia" w:ascii="宋体" w:hAnsi="宋体" w:cs="仿宋"/>
                          <w:sz w:val="24"/>
                        </w:rPr>
                        <w:t>邮政编码：</w:t>
                      </w:r>
                      <w:r>
                        <w:rPr>
                          <w:rFonts w:hint="eastAsia" w:ascii="宋体" w:hAnsi="宋体" w:cs="仿宋"/>
                          <w:sz w:val="24"/>
                          <w:u w:val="single"/>
                        </w:rPr>
                        <w:t xml:space="preserve">                  </w:t>
                      </w:r>
                    </w:p>
                    <w:p>
                      <w:pPr>
                        <w:ind w:firstLine="560"/>
                        <w:rPr>
                          <w:rFonts w:ascii="宋体" w:hAnsi="宋体" w:cs="仿宋"/>
                          <w:sz w:val="24"/>
                        </w:rPr>
                      </w:pPr>
                      <w:r>
                        <w:rPr>
                          <w:rFonts w:hint="eastAsia" w:ascii="宋体" w:hAnsi="宋体" w:cs="仿宋"/>
                          <w:sz w:val="24"/>
                        </w:rPr>
                        <w:t>电  话：</w:t>
                      </w:r>
                      <w:r>
                        <w:rPr>
                          <w:rFonts w:hint="eastAsia" w:ascii="宋体" w:hAnsi="宋体" w:cs="仿宋"/>
                          <w:sz w:val="24"/>
                          <w:u w:val="single"/>
                        </w:rPr>
                        <w:t xml:space="preserve">                            </w:t>
                      </w:r>
                      <w:r>
                        <w:rPr>
                          <w:rFonts w:hint="eastAsia" w:ascii="宋体" w:hAnsi="宋体" w:cs="仿宋"/>
                          <w:sz w:val="24"/>
                        </w:rPr>
                        <w:t xml:space="preserve"> </w:t>
                      </w:r>
                    </w:p>
                    <w:p>
                      <w:pPr>
                        <w:ind w:firstLine="560"/>
                        <w:rPr>
                          <w:rFonts w:ascii="宋体" w:hAnsi="宋体" w:cs="仿宋"/>
                          <w:sz w:val="24"/>
                          <w:u w:val="single"/>
                        </w:rPr>
                      </w:pPr>
                      <w:r>
                        <w:rPr>
                          <w:rFonts w:hint="eastAsia" w:ascii="宋体" w:hAnsi="宋体" w:cs="仿宋"/>
                          <w:sz w:val="24"/>
                        </w:rPr>
                        <w:t>传  真：</w:t>
                      </w:r>
                      <w:r>
                        <w:rPr>
                          <w:rFonts w:hint="eastAsia" w:ascii="宋体" w:hAnsi="宋体" w:cs="仿宋"/>
                          <w:sz w:val="24"/>
                          <w:u w:val="single"/>
                        </w:rPr>
                        <w:t xml:space="preserve">                            </w:t>
                      </w:r>
                    </w:p>
                    <w:p>
                      <w:pPr>
                        <w:ind w:firstLine="560"/>
                        <w:rPr>
                          <w:rFonts w:ascii="宋体" w:hAnsi="宋体" w:cs="仿宋"/>
                          <w:sz w:val="24"/>
                          <w:u w:val="single"/>
                        </w:rPr>
                      </w:pPr>
                      <w:r>
                        <w:rPr>
                          <w:rFonts w:hint="eastAsia" w:ascii="宋体" w:hAnsi="宋体" w:cs="仿宋"/>
                          <w:sz w:val="24"/>
                        </w:rPr>
                        <w:t>开户银行：</w:t>
                      </w:r>
                      <w:r>
                        <w:rPr>
                          <w:rFonts w:hint="eastAsia" w:ascii="宋体" w:hAnsi="宋体" w:cs="仿宋"/>
                          <w:sz w:val="24"/>
                          <w:u w:val="single"/>
                        </w:rPr>
                        <w:t xml:space="preserve">                          </w:t>
                      </w:r>
                    </w:p>
                    <w:p>
                      <w:pPr>
                        <w:ind w:firstLine="560"/>
                        <w:rPr>
                          <w:rFonts w:ascii="宋体" w:hAnsi="宋体" w:cs="仿宋"/>
                          <w:sz w:val="24"/>
                          <w:u w:val="single"/>
                        </w:rPr>
                      </w:pPr>
                      <w:r>
                        <w:rPr>
                          <w:rFonts w:hint="eastAsia" w:ascii="宋体" w:hAnsi="宋体" w:cs="仿宋"/>
                          <w:sz w:val="24"/>
                        </w:rPr>
                        <w:t>账  号：</w:t>
                      </w:r>
                      <w:r>
                        <w:rPr>
                          <w:rFonts w:hint="eastAsia" w:ascii="宋体" w:hAnsi="宋体" w:cs="仿宋"/>
                          <w:sz w:val="24"/>
                          <w:u w:val="single"/>
                        </w:rPr>
                        <w:t xml:space="preserve">                            </w:t>
                      </w:r>
                    </w:p>
                    <w:p>
                      <w:pPr>
                        <w:ind w:firstLine="560"/>
                        <w:rPr>
                          <w:sz w:val="28"/>
                          <w:szCs w:val="28"/>
                          <w:u w:val="single"/>
                        </w:rPr>
                      </w:pPr>
                      <w:r>
                        <w:rPr>
                          <w:rFonts w:hint="eastAsia" w:ascii="宋体" w:hAnsi="宋体" w:cs="仿宋"/>
                          <w:sz w:val="24"/>
                        </w:rPr>
                        <w:t>日  期：</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r>
                        <w:rPr>
                          <w:rFonts w:hint="eastAsia" w:ascii="仿宋" w:hAnsi="仿宋" w:eastAsia="仿宋" w:cs="仿宋"/>
                          <w:sz w:val="28"/>
                          <w:szCs w:val="28"/>
                          <w:u w:val="single"/>
                        </w:rPr>
                        <w:t xml:space="preserve">  </w:t>
                      </w:r>
                    </w:p>
                  </w:txbxContent>
                </v:textbox>
                <w10:wrap type="topAndBottom"/>
              </v:shape>
            </w:pict>
          </mc:Fallback>
        </mc:AlternateContent>
      </w:r>
      <w:r>
        <w:rPr>
          <w:rFonts w:hint="eastAsia" w:ascii="宋体" w:hAnsi="宋体" w:cs="仿宋"/>
          <w:sz w:val="24"/>
        </w:rPr>
        <w:t>工程质量保修书由发包人、承包人在工程竣工验收前共同签署，作为施工合同附件，其有效期限至保修期满。</w:t>
      </w:r>
      <w:r>
        <w:rPr>
          <w:rFonts w:hint="eastAsia" w:ascii="仿宋_GB2312" w:hAnsi="仿宋" w:eastAsia="仿宋_GB2312" w:cs="仿宋"/>
          <w:sz w:val="30"/>
          <w:szCs w:val="30"/>
        </w:rPr>
        <w:t> </w:t>
      </w:r>
    </w:p>
    <w:p>
      <w:pPr>
        <w:snapToGrid w:val="0"/>
        <w:spacing w:line="460" w:lineRule="exact"/>
        <w:ind w:firstLine="600" w:firstLineChars="200"/>
        <w:rPr>
          <w:rFonts w:ascii="仿宋_GB2312" w:hAnsi="仿宋" w:eastAsia="仿宋_GB2312" w:cs="仿宋"/>
          <w:sz w:val="30"/>
          <w:szCs w:val="30"/>
        </w:rPr>
      </w:pPr>
    </w:p>
    <w:p>
      <w:pPr>
        <w:rPr>
          <w:rFonts w:ascii="仿宋_GB2312" w:hAnsi="黑体" w:eastAsia="仿宋_GB2312"/>
        </w:rPr>
      </w:pPr>
      <w:bookmarkStart w:id="1078" w:name="_Toc184263479"/>
      <w:bookmarkStart w:id="1079" w:name="_Toc2094516902"/>
    </w:p>
    <w:p/>
    <w:p/>
    <w:p/>
    <w:p/>
    <w:p>
      <w:pPr>
        <w:spacing w:line="360" w:lineRule="auto"/>
        <w:outlineLvl w:val="1"/>
        <w:rPr>
          <w:rFonts w:ascii="仿宋_GB2312" w:hAnsi="仿宋_GB2312" w:eastAsia="仿宋_GB2312" w:cs="仿宋_GB2312"/>
          <w:sz w:val="30"/>
          <w:szCs w:val="32"/>
        </w:rPr>
      </w:pPr>
      <w:bookmarkStart w:id="1080" w:name="_Toc362478915"/>
      <w:r>
        <w:rPr>
          <w:rFonts w:hint="eastAsia" w:ascii="仿宋_GB2312" w:hAnsi="仿宋_GB2312" w:eastAsia="仿宋_GB2312" w:cs="仿宋_GB2312"/>
          <w:sz w:val="30"/>
          <w:szCs w:val="32"/>
        </w:rPr>
        <w:t>附件8：</w:t>
      </w:r>
      <w:bookmarkEnd w:id="1078"/>
      <w:bookmarkEnd w:id="1079"/>
      <w:bookmarkEnd w:id="1080"/>
    </w:p>
    <w:p>
      <w:pPr>
        <w:pStyle w:val="3"/>
        <w:spacing w:before="0" w:line="360" w:lineRule="auto"/>
        <w:rPr>
          <w:rFonts w:ascii="黑体" w:hAnsi="黑体" w:eastAsia="黑体"/>
          <w:b w:val="0"/>
          <w:kern w:val="2"/>
          <w:sz w:val="28"/>
          <w:szCs w:val="28"/>
        </w:rPr>
      </w:pPr>
      <w:bookmarkStart w:id="1081" w:name="_Toc41181775"/>
      <w:bookmarkStart w:id="1082" w:name="_Toc1106295181"/>
      <w:r>
        <w:rPr>
          <w:rFonts w:hint="eastAsia" w:ascii="黑体" w:hAnsi="黑体" w:eastAsia="黑体"/>
          <w:b w:val="0"/>
          <w:kern w:val="2"/>
          <w:sz w:val="28"/>
          <w:szCs w:val="28"/>
        </w:rPr>
        <w:t>廉政建设责任书</w:t>
      </w:r>
      <w:bookmarkEnd w:id="1081"/>
      <w:bookmarkEnd w:id="1082"/>
    </w:p>
    <w:p>
      <w:pPr>
        <w:snapToGrid w:val="0"/>
        <w:spacing w:line="360" w:lineRule="auto"/>
        <w:ind w:firstLine="480" w:firstLineChars="200"/>
        <w:rPr>
          <w:rFonts w:ascii="宋体" w:hAnsi="宋体" w:cs="仿宋_GB2312"/>
          <w:sz w:val="24"/>
        </w:rPr>
      </w:pPr>
      <w:r>
        <w:rPr>
          <w:rFonts w:hint="eastAsia" w:ascii="宋体" w:hAnsi="宋体" w:cs="仿宋_GB2312"/>
          <w:sz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建设责任书。</w:t>
      </w:r>
    </w:p>
    <w:p>
      <w:pPr>
        <w:snapToGrid w:val="0"/>
        <w:spacing w:line="360" w:lineRule="auto"/>
        <w:ind w:firstLine="481" w:firstLineChars="200"/>
        <w:rPr>
          <w:rFonts w:ascii="宋体" w:hAnsi="宋体" w:cs="仿宋_GB2312"/>
          <w:b/>
          <w:bCs/>
          <w:sz w:val="24"/>
        </w:rPr>
      </w:pPr>
      <w:r>
        <w:rPr>
          <w:rFonts w:hint="eastAsia" w:ascii="宋体" w:hAnsi="宋体" w:cs="仿宋_GB2312"/>
          <w:b/>
          <w:bCs/>
          <w:sz w:val="24"/>
        </w:rPr>
        <w:t>一、双方的责任</w:t>
      </w:r>
    </w:p>
    <w:p>
      <w:pPr>
        <w:snapToGrid w:val="0"/>
        <w:spacing w:line="360" w:lineRule="auto"/>
        <w:ind w:firstLine="480" w:firstLineChars="200"/>
        <w:rPr>
          <w:rFonts w:ascii="宋体" w:hAnsi="宋体" w:cs="仿宋_GB2312"/>
          <w:sz w:val="24"/>
        </w:rPr>
      </w:pPr>
      <w:r>
        <w:rPr>
          <w:rFonts w:hint="eastAsia" w:ascii="宋体" w:hAnsi="宋体" w:cs="仿宋_GB2312"/>
          <w:sz w:val="24"/>
        </w:rPr>
        <w:t>1.1应严格遵守国家关于建设工程的有关法律、法规，相关政策，以及廉政建设的各项规定。</w:t>
      </w:r>
    </w:p>
    <w:p>
      <w:pPr>
        <w:snapToGrid w:val="0"/>
        <w:spacing w:line="360" w:lineRule="auto"/>
        <w:ind w:firstLine="480" w:firstLineChars="200"/>
        <w:rPr>
          <w:rFonts w:ascii="宋体" w:hAnsi="宋体" w:cs="仿宋_GB2312"/>
          <w:sz w:val="24"/>
        </w:rPr>
      </w:pPr>
      <w:r>
        <w:rPr>
          <w:rFonts w:hint="eastAsia" w:ascii="宋体" w:hAnsi="宋体" w:cs="仿宋_GB2312"/>
          <w:sz w:val="24"/>
        </w:rPr>
        <w:t>1.2严格执行建设工程合同文件，自觉按合同办事。</w:t>
      </w:r>
    </w:p>
    <w:p>
      <w:pPr>
        <w:snapToGrid w:val="0"/>
        <w:spacing w:line="360" w:lineRule="auto"/>
        <w:ind w:firstLine="480" w:firstLineChars="200"/>
        <w:rPr>
          <w:rFonts w:ascii="宋体" w:hAnsi="宋体" w:cs="仿宋_GB2312"/>
          <w:sz w:val="24"/>
        </w:rPr>
      </w:pPr>
      <w:r>
        <w:rPr>
          <w:rFonts w:hint="eastAsia" w:ascii="宋体" w:hAnsi="宋体" w:cs="仿宋_GB2312"/>
          <w:sz w:val="24"/>
        </w:rPr>
        <w:t>1.3各项活动必须坚持公开、公平、公正、诚信、透明的原则(除法律法规另有规定者外)，不得为获取不正当的利益，损害国家、集体和对方利益，不得违反建设工程管理的规章制度。</w:t>
      </w:r>
    </w:p>
    <w:p>
      <w:pPr>
        <w:snapToGrid w:val="0"/>
        <w:spacing w:line="360" w:lineRule="auto"/>
        <w:ind w:firstLine="480" w:firstLineChars="200"/>
        <w:rPr>
          <w:rFonts w:ascii="宋体" w:hAnsi="宋体" w:cs="仿宋_GB2312"/>
          <w:sz w:val="24"/>
        </w:rPr>
      </w:pPr>
      <w:r>
        <w:rPr>
          <w:rFonts w:hint="eastAsia" w:ascii="宋体" w:hAnsi="宋体" w:cs="仿宋_GB2312"/>
          <w:sz w:val="24"/>
        </w:rPr>
        <w:t>1.4发现对方在业务活动中有违规、违纪、违法行为的，应及时提醒对方，情节严重的，应向其上级主管部门或纪检监察、司法等有关机关举报。</w:t>
      </w:r>
    </w:p>
    <w:p>
      <w:pPr>
        <w:snapToGrid w:val="0"/>
        <w:spacing w:line="360" w:lineRule="auto"/>
        <w:ind w:firstLine="481" w:firstLineChars="200"/>
        <w:rPr>
          <w:rFonts w:ascii="宋体" w:hAnsi="宋体" w:cs="仿宋_GB2312"/>
          <w:b/>
          <w:bCs/>
          <w:sz w:val="24"/>
        </w:rPr>
      </w:pPr>
      <w:r>
        <w:rPr>
          <w:rFonts w:hint="eastAsia" w:ascii="宋体" w:hAnsi="宋体" w:cs="仿宋_GB2312"/>
          <w:b/>
          <w:bCs/>
          <w:sz w:val="24"/>
        </w:rPr>
        <w:t>二、发包人责任</w:t>
      </w:r>
    </w:p>
    <w:p>
      <w:pPr>
        <w:snapToGrid w:val="0"/>
        <w:spacing w:line="360" w:lineRule="auto"/>
        <w:ind w:firstLine="480" w:firstLineChars="200"/>
        <w:rPr>
          <w:rFonts w:ascii="宋体" w:hAnsi="宋体" w:cs="仿宋_GB2312"/>
          <w:sz w:val="24"/>
        </w:rPr>
      </w:pPr>
      <w:r>
        <w:rPr>
          <w:rFonts w:hint="eastAsia" w:ascii="宋体" w:hAnsi="宋体" w:cs="仿宋_GB2312"/>
          <w:sz w:val="24"/>
        </w:rPr>
        <w:t>发包人从事该建设工程项目的负责人和工作人员，在工程建设的事前、事中、事后应遵守以下规定：</w:t>
      </w:r>
    </w:p>
    <w:p>
      <w:pPr>
        <w:snapToGrid w:val="0"/>
        <w:spacing w:line="360" w:lineRule="auto"/>
        <w:ind w:firstLine="480" w:firstLineChars="200"/>
        <w:rPr>
          <w:rFonts w:ascii="宋体" w:hAnsi="宋体" w:cs="仿宋_GB2312"/>
          <w:sz w:val="24"/>
        </w:rPr>
      </w:pPr>
      <w:r>
        <w:rPr>
          <w:rFonts w:hint="eastAsia" w:ascii="宋体" w:hAnsi="宋体" w:cs="仿宋_GB2312"/>
          <w:sz w:val="24"/>
        </w:rPr>
        <w:t>2.1不得向承包人和相关单位索要或接受回扣、礼金、有价证券、贵重物品和好处费、感谢费等。</w:t>
      </w:r>
    </w:p>
    <w:p>
      <w:pPr>
        <w:snapToGrid w:val="0"/>
        <w:spacing w:line="360" w:lineRule="auto"/>
        <w:ind w:firstLine="480" w:firstLineChars="200"/>
        <w:rPr>
          <w:rFonts w:ascii="宋体" w:hAnsi="宋体" w:cs="仿宋_GB2312"/>
          <w:sz w:val="24"/>
        </w:rPr>
      </w:pPr>
      <w:r>
        <w:rPr>
          <w:rFonts w:hint="eastAsia" w:ascii="宋体" w:hAnsi="宋体" w:cs="仿宋_GB2312"/>
          <w:sz w:val="24"/>
        </w:rPr>
        <w:t>2.2不得在承包人和相关单位报销任何应由发包人或个人支付的费用。</w:t>
      </w:r>
    </w:p>
    <w:p>
      <w:pPr>
        <w:snapToGrid w:val="0"/>
        <w:spacing w:line="360" w:lineRule="auto"/>
        <w:ind w:firstLine="480" w:firstLineChars="200"/>
        <w:rPr>
          <w:rFonts w:ascii="宋体" w:hAnsi="宋体" w:cs="仿宋_GB2312"/>
          <w:sz w:val="24"/>
        </w:rPr>
      </w:pPr>
      <w:r>
        <w:rPr>
          <w:rFonts w:hint="eastAsia" w:ascii="宋体" w:hAnsi="宋体" w:cs="仿宋_GB2312"/>
          <w:sz w:val="24"/>
        </w:rPr>
        <w:t>2.3不得要求、暗示或接受承包人和相关单位为个人装修住房、婚丧嫁娶、配偶子女的工作安排以及出国(境)、旅游等提供方便。</w:t>
      </w:r>
    </w:p>
    <w:p>
      <w:pPr>
        <w:snapToGrid w:val="0"/>
        <w:spacing w:line="360" w:lineRule="auto"/>
        <w:ind w:firstLine="480" w:firstLineChars="200"/>
        <w:rPr>
          <w:rFonts w:ascii="宋体" w:hAnsi="宋体" w:cs="仿宋_GB2312"/>
          <w:sz w:val="24"/>
        </w:rPr>
      </w:pPr>
      <w:r>
        <w:rPr>
          <w:rFonts w:hint="eastAsia" w:ascii="宋体" w:hAnsi="宋体" w:cs="仿宋_GB2312"/>
          <w:sz w:val="24"/>
        </w:rPr>
        <w:t>2.4不得参加有可能影响公正执行公务的承包人和相关单位的宴请、健身、娱乐等活动。</w:t>
      </w:r>
    </w:p>
    <w:p>
      <w:pPr>
        <w:snapToGrid w:val="0"/>
        <w:spacing w:line="360" w:lineRule="auto"/>
        <w:ind w:firstLine="480" w:firstLineChars="200"/>
        <w:rPr>
          <w:rFonts w:ascii="宋体" w:hAnsi="宋体" w:cs="仿宋_GB2312"/>
          <w:sz w:val="24"/>
        </w:rPr>
      </w:pPr>
      <w:r>
        <w:rPr>
          <w:rFonts w:hint="eastAsia" w:ascii="宋体" w:hAnsi="宋体" w:cs="仿宋_GB2312"/>
          <w:sz w:val="24"/>
        </w:rPr>
        <w:t>2.5不得向承包人和相关单位介绍或为配偶、子女、亲属参与同发包人工程建设管理合同有关的业务活动；不得以任何理由要求承包人和相关单位使用某种产品、材料和设备。</w:t>
      </w:r>
    </w:p>
    <w:p>
      <w:pPr>
        <w:snapToGrid w:val="0"/>
        <w:spacing w:line="360" w:lineRule="auto"/>
        <w:ind w:firstLine="481" w:firstLineChars="200"/>
        <w:rPr>
          <w:rFonts w:ascii="宋体" w:hAnsi="宋体" w:cs="仿宋_GB2312"/>
          <w:b/>
          <w:bCs/>
          <w:sz w:val="24"/>
        </w:rPr>
      </w:pPr>
      <w:r>
        <w:rPr>
          <w:rFonts w:hint="eastAsia" w:ascii="宋体" w:hAnsi="宋体" w:cs="仿宋_GB2312"/>
          <w:b/>
          <w:bCs/>
          <w:sz w:val="24"/>
        </w:rPr>
        <w:t>三、承包人责任</w:t>
      </w:r>
    </w:p>
    <w:p>
      <w:pPr>
        <w:snapToGrid w:val="0"/>
        <w:spacing w:line="360" w:lineRule="auto"/>
        <w:ind w:firstLine="480" w:firstLineChars="200"/>
        <w:rPr>
          <w:rFonts w:ascii="宋体" w:hAnsi="宋体" w:cs="仿宋_GB2312"/>
          <w:sz w:val="24"/>
        </w:rPr>
      </w:pPr>
      <w:r>
        <w:rPr>
          <w:rFonts w:hint="eastAsia" w:ascii="宋体" w:hAnsi="宋体" w:cs="仿宋_GB2312"/>
          <w:sz w:val="24"/>
        </w:rPr>
        <w:t>应与发包人保持正常的业务交往，按照有关法律法规和程序开展业务工作，严格执行工程建设的有关方针、政策，执行工程建设强制性标准，并遵守以下规定：</w:t>
      </w:r>
    </w:p>
    <w:p>
      <w:pPr>
        <w:snapToGrid w:val="0"/>
        <w:spacing w:line="360" w:lineRule="auto"/>
        <w:ind w:firstLine="480" w:firstLineChars="200"/>
        <w:rPr>
          <w:rFonts w:ascii="宋体" w:hAnsi="宋体" w:cs="仿宋_GB2312"/>
          <w:sz w:val="24"/>
        </w:rPr>
      </w:pPr>
      <w:r>
        <w:rPr>
          <w:rFonts w:hint="eastAsia" w:ascii="宋体" w:hAnsi="宋体" w:cs="仿宋_GB2312"/>
          <w:sz w:val="24"/>
        </w:rPr>
        <w:t>3.1不得以任何理由向发包人及其工作人员索要、接受或赠送礼金、有价证券、贵重物品及回扣、好处费、感谢费等。</w:t>
      </w:r>
    </w:p>
    <w:p>
      <w:pPr>
        <w:snapToGrid w:val="0"/>
        <w:spacing w:line="360" w:lineRule="auto"/>
        <w:ind w:firstLine="480" w:firstLineChars="200"/>
        <w:rPr>
          <w:rFonts w:ascii="宋体" w:hAnsi="宋体" w:cs="仿宋_GB2312"/>
          <w:sz w:val="24"/>
        </w:rPr>
      </w:pPr>
      <w:r>
        <w:rPr>
          <w:rFonts w:hint="eastAsia" w:ascii="宋体" w:hAnsi="宋体" w:cs="仿宋_GB2312"/>
          <w:sz w:val="24"/>
        </w:rPr>
        <w:t>3.2不得以任何理由为发包人和相关单位报销应由对方或个人支付的费用。</w:t>
      </w:r>
    </w:p>
    <w:p>
      <w:pPr>
        <w:snapToGrid w:val="0"/>
        <w:spacing w:line="360" w:lineRule="auto"/>
        <w:ind w:firstLine="480" w:firstLineChars="200"/>
        <w:rPr>
          <w:rFonts w:ascii="宋体" w:hAnsi="宋体" w:cs="仿宋_GB2312"/>
          <w:sz w:val="24"/>
        </w:rPr>
      </w:pPr>
      <w:r>
        <w:rPr>
          <w:rFonts w:hint="eastAsia" w:ascii="宋体" w:hAnsi="宋体" w:cs="仿宋_GB2312"/>
          <w:sz w:val="24"/>
        </w:rPr>
        <w:t>3.3不得接受或暗示为发包人、相关单位或个人装修住房、婚丧嫁娶、配偶子女的工作安排以及出国(境)、旅游等提供方便。</w:t>
      </w:r>
    </w:p>
    <w:p>
      <w:pPr>
        <w:snapToGrid w:val="0"/>
        <w:spacing w:line="360" w:lineRule="auto"/>
        <w:ind w:firstLine="480" w:firstLineChars="200"/>
        <w:rPr>
          <w:rFonts w:ascii="宋体" w:hAnsi="宋体" w:cs="仿宋_GB2312"/>
          <w:b/>
          <w:bCs/>
          <w:sz w:val="24"/>
        </w:rPr>
      </w:pPr>
      <w:r>
        <w:rPr>
          <w:rFonts w:hint="eastAsia" w:ascii="宋体" w:hAnsi="宋体" w:cs="仿宋_GB2312"/>
          <w:sz w:val="24"/>
        </w:rPr>
        <w:t>3.4不得以任何理由为发包人、相关单位或个人组织有可能影响公正执行公务的宴请、健身、娱乐等活动。</w:t>
      </w:r>
    </w:p>
    <w:p>
      <w:pPr>
        <w:snapToGrid w:val="0"/>
        <w:spacing w:line="360" w:lineRule="auto"/>
        <w:ind w:firstLine="481" w:firstLineChars="200"/>
        <w:rPr>
          <w:rFonts w:ascii="宋体" w:hAnsi="宋体" w:cs="仿宋_GB2312"/>
          <w:b/>
          <w:bCs/>
          <w:sz w:val="24"/>
        </w:rPr>
      </w:pPr>
      <w:r>
        <w:rPr>
          <w:rFonts w:hint="eastAsia" w:ascii="宋体" w:hAnsi="宋体" w:cs="仿宋_GB2312"/>
          <w:b/>
          <w:bCs/>
          <w:sz w:val="24"/>
        </w:rPr>
        <w:t>四、违约责任</w:t>
      </w:r>
    </w:p>
    <w:p>
      <w:pPr>
        <w:snapToGrid w:val="0"/>
        <w:spacing w:line="360" w:lineRule="auto"/>
        <w:ind w:firstLine="480" w:firstLineChars="200"/>
        <w:rPr>
          <w:rFonts w:ascii="宋体" w:hAnsi="宋体" w:cs="仿宋_GB2312"/>
          <w:sz w:val="24"/>
        </w:rPr>
      </w:pPr>
      <w:r>
        <w:rPr>
          <w:rFonts w:hint="eastAsia" w:ascii="宋体" w:hAnsi="宋体" w:cs="仿宋_GB2312"/>
          <w:sz w:val="24"/>
        </w:rPr>
        <w:t>4.1发包人工作人员有违反本责任书第一、二条责任行为的，依据有关法律、法规给予处理；涉嫌犯罪的，移交司法机关追究刑事责任；给承包人单位造成经济损失的，应予以赔偿。</w:t>
      </w:r>
    </w:p>
    <w:p>
      <w:pPr>
        <w:snapToGrid w:val="0"/>
        <w:spacing w:line="360" w:lineRule="auto"/>
        <w:ind w:firstLine="480" w:firstLineChars="200"/>
        <w:rPr>
          <w:rFonts w:ascii="宋体" w:hAnsi="宋体" w:cs="仿宋_GB2312"/>
          <w:sz w:val="24"/>
        </w:rPr>
      </w:pPr>
      <w:r>
        <w:rPr>
          <w:rFonts w:hint="eastAsia" w:ascii="宋体" w:hAnsi="宋体" w:cs="仿宋_GB2312"/>
          <w:sz w:val="24"/>
        </w:rPr>
        <w:t>4.2承包人工作人员有违反本责任书第一、三条责任行为的，依据有关法律法规处理；涉嫌犯罪的，移交司法机关追究刑事责任；给发包人单位造成经济损失的，应予以赔偿。</w:t>
      </w:r>
    </w:p>
    <w:p>
      <w:pPr>
        <w:snapToGrid w:val="0"/>
        <w:spacing w:line="360" w:lineRule="auto"/>
        <w:ind w:firstLine="480" w:firstLineChars="200"/>
        <w:rPr>
          <w:rFonts w:ascii="宋体" w:hAnsi="宋体" w:cs="仿宋_GB2312"/>
          <w:sz w:val="24"/>
        </w:rPr>
      </w:pPr>
      <w:r>
        <w:rPr>
          <w:rFonts w:hint="eastAsia" w:ascii="宋体" w:hAnsi="宋体" w:cs="仿宋_GB2312"/>
          <w:sz w:val="24"/>
        </w:rPr>
        <w:t>4.3本责任书作为本合同的组成部分，与本合同具有同等法律效力，经双方签署后立即生效。</w:t>
      </w:r>
    </w:p>
    <w:p>
      <w:pPr>
        <w:snapToGrid w:val="0"/>
        <w:spacing w:line="360" w:lineRule="auto"/>
        <w:ind w:firstLine="481" w:firstLineChars="200"/>
        <w:rPr>
          <w:rFonts w:ascii="宋体" w:hAnsi="宋体" w:cs="仿宋_GB2312"/>
          <w:b/>
          <w:bCs/>
          <w:sz w:val="24"/>
        </w:rPr>
      </w:pPr>
      <w:r>
        <w:rPr>
          <w:rFonts w:hint="eastAsia" w:ascii="宋体" w:hAnsi="宋体" w:cs="仿宋_GB2312"/>
          <w:b/>
          <w:bCs/>
          <w:sz w:val="24"/>
        </w:rPr>
        <w:t>五、责任书有效期</w:t>
      </w:r>
    </w:p>
    <w:p>
      <w:pPr>
        <w:snapToGrid w:val="0"/>
        <w:spacing w:line="360" w:lineRule="auto"/>
        <w:ind w:firstLine="480" w:firstLineChars="200"/>
        <w:rPr>
          <w:rFonts w:ascii="宋体" w:hAnsi="宋体" w:cs="仿宋_GB2312"/>
          <w:sz w:val="24"/>
        </w:rPr>
      </w:pPr>
      <w:r>
        <w:rPr>
          <w:rFonts w:hint="eastAsia" w:ascii="宋体" w:hAnsi="宋体" w:cs="仿宋_GB2312"/>
          <w:sz w:val="24"/>
        </w:rPr>
        <w:t>本责任书的有效期为双方签署之日起至该工程项目竣工验收合格时止。</w:t>
      </w:r>
    </w:p>
    <w:p>
      <w:pPr>
        <w:snapToGrid w:val="0"/>
        <w:spacing w:line="360" w:lineRule="auto"/>
        <w:ind w:firstLine="481" w:firstLineChars="200"/>
        <w:rPr>
          <w:rFonts w:ascii="宋体" w:hAnsi="宋体" w:cs="仿宋_GB2312"/>
          <w:b/>
          <w:bCs/>
          <w:sz w:val="24"/>
        </w:rPr>
      </w:pPr>
      <w:r>
        <w:rPr>
          <w:rFonts w:hint="eastAsia" w:ascii="宋体" w:hAnsi="宋体" w:cs="仿宋_GB2312"/>
          <w:b/>
          <w:bCs/>
          <w:sz w:val="24"/>
        </w:rPr>
        <w:t>六、责任书份数</w:t>
      </w:r>
    </w:p>
    <w:p>
      <w:pPr>
        <w:snapToGrid w:val="0"/>
        <w:spacing w:line="360" w:lineRule="auto"/>
        <w:ind w:firstLine="480" w:firstLineChars="200"/>
        <w:rPr>
          <w:rFonts w:ascii="仿宋_GB2312" w:hAnsi="仿宋_GB2312" w:eastAsia="仿宋_GB2312" w:cs="仿宋_GB2312"/>
          <w:sz w:val="30"/>
          <w:szCs w:val="30"/>
        </w:rPr>
      </w:pPr>
      <w:r>
        <w:rPr>
          <w:rFonts w:hint="eastAsia" w:ascii="宋体" w:hAnsi="宋体" w:cs="仿宋_GB2312"/>
          <w:sz w:val="24"/>
        </w:rPr>
        <w:t>本责任书一式两份，发包人承包人各执一份，具有同等效力。</w:t>
      </w:r>
    </w:p>
    <w:p>
      <w:pPr>
        <w:snapToGrid w:val="0"/>
        <w:spacing w:line="360" w:lineRule="auto"/>
        <w:ind w:left="105" w:leftChars="50" w:firstLine="600"/>
        <w:rPr>
          <w:rFonts w:ascii="仿宋_GB2312" w:hAnsi="仿宋_GB2312" w:eastAsia="仿宋_GB2312" w:cs="仿宋_GB2312"/>
          <w:sz w:val="30"/>
          <w:szCs w:val="30"/>
        </w:rPr>
      </w:pPr>
      <w:r>
        <mc:AlternateContent>
          <mc:Choice Requires="wps">
            <w:drawing>
              <wp:anchor distT="0" distB="0" distL="114300" distR="114300" simplePos="0" relativeHeight="251663360" behindDoc="0" locked="0" layoutInCell="1" allowOverlap="1">
                <wp:simplePos x="0" y="0"/>
                <wp:positionH relativeFrom="column">
                  <wp:posOffset>2803525</wp:posOffset>
                </wp:positionH>
                <wp:positionV relativeFrom="paragraph">
                  <wp:posOffset>62230</wp:posOffset>
                </wp:positionV>
                <wp:extent cx="2865755" cy="2667635"/>
                <wp:effectExtent l="0" t="0" r="10795" b="18415"/>
                <wp:wrapNone/>
                <wp:docPr id="11" name="文本框 11"/>
                <wp:cNvGraphicFramePr/>
                <a:graphic xmlns:a="http://schemas.openxmlformats.org/drawingml/2006/main">
                  <a:graphicData uri="http://schemas.microsoft.com/office/word/2010/wordprocessingShape">
                    <wps:wsp>
                      <wps:cNvSpPr txBox="true"/>
                      <wps:spPr>
                        <a:xfrm>
                          <a:off x="0" y="0"/>
                          <a:ext cx="2865755" cy="2667635"/>
                        </a:xfrm>
                        <a:prstGeom prst="rect">
                          <a:avLst/>
                        </a:prstGeom>
                        <a:solidFill>
                          <a:srgbClr val="FFFFFF"/>
                        </a:solidFill>
                        <a:ln>
                          <a:noFill/>
                        </a:ln>
                        <a:effectLst/>
                      </wps:spPr>
                      <wps:txbx>
                        <w:txbxContent>
                          <w:p>
                            <w:pPr>
                              <w:ind w:firstLine="560"/>
                              <w:rPr>
                                <w:rFonts w:ascii="宋体" w:hAnsi="宋体" w:cs="仿宋"/>
                                <w:sz w:val="24"/>
                              </w:rPr>
                            </w:pPr>
                            <w:r>
                              <w:rPr>
                                <w:rFonts w:hint="eastAsia" w:ascii="宋体" w:hAnsi="宋体" w:cs="仿宋"/>
                                <w:sz w:val="24"/>
                              </w:rPr>
                              <w:t>承包人：（公章）</w:t>
                            </w:r>
                          </w:p>
                          <w:p>
                            <w:pPr>
                              <w:ind w:firstLine="560"/>
                              <w:rPr>
                                <w:rFonts w:ascii="宋体" w:hAnsi="宋体" w:cs="仿宋"/>
                                <w:sz w:val="24"/>
                                <w:u w:val="single"/>
                              </w:rPr>
                            </w:pPr>
                            <w:r>
                              <w:rPr>
                                <w:rFonts w:hint="eastAsia" w:ascii="宋体" w:hAnsi="宋体" w:cs="仿宋"/>
                                <w:sz w:val="24"/>
                              </w:rPr>
                              <w:t>法定代表人或其委托代理人：（签字）</w:t>
                            </w:r>
                            <w:r>
                              <w:rPr>
                                <w:rFonts w:hint="eastAsia" w:ascii="宋体" w:hAnsi="宋体" w:cs="仿宋"/>
                                <w:sz w:val="24"/>
                                <w:u w:val="single"/>
                              </w:rPr>
                              <w:t xml:space="preserve">                       </w:t>
                            </w:r>
                          </w:p>
                          <w:p>
                            <w:pPr>
                              <w:ind w:firstLine="560"/>
                              <w:rPr>
                                <w:rFonts w:ascii="宋体" w:hAnsi="宋体" w:cs="仿宋"/>
                                <w:sz w:val="24"/>
                                <w:u w:val="single"/>
                              </w:rPr>
                            </w:pPr>
                            <w:r>
                              <w:rPr>
                                <w:rFonts w:hint="eastAsia" w:ascii="宋体" w:hAnsi="宋体" w:cs="仿宋"/>
                                <w:sz w:val="24"/>
                              </w:rPr>
                              <w:t>地  址：</w:t>
                            </w:r>
                            <w:r>
                              <w:rPr>
                                <w:rFonts w:hint="eastAsia" w:ascii="宋体" w:hAnsi="宋体" w:cs="仿宋"/>
                                <w:sz w:val="24"/>
                                <w:u w:val="single"/>
                              </w:rPr>
                              <w:t xml:space="preserve">                            </w:t>
                            </w:r>
                            <w:r>
                              <w:rPr>
                                <w:rFonts w:hint="eastAsia" w:ascii="宋体" w:hAnsi="宋体" w:cs="仿宋"/>
                                <w:sz w:val="24"/>
                              </w:rPr>
                              <w:t xml:space="preserve"> </w:t>
                            </w:r>
                          </w:p>
                          <w:p>
                            <w:pPr>
                              <w:ind w:firstLine="560"/>
                              <w:rPr>
                                <w:rFonts w:ascii="宋体" w:hAnsi="宋体" w:cs="仿宋"/>
                                <w:sz w:val="24"/>
                                <w:u w:val="single"/>
                              </w:rPr>
                            </w:pPr>
                            <w:r>
                              <w:rPr>
                                <w:rFonts w:hint="eastAsia" w:ascii="宋体" w:hAnsi="宋体" w:cs="仿宋"/>
                                <w:sz w:val="24"/>
                              </w:rPr>
                              <w:t>电  话：</w:t>
                            </w:r>
                            <w:r>
                              <w:rPr>
                                <w:rFonts w:hint="eastAsia" w:ascii="宋体" w:hAnsi="宋体" w:cs="仿宋"/>
                                <w:sz w:val="24"/>
                                <w:u w:val="single"/>
                              </w:rPr>
                              <w:t xml:space="preserve">                            </w:t>
                            </w:r>
                            <w:r>
                              <w:rPr>
                                <w:rFonts w:hint="eastAsia" w:ascii="宋体" w:hAnsi="宋体" w:cs="仿宋"/>
                                <w:sz w:val="24"/>
                              </w:rPr>
                              <w:t xml:space="preserve"> </w:t>
                            </w:r>
                          </w:p>
                          <w:p>
                            <w:pPr>
                              <w:ind w:firstLine="560"/>
                              <w:rPr>
                                <w:rFonts w:ascii="宋体" w:hAnsi="宋体"/>
                                <w:sz w:val="24"/>
                                <w:u w:val="single"/>
                              </w:rPr>
                            </w:pPr>
                            <w:r>
                              <w:rPr>
                                <w:rFonts w:hint="eastAsia" w:ascii="宋体" w:hAnsi="宋体" w:cs="仿宋"/>
                                <w:sz w:val="24"/>
                              </w:rPr>
                              <w:t>日  期：</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p>
                        </w:txbxContent>
                      </wps:txbx>
                      <wps:bodyPr wrap="square" upright="true"/>
                    </wps:wsp>
                  </a:graphicData>
                </a:graphic>
              </wp:anchor>
            </w:drawing>
          </mc:Choice>
          <mc:Fallback>
            <w:pict>
              <v:shape id="_x0000_s1026" o:spid="_x0000_s1026" o:spt="202" type="#_x0000_t202" style="position:absolute;left:0pt;margin-left:220.75pt;margin-top:4.9pt;height:210.05pt;width:225.65pt;z-index:251663360;mso-width-relative:page;mso-height-relative:page;" fillcolor="#FFFFFF" filled="t" stroked="f" coordsize="21600,21600" o:gfxdata="UEsFBgAAAAAAAAAAAAAAAAAAAAAAAFBLAwQKAAAAAACHTuJAAAAAAAAAAAAAAAAABAAAAGRycy9Q&#10;SwMEFAAAAAgAh07iQF/vTdvXAAAACQEAAA8AAABkcnMvZG93bnJldi54bWxNj81qwzAQhO+FvoPY&#10;Qi+lkW2cHzmWAy209Jo0DyBbG9vEWhlLiZO37/bU3nb4htmZcndzg7jiFHpPGtJFAgKp8banVsPx&#10;++N1AyJEQ9YMnlDDHQPsqseH0hTWz7TH6yG2gkMoFEZDF+NYSBmaDp0JCz8iMTv5yZnIcmqlnczM&#10;4W6QWZKspDM98YfOjPjeYXM+XJyG09f8slRz/RmP632+ejP9uvZ3rZ+f0mQLIuIt/pnhtz5Xh4o7&#10;1f5CNohBQ56nS7ZqULyA+UZlfNQMMqVAVqX8v6D6AVBLAwQUAAAACACHTuJAs9K3Q7oBAABOAwAA&#10;DgAAAGRycy9lMm9Eb2MueG1srVNLbtswEN0XyB0I7mPaLqwEguUAbeBsgrZAmgPQFCUR4K9D2pIv&#10;0N6gq26677l8jg4p2U3bXVEvaHLm8XHem9H6bjCaHCQE5WxFF7M5JdIKVyvbVvT54/b6lpIQua25&#10;dlZW9CgDvdtcvVr3vpRL1zldSyBIYkPZ+4p2MfqSsSA6aXiYOS8tJhsHhkc8Qstq4D2yG82W83nB&#10;ege1BydkCBi9H5N0k/mbRor4vmmCjERXFGuLeYW87tLKNmtetsB9p8RUBv+HKgxXFh+9UN3zyMke&#10;1F9URglwwTVxJpxhrmmUkFkDqlnM/1Dz1HEvsxY0J/iLTeH/0Yp3hw9AVI29W1BiucEenb5+OX37&#10;cfr+mWAMDep9KBH35BEZhzduqGiEvTynAsaT9KEBk/5RFEEIun28OCyHSAQGl7fF6ma1okRgblkU&#10;N8XrVeJhv657CPFBOkPSpqKALczO8sNjiCP0DEmvBadVvVVa5wO0u7cayIFju7f5N7H/BtM2ga1L&#10;10bGMSLzwEzPJNWjtLSLw26YrNi5+ohO9Dg0FQ2f9hwkJXsPqu2w3rMzLN3CpmVt04ClqXh5xv3L&#10;z2Dz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F/vTdvXAAAACQEAAA8AAAAAAAAAAQAgAAAAOAAA&#10;AGRycy9kb3ducmV2LnhtbFBLAQIUABQAAAAIAIdO4kCz0rdDugEAAE4DAAAOAAAAAAAAAAEAIAAA&#10;ADwBAABkcnMvZTJvRG9jLnhtbFBLBQYAAAAABgAGAFkBAABoBQAAAAA=&#10;">
                <v:fill on="t" focussize="0,0"/>
                <v:stroke on="f"/>
                <v:imagedata o:title=""/>
                <o:lock v:ext="edit" aspectratio="f"/>
                <v:textbox>
                  <w:txbxContent>
                    <w:p>
                      <w:pPr>
                        <w:ind w:firstLine="560"/>
                        <w:rPr>
                          <w:rFonts w:ascii="宋体" w:hAnsi="宋体" w:cs="仿宋"/>
                          <w:sz w:val="24"/>
                        </w:rPr>
                      </w:pPr>
                      <w:r>
                        <w:rPr>
                          <w:rFonts w:hint="eastAsia" w:ascii="宋体" w:hAnsi="宋体" w:cs="仿宋"/>
                          <w:sz w:val="24"/>
                        </w:rPr>
                        <w:t>承包人：（公章）</w:t>
                      </w:r>
                    </w:p>
                    <w:p>
                      <w:pPr>
                        <w:ind w:firstLine="560"/>
                        <w:rPr>
                          <w:rFonts w:ascii="宋体" w:hAnsi="宋体" w:cs="仿宋"/>
                          <w:sz w:val="24"/>
                          <w:u w:val="single"/>
                        </w:rPr>
                      </w:pPr>
                      <w:r>
                        <w:rPr>
                          <w:rFonts w:hint="eastAsia" w:ascii="宋体" w:hAnsi="宋体" w:cs="仿宋"/>
                          <w:sz w:val="24"/>
                        </w:rPr>
                        <w:t>法定代表人或其委托代理人：（签字）</w:t>
                      </w:r>
                      <w:r>
                        <w:rPr>
                          <w:rFonts w:hint="eastAsia" w:ascii="宋体" w:hAnsi="宋体" w:cs="仿宋"/>
                          <w:sz w:val="24"/>
                          <w:u w:val="single"/>
                        </w:rPr>
                        <w:t xml:space="preserve">                       </w:t>
                      </w:r>
                    </w:p>
                    <w:p>
                      <w:pPr>
                        <w:ind w:firstLine="560"/>
                        <w:rPr>
                          <w:rFonts w:ascii="宋体" w:hAnsi="宋体" w:cs="仿宋"/>
                          <w:sz w:val="24"/>
                          <w:u w:val="single"/>
                        </w:rPr>
                      </w:pPr>
                      <w:r>
                        <w:rPr>
                          <w:rFonts w:hint="eastAsia" w:ascii="宋体" w:hAnsi="宋体" w:cs="仿宋"/>
                          <w:sz w:val="24"/>
                        </w:rPr>
                        <w:t>地  址：</w:t>
                      </w:r>
                      <w:r>
                        <w:rPr>
                          <w:rFonts w:hint="eastAsia" w:ascii="宋体" w:hAnsi="宋体" w:cs="仿宋"/>
                          <w:sz w:val="24"/>
                          <w:u w:val="single"/>
                        </w:rPr>
                        <w:t xml:space="preserve">                            </w:t>
                      </w:r>
                      <w:r>
                        <w:rPr>
                          <w:rFonts w:hint="eastAsia" w:ascii="宋体" w:hAnsi="宋体" w:cs="仿宋"/>
                          <w:sz w:val="24"/>
                        </w:rPr>
                        <w:t xml:space="preserve"> </w:t>
                      </w:r>
                    </w:p>
                    <w:p>
                      <w:pPr>
                        <w:ind w:firstLine="560"/>
                        <w:rPr>
                          <w:rFonts w:ascii="宋体" w:hAnsi="宋体" w:cs="仿宋"/>
                          <w:sz w:val="24"/>
                          <w:u w:val="single"/>
                        </w:rPr>
                      </w:pPr>
                      <w:r>
                        <w:rPr>
                          <w:rFonts w:hint="eastAsia" w:ascii="宋体" w:hAnsi="宋体" w:cs="仿宋"/>
                          <w:sz w:val="24"/>
                        </w:rPr>
                        <w:t>电  话：</w:t>
                      </w:r>
                      <w:r>
                        <w:rPr>
                          <w:rFonts w:hint="eastAsia" w:ascii="宋体" w:hAnsi="宋体" w:cs="仿宋"/>
                          <w:sz w:val="24"/>
                          <w:u w:val="single"/>
                        </w:rPr>
                        <w:t xml:space="preserve">                            </w:t>
                      </w:r>
                      <w:r>
                        <w:rPr>
                          <w:rFonts w:hint="eastAsia" w:ascii="宋体" w:hAnsi="宋体" w:cs="仿宋"/>
                          <w:sz w:val="24"/>
                        </w:rPr>
                        <w:t xml:space="preserve"> </w:t>
                      </w:r>
                    </w:p>
                    <w:p>
                      <w:pPr>
                        <w:ind w:firstLine="560"/>
                        <w:rPr>
                          <w:rFonts w:ascii="宋体" w:hAnsi="宋体"/>
                          <w:sz w:val="24"/>
                          <w:u w:val="single"/>
                        </w:rPr>
                      </w:pPr>
                      <w:r>
                        <w:rPr>
                          <w:rFonts w:hint="eastAsia" w:ascii="宋体" w:hAnsi="宋体" w:cs="仿宋"/>
                          <w:sz w:val="24"/>
                        </w:rPr>
                        <w:t>日  期：</w:t>
                      </w:r>
                      <w:r>
                        <w:rPr>
                          <w:rFonts w:hint="eastAsia" w:ascii="宋体" w:hAnsi="宋体" w:cs="仿宋"/>
                          <w:sz w:val="24"/>
                          <w:u w:val="single"/>
                        </w:rPr>
                        <w:t xml:space="preserve">      </w:t>
                      </w:r>
                      <w:r>
                        <w:rPr>
                          <w:rFonts w:hint="eastAsia" w:ascii="宋体" w:hAnsi="宋体" w:cs="仿宋"/>
                          <w:sz w:val="24"/>
                        </w:rPr>
                        <w:t>年</w:t>
                      </w:r>
                      <w:r>
                        <w:rPr>
                          <w:rFonts w:hint="eastAsia" w:ascii="宋体" w:hAnsi="宋体" w:cs="仿宋"/>
                          <w:sz w:val="24"/>
                          <w:u w:val="single"/>
                        </w:rPr>
                        <w:t xml:space="preserve">   </w:t>
                      </w:r>
                      <w:r>
                        <w:rPr>
                          <w:rFonts w:hint="eastAsia" w:ascii="宋体" w:hAnsi="宋体" w:cs="仿宋"/>
                          <w:sz w:val="24"/>
                        </w:rPr>
                        <w:t>月</w:t>
                      </w:r>
                      <w:r>
                        <w:rPr>
                          <w:rFonts w:hint="eastAsia" w:ascii="宋体" w:hAnsi="宋体" w:cs="仿宋"/>
                          <w:sz w:val="24"/>
                          <w:u w:val="single"/>
                        </w:rPr>
                        <w:t xml:space="preserve">   </w:t>
                      </w:r>
                      <w:r>
                        <w:rPr>
                          <w:rFonts w:hint="eastAsia" w:ascii="宋体" w:hAnsi="宋体" w:cs="仿宋"/>
                          <w:sz w:val="24"/>
                        </w:rPr>
                        <w:t>日</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-60960</wp:posOffset>
                </wp:positionH>
                <wp:positionV relativeFrom="paragraph">
                  <wp:posOffset>63500</wp:posOffset>
                </wp:positionV>
                <wp:extent cx="2865755" cy="2667635"/>
                <wp:effectExtent l="0" t="0" r="10795" b="18415"/>
                <wp:wrapNone/>
                <wp:docPr id="10" name="文本框 10"/>
                <wp:cNvGraphicFramePr/>
                <a:graphic xmlns:a="http://schemas.openxmlformats.org/drawingml/2006/main">
                  <a:graphicData uri="http://schemas.microsoft.com/office/word/2010/wordprocessingShape">
                    <wps:wsp>
                      <wps:cNvSpPr txBox="true"/>
                      <wps:spPr>
                        <a:xfrm>
                          <a:off x="0" y="0"/>
                          <a:ext cx="2865755" cy="2667635"/>
                        </a:xfrm>
                        <a:prstGeom prst="rect">
                          <a:avLst/>
                        </a:prstGeom>
                        <a:solidFill>
                          <a:srgbClr val="FFFFFF"/>
                        </a:solidFill>
                        <a:ln>
                          <a:noFill/>
                        </a:ln>
                        <a:effectLst/>
                      </wps:spPr>
                      <wps:txbx>
                        <w:txbxContent>
                          <w:p>
                            <w:pPr>
                              <w:ind w:firstLine="560"/>
                              <w:rPr>
                                <w:rFonts w:ascii="宋体" w:hAnsi="宋体" w:cs="仿宋"/>
                                <w:sz w:val="28"/>
                                <w:szCs w:val="28"/>
                              </w:rPr>
                            </w:pPr>
                            <w:r>
                              <w:rPr>
                                <w:rFonts w:hint="eastAsia" w:ascii="宋体" w:hAnsi="宋体" w:cs="仿宋"/>
                                <w:sz w:val="28"/>
                                <w:szCs w:val="28"/>
                              </w:rPr>
                              <w:t>发包人：（公章）</w:t>
                            </w:r>
                          </w:p>
                          <w:p>
                            <w:pPr>
                              <w:ind w:firstLine="560"/>
                              <w:rPr>
                                <w:rFonts w:ascii="宋体" w:hAnsi="宋体" w:cs="仿宋"/>
                                <w:sz w:val="28"/>
                                <w:szCs w:val="28"/>
                                <w:u w:val="single"/>
                              </w:rPr>
                            </w:pPr>
                            <w:r>
                              <w:rPr>
                                <w:rFonts w:hint="eastAsia" w:ascii="宋体" w:hAnsi="宋体" w:cs="仿宋"/>
                                <w:sz w:val="28"/>
                                <w:szCs w:val="28"/>
                              </w:rPr>
                              <w:t>法定代表人或其委托代理人：（签字）</w:t>
                            </w:r>
                            <w:r>
                              <w:rPr>
                                <w:rFonts w:hint="eastAsia" w:ascii="宋体" w:hAnsi="宋体" w:cs="仿宋"/>
                                <w:sz w:val="28"/>
                                <w:szCs w:val="28"/>
                                <w:u w:val="single"/>
                              </w:rPr>
                              <w:t xml:space="preserve">                       </w:t>
                            </w:r>
                          </w:p>
                          <w:p>
                            <w:pPr>
                              <w:ind w:firstLine="560"/>
                              <w:rPr>
                                <w:rFonts w:ascii="宋体" w:hAnsi="宋体" w:cs="仿宋"/>
                                <w:sz w:val="28"/>
                                <w:szCs w:val="28"/>
                                <w:u w:val="single"/>
                              </w:rPr>
                            </w:pPr>
                            <w:r>
                              <w:rPr>
                                <w:rFonts w:hint="eastAsia" w:ascii="宋体" w:hAnsi="宋体" w:cs="仿宋"/>
                                <w:sz w:val="28"/>
                                <w:szCs w:val="28"/>
                              </w:rPr>
                              <w:t>地  址：</w:t>
                            </w:r>
                            <w:r>
                              <w:rPr>
                                <w:rFonts w:hint="eastAsia" w:ascii="宋体" w:hAnsi="宋体" w:cs="仿宋"/>
                                <w:sz w:val="28"/>
                                <w:szCs w:val="28"/>
                                <w:u w:val="single"/>
                              </w:rPr>
                              <w:t xml:space="preserve">                            </w:t>
                            </w:r>
                            <w:r>
                              <w:rPr>
                                <w:rFonts w:hint="eastAsia" w:ascii="宋体" w:hAnsi="宋体" w:cs="仿宋"/>
                                <w:sz w:val="28"/>
                                <w:szCs w:val="28"/>
                              </w:rPr>
                              <w:t xml:space="preserve"> </w:t>
                            </w:r>
                          </w:p>
                          <w:p>
                            <w:pPr>
                              <w:ind w:firstLine="560"/>
                              <w:rPr>
                                <w:rFonts w:ascii="宋体" w:hAnsi="宋体" w:cs="仿宋"/>
                                <w:sz w:val="28"/>
                                <w:szCs w:val="28"/>
                                <w:u w:val="single"/>
                              </w:rPr>
                            </w:pPr>
                            <w:r>
                              <w:rPr>
                                <w:rFonts w:hint="eastAsia" w:ascii="宋体" w:hAnsi="宋体" w:cs="仿宋"/>
                                <w:sz w:val="28"/>
                                <w:szCs w:val="28"/>
                              </w:rPr>
                              <w:t>电  话：</w:t>
                            </w:r>
                            <w:r>
                              <w:rPr>
                                <w:rFonts w:hint="eastAsia" w:ascii="宋体" w:hAnsi="宋体" w:cs="仿宋"/>
                                <w:sz w:val="28"/>
                                <w:szCs w:val="28"/>
                                <w:u w:val="single"/>
                              </w:rPr>
                              <w:t xml:space="preserve">                            </w:t>
                            </w:r>
                            <w:r>
                              <w:rPr>
                                <w:rFonts w:hint="eastAsia" w:ascii="宋体" w:hAnsi="宋体" w:cs="仿宋"/>
                                <w:sz w:val="28"/>
                                <w:szCs w:val="28"/>
                              </w:rPr>
                              <w:t xml:space="preserve"> </w:t>
                            </w:r>
                          </w:p>
                          <w:p>
                            <w:pPr>
                              <w:ind w:firstLine="560"/>
                              <w:rPr>
                                <w:rFonts w:ascii="宋体" w:hAnsi="宋体"/>
                                <w:sz w:val="28"/>
                                <w:szCs w:val="28"/>
                                <w:u w:val="single"/>
                              </w:rPr>
                            </w:pPr>
                            <w:r>
                              <w:rPr>
                                <w:rFonts w:hint="eastAsia" w:ascii="宋体" w:hAnsi="宋体" w:cs="仿宋"/>
                                <w:sz w:val="28"/>
                                <w:szCs w:val="28"/>
                              </w:rPr>
                              <w:t>日  期：</w:t>
                            </w:r>
                            <w:r>
                              <w:rPr>
                                <w:rFonts w:hint="eastAsia" w:ascii="宋体" w:hAnsi="宋体" w:cs="仿宋"/>
                                <w:sz w:val="28"/>
                                <w:szCs w:val="28"/>
                                <w:u w:val="single"/>
                              </w:rPr>
                              <w:t xml:space="preserve">      </w:t>
                            </w:r>
                            <w:r>
                              <w:rPr>
                                <w:rFonts w:hint="eastAsia" w:ascii="宋体" w:hAnsi="宋体" w:cs="仿宋"/>
                                <w:sz w:val="28"/>
                                <w:szCs w:val="28"/>
                              </w:rPr>
                              <w:t>年</w:t>
                            </w:r>
                            <w:r>
                              <w:rPr>
                                <w:rFonts w:hint="eastAsia" w:ascii="宋体" w:hAnsi="宋体" w:cs="仿宋"/>
                                <w:sz w:val="28"/>
                                <w:szCs w:val="28"/>
                                <w:u w:val="single"/>
                              </w:rPr>
                              <w:t xml:space="preserve">   </w:t>
                            </w:r>
                            <w:r>
                              <w:rPr>
                                <w:rFonts w:hint="eastAsia" w:ascii="宋体" w:hAnsi="宋体" w:cs="仿宋"/>
                                <w:sz w:val="28"/>
                                <w:szCs w:val="28"/>
                              </w:rPr>
                              <w:t>月</w:t>
                            </w:r>
                            <w:r>
                              <w:rPr>
                                <w:rFonts w:hint="eastAsia" w:ascii="宋体" w:hAnsi="宋体" w:cs="仿宋"/>
                                <w:sz w:val="28"/>
                                <w:szCs w:val="28"/>
                                <w:u w:val="single"/>
                              </w:rPr>
                              <w:t xml:space="preserve">   </w:t>
                            </w:r>
                            <w:r>
                              <w:rPr>
                                <w:rFonts w:hint="eastAsia" w:ascii="宋体" w:hAnsi="宋体" w:cs="仿宋"/>
                                <w:sz w:val="28"/>
                                <w:szCs w:val="28"/>
                              </w:rPr>
                              <w:t>日</w:t>
                            </w:r>
                          </w:p>
                        </w:txbxContent>
                      </wps:txbx>
                      <wps:bodyPr wrap="square" upright="true"/>
                    </wps:wsp>
                  </a:graphicData>
                </a:graphic>
              </wp:anchor>
            </w:drawing>
          </mc:Choice>
          <mc:Fallback>
            <w:pict>
              <v:shape id="_x0000_s1026" o:spid="_x0000_s1026" o:spt="202" type="#_x0000_t202" style="position:absolute;left:0pt;margin-left:-4.8pt;margin-top:5pt;height:210.05pt;width:225.65pt;z-index:251662336;mso-width-relative:page;mso-height-relative:page;" fillcolor="#FFFFFF" filled="t" stroked="f" coordsize="21600,21600" o:gfxdata="UEsFBgAAAAAAAAAAAAAAAAAAAAAAAFBLAwQKAAAAAACHTuJAAAAAAAAAAAAAAAAABAAAAGRycy9Q&#10;SwMEFAAAAAgAh07iQBHkM/zXAAAACQEAAA8AAABkcnMvZG93bnJldi54bWxNj8FOwzAQRO9I/IO1&#10;SFxQawfShIY4lUAq4trSD9jEbhIRr6PYbdq/73KC2+7OaPZNubm4QZztFHpPGpKlAmGp8aanVsPh&#10;e7t4BREiksHBk9VwtQE21f1diYXxM+3seR9bwSEUCtTQxTgWUoamsw7D0o+WWDv6yWHkdWqlmXDm&#10;cDfIZ6Uy6bAn/tDhaD862/zsT07D8Wt+Wq3n+jMe8l2avWOf1/6q9eNDot5ARHuJf2b4xWd0qJip&#10;9icyQQwaFuuMnXxXXIn1NE1yEDUPLyoBWZXyf4PqBlBLAwQUAAAACACHTuJACjxrm7kBAABOAwAA&#10;DgAAAGRycy9lMm9Eb2MueG1srVNLbtswEN0X6B0I7ms6LqwEguUAbeBsgrZAmgPQFCUR4K9D2pIv&#10;0N6gq26677l8jg4p2fntinpBkzOPj/PejFbXg9FkLyEoZyt6MZtTIq1wtbJtRR++bt5dURIitzXX&#10;zsqKHmSg1+u3b1a9L+XCdU7XEgiS2FD2vqJdjL5kLIhOGh5mzkuLycaB4RGP0LIaeI/sRrPFfF6w&#10;3kHtwQkZAkZvxiRdZ/6mkSJ+bpogI9EVxdpiXiGv27Sy9YqXLXDfKTGVwf+hCsOVxUfPVDc8crID&#10;9YrKKAEuuCbOhDPMNY0SMmtANRfzF2ruO+5l1oLmBH+2Kfw/WvFp/wWIqrF3aI/lBnt0/Pnj+OvP&#10;8fd3gjE0qPehRNy9R2QcPrihohF28pQKGE/ShwZM+kdRBCFIdzg7LIdIBAYXV8XycrmkRGBuURSX&#10;xftl4mGP1z2EeCudIWlTUcAWZmf5/i7EEXqCpNeC06reKK3zAdrtRw1kz7Hdm/yb2J/BtE1g69K1&#10;kXGMyDww0zNJ9Sgt7eKwHSYrtq4+oBM9Dk1Fw7cdB0nJzoNqO6z35AxLt7BpWds0YGkqnp5x//Qz&#10;WP8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EeQz/NcAAAAJAQAADwAAAAAAAAABACAAAAA4AAAA&#10;ZHJzL2Rvd25yZXYueG1sUEsBAhQAFAAAAAgAh07iQAo8a5u5AQAATgMAAA4AAAAAAAAAAQAgAAAA&#10;PAEAAGRycy9lMm9Eb2MueG1sUEsFBgAAAAAGAAYAWQEAAGcFAAAAAA==&#10;">
                <v:fill on="t" focussize="0,0"/>
                <v:stroke on="f"/>
                <v:imagedata o:title=""/>
                <o:lock v:ext="edit" aspectratio="f"/>
                <v:textbox>
                  <w:txbxContent>
                    <w:p>
                      <w:pPr>
                        <w:ind w:firstLine="560"/>
                        <w:rPr>
                          <w:rFonts w:ascii="宋体" w:hAnsi="宋体" w:cs="仿宋"/>
                          <w:sz w:val="28"/>
                          <w:szCs w:val="28"/>
                        </w:rPr>
                      </w:pPr>
                      <w:r>
                        <w:rPr>
                          <w:rFonts w:hint="eastAsia" w:ascii="宋体" w:hAnsi="宋体" w:cs="仿宋"/>
                          <w:sz w:val="28"/>
                          <w:szCs w:val="28"/>
                        </w:rPr>
                        <w:t>发包人：（公章）</w:t>
                      </w:r>
                    </w:p>
                    <w:p>
                      <w:pPr>
                        <w:ind w:firstLine="560"/>
                        <w:rPr>
                          <w:rFonts w:ascii="宋体" w:hAnsi="宋体" w:cs="仿宋"/>
                          <w:sz w:val="28"/>
                          <w:szCs w:val="28"/>
                          <w:u w:val="single"/>
                        </w:rPr>
                      </w:pPr>
                      <w:r>
                        <w:rPr>
                          <w:rFonts w:hint="eastAsia" w:ascii="宋体" w:hAnsi="宋体" w:cs="仿宋"/>
                          <w:sz w:val="28"/>
                          <w:szCs w:val="28"/>
                        </w:rPr>
                        <w:t>法定代表人或其委托代理人：（签字）</w:t>
                      </w:r>
                      <w:r>
                        <w:rPr>
                          <w:rFonts w:hint="eastAsia" w:ascii="宋体" w:hAnsi="宋体" w:cs="仿宋"/>
                          <w:sz w:val="28"/>
                          <w:szCs w:val="28"/>
                          <w:u w:val="single"/>
                        </w:rPr>
                        <w:t xml:space="preserve">                       </w:t>
                      </w:r>
                    </w:p>
                    <w:p>
                      <w:pPr>
                        <w:ind w:firstLine="560"/>
                        <w:rPr>
                          <w:rFonts w:ascii="宋体" w:hAnsi="宋体" w:cs="仿宋"/>
                          <w:sz w:val="28"/>
                          <w:szCs w:val="28"/>
                          <w:u w:val="single"/>
                        </w:rPr>
                      </w:pPr>
                      <w:r>
                        <w:rPr>
                          <w:rFonts w:hint="eastAsia" w:ascii="宋体" w:hAnsi="宋体" w:cs="仿宋"/>
                          <w:sz w:val="28"/>
                          <w:szCs w:val="28"/>
                        </w:rPr>
                        <w:t>地  址：</w:t>
                      </w:r>
                      <w:r>
                        <w:rPr>
                          <w:rFonts w:hint="eastAsia" w:ascii="宋体" w:hAnsi="宋体" w:cs="仿宋"/>
                          <w:sz w:val="28"/>
                          <w:szCs w:val="28"/>
                          <w:u w:val="single"/>
                        </w:rPr>
                        <w:t xml:space="preserve">                            </w:t>
                      </w:r>
                      <w:r>
                        <w:rPr>
                          <w:rFonts w:hint="eastAsia" w:ascii="宋体" w:hAnsi="宋体" w:cs="仿宋"/>
                          <w:sz w:val="28"/>
                          <w:szCs w:val="28"/>
                        </w:rPr>
                        <w:t xml:space="preserve"> </w:t>
                      </w:r>
                    </w:p>
                    <w:p>
                      <w:pPr>
                        <w:ind w:firstLine="560"/>
                        <w:rPr>
                          <w:rFonts w:ascii="宋体" w:hAnsi="宋体" w:cs="仿宋"/>
                          <w:sz w:val="28"/>
                          <w:szCs w:val="28"/>
                          <w:u w:val="single"/>
                        </w:rPr>
                      </w:pPr>
                      <w:r>
                        <w:rPr>
                          <w:rFonts w:hint="eastAsia" w:ascii="宋体" w:hAnsi="宋体" w:cs="仿宋"/>
                          <w:sz w:val="28"/>
                          <w:szCs w:val="28"/>
                        </w:rPr>
                        <w:t>电  话：</w:t>
                      </w:r>
                      <w:r>
                        <w:rPr>
                          <w:rFonts w:hint="eastAsia" w:ascii="宋体" w:hAnsi="宋体" w:cs="仿宋"/>
                          <w:sz w:val="28"/>
                          <w:szCs w:val="28"/>
                          <w:u w:val="single"/>
                        </w:rPr>
                        <w:t xml:space="preserve">                            </w:t>
                      </w:r>
                      <w:r>
                        <w:rPr>
                          <w:rFonts w:hint="eastAsia" w:ascii="宋体" w:hAnsi="宋体" w:cs="仿宋"/>
                          <w:sz w:val="28"/>
                          <w:szCs w:val="28"/>
                        </w:rPr>
                        <w:t xml:space="preserve"> </w:t>
                      </w:r>
                    </w:p>
                    <w:p>
                      <w:pPr>
                        <w:ind w:firstLine="560"/>
                        <w:rPr>
                          <w:rFonts w:ascii="宋体" w:hAnsi="宋体"/>
                          <w:sz w:val="28"/>
                          <w:szCs w:val="28"/>
                          <w:u w:val="single"/>
                        </w:rPr>
                      </w:pPr>
                      <w:r>
                        <w:rPr>
                          <w:rFonts w:hint="eastAsia" w:ascii="宋体" w:hAnsi="宋体" w:cs="仿宋"/>
                          <w:sz w:val="28"/>
                          <w:szCs w:val="28"/>
                        </w:rPr>
                        <w:t>日  期：</w:t>
                      </w:r>
                      <w:r>
                        <w:rPr>
                          <w:rFonts w:hint="eastAsia" w:ascii="宋体" w:hAnsi="宋体" w:cs="仿宋"/>
                          <w:sz w:val="28"/>
                          <w:szCs w:val="28"/>
                          <w:u w:val="single"/>
                        </w:rPr>
                        <w:t xml:space="preserve">      </w:t>
                      </w:r>
                      <w:r>
                        <w:rPr>
                          <w:rFonts w:hint="eastAsia" w:ascii="宋体" w:hAnsi="宋体" w:cs="仿宋"/>
                          <w:sz w:val="28"/>
                          <w:szCs w:val="28"/>
                        </w:rPr>
                        <w:t>年</w:t>
                      </w:r>
                      <w:r>
                        <w:rPr>
                          <w:rFonts w:hint="eastAsia" w:ascii="宋体" w:hAnsi="宋体" w:cs="仿宋"/>
                          <w:sz w:val="28"/>
                          <w:szCs w:val="28"/>
                          <w:u w:val="single"/>
                        </w:rPr>
                        <w:t xml:space="preserve">   </w:t>
                      </w:r>
                      <w:r>
                        <w:rPr>
                          <w:rFonts w:hint="eastAsia" w:ascii="宋体" w:hAnsi="宋体" w:cs="仿宋"/>
                          <w:sz w:val="28"/>
                          <w:szCs w:val="28"/>
                        </w:rPr>
                        <w:t>月</w:t>
                      </w:r>
                      <w:r>
                        <w:rPr>
                          <w:rFonts w:hint="eastAsia" w:ascii="宋体" w:hAnsi="宋体" w:cs="仿宋"/>
                          <w:sz w:val="28"/>
                          <w:szCs w:val="28"/>
                          <w:u w:val="single"/>
                        </w:rPr>
                        <w:t xml:space="preserve">   </w:t>
                      </w:r>
                      <w:r>
                        <w:rPr>
                          <w:rFonts w:hint="eastAsia" w:ascii="宋体" w:hAnsi="宋体" w:cs="仿宋"/>
                          <w:sz w:val="28"/>
                          <w:szCs w:val="28"/>
                        </w:rPr>
                        <w:t>日</w:t>
                      </w:r>
                    </w:p>
                  </w:txbxContent>
                </v:textbox>
              </v:shape>
            </w:pict>
          </mc:Fallback>
        </mc:AlternateContent>
      </w:r>
    </w:p>
    <w:p>
      <w:pPr>
        <w:spacing w:line="360" w:lineRule="auto"/>
      </w:pPr>
    </w:p>
    <w:p>
      <w:pPr>
        <w:spacing w:line="360" w:lineRule="auto"/>
        <w:jc w:val="left"/>
        <w:rPr>
          <w:rFonts w:eastAsia="黑体"/>
          <w:b/>
          <w:sz w:val="32"/>
          <w:szCs w:val="32"/>
        </w:rPr>
      </w:pPr>
    </w:p>
    <w:p>
      <w:pPr>
        <w:spacing w:line="360" w:lineRule="auto"/>
      </w:pPr>
    </w:p>
    <w:p>
      <w:pPr>
        <w:spacing w:line="360" w:lineRule="auto"/>
      </w:pPr>
    </w:p>
    <w:p>
      <w:pPr>
        <w:spacing w:line="360" w:lineRule="auto"/>
      </w:pPr>
    </w:p>
    <w:p>
      <w:pPr>
        <w:spacing w:line="360" w:lineRule="auto"/>
      </w:pPr>
    </w:p>
    <w:p>
      <w:pPr>
        <w:spacing w:line="360" w:lineRule="auto"/>
      </w:pPr>
    </w:p>
    <w:bookmarkEnd w:id="1016"/>
    <w:p>
      <w:pPr>
        <w:autoSpaceDE w:val="0"/>
        <w:autoSpaceDN w:val="0"/>
        <w:adjustRightInd w:val="0"/>
        <w:snapToGrid w:val="0"/>
        <w:spacing w:line="360" w:lineRule="auto"/>
        <w:rPr>
          <w:rFonts w:ascii="仿宋_GB2312" w:hAnsi="仿宋" w:eastAsia="仿宋_GB2312" w:cs="仿宋"/>
          <w:kern w:val="0"/>
          <w:sz w:val="30"/>
          <w:szCs w:val="30"/>
        </w:rPr>
      </w:pPr>
    </w:p>
    <w:p>
      <w:pPr>
        <w:spacing w:line="360" w:lineRule="auto"/>
        <w:rPr>
          <w:sz w:val="24"/>
        </w:rPr>
      </w:pPr>
    </w:p>
    <w:p>
      <w:pPr>
        <w:spacing w:line="360" w:lineRule="auto"/>
        <w:rPr>
          <w:sz w:val="24"/>
        </w:rPr>
      </w:pPr>
    </w:p>
    <w:p>
      <w:pPr>
        <w:spacing w:line="360" w:lineRule="auto"/>
        <w:rPr>
          <w:sz w:val="24"/>
        </w:rPr>
      </w:pPr>
    </w:p>
    <w:p>
      <w:pPr>
        <w:spacing w:line="360" w:lineRule="auto"/>
        <w:outlineLvl w:val="1"/>
        <w:rPr>
          <w:rFonts w:ascii="仿宋_GB2312" w:hAnsi="仿宋_GB2312" w:eastAsia="仿宋_GB2312" w:cs="仿宋_GB2312"/>
          <w:sz w:val="30"/>
          <w:szCs w:val="32"/>
        </w:rPr>
      </w:pPr>
      <w:r>
        <w:rPr>
          <w:sz w:val="24"/>
        </w:rPr>
        <w:br w:type="page"/>
      </w:r>
      <w:r>
        <w:rPr>
          <w:rFonts w:hint="eastAsia" w:ascii="仿宋_GB2312" w:hAnsi="仿宋_GB2312" w:eastAsia="仿宋_GB2312" w:cs="仿宋_GB2312"/>
          <w:sz w:val="30"/>
          <w:szCs w:val="32"/>
        </w:rPr>
        <w:t>附件9：</w:t>
      </w:r>
    </w:p>
    <w:p>
      <w:pPr>
        <w:pStyle w:val="3"/>
        <w:spacing w:before="0" w:line="360" w:lineRule="auto"/>
        <w:rPr>
          <w:rFonts w:ascii="黑体" w:hAnsi="黑体" w:eastAsia="黑体"/>
          <w:b w:val="0"/>
          <w:kern w:val="2"/>
          <w:sz w:val="28"/>
          <w:szCs w:val="28"/>
        </w:rPr>
      </w:pPr>
      <w:r>
        <w:rPr>
          <w:rFonts w:hint="eastAsia" w:ascii="黑体" w:hAnsi="黑体" w:eastAsia="黑体"/>
          <w:b w:val="0"/>
          <w:kern w:val="2"/>
          <w:sz w:val="28"/>
          <w:szCs w:val="28"/>
        </w:rPr>
        <w:t>履约保函</w:t>
      </w:r>
    </w:p>
    <w:p>
      <w:pPr>
        <w:spacing w:line="460" w:lineRule="exact"/>
        <w:jc w:val="right"/>
        <w:rPr>
          <w:rFonts w:ascii="宋体" w:hAnsi="宋体"/>
          <w:strike/>
          <w:sz w:val="24"/>
        </w:rPr>
      </w:pPr>
      <w:r>
        <w:rPr>
          <w:rFonts w:hint="eastAsia" w:ascii="宋体" w:hAnsi="宋体"/>
          <w:sz w:val="24"/>
        </w:rPr>
        <w:t>编号：</w:t>
      </w:r>
      <w:r>
        <w:rPr>
          <w:rFonts w:hint="eastAsia" w:ascii="宋体" w:hAnsi="宋体"/>
          <w:strike/>
          <w:sz w:val="24"/>
        </w:rPr>
        <w:t xml:space="preserve">           </w:t>
      </w:r>
    </w:p>
    <w:p>
      <w:pPr>
        <w:spacing w:line="460" w:lineRule="exact"/>
        <w:rPr>
          <w:rFonts w:ascii="宋体" w:hAnsi="宋体"/>
          <w:sz w:val="24"/>
        </w:rPr>
      </w:pPr>
      <w:r>
        <w:rPr>
          <w:rFonts w:hint="eastAsia" w:ascii="宋体" w:hAnsi="宋体"/>
          <w:sz w:val="24"/>
        </w:rPr>
        <w:t>申请人：</w:t>
      </w:r>
      <w:r>
        <w:rPr>
          <w:rFonts w:hint="eastAsia" w:ascii="宋体" w:hAnsi="宋体"/>
          <w:sz w:val="24"/>
          <w:u w:val="single"/>
        </w:rPr>
        <w:t xml:space="preserve">                             </w:t>
      </w:r>
    </w:p>
    <w:p>
      <w:pPr>
        <w:spacing w:line="460" w:lineRule="exact"/>
        <w:rPr>
          <w:rFonts w:ascii="宋体" w:hAnsi="宋体"/>
          <w:sz w:val="24"/>
        </w:rPr>
      </w:pPr>
      <w:r>
        <w:rPr>
          <w:rFonts w:hint="eastAsia" w:ascii="宋体" w:hAnsi="宋体"/>
          <w:sz w:val="24"/>
        </w:rPr>
        <w:t xml:space="preserve">  地址：</w:t>
      </w:r>
      <w:r>
        <w:rPr>
          <w:rFonts w:hint="eastAsia" w:ascii="宋体" w:hAnsi="宋体"/>
          <w:sz w:val="24"/>
          <w:u w:val="single"/>
        </w:rPr>
        <w:t xml:space="preserve">                             </w:t>
      </w:r>
    </w:p>
    <w:p>
      <w:pPr>
        <w:spacing w:line="460" w:lineRule="exact"/>
        <w:rPr>
          <w:rFonts w:ascii="宋体" w:hAnsi="宋体"/>
          <w:sz w:val="24"/>
        </w:rPr>
      </w:pPr>
      <w:r>
        <w:rPr>
          <w:rFonts w:hint="eastAsia" w:ascii="宋体" w:hAnsi="宋体"/>
          <w:sz w:val="24"/>
        </w:rPr>
        <w:t>受益人：</w:t>
      </w:r>
      <w:r>
        <w:rPr>
          <w:rFonts w:hint="eastAsia" w:ascii="宋体" w:hAnsi="宋体"/>
          <w:sz w:val="24"/>
          <w:u w:val="single"/>
        </w:rPr>
        <w:t xml:space="preserve">                             </w:t>
      </w:r>
    </w:p>
    <w:p>
      <w:pPr>
        <w:spacing w:line="460" w:lineRule="exact"/>
        <w:rPr>
          <w:rFonts w:ascii="宋体" w:hAnsi="宋体"/>
          <w:sz w:val="24"/>
        </w:rPr>
      </w:pPr>
      <w:r>
        <w:rPr>
          <w:rFonts w:hint="eastAsia" w:ascii="宋体" w:hAnsi="宋体"/>
          <w:sz w:val="24"/>
        </w:rPr>
        <w:t xml:space="preserve">  地址：</w:t>
      </w:r>
      <w:r>
        <w:rPr>
          <w:rFonts w:hint="eastAsia" w:ascii="宋体" w:hAnsi="宋体"/>
          <w:sz w:val="24"/>
          <w:u w:val="single"/>
        </w:rPr>
        <w:t xml:space="preserve">                             </w:t>
      </w:r>
    </w:p>
    <w:p>
      <w:pPr>
        <w:spacing w:line="460" w:lineRule="exact"/>
        <w:rPr>
          <w:rFonts w:ascii="宋体" w:hAnsi="宋体"/>
          <w:sz w:val="24"/>
        </w:rPr>
      </w:pPr>
      <w:r>
        <w:rPr>
          <w:rFonts w:hint="eastAsia" w:ascii="宋体" w:hAnsi="宋体"/>
          <w:sz w:val="24"/>
        </w:rPr>
        <w:t>开立人：</w:t>
      </w:r>
      <w:r>
        <w:rPr>
          <w:rFonts w:hint="eastAsia" w:ascii="宋体" w:hAnsi="宋体"/>
          <w:sz w:val="24"/>
          <w:u w:val="single"/>
        </w:rPr>
        <w:t xml:space="preserve">                             </w:t>
      </w:r>
    </w:p>
    <w:p>
      <w:pPr>
        <w:spacing w:line="460" w:lineRule="exact"/>
        <w:rPr>
          <w:rFonts w:ascii="宋体" w:hAnsi="宋体"/>
          <w:sz w:val="24"/>
        </w:rPr>
      </w:pPr>
      <w:r>
        <w:rPr>
          <w:rFonts w:hint="eastAsia" w:ascii="宋体" w:hAnsi="宋体"/>
          <w:sz w:val="24"/>
        </w:rPr>
        <w:t xml:space="preserve">  地址：</w:t>
      </w:r>
      <w:r>
        <w:rPr>
          <w:rFonts w:hint="eastAsia" w:ascii="宋体" w:hAnsi="宋体"/>
          <w:sz w:val="24"/>
          <w:u w:val="single"/>
        </w:rPr>
        <w:t xml:space="preserve">                             </w:t>
      </w:r>
    </w:p>
    <w:p>
      <w:pPr>
        <w:spacing w:line="360" w:lineRule="auto"/>
        <w:rPr>
          <w:rFonts w:ascii="仿宋" w:hAnsi="仿宋" w:eastAsia="仿宋"/>
          <w:sz w:val="32"/>
        </w:rPr>
      </w:pPr>
      <w:r>
        <w:rPr>
          <w:rFonts w:hint="eastAsia" w:ascii="仿宋" w:hAnsi="仿宋" w:eastAsia="仿宋"/>
          <w:sz w:val="32"/>
        </w:rPr>
        <w:t xml:space="preserve"> </w:t>
      </w:r>
    </w:p>
    <w:p>
      <w:pPr>
        <w:spacing w:line="460" w:lineRule="exact"/>
        <w:rPr>
          <w:rFonts w:ascii="宋体" w:hAnsi="宋体"/>
          <w:sz w:val="24"/>
        </w:rPr>
      </w:pPr>
      <w:r>
        <w:rPr>
          <w:rFonts w:hint="eastAsia" w:ascii="宋体" w:hAnsi="宋体"/>
          <w:sz w:val="24"/>
          <w:u w:val="single"/>
        </w:rPr>
        <w:t xml:space="preserve">              </w:t>
      </w:r>
      <w:r>
        <w:rPr>
          <w:rFonts w:hint="eastAsia" w:ascii="宋体" w:hAnsi="宋体"/>
          <w:sz w:val="24"/>
        </w:rPr>
        <w:t xml:space="preserve">（受益人名称）： </w:t>
      </w:r>
    </w:p>
    <w:p>
      <w:pPr>
        <w:spacing w:line="460" w:lineRule="exact"/>
        <w:ind w:firstLine="480" w:firstLineChars="200"/>
        <w:rPr>
          <w:rFonts w:ascii="宋体" w:hAnsi="宋体"/>
          <w:sz w:val="24"/>
        </w:rPr>
      </w:pPr>
      <w:r>
        <w:rPr>
          <w:rFonts w:hint="eastAsia" w:ascii="宋体" w:hAnsi="宋体"/>
          <w:sz w:val="24"/>
        </w:rPr>
        <w:t>鉴于</w:t>
      </w:r>
      <w:r>
        <w:rPr>
          <w:rFonts w:hint="eastAsia" w:ascii="宋体" w:hAnsi="宋体"/>
          <w:sz w:val="24"/>
          <w:u w:val="single"/>
        </w:rPr>
        <w:t xml:space="preserve">        </w:t>
      </w:r>
      <w:r>
        <w:rPr>
          <w:rFonts w:hint="eastAsia" w:ascii="宋体" w:hAnsi="宋体"/>
          <w:sz w:val="24"/>
        </w:rPr>
        <w:t>（以下简称“受益人”）与</w:t>
      </w:r>
      <w:r>
        <w:rPr>
          <w:rFonts w:hint="eastAsia" w:ascii="宋体" w:hAnsi="宋体"/>
          <w:sz w:val="24"/>
          <w:u w:val="single"/>
        </w:rPr>
        <w:t xml:space="preserve">         </w:t>
      </w:r>
      <w:r>
        <w:rPr>
          <w:rFonts w:hint="eastAsia" w:ascii="宋体" w:hAnsi="宋体"/>
          <w:sz w:val="24"/>
        </w:rPr>
        <w:t>（以下简称“申请人”）于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日就</w:t>
      </w:r>
      <w:r>
        <w:rPr>
          <w:rFonts w:hint="eastAsia" w:ascii="宋体" w:hAnsi="宋体"/>
          <w:sz w:val="24"/>
          <w:u w:val="single"/>
        </w:rPr>
        <w:t xml:space="preserve">           </w:t>
      </w:r>
      <w:r>
        <w:rPr>
          <w:rFonts w:hint="eastAsia" w:ascii="宋体" w:hAnsi="宋体"/>
          <w:sz w:val="24"/>
        </w:rPr>
        <w:t>工程（以下简称“本工程”）施工和有关事项协商一致共同签订</w:t>
      </w:r>
      <w:r>
        <w:rPr>
          <w:rFonts w:hint="eastAsia" w:ascii="宋体" w:hAnsi="宋体"/>
          <w:sz w:val="24"/>
          <w:u w:val="single"/>
        </w:rPr>
        <w:t>《        》</w:t>
      </w:r>
      <w:r>
        <w:rPr>
          <w:rFonts w:hint="eastAsia" w:ascii="宋体" w:hAnsi="宋体"/>
          <w:sz w:val="24"/>
        </w:rPr>
        <w:t xml:space="preserve">（以下简称“基础合同”），我方（即“开立人”）根据基础合同了解到申请人为基础合同项下之承包人，受益人为基础合同项下之发包人，基于申请人的请求，我方同意就申请人履行与贵方签订的基础合同项下的义务，向贵方提供不可撤销、不可转让的见索即付独立保函（以下简称“本保函”）。 </w:t>
      </w:r>
    </w:p>
    <w:p>
      <w:pPr>
        <w:spacing w:line="460" w:lineRule="exact"/>
        <w:ind w:firstLine="480" w:firstLineChars="200"/>
        <w:rPr>
          <w:rFonts w:ascii="宋体" w:hAnsi="宋体"/>
          <w:sz w:val="24"/>
        </w:rPr>
      </w:pPr>
      <w:r>
        <w:rPr>
          <w:rFonts w:hint="eastAsia" w:ascii="宋体" w:hAnsi="宋体"/>
          <w:sz w:val="24"/>
        </w:rPr>
        <w:t>一、本保函担保范围：承包人未按照基础合同的约定履行义务，应当向贵方承担的违约责任和赔偿因此造成的损失、利息、律师费、诉讼费用等实现债权的费用。</w:t>
      </w:r>
    </w:p>
    <w:p>
      <w:pPr>
        <w:spacing w:line="460" w:lineRule="exact"/>
        <w:ind w:firstLine="480" w:firstLineChars="200"/>
        <w:rPr>
          <w:rFonts w:ascii="宋体" w:hAnsi="宋体"/>
          <w:sz w:val="24"/>
        </w:rPr>
      </w:pPr>
      <w:r>
        <w:rPr>
          <w:rFonts w:hint="eastAsia" w:ascii="宋体" w:hAnsi="宋体"/>
          <w:sz w:val="24"/>
        </w:rPr>
        <w:t>二、本保函担保金额最高不超过人民币（大写）</w:t>
      </w:r>
      <w:r>
        <w:rPr>
          <w:rFonts w:hint="eastAsia" w:ascii="宋体" w:hAnsi="宋体"/>
          <w:sz w:val="24"/>
          <w:u w:val="single"/>
        </w:rPr>
        <w:t xml:space="preserve">          </w:t>
      </w:r>
      <w:r>
        <w:rPr>
          <w:rFonts w:hint="eastAsia" w:ascii="宋体" w:hAnsi="宋体"/>
          <w:sz w:val="24"/>
        </w:rPr>
        <w:t>元（</w:t>
      </w:r>
      <w:r>
        <w:rPr>
          <w:rFonts w:hint="eastAsia" w:ascii="宋体" w:hAnsi="宋体" w:cs="宋体"/>
          <w:sz w:val="24"/>
        </w:rPr>
        <w:t>¥</w:t>
      </w:r>
      <w:r>
        <w:rPr>
          <w:rFonts w:hint="eastAsia" w:ascii="宋体" w:hAnsi="宋体"/>
          <w:sz w:val="24"/>
          <w:u w:val="single"/>
        </w:rPr>
        <w:t xml:space="preserve">       </w:t>
      </w:r>
      <w:r>
        <w:rPr>
          <w:rFonts w:hint="eastAsia" w:ascii="宋体" w:hAnsi="宋体"/>
          <w:sz w:val="24"/>
        </w:rPr>
        <w:t xml:space="preserve">）。 </w:t>
      </w:r>
    </w:p>
    <w:p>
      <w:pPr>
        <w:spacing w:line="460" w:lineRule="exact"/>
        <w:ind w:firstLine="480" w:firstLineChars="200"/>
        <w:rPr>
          <w:rFonts w:ascii="宋体" w:hAnsi="宋体"/>
          <w:sz w:val="24"/>
        </w:rPr>
      </w:pPr>
      <w:r>
        <w:rPr>
          <w:rFonts w:hint="eastAsia" w:ascii="宋体" w:hAnsi="宋体"/>
          <w:sz w:val="24"/>
        </w:rPr>
        <w:t>三、本保函有效期自开立之日起至基础合同约定的缺陷责任期后</w:t>
      </w:r>
      <w:r>
        <w:rPr>
          <w:rFonts w:hint="eastAsia" w:ascii="宋体" w:hAnsi="宋体"/>
          <w:sz w:val="24"/>
          <w:u w:val="single"/>
        </w:rPr>
        <w:t xml:space="preserve">   </w:t>
      </w:r>
      <w:r>
        <w:rPr>
          <w:rFonts w:hint="eastAsia" w:ascii="宋体" w:hAnsi="宋体"/>
          <w:sz w:val="24"/>
        </w:rPr>
        <w:t>日止，最迟不超过</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pPr>
        <w:spacing w:line="460" w:lineRule="exact"/>
        <w:ind w:firstLine="480"/>
        <w:rPr>
          <w:rFonts w:ascii="宋体" w:hAnsi="宋体"/>
          <w:sz w:val="24"/>
        </w:rPr>
      </w:pPr>
      <w:r>
        <w:rPr>
          <w:rFonts w:hint="eastAsia" w:ascii="宋体" w:hAnsi="宋体"/>
          <w:sz w:val="24"/>
        </w:rPr>
        <w:t>四、我方承诺，在收到受益人发来的书面付款通知后的</w:t>
      </w:r>
      <w:r>
        <w:rPr>
          <w:rFonts w:hint="eastAsia" w:ascii="宋体" w:hAnsi="宋体"/>
          <w:sz w:val="24"/>
          <w:u w:val="single"/>
        </w:rPr>
        <w:t xml:space="preserve">    </w:t>
      </w:r>
      <w:r>
        <w:rPr>
          <w:rFonts w:hint="eastAsia" w:ascii="宋体" w:hAnsi="宋体"/>
          <w:sz w:val="24"/>
        </w:rPr>
        <w:t>日内无条件支付，前述书面付款通知即为付款要求之单据，且应满足以下要求：</w:t>
      </w:r>
    </w:p>
    <w:p>
      <w:pPr>
        <w:spacing w:line="460" w:lineRule="exact"/>
        <w:ind w:firstLine="480" w:firstLineChars="200"/>
        <w:rPr>
          <w:rFonts w:ascii="宋体" w:hAnsi="宋体"/>
          <w:sz w:val="24"/>
        </w:rPr>
      </w:pPr>
      <w:r>
        <w:rPr>
          <w:rFonts w:hint="eastAsia" w:ascii="宋体" w:hAnsi="宋体"/>
          <w:sz w:val="24"/>
        </w:rPr>
        <w:t>（1）付款通知到达的日期在本保函的有效期内；</w:t>
      </w:r>
    </w:p>
    <w:p>
      <w:pPr>
        <w:spacing w:line="460" w:lineRule="exact"/>
        <w:ind w:firstLine="480" w:firstLineChars="200"/>
        <w:rPr>
          <w:rFonts w:ascii="宋体" w:hAnsi="宋体"/>
          <w:sz w:val="24"/>
        </w:rPr>
      </w:pPr>
      <w:r>
        <w:rPr>
          <w:rFonts w:hint="eastAsia" w:ascii="宋体" w:hAnsi="宋体"/>
          <w:sz w:val="24"/>
        </w:rPr>
        <w:t>（2）载明要求支付的金额；</w:t>
      </w:r>
    </w:p>
    <w:p>
      <w:pPr>
        <w:spacing w:line="460" w:lineRule="exact"/>
        <w:ind w:firstLine="480" w:firstLineChars="200"/>
        <w:rPr>
          <w:rFonts w:ascii="宋体" w:hAnsi="宋体"/>
          <w:sz w:val="24"/>
        </w:rPr>
      </w:pPr>
      <w:r>
        <w:rPr>
          <w:rFonts w:hint="eastAsia" w:ascii="宋体" w:hAnsi="宋体"/>
          <w:sz w:val="24"/>
        </w:rPr>
        <w:t>（3）载明申请人违反合同义务的条款和内容；</w:t>
      </w:r>
    </w:p>
    <w:p>
      <w:pPr>
        <w:spacing w:line="460" w:lineRule="exact"/>
        <w:ind w:firstLine="480" w:firstLineChars="200"/>
        <w:rPr>
          <w:rFonts w:ascii="宋体" w:hAnsi="宋体"/>
          <w:sz w:val="24"/>
        </w:rPr>
      </w:pPr>
      <w:r>
        <w:rPr>
          <w:rFonts w:hint="eastAsia" w:ascii="宋体" w:hAnsi="宋体"/>
          <w:sz w:val="24"/>
        </w:rPr>
        <w:t>（4）声明不存在合同文件约定或我国法律规定免除申请人或开立人支付责任的情形；</w:t>
      </w:r>
    </w:p>
    <w:p>
      <w:pPr>
        <w:spacing w:line="460" w:lineRule="exact"/>
        <w:ind w:firstLine="480" w:firstLineChars="200"/>
        <w:rPr>
          <w:rFonts w:ascii="宋体" w:hAnsi="宋体"/>
          <w:sz w:val="24"/>
        </w:rPr>
      </w:pPr>
      <w:r>
        <w:rPr>
          <w:rFonts w:hint="eastAsia" w:ascii="宋体" w:hAnsi="宋体"/>
          <w:sz w:val="24"/>
        </w:rPr>
        <w:t>（5）付款通知应在本保函有效期内到达的地址是：</w:t>
      </w:r>
      <w:r>
        <w:rPr>
          <w:rFonts w:hint="eastAsia" w:ascii="宋体" w:hAnsi="宋体"/>
          <w:sz w:val="24"/>
          <w:u w:val="single"/>
        </w:rPr>
        <w:t xml:space="preserve">             </w:t>
      </w:r>
      <w:r>
        <w:rPr>
          <w:rFonts w:hint="eastAsia" w:ascii="宋体" w:hAnsi="宋体"/>
          <w:sz w:val="24"/>
        </w:rPr>
        <w:t>。</w:t>
      </w:r>
    </w:p>
    <w:p>
      <w:pPr>
        <w:spacing w:line="460" w:lineRule="exact"/>
        <w:ind w:firstLine="480" w:firstLineChars="200"/>
        <w:rPr>
          <w:rFonts w:ascii="宋体" w:hAnsi="宋体"/>
          <w:sz w:val="24"/>
        </w:rPr>
      </w:pPr>
      <w:r>
        <w:rPr>
          <w:rFonts w:hint="eastAsia" w:ascii="宋体" w:hAnsi="宋体"/>
          <w:sz w:val="24"/>
        </w:rPr>
        <w:t>受益人发出的书面付款通知应由其为鉴明受益人法定代表人（负责人）或授权代理人签字并加盖公章。</w:t>
      </w:r>
    </w:p>
    <w:p>
      <w:pPr>
        <w:spacing w:line="460" w:lineRule="exact"/>
        <w:ind w:firstLine="480" w:firstLineChars="200"/>
        <w:rPr>
          <w:rFonts w:ascii="宋体" w:hAnsi="宋体"/>
          <w:sz w:val="24"/>
        </w:rPr>
      </w:pPr>
      <w:r>
        <w:rPr>
          <w:rFonts w:hint="eastAsia" w:ascii="宋体" w:hAnsi="宋体"/>
          <w:sz w:val="24"/>
        </w:rPr>
        <w:t xml:space="preserve">五、本保函项下的权利不得转让，不得设定担保。贵方未经我方书面同意转 让本保函或其项下任何权利，对我方不发生法律效力。 </w:t>
      </w:r>
    </w:p>
    <w:p>
      <w:pPr>
        <w:spacing w:line="460" w:lineRule="exact"/>
        <w:ind w:firstLine="480" w:firstLineChars="200"/>
        <w:rPr>
          <w:rFonts w:ascii="宋体" w:hAnsi="宋体"/>
          <w:sz w:val="24"/>
        </w:rPr>
      </w:pPr>
      <w:r>
        <w:rPr>
          <w:rFonts w:hint="eastAsia" w:ascii="宋体" w:hAnsi="宋体"/>
          <w:sz w:val="24"/>
        </w:rPr>
        <w:t xml:space="preserve">六、与本保函有关的基础合同不成立、不生效、无效、被撤销、被解除，不影响本保函的独立有效。 </w:t>
      </w:r>
    </w:p>
    <w:p>
      <w:pPr>
        <w:spacing w:line="460" w:lineRule="exact"/>
        <w:ind w:firstLine="480" w:firstLineChars="200"/>
        <w:rPr>
          <w:rFonts w:ascii="宋体" w:hAnsi="宋体"/>
          <w:sz w:val="24"/>
        </w:rPr>
      </w:pPr>
      <w:r>
        <w:rPr>
          <w:rFonts w:hint="eastAsia" w:ascii="宋体" w:hAnsi="宋体"/>
          <w:sz w:val="24"/>
        </w:rPr>
        <w:t xml:space="preserve">七、贵方应在本保函到期后的七日内将本保函正本退回我方注销，但是不论贵方是否按此要求将本保函正本退回我方，我方在本保函项下的义务和责任均在保函有效期到期后自动消灭。 </w:t>
      </w:r>
    </w:p>
    <w:p>
      <w:pPr>
        <w:spacing w:line="460" w:lineRule="exact"/>
        <w:ind w:firstLine="480" w:firstLineChars="200"/>
        <w:rPr>
          <w:rFonts w:ascii="宋体" w:hAnsi="宋体"/>
          <w:sz w:val="24"/>
        </w:rPr>
      </w:pPr>
      <w:r>
        <w:rPr>
          <w:rFonts w:hint="eastAsia" w:ascii="宋体" w:hAnsi="宋体"/>
          <w:sz w:val="24"/>
        </w:rPr>
        <w:t>八、本保函适用的法律为中华人民共和国法律，争议裁判管辖地为中华人民共和国</w:t>
      </w:r>
      <w:r>
        <w:rPr>
          <w:rFonts w:hint="eastAsia" w:ascii="宋体" w:hAnsi="宋体"/>
          <w:sz w:val="24"/>
          <w:u w:val="single"/>
        </w:rPr>
        <w:t xml:space="preserve">     </w:t>
      </w:r>
      <w:r>
        <w:rPr>
          <w:rFonts w:hint="eastAsia" w:ascii="宋体" w:hAnsi="宋体"/>
          <w:sz w:val="24"/>
        </w:rPr>
        <w:t xml:space="preserve">。 </w:t>
      </w:r>
    </w:p>
    <w:p>
      <w:pPr>
        <w:spacing w:line="460" w:lineRule="exact"/>
        <w:ind w:firstLine="480" w:firstLineChars="200"/>
        <w:rPr>
          <w:rFonts w:ascii="宋体" w:hAnsi="宋体"/>
          <w:sz w:val="24"/>
        </w:rPr>
      </w:pPr>
      <w:r>
        <w:rPr>
          <w:rFonts w:hint="eastAsia" w:ascii="宋体" w:hAnsi="宋体"/>
          <w:sz w:val="24"/>
        </w:rPr>
        <w:t xml:space="preserve">九、本保函自我方法定代表人或授权代表签字并加盖公章之日起生效。 </w:t>
      </w:r>
    </w:p>
    <w:p>
      <w:pPr>
        <w:spacing w:line="460" w:lineRule="exact"/>
        <w:ind w:firstLine="480" w:firstLineChars="200"/>
        <w:rPr>
          <w:rFonts w:ascii="宋体" w:hAnsi="宋体"/>
          <w:sz w:val="24"/>
        </w:rPr>
      </w:pPr>
      <w:r>
        <w:rPr>
          <w:rFonts w:hint="eastAsia" w:ascii="宋体" w:hAnsi="宋体"/>
          <w:sz w:val="24"/>
        </w:rPr>
        <w:t xml:space="preserve">开 立 人： </w:t>
      </w:r>
      <w:r>
        <w:rPr>
          <w:rFonts w:hint="eastAsia" w:ascii="宋体" w:hAnsi="宋体"/>
          <w:sz w:val="24"/>
          <w:u w:val="single"/>
        </w:rPr>
        <w:t xml:space="preserve">                             </w:t>
      </w:r>
      <w:r>
        <w:rPr>
          <w:rFonts w:hint="eastAsia" w:ascii="宋体" w:hAnsi="宋体"/>
          <w:sz w:val="24"/>
        </w:rPr>
        <w:t xml:space="preserve">（公章） </w:t>
      </w:r>
    </w:p>
    <w:p>
      <w:pPr>
        <w:spacing w:line="460" w:lineRule="exact"/>
        <w:ind w:firstLine="480" w:firstLineChars="200"/>
        <w:rPr>
          <w:rFonts w:ascii="宋体" w:hAnsi="宋体"/>
          <w:sz w:val="24"/>
        </w:rPr>
      </w:pPr>
      <w:r>
        <w:rPr>
          <w:rFonts w:hint="eastAsia" w:ascii="宋体" w:hAnsi="宋体"/>
          <w:sz w:val="24"/>
        </w:rPr>
        <w:t>法定代表人（或授权代表）：</w:t>
      </w:r>
      <w:r>
        <w:rPr>
          <w:rFonts w:hint="eastAsia" w:ascii="宋体" w:hAnsi="宋体"/>
          <w:sz w:val="24"/>
          <w:u w:val="single"/>
        </w:rPr>
        <w:t xml:space="preserve">               </w:t>
      </w:r>
      <w:r>
        <w:rPr>
          <w:rFonts w:hint="eastAsia" w:ascii="宋体" w:hAnsi="宋体"/>
          <w:sz w:val="24"/>
        </w:rPr>
        <w:t xml:space="preserve">（签字） </w:t>
      </w:r>
    </w:p>
    <w:p>
      <w:pPr>
        <w:spacing w:line="460" w:lineRule="exact"/>
        <w:ind w:firstLine="480" w:firstLineChars="200"/>
        <w:rPr>
          <w:rFonts w:ascii="宋体" w:hAnsi="宋体"/>
          <w:sz w:val="24"/>
        </w:rPr>
      </w:pPr>
      <w:r>
        <w:rPr>
          <w:rFonts w:hint="eastAsia" w:ascii="宋体" w:hAnsi="宋体"/>
          <w:sz w:val="24"/>
        </w:rPr>
        <w:t xml:space="preserve">地    址： </w:t>
      </w:r>
      <w:r>
        <w:rPr>
          <w:rFonts w:hint="eastAsia" w:ascii="宋体" w:hAnsi="宋体"/>
          <w:sz w:val="24"/>
          <w:u w:val="single"/>
        </w:rPr>
        <w:t xml:space="preserve">                                     </w:t>
      </w:r>
      <w:r>
        <w:rPr>
          <w:rFonts w:hint="eastAsia" w:ascii="宋体" w:hAnsi="宋体"/>
          <w:sz w:val="24"/>
        </w:rPr>
        <w:t xml:space="preserve"> </w:t>
      </w:r>
    </w:p>
    <w:p>
      <w:pPr>
        <w:spacing w:line="460" w:lineRule="exact"/>
        <w:ind w:firstLine="480" w:firstLineChars="200"/>
        <w:rPr>
          <w:rFonts w:ascii="宋体" w:hAnsi="宋体"/>
          <w:sz w:val="24"/>
        </w:rPr>
      </w:pPr>
      <w:r>
        <w:rPr>
          <w:rFonts w:hint="eastAsia" w:ascii="宋体" w:hAnsi="宋体"/>
          <w:sz w:val="24"/>
        </w:rPr>
        <w:t>邮政编码：</w:t>
      </w:r>
      <w:r>
        <w:rPr>
          <w:rFonts w:hint="eastAsia" w:ascii="宋体" w:hAnsi="宋体"/>
          <w:sz w:val="24"/>
          <w:u w:val="single"/>
        </w:rPr>
        <w:t xml:space="preserve">                 </w:t>
      </w:r>
    </w:p>
    <w:p>
      <w:pPr>
        <w:spacing w:line="460" w:lineRule="exact"/>
        <w:ind w:firstLine="480" w:firstLineChars="200"/>
        <w:rPr>
          <w:rFonts w:ascii="宋体" w:hAnsi="宋体"/>
          <w:sz w:val="24"/>
        </w:rPr>
      </w:pPr>
      <w:r>
        <w:rPr>
          <w:rFonts w:hint="eastAsia" w:ascii="宋体" w:hAnsi="宋体"/>
          <w:sz w:val="24"/>
        </w:rPr>
        <w:t>电    话：</w:t>
      </w:r>
      <w:r>
        <w:rPr>
          <w:rFonts w:hint="eastAsia" w:ascii="宋体" w:hAnsi="宋体"/>
          <w:sz w:val="24"/>
          <w:u w:val="single"/>
        </w:rPr>
        <w:t xml:space="preserve">                 </w:t>
      </w:r>
    </w:p>
    <w:p>
      <w:pPr>
        <w:spacing w:line="460" w:lineRule="exact"/>
        <w:ind w:firstLine="480" w:firstLineChars="200"/>
        <w:rPr>
          <w:rFonts w:ascii="宋体" w:hAnsi="宋体"/>
          <w:sz w:val="24"/>
        </w:rPr>
      </w:pPr>
      <w:r>
        <w:rPr>
          <w:rFonts w:hint="eastAsia" w:ascii="宋体" w:hAnsi="宋体"/>
          <w:sz w:val="24"/>
        </w:rPr>
        <w:t>传    真：</w:t>
      </w:r>
      <w:r>
        <w:rPr>
          <w:rFonts w:hint="eastAsia" w:ascii="宋体" w:hAnsi="宋体"/>
          <w:sz w:val="24"/>
          <w:u w:val="single"/>
        </w:rPr>
        <w:t xml:space="preserve">                 </w:t>
      </w:r>
    </w:p>
    <w:p>
      <w:pPr>
        <w:spacing w:line="460" w:lineRule="exact"/>
        <w:ind w:firstLine="480" w:firstLineChars="200"/>
        <w:rPr>
          <w:rFonts w:ascii="Calibri" w:hAnsi="Calibri"/>
        </w:rPr>
      </w:pPr>
      <w:r>
        <w:rPr>
          <w:rFonts w:hint="eastAsia" w:ascii="宋体" w:hAnsi="宋体"/>
          <w:sz w:val="24"/>
        </w:rPr>
        <w:t>开立时间：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仿宋" w:hAnsi="仿宋" w:eastAsia="仿宋"/>
          <w:sz w:val="32"/>
        </w:rPr>
        <w:t xml:space="preserve">  </w:t>
      </w:r>
      <w:r>
        <w:rPr>
          <w:rFonts w:hint="eastAsia" w:ascii="宋体" w:hAnsi="宋体"/>
          <w:sz w:val="24"/>
        </w:rPr>
        <w:t xml:space="preserve"> </w:t>
      </w:r>
    </w:p>
    <w:p>
      <w:pPr>
        <w:spacing w:line="360" w:lineRule="auto"/>
        <w:rPr>
          <w:sz w:val="24"/>
        </w:rPr>
      </w:pPr>
    </w:p>
    <w:p>
      <w:pPr>
        <w:spacing w:line="360" w:lineRule="auto"/>
        <w:outlineLvl w:val="1"/>
        <w:rPr>
          <w:rFonts w:ascii="仿宋_GB2312" w:hAnsi="仿宋_GB2312" w:eastAsia="仿宋_GB2312" w:cs="仿宋_GB2312"/>
          <w:sz w:val="30"/>
          <w:szCs w:val="32"/>
        </w:rPr>
      </w:pPr>
      <w:r>
        <w:rPr>
          <w:sz w:val="24"/>
        </w:rPr>
        <w:br w:type="page"/>
      </w:r>
      <w:r>
        <w:rPr>
          <w:rFonts w:hint="eastAsia" w:ascii="仿宋_GB2312" w:hAnsi="仿宋_GB2312" w:eastAsia="仿宋_GB2312" w:cs="仿宋_GB2312"/>
          <w:sz w:val="30"/>
          <w:szCs w:val="32"/>
        </w:rPr>
        <w:t>附件10：</w:t>
      </w:r>
    </w:p>
    <w:p>
      <w:pPr>
        <w:pStyle w:val="3"/>
        <w:spacing w:before="0" w:line="360" w:lineRule="auto"/>
        <w:rPr>
          <w:rFonts w:ascii="黑体" w:hAnsi="黑体" w:eastAsia="黑体"/>
          <w:b w:val="0"/>
          <w:kern w:val="2"/>
          <w:sz w:val="28"/>
          <w:szCs w:val="28"/>
        </w:rPr>
      </w:pPr>
      <w:r>
        <w:rPr>
          <w:rFonts w:hint="eastAsia" w:ascii="黑体" w:hAnsi="黑体" w:eastAsia="黑体"/>
          <w:b w:val="0"/>
          <w:kern w:val="2"/>
          <w:sz w:val="28"/>
          <w:szCs w:val="28"/>
        </w:rPr>
        <w:t>支付保函</w:t>
      </w:r>
    </w:p>
    <w:p>
      <w:pPr>
        <w:spacing w:line="460" w:lineRule="exact"/>
        <w:jc w:val="right"/>
        <w:rPr>
          <w:rFonts w:ascii="宋体" w:hAnsi="宋体"/>
          <w:strike/>
          <w:sz w:val="24"/>
        </w:rPr>
      </w:pPr>
      <w:r>
        <w:rPr>
          <w:rFonts w:hint="eastAsia" w:ascii="宋体" w:hAnsi="宋体"/>
          <w:sz w:val="24"/>
        </w:rPr>
        <w:t>编号：</w:t>
      </w:r>
      <w:r>
        <w:rPr>
          <w:rFonts w:hint="eastAsia" w:ascii="宋体" w:hAnsi="宋体"/>
          <w:strike/>
          <w:sz w:val="24"/>
        </w:rPr>
        <w:t xml:space="preserve">           </w:t>
      </w:r>
    </w:p>
    <w:p>
      <w:pPr>
        <w:spacing w:line="460" w:lineRule="exact"/>
        <w:jc w:val="right"/>
        <w:rPr>
          <w:rFonts w:ascii="宋体" w:hAnsi="宋体"/>
          <w:sz w:val="24"/>
        </w:rPr>
      </w:pPr>
      <w:r>
        <w:rPr>
          <w:rFonts w:hint="eastAsia" w:ascii="宋体" w:hAnsi="宋体"/>
          <w:sz w:val="24"/>
        </w:rPr>
        <w:t xml:space="preserve">           </w:t>
      </w:r>
    </w:p>
    <w:p>
      <w:pPr>
        <w:spacing w:line="460" w:lineRule="exact"/>
        <w:rPr>
          <w:rFonts w:ascii="宋体" w:hAnsi="宋体"/>
          <w:sz w:val="24"/>
        </w:rPr>
      </w:pPr>
      <w:r>
        <w:rPr>
          <w:rFonts w:hint="eastAsia" w:ascii="宋体" w:hAnsi="宋体"/>
          <w:sz w:val="24"/>
        </w:rPr>
        <w:t>申请人：</w:t>
      </w:r>
      <w:r>
        <w:rPr>
          <w:rFonts w:hint="eastAsia" w:ascii="宋体" w:hAnsi="宋体"/>
          <w:sz w:val="24"/>
          <w:u w:val="single"/>
        </w:rPr>
        <w:t xml:space="preserve">                             </w:t>
      </w:r>
    </w:p>
    <w:p>
      <w:pPr>
        <w:spacing w:line="460" w:lineRule="exact"/>
        <w:rPr>
          <w:rFonts w:ascii="宋体" w:hAnsi="宋体"/>
          <w:sz w:val="24"/>
        </w:rPr>
      </w:pPr>
      <w:r>
        <w:rPr>
          <w:rFonts w:hint="eastAsia" w:ascii="宋体" w:hAnsi="宋体"/>
          <w:sz w:val="24"/>
        </w:rPr>
        <w:t xml:space="preserve">  地址：</w:t>
      </w:r>
      <w:r>
        <w:rPr>
          <w:rFonts w:hint="eastAsia" w:ascii="宋体" w:hAnsi="宋体"/>
          <w:sz w:val="24"/>
          <w:u w:val="single"/>
        </w:rPr>
        <w:t xml:space="preserve">                             </w:t>
      </w:r>
    </w:p>
    <w:p>
      <w:pPr>
        <w:spacing w:line="460" w:lineRule="exact"/>
        <w:rPr>
          <w:rFonts w:ascii="宋体" w:hAnsi="宋体"/>
          <w:sz w:val="24"/>
        </w:rPr>
      </w:pPr>
      <w:r>
        <w:rPr>
          <w:rFonts w:hint="eastAsia" w:ascii="宋体" w:hAnsi="宋体"/>
          <w:sz w:val="24"/>
        </w:rPr>
        <w:t>受益人：</w:t>
      </w:r>
      <w:r>
        <w:rPr>
          <w:rFonts w:hint="eastAsia" w:ascii="宋体" w:hAnsi="宋体"/>
          <w:sz w:val="24"/>
          <w:u w:val="single"/>
        </w:rPr>
        <w:t xml:space="preserve">                             </w:t>
      </w:r>
    </w:p>
    <w:p>
      <w:pPr>
        <w:spacing w:line="460" w:lineRule="exact"/>
        <w:rPr>
          <w:rFonts w:ascii="宋体" w:hAnsi="宋体"/>
          <w:sz w:val="24"/>
        </w:rPr>
      </w:pPr>
      <w:r>
        <w:rPr>
          <w:rFonts w:hint="eastAsia" w:ascii="宋体" w:hAnsi="宋体"/>
          <w:sz w:val="24"/>
        </w:rPr>
        <w:t xml:space="preserve">  地址：</w:t>
      </w:r>
      <w:r>
        <w:rPr>
          <w:rFonts w:hint="eastAsia" w:ascii="宋体" w:hAnsi="宋体"/>
          <w:sz w:val="24"/>
          <w:u w:val="single"/>
        </w:rPr>
        <w:t xml:space="preserve">                             </w:t>
      </w:r>
    </w:p>
    <w:p>
      <w:pPr>
        <w:spacing w:line="460" w:lineRule="exact"/>
        <w:rPr>
          <w:rFonts w:ascii="宋体" w:hAnsi="宋体"/>
          <w:sz w:val="24"/>
        </w:rPr>
      </w:pPr>
      <w:r>
        <w:rPr>
          <w:rFonts w:hint="eastAsia" w:ascii="宋体" w:hAnsi="宋体"/>
          <w:sz w:val="24"/>
        </w:rPr>
        <w:t>开立人：</w:t>
      </w:r>
      <w:r>
        <w:rPr>
          <w:rFonts w:hint="eastAsia" w:ascii="宋体" w:hAnsi="宋体"/>
          <w:sz w:val="24"/>
          <w:u w:val="single"/>
        </w:rPr>
        <w:t xml:space="preserve">                             </w:t>
      </w:r>
    </w:p>
    <w:p>
      <w:pPr>
        <w:spacing w:line="460" w:lineRule="exact"/>
        <w:rPr>
          <w:rFonts w:ascii="宋体" w:hAnsi="宋体"/>
          <w:sz w:val="24"/>
        </w:rPr>
      </w:pPr>
      <w:r>
        <w:rPr>
          <w:rFonts w:hint="eastAsia" w:ascii="宋体" w:hAnsi="宋体"/>
          <w:sz w:val="24"/>
        </w:rPr>
        <w:t xml:space="preserve">  地址：</w:t>
      </w:r>
      <w:r>
        <w:rPr>
          <w:rFonts w:hint="eastAsia" w:ascii="宋体" w:hAnsi="宋体"/>
          <w:sz w:val="24"/>
          <w:u w:val="single"/>
        </w:rPr>
        <w:t xml:space="preserve">                           </w:t>
      </w:r>
    </w:p>
    <w:p>
      <w:pPr>
        <w:spacing w:line="460" w:lineRule="exact"/>
        <w:rPr>
          <w:rFonts w:ascii="宋体" w:hAnsi="宋体"/>
          <w:sz w:val="24"/>
        </w:rPr>
      </w:pPr>
      <w:r>
        <w:rPr>
          <w:rFonts w:hint="eastAsia" w:ascii="宋体" w:hAnsi="宋体"/>
          <w:sz w:val="24"/>
        </w:rPr>
        <w:t xml:space="preserve"> </w:t>
      </w:r>
    </w:p>
    <w:p>
      <w:pPr>
        <w:spacing w:line="460" w:lineRule="exact"/>
        <w:rPr>
          <w:rFonts w:ascii="宋体" w:hAnsi="宋体"/>
          <w:sz w:val="24"/>
        </w:rPr>
      </w:pPr>
      <w:bookmarkStart w:id="1083" w:name="_Hlk40355074"/>
      <w:r>
        <w:rPr>
          <w:rFonts w:hint="eastAsia" w:ascii="宋体" w:hAnsi="宋体"/>
          <w:sz w:val="24"/>
          <w:u w:val="single"/>
        </w:rPr>
        <w:t xml:space="preserve">              </w:t>
      </w:r>
      <w:r>
        <w:rPr>
          <w:rFonts w:hint="eastAsia" w:ascii="宋体" w:hAnsi="宋体"/>
          <w:sz w:val="24"/>
        </w:rPr>
        <w:t xml:space="preserve">（受益人名称）： </w:t>
      </w:r>
    </w:p>
    <w:bookmarkEnd w:id="1083"/>
    <w:p>
      <w:pPr>
        <w:spacing w:line="460" w:lineRule="exact"/>
        <w:ind w:firstLine="480" w:firstLineChars="200"/>
        <w:rPr>
          <w:rFonts w:ascii="宋体" w:hAnsi="宋体"/>
          <w:sz w:val="24"/>
        </w:rPr>
      </w:pPr>
      <w:r>
        <w:rPr>
          <w:rFonts w:hint="eastAsia" w:ascii="宋体" w:hAnsi="宋体"/>
          <w:sz w:val="24"/>
        </w:rPr>
        <w:t>鉴于</w:t>
      </w:r>
      <w:r>
        <w:rPr>
          <w:rFonts w:hint="eastAsia" w:ascii="宋体" w:hAnsi="宋体"/>
          <w:sz w:val="24"/>
          <w:u w:val="single"/>
        </w:rPr>
        <w:t xml:space="preserve">        </w:t>
      </w:r>
      <w:r>
        <w:rPr>
          <w:rFonts w:hint="eastAsia" w:ascii="宋体" w:hAnsi="宋体"/>
          <w:sz w:val="24"/>
        </w:rPr>
        <w:t>（以下简称“受益人”）与</w:t>
      </w:r>
      <w:r>
        <w:rPr>
          <w:rFonts w:hint="eastAsia" w:ascii="宋体" w:hAnsi="宋体"/>
          <w:sz w:val="24"/>
          <w:u w:val="single"/>
        </w:rPr>
        <w:t xml:space="preserve">         </w:t>
      </w:r>
      <w:r>
        <w:rPr>
          <w:rFonts w:hint="eastAsia" w:ascii="宋体" w:hAnsi="宋体"/>
          <w:sz w:val="24"/>
        </w:rPr>
        <w:t>（以下简称“申请人”）于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日就</w:t>
      </w:r>
      <w:r>
        <w:rPr>
          <w:rFonts w:hint="eastAsia" w:ascii="宋体" w:hAnsi="宋体"/>
          <w:sz w:val="24"/>
          <w:u w:val="single"/>
        </w:rPr>
        <w:t xml:space="preserve">           </w:t>
      </w:r>
      <w:r>
        <w:rPr>
          <w:rFonts w:hint="eastAsia" w:ascii="宋体" w:hAnsi="宋体"/>
          <w:sz w:val="24"/>
        </w:rPr>
        <w:t>工程（以下简称“本工程”）施工和有关事项协商一致共同签订</w:t>
      </w:r>
      <w:r>
        <w:rPr>
          <w:rFonts w:hint="eastAsia" w:ascii="宋体" w:hAnsi="宋体"/>
          <w:sz w:val="24"/>
          <w:u w:val="single"/>
        </w:rPr>
        <w:t>《        》</w:t>
      </w:r>
      <w:r>
        <w:rPr>
          <w:rFonts w:hint="eastAsia" w:ascii="宋体" w:hAnsi="宋体"/>
          <w:sz w:val="24"/>
        </w:rPr>
        <w:t xml:space="preserve">（以下简称基础合同”），我方（即“开立人”）根据基础合同了解到申请人为基础合同项下之发包人，受益人为基础合同项下之承包人，基于申请人的请求，我方同意就申请人履行与贵方签订的基础合同项下的工程款（指基础合同约定的除工程质量保修金以外的工程款）付款义务，向贵方提供不可撤销、不可转让的见索即付独立保函（以下简称“本保函”）。 </w:t>
      </w:r>
    </w:p>
    <w:p>
      <w:pPr>
        <w:spacing w:line="460" w:lineRule="exact"/>
        <w:ind w:firstLine="480" w:firstLineChars="200"/>
        <w:rPr>
          <w:rFonts w:ascii="宋体" w:hAnsi="宋体"/>
          <w:sz w:val="24"/>
        </w:rPr>
      </w:pPr>
      <w:r>
        <w:rPr>
          <w:rFonts w:hint="eastAsia" w:ascii="宋体" w:hAnsi="宋体"/>
          <w:sz w:val="24"/>
        </w:rPr>
        <w:t>一、本保函担保范围：申请人未履行基础合同约定的工程款支付义务，应当向贵方承担的违约责任和赔偿因此造成的损失、利息、律师费、诉讼费用等实现债权的费用。</w:t>
      </w:r>
    </w:p>
    <w:p>
      <w:pPr>
        <w:spacing w:line="460" w:lineRule="exact"/>
        <w:ind w:firstLine="480" w:firstLineChars="200"/>
        <w:rPr>
          <w:rFonts w:ascii="宋体" w:hAnsi="宋体"/>
          <w:sz w:val="24"/>
        </w:rPr>
      </w:pPr>
      <w:r>
        <w:rPr>
          <w:rFonts w:hint="eastAsia" w:ascii="宋体" w:hAnsi="宋体"/>
          <w:sz w:val="24"/>
        </w:rPr>
        <w:t>二、本保函担保金额最高不超过人民币（大写）</w:t>
      </w:r>
      <w:r>
        <w:rPr>
          <w:rFonts w:hint="eastAsia" w:ascii="宋体" w:hAnsi="宋体"/>
          <w:sz w:val="24"/>
          <w:u w:val="single"/>
        </w:rPr>
        <w:t xml:space="preserve">          </w:t>
      </w:r>
      <w:r>
        <w:rPr>
          <w:rFonts w:hint="eastAsia" w:ascii="宋体" w:hAnsi="宋体"/>
          <w:sz w:val="24"/>
        </w:rPr>
        <w:t>元（</w:t>
      </w:r>
      <w:r>
        <w:rPr>
          <w:rFonts w:hint="eastAsia" w:ascii="宋体" w:hAnsi="宋体" w:cs="宋体"/>
          <w:sz w:val="24"/>
        </w:rPr>
        <w:t>¥</w:t>
      </w:r>
      <w:r>
        <w:rPr>
          <w:rFonts w:hint="eastAsia" w:ascii="宋体" w:hAnsi="宋体"/>
          <w:sz w:val="24"/>
          <w:u w:val="single"/>
        </w:rPr>
        <w:t xml:space="preserve">       </w:t>
      </w:r>
      <w:r>
        <w:rPr>
          <w:rFonts w:hint="eastAsia" w:ascii="宋体" w:hAnsi="宋体"/>
          <w:sz w:val="24"/>
        </w:rPr>
        <w:t xml:space="preserve">）。 </w:t>
      </w:r>
    </w:p>
    <w:p>
      <w:pPr>
        <w:spacing w:line="460" w:lineRule="exact"/>
        <w:ind w:firstLine="480" w:firstLineChars="200"/>
        <w:rPr>
          <w:rFonts w:ascii="宋体" w:hAnsi="宋体"/>
          <w:sz w:val="24"/>
        </w:rPr>
      </w:pPr>
      <w:r>
        <w:rPr>
          <w:rFonts w:hint="eastAsia" w:ascii="宋体" w:hAnsi="宋体"/>
          <w:sz w:val="24"/>
        </w:rPr>
        <w:t>三、本保函有效期自开立之日起至基础合同约定的除工程质量保修金以外的全部工程结算款项支付之日后</w:t>
      </w:r>
      <w:r>
        <w:rPr>
          <w:rFonts w:hint="eastAsia" w:ascii="宋体" w:hAnsi="宋体"/>
          <w:sz w:val="24"/>
          <w:u w:val="single"/>
        </w:rPr>
        <w:t xml:space="preserve">   </w:t>
      </w:r>
      <w:r>
        <w:rPr>
          <w:rFonts w:hint="eastAsia" w:ascii="宋体" w:hAnsi="宋体"/>
          <w:sz w:val="24"/>
        </w:rPr>
        <w:t>日止，最迟不超过</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pPr>
        <w:spacing w:line="460" w:lineRule="exact"/>
        <w:ind w:firstLine="480"/>
        <w:rPr>
          <w:rFonts w:ascii="宋体" w:hAnsi="宋体"/>
          <w:sz w:val="24"/>
        </w:rPr>
      </w:pPr>
      <w:r>
        <w:rPr>
          <w:rFonts w:hint="eastAsia" w:ascii="宋体" w:hAnsi="宋体"/>
          <w:sz w:val="24"/>
        </w:rPr>
        <w:t>四、我方承诺，在收到受益人发来的书面付款通知后的</w:t>
      </w:r>
      <w:r>
        <w:rPr>
          <w:rFonts w:hint="eastAsia" w:ascii="宋体" w:hAnsi="宋体"/>
          <w:sz w:val="24"/>
          <w:u w:val="single"/>
        </w:rPr>
        <w:t xml:space="preserve">    </w:t>
      </w:r>
      <w:r>
        <w:rPr>
          <w:rFonts w:hint="eastAsia" w:ascii="宋体" w:hAnsi="宋体"/>
          <w:sz w:val="24"/>
        </w:rPr>
        <w:t>日内无条件支付，前述书面付款通知即为付款要求之单据，且应满足以下要求：</w:t>
      </w:r>
    </w:p>
    <w:p>
      <w:pPr>
        <w:spacing w:line="460" w:lineRule="exact"/>
        <w:ind w:firstLine="480" w:firstLineChars="200"/>
        <w:rPr>
          <w:rFonts w:ascii="宋体" w:hAnsi="宋体"/>
          <w:sz w:val="24"/>
        </w:rPr>
      </w:pPr>
      <w:r>
        <w:rPr>
          <w:rFonts w:hint="eastAsia" w:ascii="宋体" w:hAnsi="宋体"/>
          <w:sz w:val="24"/>
        </w:rPr>
        <w:t>（1）付款通知到达的日期在本保函的有效期内；</w:t>
      </w:r>
    </w:p>
    <w:p>
      <w:pPr>
        <w:spacing w:line="460" w:lineRule="exact"/>
        <w:ind w:firstLine="480" w:firstLineChars="200"/>
        <w:rPr>
          <w:rFonts w:ascii="宋体" w:hAnsi="宋体"/>
          <w:sz w:val="24"/>
        </w:rPr>
      </w:pPr>
      <w:r>
        <w:rPr>
          <w:rFonts w:hint="eastAsia" w:ascii="宋体" w:hAnsi="宋体"/>
          <w:sz w:val="24"/>
        </w:rPr>
        <w:t>（2）载明要求支付的金额；</w:t>
      </w:r>
    </w:p>
    <w:p>
      <w:pPr>
        <w:spacing w:line="460" w:lineRule="exact"/>
        <w:ind w:firstLine="480" w:firstLineChars="200"/>
        <w:rPr>
          <w:rFonts w:ascii="宋体" w:hAnsi="宋体"/>
          <w:sz w:val="24"/>
        </w:rPr>
      </w:pPr>
      <w:r>
        <w:rPr>
          <w:rFonts w:hint="eastAsia" w:ascii="宋体" w:hAnsi="宋体"/>
          <w:sz w:val="24"/>
        </w:rPr>
        <w:t>（3）载明申请人违反合同义务的条款和内容；</w:t>
      </w:r>
    </w:p>
    <w:p>
      <w:pPr>
        <w:spacing w:line="460" w:lineRule="exact"/>
        <w:ind w:firstLine="480" w:firstLineChars="200"/>
        <w:rPr>
          <w:rFonts w:ascii="宋体" w:hAnsi="宋体"/>
          <w:sz w:val="24"/>
        </w:rPr>
      </w:pPr>
      <w:r>
        <w:rPr>
          <w:rFonts w:hint="eastAsia" w:ascii="宋体" w:hAnsi="宋体"/>
          <w:sz w:val="24"/>
        </w:rPr>
        <w:t>（4）声明不存在合同文件约定或我国法律规定免除申请人或开立人支付责任的情形；</w:t>
      </w:r>
    </w:p>
    <w:p>
      <w:pPr>
        <w:spacing w:line="460" w:lineRule="exact"/>
        <w:ind w:firstLine="480" w:firstLineChars="200"/>
        <w:rPr>
          <w:rFonts w:ascii="宋体" w:hAnsi="宋体"/>
          <w:sz w:val="24"/>
        </w:rPr>
      </w:pPr>
      <w:r>
        <w:rPr>
          <w:rFonts w:hint="eastAsia" w:ascii="宋体" w:hAnsi="宋体"/>
          <w:sz w:val="24"/>
        </w:rPr>
        <w:t>（5）付款通知应在本保函有效期内到达的地址是：</w:t>
      </w:r>
      <w:r>
        <w:rPr>
          <w:rFonts w:hint="eastAsia" w:ascii="宋体" w:hAnsi="宋体"/>
          <w:sz w:val="24"/>
          <w:u w:val="single"/>
        </w:rPr>
        <w:t xml:space="preserve">             </w:t>
      </w:r>
      <w:r>
        <w:rPr>
          <w:rFonts w:hint="eastAsia" w:ascii="宋体" w:hAnsi="宋体"/>
          <w:sz w:val="24"/>
        </w:rPr>
        <w:t>。</w:t>
      </w:r>
    </w:p>
    <w:p>
      <w:pPr>
        <w:spacing w:line="460" w:lineRule="exact"/>
        <w:ind w:firstLine="480" w:firstLineChars="200"/>
        <w:rPr>
          <w:rFonts w:ascii="宋体" w:hAnsi="宋体"/>
          <w:sz w:val="24"/>
        </w:rPr>
      </w:pPr>
      <w:r>
        <w:rPr>
          <w:rFonts w:hint="eastAsia" w:ascii="宋体" w:hAnsi="宋体"/>
          <w:sz w:val="24"/>
        </w:rPr>
        <w:t>受益人发出的书面付款通知应由其为鉴明受益人法定代表人（负责人）或授权代理人签字并加盖公章。</w:t>
      </w:r>
    </w:p>
    <w:p>
      <w:pPr>
        <w:spacing w:line="460" w:lineRule="exact"/>
        <w:ind w:firstLine="480" w:firstLineChars="200"/>
        <w:rPr>
          <w:rFonts w:ascii="宋体" w:hAnsi="宋体"/>
          <w:sz w:val="24"/>
        </w:rPr>
      </w:pPr>
      <w:r>
        <w:rPr>
          <w:rFonts w:hint="eastAsia" w:ascii="宋体" w:hAnsi="宋体"/>
          <w:sz w:val="24"/>
        </w:rPr>
        <w:t xml:space="preserve">五、本保函项下的权利不得转让，不得设定担保。贵方未经我方书面同意转 让本保函或其项下任何权利，对我方不发生法律效力。 </w:t>
      </w:r>
    </w:p>
    <w:p>
      <w:pPr>
        <w:spacing w:line="460" w:lineRule="exact"/>
        <w:ind w:firstLine="480" w:firstLineChars="200"/>
        <w:rPr>
          <w:rFonts w:ascii="宋体" w:hAnsi="宋体"/>
          <w:sz w:val="24"/>
        </w:rPr>
      </w:pPr>
      <w:r>
        <w:rPr>
          <w:rFonts w:hint="eastAsia" w:ascii="宋体" w:hAnsi="宋体"/>
          <w:sz w:val="24"/>
        </w:rPr>
        <w:t xml:space="preserve">六、与本保函有关的基础合同不成立、不生效、无效、被撤销、被解除，不影响本保函的独立有效。 </w:t>
      </w:r>
    </w:p>
    <w:p>
      <w:pPr>
        <w:spacing w:line="460" w:lineRule="exact"/>
        <w:ind w:firstLine="480" w:firstLineChars="200"/>
        <w:rPr>
          <w:rFonts w:ascii="宋体" w:hAnsi="宋体"/>
          <w:sz w:val="24"/>
        </w:rPr>
      </w:pPr>
      <w:r>
        <w:rPr>
          <w:rFonts w:hint="eastAsia" w:ascii="宋体" w:hAnsi="宋体"/>
          <w:sz w:val="24"/>
        </w:rPr>
        <w:t xml:space="preserve">七、贵方应在本保函到期后的七日内将本保函正本退回我方注销，但是不论贵方是否按此要求将本保函正本退回我方，我方在本保函项下的义务和责任均在保函有效期到期后自动消灭。 </w:t>
      </w:r>
    </w:p>
    <w:p>
      <w:pPr>
        <w:spacing w:line="460" w:lineRule="exact"/>
        <w:ind w:firstLine="480" w:firstLineChars="200"/>
        <w:rPr>
          <w:rFonts w:ascii="宋体" w:hAnsi="宋体"/>
          <w:sz w:val="24"/>
        </w:rPr>
      </w:pPr>
      <w:r>
        <w:rPr>
          <w:rFonts w:hint="eastAsia" w:ascii="宋体" w:hAnsi="宋体"/>
          <w:sz w:val="24"/>
        </w:rPr>
        <w:t>八、本保函适用的法律为中华人民共和国法律，争议裁判管辖地为中华人民共和国</w:t>
      </w:r>
      <w:r>
        <w:rPr>
          <w:rFonts w:hint="eastAsia" w:ascii="宋体" w:hAnsi="宋体"/>
          <w:sz w:val="24"/>
          <w:u w:val="single"/>
        </w:rPr>
        <w:t xml:space="preserve">     </w:t>
      </w:r>
      <w:r>
        <w:rPr>
          <w:rFonts w:hint="eastAsia" w:ascii="宋体" w:hAnsi="宋体"/>
          <w:sz w:val="24"/>
        </w:rPr>
        <w:t xml:space="preserve">。 </w:t>
      </w:r>
    </w:p>
    <w:p>
      <w:pPr>
        <w:spacing w:line="460" w:lineRule="exact"/>
        <w:ind w:firstLine="480" w:firstLineChars="200"/>
        <w:rPr>
          <w:rFonts w:ascii="宋体" w:hAnsi="宋体"/>
          <w:sz w:val="24"/>
        </w:rPr>
      </w:pPr>
      <w:r>
        <w:rPr>
          <w:rFonts w:hint="eastAsia" w:ascii="宋体" w:hAnsi="宋体"/>
          <w:sz w:val="24"/>
        </w:rPr>
        <w:t>九、本保函自我方法定代表人</w:t>
      </w:r>
      <w:bookmarkStart w:id="1084" w:name="_Hlk58487855"/>
      <w:r>
        <w:rPr>
          <w:rFonts w:hint="eastAsia" w:ascii="宋体" w:hAnsi="宋体"/>
          <w:sz w:val="24"/>
        </w:rPr>
        <w:t>或授权代表</w:t>
      </w:r>
      <w:bookmarkEnd w:id="1084"/>
      <w:r>
        <w:rPr>
          <w:rFonts w:hint="eastAsia" w:ascii="宋体" w:hAnsi="宋体"/>
          <w:sz w:val="24"/>
        </w:rPr>
        <w:t xml:space="preserve">签字并加盖公章之日起生效。 </w:t>
      </w:r>
    </w:p>
    <w:p>
      <w:pPr>
        <w:spacing w:line="460" w:lineRule="exact"/>
        <w:ind w:firstLine="480" w:firstLineChars="200"/>
        <w:rPr>
          <w:rFonts w:ascii="宋体" w:hAnsi="宋体"/>
          <w:sz w:val="24"/>
        </w:rPr>
      </w:pPr>
    </w:p>
    <w:p>
      <w:pPr>
        <w:spacing w:line="460" w:lineRule="exact"/>
        <w:ind w:firstLine="480" w:firstLineChars="200"/>
        <w:rPr>
          <w:rFonts w:ascii="宋体" w:hAnsi="宋体"/>
          <w:sz w:val="24"/>
        </w:rPr>
      </w:pPr>
    </w:p>
    <w:p>
      <w:pPr>
        <w:spacing w:line="460" w:lineRule="exact"/>
        <w:ind w:firstLine="480" w:firstLineChars="200"/>
        <w:rPr>
          <w:rFonts w:ascii="宋体" w:hAnsi="宋体"/>
          <w:sz w:val="24"/>
        </w:rPr>
      </w:pPr>
      <w:r>
        <w:rPr>
          <w:rFonts w:hint="eastAsia" w:ascii="宋体" w:hAnsi="宋体"/>
          <w:sz w:val="24"/>
        </w:rPr>
        <w:t>开 立 人：</w:t>
      </w:r>
      <w:r>
        <w:rPr>
          <w:rFonts w:hint="eastAsia" w:ascii="宋体" w:hAnsi="宋体"/>
          <w:sz w:val="24"/>
          <w:u w:val="single"/>
        </w:rPr>
        <w:t xml:space="preserve">                              </w:t>
      </w:r>
      <w:r>
        <w:rPr>
          <w:rFonts w:hint="eastAsia" w:ascii="宋体" w:hAnsi="宋体"/>
          <w:sz w:val="24"/>
        </w:rPr>
        <w:t xml:space="preserve">（公章） </w:t>
      </w:r>
    </w:p>
    <w:p>
      <w:pPr>
        <w:spacing w:line="460" w:lineRule="exact"/>
        <w:ind w:firstLine="480" w:firstLineChars="200"/>
        <w:rPr>
          <w:rFonts w:ascii="宋体" w:hAnsi="宋体"/>
          <w:sz w:val="24"/>
        </w:rPr>
      </w:pPr>
      <w:r>
        <w:rPr>
          <w:rFonts w:hint="eastAsia" w:ascii="宋体" w:hAnsi="宋体"/>
          <w:sz w:val="24"/>
        </w:rPr>
        <w:t>法定代表人（或授权代表）：</w:t>
      </w:r>
      <w:r>
        <w:rPr>
          <w:rFonts w:hint="eastAsia" w:ascii="宋体" w:hAnsi="宋体"/>
          <w:sz w:val="24"/>
          <w:u w:val="single"/>
        </w:rPr>
        <w:t xml:space="preserve">               </w:t>
      </w:r>
      <w:r>
        <w:rPr>
          <w:rFonts w:hint="eastAsia" w:ascii="宋体" w:hAnsi="宋体"/>
          <w:sz w:val="24"/>
        </w:rPr>
        <w:t xml:space="preserve">（签字） </w:t>
      </w:r>
    </w:p>
    <w:p>
      <w:pPr>
        <w:spacing w:line="460" w:lineRule="exact"/>
        <w:ind w:firstLine="480" w:firstLineChars="200"/>
        <w:rPr>
          <w:rFonts w:ascii="宋体" w:hAnsi="宋体"/>
          <w:sz w:val="24"/>
        </w:rPr>
      </w:pPr>
      <w:r>
        <w:rPr>
          <w:rFonts w:hint="eastAsia" w:ascii="宋体" w:hAnsi="宋体"/>
          <w:sz w:val="24"/>
        </w:rPr>
        <w:t>地    址：</w:t>
      </w:r>
      <w:r>
        <w:rPr>
          <w:rFonts w:hint="eastAsia" w:ascii="宋体" w:hAnsi="宋体"/>
          <w:sz w:val="24"/>
          <w:u w:val="single"/>
        </w:rPr>
        <w:t xml:space="preserve">                                       </w:t>
      </w:r>
    </w:p>
    <w:p>
      <w:pPr>
        <w:spacing w:line="460" w:lineRule="exact"/>
        <w:ind w:firstLine="480" w:firstLineChars="200"/>
        <w:rPr>
          <w:rFonts w:ascii="宋体" w:hAnsi="宋体"/>
          <w:sz w:val="24"/>
        </w:rPr>
      </w:pPr>
      <w:r>
        <w:rPr>
          <w:rFonts w:hint="eastAsia" w:ascii="宋体" w:hAnsi="宋体"/>
          <w:sz w:val="24"/>
        </w:rPr>
        <w:t>邮政编码：</w:t>
      </w:r>
      <w:r>
        <w:rPr>
          <w:rFonts w:hint="eastAsia" w:ascii="宋体" w:hAnsi="宋体"/>
          <w:sz w:val="24"/>
          <w:u w:val="single"/>
        </w:rPr>
        <w:t xml:space="preserve">                 </w:t>
      </w:r>
    </w:p>
    <w:p>
      <w:pPr>
        <w:spacing w:line="460" w:lineRule="exact"/>
        <w:ind w:firstLine="480" w:firstLineChars="200"/>
        <w:rPr>
          <w:rFonts w:ascii="宋体" w:hAnsi="宋体"/>
          <w:sz w:val="24"/>
          <w:u w:val="single"/>
        </w:rPr>
      </w:pPr>
      <w:r>
        <w:rPr>
          <w:rFonts w:hint="eastAsia" w:ascii="宋体" w:hAnsi="宋体"/>
          <w:sz w:val="24"/>
        </w:rPr>
        <w:t>电    话：</w:t>
      </w:r>
      <w:r>
        <w:rPr>
          <w:rFonts w:hint="eastAsia" w:ascii="宋体" w:hAnsi="宋体"/>
          <w:sz w:val="24"/>
          <w:u w:val="single"/>
        </w:rPr>
        <w:t xml:space="preserve">                 </w:t>
      </w:r>
    </w:p>
    <w:p>
      <w:pPr>
        <w:spacing w:line="460" w:lineRule="exact"/>
        <w:ind w:firstLine="480" w:firstLineChars="200"/>
        <w:rPr>
          <w:rFonts w:ascii="宋体" w:hAnsi="宋体"/>
          <w:sz w:val="24"/>
        </w:rPr>
      </w:pPr>
      <w:r>
        <w:rPr>
          <w:rFonts w:hint="eastAsia" w:ascii="宋体" w:hAnsi="宋体"/>
          <w:sz w:val="24"/>
        </w:rPr>
        <w:t>传    真：</w:t>
      </w:r>
      <w:r>
        <w:rPr>
          <w:rFonts w:hint="eastAsia" w:ascii="宋体" w:hAnsi="宋体"/>
          <w:sz w:val="24"/>
          <w:u w:val="single"/>
        </w:rPr>
        <w:t xml:space="preserve">                 </w:t>
      </w:r>
    </w:p>
    <w:p>
      <w:pPr>
        <w:spacing w:line="460" w:lineRule="exact"/>
        <w:ind w:firstLine="480" w:firstLineChars="200"/>
        <w:rPr>
          <w:rFonts w:ascii="宋体" w:hAnsi="宋体"/>
          <w:sz w:val="24"/>
        </w:rPr>
      </w:pPr>
      <w:r>
        <w:rPr>
          <w:rFonts w:hint="eastAsia" w:ascii="宋体" w:hAnsi="宋体"/>
          <w:sz w:val="24"/>
        </w:rPr>
        <w:t>开立时间：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jc w:val="left"/>
        <w:rPr>
          <w:rFonts w:ascii="仿宋" w:hAnsi="仿宋" w:eastAsia="仿宋"/>
          <w:sz w:val="30"/>
          <w:szCs w:val="30"/>
        </w:rPr>
      </w:pPr>
    </w:p>
    <w:p>
      <w:pPr>
        <w:pStyle w:val="4"/>
      </w:pPr>
    </w:p>
    <w:p>
      <w:pPr>
        <w:pStyle w:val="4"/>
      </w:pPr>
      <w:r>
        <w:br w:type="page"/>
      </w:r>
    </w:p>
    <w:p>
      <w:pPr>
        <w:ind w:firstLine="1680" w:firstLineChars="700"/>
        <w:rPr>
          <w:sz w:val="24"/>
        </w:rPr>
      </w:pPr>
    </w:p>
    <w:p>
      <w:pPr>
        <w:ind w:firstLine="1680" w:firstLineChars="700"/>
        <w:rPr>
          <w:sz w:val="24"/>
        </w:rPr>
      </w:pPr>
    </w:p>
    <w:p>
      <w:pPr>
        <w:rPr>
          <w:sz w:val="24"/>
        </w:rPr>
      </w:pPr>
    </w:p>
    <w:p>
      <w:pPr>
        <w:pStyle w:val="2"/>
        <w:spacing w:before="120" w:after="120" w:line="360" w:lineRule="auto"/>
        <w:ind w:left="431" w:right="46" w:rightChars="22" w:hanging="431"/>
        <w:rPr>
          <w:rFonts w:ascii="宋体" w:hAnsi="宋体" w:eastAsia="宋体"/>
          <w:b/>
          <w:sz w:val="48"/>
          <w:szCs w:val="48"/>
        </w:rPr>
      </w:pPr>
      <w:bookmarkStart w:id="1085" w:name="_Toc470011329"/>
      <w:r>
        <w:rPr>
          <w:rFonts w:hint="eastAsia" w:ascii="宋体" w:hAnsi="宋体" w:eastAsia="宋体"/>
          <w:b/>
          <w:sz w:val="48"/>
          <w:szCs w:val="48"/>
        </w:rPr>
        <w:t>第五章</w:t>
      </w:r>
      <w:r>
        <w:rPr>
          <w:rFonts w:ascii="宋体" w:hAnsi="宋体" w:eastAsia="宋体"/>
          <w:b/>
          <w:sz w:val="48"/>
          <w:szCs w:val="48"/>
        </w:rPr>
        <w:t xml:space="preserve"> </w:t>
      </w:r>
      <w:r>
        <w:rPr>
          <w:rFonts w:hint="eastAsia" w:ascii="宋体" w:hAnsi="宋体" w:eastAsia="宋体"/>
          <w:b/>
          <w:sz w:val="48"/>
          <w:szCs w:val="48"/>
        </w:rPr>
        <w:t>招标工程量清单</w:t>
      </w:r>
      <w:bookmarkEnd w:id="1085"/>
    </w:p>
    <w:p/>
    <w:p/>
    <w:p/>
    <w:p/>
    <w:p/>
    <w:p/>
    <w:p/>
    <w:p/>
    <w:p/>
    <w:p/>
    <w:p/>
    <w:p/>
    <w:p/>
    <w:p/>
    <w:p/>
    <w:p/>
    <w:p/>
    <w:p/>
    <w:p/>
    <w:p/>
    <w:p/>
    <w:p/>
    <w:p/>
    <w:p/>
    <w:p/>
    <w:p/>
    <w:p/>
    <w:p/>
    <w:p/>
    <w:p/>
    <w:p/>
    <w:p/>
    <w:p/>
    <w:p/>
    <w:p/>
    <w:p/>
    <w:p/>
    <w:p/>
    <w:p/>
    <w:p/>
    <w:p/>
    <w:p/>
    <w:p/>
    <w:p/>
    <w:p/>
    <w:p/>
    <w:p/>
    <w:p>
      <w:pPr>
        <w:keepNext/>
        <w:keepLines/>
        <w:spacing w:before="120" w:beforeLines="50" w:after="120" w:afterLines="50" w:line="360" w:lineRule="auto"/>
        <w:outlineLvl w:val="1"/>
        <w:rPr>
          <w:rFonts w:ascii="宋体" w:cs="宋体"/>
          <w:sz w:val="28"/>
          <w:szCs w:val="20"/>
        </w:rPr>
      </w:pPr>
      <w:bookmarkStart w:id="1086" w:name="_Toc489280311"/>
      <w:bookmarkStart w:id="1087" w:name="_Toc486580506"/>
      <w:bookmarkStart w:id="1088" w:name="_Toc10235168"/>
      <w:bookmarkStart w:id="1089" w:name="_Toc490331763"/>
      <w:bookmarkStart w:id="1090" w:name="_Toc497458710"/>
      <w:bookmarkStart w:id="1091" w:name="_Toc497214173"/>
      <w:r>
        <w:rPr>
          <w:rFonts w:ascii="宋体" w:hAnsi="宋体" w:cs="宋体"/>
          <w:sz w:val="28"/>
          <w:szCs w:val="20"/>
        </w:rPr>
        <w:t>1.</w:t>
      </w:r>
      <w:r>
        <w:rPr>
          <w:rFonts w:hint="eastAsia" w:ascii="宋体" w:hAnsi="宋体" w:cs="宋体"/>
          <w:sz w:val="28"/>
          <w:szCs w:val="20"/>
        </w:rPr>
        <w:t>工程量清单说明</w:t>
      </w:r>
      <w:bookmarkEnd w:id="1086"/>
      <w:bookmarkEnd w:id="1087"/>
      <w:bookmarkEnd w:id="1088"/>
      <w:bookmarkEnd w:id="1089"/>
      <w:bookmarkEnd w:id="1090"/>
      <w:bookmarkEnd w:id="1091"/>
    </w:p>
    <w:p>
      <w:pPr>
        <w:keepNext/>
        <w:keepLines/>
        <w:spacing w:before="120" w:beforeLines="50" w:after="120" w:afterLines="50" w:line="360" w:lineRule="auto"/>
        <w:outlineLvl w:val="2"/>
        <w:rPr>
          <w:rFonts w:ascii="宋体"/>
          <w:kern w:val="0"/>
          <w:sz w:val="24"/>
          <w:szCs w:val="20"/>
        </w:rPr>
      </w:pPr>
      <w:bookmarkStart w:id="1092" w:name="_Toc10235169"/>
      <w:bookmarkStart w:id="1093" w:name="_Toc497214174"/>
      <w:bookmarkStart w:id="1094" w:name="_Toc489280312"/>
      <w:bookmarkStart w:id="1095" w:name="_Toc497458711"/>
      <w:bookmarkStart w:id="1096" w:name="_Toc486580507"/>
      <w:r>
        <w:rPr>
          <w:rFonts w:ascii="宋体" w:hAnsi="宋体"/>
          <w:kern w:val="0"/>
          <w:sz w:val="24"/>
          <w:szCs w:val="20"/>
        </w:rPr>
        <w:t xml:space="preserve">1.1  </w:t>
      </w:r>
      <w:r>
        <w:rPr>
          <w:rFonts w:hint="eastAsia" w:ascii="宋体" w:hAnsi="宋体"/>
          <w:kern w:val="0"/>
          <w:sz w:val="24"/>
          <w:szCs w:val="20"/>
        </w:rPr>
        <w:t>工程量清单编制依据</w:t>
      </w:r>
      <w:bookmarkEnd w:id="1092"/>
      <w:bookmarkEnd w:id="1093"/>
      <w:bookmarkEnd w:id="1094"/>
      <w:bookmarkEnd w:id="1095"/>
      <w:bookmarkEnd w:id="1096"/>
    </w:p>
    <w:p>
      <w:pPr>
        <w:spacing w:line="360" w:lineRule="auto"/>
        <w:ind w:firstLine="630" w:firstLineChars="300"/>
        <w:rPr>
          <w:rFonts w:cs="Arial"/>
          <w:szCs w:val="21"/>
        </w:rPr>
      </w:pPr>
      <w:r>
        <w:rPr>
          <w:rFonts w:ascii="宋体" w:hAnsi="宋体"/>
        </w:rPr>
        <w:t>1.1.1</w:t>
      </w:r>
      <w:r>
        <w:rPr>
          <w:rFonts w:ascii="宋体" w:hAnsi="宋体" w:cs="Arial"/>
          <w:szCs w:val="21"/>
        </w:rPr>
        <w:t xml:space="preserve">  </w:t>
      </w:r>
      <w:r>
        <w:rPr>
          <w:rFonts w:hint="eastAsia" w:ascii="宋体" w:hAnsi="宋体" w:cs="Arial"/>
          <w:szCs w:val="21"/>
        </w:rPr>
        <w:t>本工程量清单依据的计量计价规范：</w:t>
      </w:r>
      <w:r>
        <w:rPr>
          <w:bCs/>
          <w:szCs w:val="21"/>
          <w:u w:val="single"/>
        </w:rPr>
        <w:t xml:space="preserve">                                  </w:t>
      </w:r>
    </w:p>
    <w:p>
      <w:pPr>
        <w:spacing w:line="360" w:lineRule="auto"/>
        <w:rPr>
          <w:szCs w:val="21"/>
          <w:u w:val="single"/>
        </w:rPr>
      </w:pPr>
      <w:r>
        <w:rPr>
          <w:szCs w:val="21"/>
          <w:u w:val="single"/>
        </w:rPr>
        <w:t xml:space="preserve">                                                                               </w:t>
      </w:r>
    </w:p>
    <w:p>
      <w:pPr>
        <w:spacing w:line="360" w:lineRule="auto"/>
        <w:ind w:firstLine="630" w:firstLineChars="300"/>
        <w:rPr>
          <w:szCs w:val="21"/>
          <w:u w:val="single"/>
        </w:rPr>
      </w:pPr>
      <w:r>
        <w:rPr>
          <w:rFonts w:ascii="宋体" w:hAnsi="宋体"/>
        </w:rPr>
        <w:t>1.1</w:t>
      </w:r>
      <w:r>
        <w:rPr>
          <w:rFonts w:ascii="宋体"/>
        </w:rPr>
        <w:t>.</w:t>
      </w:r>
      <w:r>
        <w:rPr>
          <w:rFonts w:ascii="宋体" w:hAnsi="宋体"/>
        </w:rPr>
        <w:t>3</w:t>
      </w:r>
      <w:r>
        <w:rPr>
          <w:rFonts w:ascii="宋体" w:hAnsi="宋体" w:cs="Arial"/>
          <w:szCs w:val="21"/>
        </w:rPr>
        <w:t xml:space="preserve">  </w:t>
      </w:r>
      <w:r>
        <w:rPr>
          <w:rFonts w:hint="eastAsia" w:ascii="宋体" w:hAnsi="宋体" w:cs="Arial"/>
          <w:szCs w:val="21"/>
        </w:rPr>
        <w:t>补充子目的子目特征、计量单位、工程量计算规则及工作内容说明：</w:t>
      </w:r>
      <w:r>
        <w:rPr>
          <w:bCs/>
          <w:szCs w:val="21"/>
          <w:u w:val="single"/>
        </w:rPr>
        <w:t xml:space="preserve">      </w:t>
      </w:r>
    </w:p>
    <w:p>
      <w:pPr>
        <w:spacing w:line="360" w:lineRule="auto"/>
        <w:rPr>
          <w:rFonts w:ascii="Arial" w:hAnsi="Arial" w:cs="Arial"/>
          <w:szCs w:val="21"/>
        </w:rPr>
      </w:pPr>
      <w:r>
        <w:rPr>
          <w:szCs w:val="21"/>
          <w:u w:val="single"/>
        </w:rPr>
        <w:t xml:space="preserve">                                                                               </w:t>
      </w:r>
    </w:p>
    <w:p>
      <w:pPr>
        <w:keepNext/>
        <w:keepLines/>
        <w:spacing w:before="120" w:beforeLines="50" w:after="120" w:afterLines="50" w:line="360" w:lineRule="auto"/>
        <w:outlineLvl w:val="1"/>
        <w:rPr>
          <w:rFonts w:ascii="宋体" w:cs="宋体"/>
          <w:sz w:val="28"/>
          <w:szCs w:val="20"/>
        </w:rPr>
      </w:pPr>
      <w:bookmarkStart w:id="1097" w:name="_Toc486580508"/>
      <w:bookmarkStart w:id="1098" w:name="_Toc10235170"/>
      <w:bookmarkStart w:id="1099" w:name="_Toc489280313"/>
      <w:bookmarkStart w:id="1100" w:name="_Toc497214175"/>
      <w:bookmarkStart w:id="1101" w:name="_Toc497458712"/>
      <w:bookmarkStart w:id="1102" w:name="_Toc490331764"/>
      <w:r>
        <w:rPr>
          <w:rFonts w:ascii="宋体" w:hAnsi="宋体" w:cs="宋体"/>
          <w:sz w:val="28"/>
          <w:szCs w:val="20"/>
        </w:rPr>
        <w:t>2.</w:t>
      </w:r>
      <w:r>
        <w:rPr>
          <w:rFonts w:hint="eastAsia" w:ascii="宋体" w:hAnsi="宋体" w:cs="宋体"/>
          <w:sz w:val="28"/>
          <w:szCs w:val="20"/>
        </w:rPr>
        <w:t>投标报价说明</w:t>
      </w:r>
      <w:bookmarkEnd w:id="1097"/>
      <w:bookmarkEnd w:id="1098"/>
      <w:bookmarkEnd w:id="1099"/>
      <w:bookmarkEnd w:id="1100"/>
      <w:bookmarkEnd w:id="1101"/>
      <w:bookmarkEnd w:id="1102"/>
    </w:p>
    <w:p>
      <w:pPr>
        <w:keepNext/>
        <w:keepLines/>
        <w:spacing w:before="120" w:beforeLines="50" w:after="120" w:afterLines="50" w:line="360" w:lineRule="auto"/>
        <w:outlineLvl w:val="2"/>
        <w:rPr>
          <w:rFonts w:ascii="宋体" w:hAnsi="宋体"/>
          <w:kern w:val="0"/>
          <w:sz w:val="24"/>
          <w:szCs w:val="20"/>
        </w:rPr>
      </w:pPr>
      <w:bookmarkStart w:id="1103" w:name="_Toc497458713"/>
      <w:bookmarkStart w:id="1104" w:name="_Toc486580509"/>
      <w:bookmarkStart w:id="1105" w:name="_Toc10235171"/>
      <w:bookmarkStart w:id="1106" w:name="_Toc497214176"/>
      <w:bookmarkStart w:id="1107" w:name="_Toc489280314"/>
      <w:r>
        <w:rPr>
          <w:rFonts w:ascii="宋体" w:hAnsi="宋体"/>
          <w:kern w:val="0"/>
          <w:sz w:val="24"/>
          <w:szCs w:val="20"/>
        </w:rPr>
        <w:t xml:space="preserve">2.1  </w:t>
      </w:r>
      <w:r>
        <w:rPr>
          <w:rFonts w:hint="eastAsia" w:ascii="宋体" w:hAnsi="宋体"/>
          <w:kern w:val="0"/>
          <w:sz w:val="24"/>
          <w:szCs w:val="20"/>
        </w:rPr>
        <w:t>投标报价的依据</w:t>
      </w:r>
      <w:bookmarkEnd w:id="1103"/>
      <w:bookmarkEnd w:id="1104"/>
      <w:bookmarkEnd w:id="1105"/>
      <w:bookmarkEnd w:id="1106"/>
      <w:bookmarkEnd w:id="1107"/>
      <w:r>
        <w:rPr>
          <w:rFonts w:ascii="宋体" w:hAnsi="宋体"/>
          <w:kern w:val="0"/>
          <w:sz w:val="24"/>
          <w:szCs w:val="20"/>
        </w:rPr>
        <w:t xml:space="preserve">  </w:t>
      </w:r>
    </w:p>
    <w:p>
      <w:pPr>
        <w:spacing w:line="360" w:lineRule="auto"/>
        <w:ind w:firstLine="630" w:firstLineChars="300"/>
        <w:rPr>
          <w:rFonts w:ascii="宋体"/>
          <w:szCs w:val="22"/>
        </w:rPr>
      </w:pPr>
      <w:r>
        <w:rPr>
          <w:rFonts w:hint="eastAsia" w:ascii="宋体" w:hAnsi="宋体"/>
          <w:szCs w:val="22"/>
        </w:rPr>
        <w:t>投标报价应当根据合同约定的有关计价要求，并按照下列依据自主报价：</w:t>
      </w:r>
    </w:p>
    <w:p>
      <w:pPr>
        <w:spacing w:line="360" w:lineRule="auto"/>
        <w:ind w:firstLine="707" w:firstLineChars="337"/>
        <w:rPr>
          <w:rFonts w:ascii="宋体" w:hAnsi="宋体"/>
          <w:sz w:val="24"/>
          <w:u w:val="single"/>
        </w:rPr>
      </w:pPr>
      <w:r>
        <w:rPr>
          <w:rFonts w:hint="eastAsia" w:ascii="宋体" w:hAnsi="宋体"/>
          <w:szCs w:val="21"/>
        </w:rPr>
        <w:t>（</w:t>
      </w:r>
      <w:r>
        <w:rPr>
          <w:rFonts w:ascii="宋体" w:hAnsi="宋体"/>
          <w:szCs w:val="21"/>
        </w:rPr>
        <w:t>9</w:t>
      </w:r>
      <w:r>
        <w:rPr>
          <w:rFonts w:hint="eastAsia" w:ascii="宋体" w:hAnsi="宋体"/>
          <w:szCs w:val="21"/>
        </w:rPr>
        <w:t>）其他相关资料</w:t>
      </w:r>
      <w:r>
        <w:rPr>
          <w:rFonts w:hint="eastAsia" w:ascii="宋体" w:hAnsi="宋体"/>
          <w:sz w:val="24"/>
        </w:rPr>
        <w:t>：</w:t>
      </w:r>
      <w:r>
        <w:rPr>
          <w:rFonts w:ascii="宋体" w:hAnsi="宋体"/>
          <w:sz w:val="24"/>
          <w:u w:val="single"/>
        </w:rPr>
        <w:t xml:space="preserve">                                               </w:t>
      </w:r>
    </w:p>
    <w:p>
      <w:pPr>
        <w:spacing w:line="360" w:lineRule="auto"/>
        <w:rPr>
          <w:rFonts w:ascii="宋体" w:hAnsi="宋体"/>
          <w:sz w:val="24"/>
          <w:u w:val="single"/>
        </w:rPr>
      </w:pPr>
      <w:r>
        <w:rPr>
          <w:rFonts w:ascii="宋体" w:hAnsi="宋体"/>
          <w:sz w:val="24"/>
          <w:u w:val="single"/>
        </w:rPr>
        <w:t xml:space="preserve">                                                                     </w:t>
      </w:r>
    </w:p>
    <w:p>
      <w:pPr>
        <w:pStyle w:val="148"/>
        <w:spacing w:before="120" w:after="120"/>
      </w:pPr>
      <w:bookmarkStart w:id="1108" w:name="_Toc10235172"/>
      <w:r>
        <w:rPr>
          <w:rFonts w:ascii="宋体" w:hAnsi="宋体" w:eastAsia="宋体"/>
          <w:kern w:val="0"/>
        </w:rPr>
        <w:t xml:space="preserve">2.4 </w:t>
      </w:r>
      <w:r>
        <w:t xml:space="preserve"> </w:t>
      </w:r>
      <w:r>
        <w:rPr>
          <w:rFonts w:hint="eastAsia" w:ascii="宋体" w:hAnsi="宋体" w:eastAsia="宋体"/>
          <w:kern w:val="0"/>
        </w:rPr>
        <w:t>总价措施项目报价</w:t>
      </w:r>
      <w:bookmarkEnd w:id="1108"/>
    </w:p>
    <w:p>
      <w:pPr>
        <w:spacing w:line="360" w:lineRule="auto"/>
        <w:ind w:firstLine="630" w:firstLineChars="300"/>
        <w:rPr>
          <w:rFonts w:ascii="宋体"/>
          <w:sz w:val="24"/>
          <w:u w:val="single"/>
        </w:rPr>
      </w:pPr>
      <w:r>
        <w:rPr>
          <w:rFonts w:ascii="宋体" w:hAnsi="宋体"/>
          <w:szCs w:val="21"/>
        </w:rPr>
        <w:t xml:space="preserve">2.4.2  </w:t>
      </w:r>
      <w:r>
        <w:rPr>
          <w:rFonts w:hint="eastAsia" w:ascii="宋体" w:hAnsi="宋体"/>
          <w:szCs w:val="21"/>
        </w:rPr>
        <w:t>安全文明施工费的具体要求：</w:t>
      </w:r>
      <w:r>
        <w:rPr>
          <w:rFonts w:ascii="宋体" w:hAnsi="宋体"/>
          <w:sz w:val="24"/>
          <w:u w:val="single"/>
        </w:rPr>
        <w:t xml:space="preserve">                                   </w:t>
      </w:r>
    </w:p>
    <w:p>
      <w:pPr>
        <w:spacing w:line="360" w:lineRule="auto"/>
        <w:rPr>
          <w:rFonts w:ascii="宋体"/>
          <w:sz w:val="24"/>
          <w:u w:val="single"/>
        </w:rPr>
      </w:pPr>
      <w:r>
        <w:rPr>
          <w:rFonts w:ascii="宋体" w:hAnsi="宋体"/>
          <w:sz w:val="24"/>
          <w:u w:val="single"/>
        </w:rPr>
        <w:t xml:space="preserve">                                                                     </w:t>
      </w:r>
    </w:p>
    <w:p>
      <w:pPr>
        <w:keepNext/>
        <w:keepLines/>
        <w:spacing w:before="120" w:beforeLines="50" w:after="120" w:afterLines="50" w:line="360" w:lineRule="auto"/>
        <w:outlineLvl w:val="2"/>
        <w:rPr>
          <w:rFonts w:ascii="宋体"/>
          <w:kern w:val="0"/>
          <w:sz w:val="24"/>
          <w:szCs w:val="20"/>
        </w:rPr>
      </w:pPr>
      <w:bookmarkStart w:id="1109" w:name="_Toc486580510"/>
      <w:bookmarkStart w:id="1110" w:name="_Toc489280315"/>
      <w:bookmarkStart w:id="1111" w:name="_Toc497458714"/>
      <w:bookmarkStart w:id="1112" w:name="_Toc10235173"/>
      <w:bookmarkStart w:id="1113" w:name="_Toc497214177"/>
      <w:r>
        <w:rPr>
          <w:rFonts w:ascii="宋体" w:hAnsi="宋体"/>
          <w:kern w:val="0"/>
          <w:sz w:val="24"/>
          <w:szCs w:val="20"/>
        </w:rPr>
        <w:t xml:space="preserve">2.5  </w:t>
      </w:r>
      <w:r>
        <w:rPr>
          <w:rFonts w:hint="eastAsia" w:ascii="宋体" w:hAnsi="宋体"/>
          <w:kern w:val="0"/>
          <w:sz w:val="24"/>
          <w:szCs w:val="20"/>
        </w:rPr>
        <w:t>其他项目清单报价</w:t>
      </w:r>
      <w:bookmarkEnd w:id="1109"/>
      <w:bookmarkEnd w:id="1110"/>
      <w:bookmarkEnd w:id="1111"/>
      <w:bookmarkEnd w:id="1112"/>
      <w:bookmarkEnd w:id="1113"/>
    </w:p>
    <w:p>
      <w:pPr>
        <w:spacing w:line="360" w:lineRule="auto"/>
        <w:ind w:firstLine="630" w:firstLineChars="300"/>
        <w:rPr>
          <w:rFonts w:ascii="宋体"/>
          <w:sz w:val="24"/>
          <w:u w:val="single"/>
        </w:rPr>
      </w:pPr>
      <w:r>
        <w:rPr>
          <w:rFonts w:ascii="宋体" w:hAnsi="宋体"/>
          <w:szCs w:val="21"/>
        </w:rPr>
        <w:t xml:space="preserve">2.5.4  </w:t>
      </w:r>
      <w:r>
        <w:rPr>
          <w:rFonts w:hint="eastAsia" w:ascii="宋体" w:hAnsi="宋体"/>
          <w:szCs w:val="21"/>
        </w:rPr>
        <w:t>在合同履行过程中，总承包服务费的调整方法：</w:t>
      </w:r>
      <w:r>
        <w:rPr>
          <w:rFonts w:ascii="宋体" w:hAnsi="宋体"/>
          <w:sz w:val="24"/>
          <w:u w:val="single"/>
        </w:rPr>
        <w:t xml:space="preserve">                     </w:t>
      </w:r>
    </w:p>
    <w:p>
      <w:pPr>
        <w:spacing w:line="360" w:lineRule="auto"/>
        <w:rPr>
          <w:rFonts w:ascii="宋体"/>
          <w:sz w:val="24"/>
          <w:u w:val="single"/>
        </w:rPr>
      </w:pPr>
      <w:r>
        <w:rPr>
          <w:rFonts w:ascii="宋体" w:hAnsi="宋体"/>
          <w:sz w:val="24"/>
          <w:u w:val="single"/>
        </w:rPr>
        <w:t xml:space="preserve">                                                                     </w:t>
      </w:r>
    </w:p>
    <w:p>
      <w:pPr>
        <w:keepNext/>
        <w:keepLines/>
        <w:spacing w:before="120" w:beforeLines="50" w:after="120" w:afterLines="50" w:line="360" w:lineRule="auto"/>
        <w:outlineLvl w:val="2"/>
        <w:rPr>
          <w:rFonts w:ascii="宋体"/>
          <w:kern w:val="0"/>
          <w:sz w:val="24"/>
          <w:szCs w:val="20"/>
        </w:rPr>
      </w:pPr>
      <w:bookmarkStart w:id="1114" w:name="_Toc497458715"/>
      <w:bookmarkStart w:id="1115" w:name="_Toc10235174"/>
      <w:bookmarkStart w:id="1116" w:name="_Toc497214178"/>
      <w:bookmarkStart w:id="1117" w:name="_Toc489280316"/>
      <w:bookmarkStart w:id="1118" w:name="_Toc486580511"/>
      <w:r>
        <w:rPr>
          <w:rFonts w:ascii="宋体" w:hAnsi="宋体"/>
          <w:kern w:val="0"/>
          <w:sz w:val="24"/>
          <w:szCs w:val="20"/>
        </w:rPr>
        <w:t xml:space="preserve">2.7  </w:t>
      </w:r>
      <w:r>
        <w:rPr>
          <w:rFonts w:hint="eastAsia" w:ascii="宋体" w:hAnsi="宋体"/>
          <w:kern w:val="0"/>
          <w:sz w:val="24"/>
          <w:szCs w:val="20"/>
        </w:rPr>
        <w:t>投标报价需要说明的问题</w:t>
      </w:r>
      <w:bookmarkEnd w:id="1114"/>
      <w:bookmarkEnd w:id="1115"/>
      <w:bookmarkEnd w:id="1116"/>
      <w:bookmarkEnd w:id="1117"/>
      <w:bookmarkEnd w:id="1118"/>
    </w:p>
    <w:p>
      <w:pPr>
        <w:spacing w:line="360" w:lineRule="auto"/>
        <w:ind w:firstLine="630" w:firstLineChars="300"/>
        <w:rPr>
          <w:rFonts w:ascii="宋体" w:cs="Arial"/>
          <w:szCs w:val="21"/>
        </w:rPr>
      </w:pPr>
      <w:r>
        <w:rPr>
          <w:rFonts w:ascii="宋体" w:hAnsi="宋体" w:cs="Arial"/>
          <w:szCs w:val="21"/>
        </w:rPr>
        <w:t xml:space="preserve">2.7.7  </w:t>
      </w:r>
      <w:r>
        <w:rPr>
          <w:rFonts w:hint="eastAsia" w:ascii="宋体" w:hAnsi="宋体" w:cs="Arial"/>
          <w:szCs w:val="21"/>
        </w:rPr>
        <w:t>有关投标报价的其他说明：</w:t>
      </w:r>
      <w:r>
        <w:rPr>
          <w:rFonts w:ascii="宋体" w:hAnsi="宋体" w:cs="Arial"/>
          <w:szCs w:val="21"/>
          <w:u w:val="single"/>
        </w:rPr>
        <w:t xml:space="preserve">                                          </w:t>
      </w:r>
    </w:p>
    <w:p>
      <w:pPr>
        <w:spacing w:line="360" w:lineRule="auto"/>
        <w:rPr>
          <w:rFonts w:ascii="宋体" w:cs="Arial"/>
          <w:szCs w:val="21"/>
        </w:rPr>
      </w:pPr>
      <w:r>
        <w:rPr>
          <w:rFonts w:ascii="宋体" w:hAnsi="宋体" w:cs="Arial"/>
          <w:szCs w:val="21"/>
          <w:u w:val="single"/>
        </w:rPr>
        <w:t xml:space="preserve">                                                                               </w:t>
      </w:r>
    </w:p>
    <w:p>
      <w:pPr>
        <w:keepNext/>
        <w:keepLines/>
        <w:spacing w:before="120" w:beforeLines="50" w:after="120" w:afterLines="50" w:line="360" w:lineRule="auto"/>
        <w:outlineLvl w:val="1"/>
        <w:rPr>
          <w:rFonts w:ascii="宋体" w:cs="宋体"/>
          <w:sz w:val="28"/>
          <w:szCs w:val="20"/>
        </w:rPr>
      </w:pPr>
      <w:bookmarkStart w:id="1119" w:name="_Toc490331765"/>
      <w:bookmarkStart w:id="1120" w:name="_Toc489280317"/>
      <w:bookmarkStart w:id="1121" w:name="_Toc497214179"/>
      <w:bookmarkStart w:id="1122" w:name="_Toc497458716"/>
      <w:bookmarkStart w:id="1123" w:name="_Toc10235175"/>
      <w:bookmarkStart w:id="1124" w:name="_Toc486580512"/>
      <w:r>
        <w:rPr>
          <w:rFonts w:ascii="宋体" w:hAnsi="宋体" w:cs="宋体"/>
          <w:sz w:val="28"/>
          <w:szCs w:val="20"/>
        </w:rPr>
        <w:t>3.</w:t>
      </w:r>
      <w:r>
        <w:rPr>
          <w:rFonts w:hint="eastAsia" w:ascii="宋体" w:hAnsi="宋体" w:cs="宋体"/>
          <w:sz w:val="28"/>
          <w:szCs w:val="20"/>
        </w:rPr>
        <w:t>其他说明</w:t>
      </w:r>
      <w:bookmarkEnd w:id="1119"/>
      <w:bookmarkEnd w:id="1120"/>
      <w:bookmarkEnd w:id="1121"/>
      <w:bookmarkEnd w:id="1122"/>
      <w:bookmarkEnd w:id="1123"/>
      <w:bookmarkEnd w:id="1124"/>
    </w:p>
    <w:p>
      <w:pPr>
        <w:keepNext/>
        <w:keepLines/>
        <w:spacing w:before="120" w:beforeLines="50" w:after="120" w:afterLines="50" w:line="360" w:lineRule="auto"/>
        <w:outlineLvl w:val="2"/>
        <w:rPr>
          <w:rFonts w:ascii="宋体"/>
          <w:kern w:val="0"/>
          <w:sz w:val="24"/>
          <w:szCs w:val="20"/>
        </w:rPr>
      </w:pPr>
      <w:bookmarkStart w:id="1125" w:name="_Toc486580513"/>
      <w:bookmarkStart w:id="1126" w:name="_Toc10235176"/>
      <w:bookmarkStart w:id="1127" w:name="_Toc489280318"/>
      <w:bookmarkStart w:id="1128" w:name="_Toc497458717"/>
      <w:bookmarkStart w:id="1129" w:name="_Toc497214180"/>
      <w:r>
        <w:rPr>
          <w:rFonts w:ascii="宋体" w:hAnsi="宋体"/>
          <w:kern w:val="0"/>
          <w:sz w:val="24"/>
          <w:szCs w:val="20"/>
        </w:rPr>
        <w:t xml:space="preserve">3.3  </w:t>
      </w:r>
      <w:r>
        <w:rPr>
          <w:rFonts w:hint="eastAsia" w:ascii="宋体" w:hAnsi="宋体"/>
          <w:kern w:val="0"/>
          <w:sz w:val="24"/>
          <w:szCs w:val="20"/>
        </w:rPr>
        <w:t>需要补充的其他说明：</w:t>
      </w:r>
      <w:bookmarkEnd w:id="1125"/>
      <w:bookmarkEnd w:id="1126"/>
      <w:bookmarkEnd w:id="1127"/>
      <w:bookmarkEnd w:id="1128"/>
      <w:bookmarkEnd w:id="1129"/>
    </w:p>
    <w:p>
      <w:pPr>
        <w:spacing w:line="360" w:lineRule="auto"/>
        <w:rPr>
          <w:rFonts w:ascii="宋体" w:cs="Arial"/>
          <w:szCs w:val="21"/>
        </w:rPr>
      </w:pPr>
      <w:r>
        <w:rPr>
          <w:rFonts w:ascii="宋体" w:hAnsi="宋体" w:cs="Arial"/>
          <w:szCs w:val="21"/>
          <w:u w:val="single"/>
        </w:rPr>
        <w:t xml:space="preserve">                                                                               </w:t>
      </w:r>
    </w:p>
    <w:p>
      <w:pPr>
        <w:keepNext/>
        <w:keepLines/>
        <w:spacing w:before="120" w:beforeLines="50" w:after="120" w:afterLines="50" w:line="360" w:lineRule="auto"/>
        <w:outlineLvl w:val="1"/>
        <w:rPr>
          <w:rFonts w:ascii="宋体" w:cs="宋体"/>
          <w:sz w:val="28"/>
          <w:szCs w:val="20"/>
        </w:rPr>
      </w:pPr>
      <w:bookmarkStart w:id="1130" w:name="_Toc489280319"/>
      <w:bookmarkStart w:id="1131" w:name="_Toc486580514"/>
      <w:bookmarkStart w:id="1132" w:name="_Toc497214181"/>
      <w:bookmarkStart w:id="1133" w:name="_Toc497458718"/>
      <w:bookmarkStart w:id="1134" w:name="_Toc490331766"/>
      <w:bookmarkStart w:id="1135" w:name="_Toc10235177"/>
      <w:r>
        <w:rPr>
          <w:rFonts w:ascii="宋体" w:hAnsi="宋体" w:cs="宋体"/>
          <w:sz w:val="28"/>
          <w:szCs w:val="20"/>
        </w:rPr>
        <w:t>4.</w:t>
      </w:r>
      <w:r>
        <w:rPr>
          <w:rFonts w:hint="eastAsia" w:ascii="宋体" w:hAnsi="宋体" w:cs="宋体"/>
          <w:sz w:val="28"/>
          <w:szCs w:val="20"/>
        </w:rPr>
        <w:t>工程量清单与计价表</w:t>
      </w:r>
      <w:bookmarkEnd w:id="1130"/>
      <w:bookmarkEnd w:id="1131"/>
      <w:bookmarkEnd w:id="1132"/>
      <w:bookmarkEnd w:id="1133"/>
      <w:bookmarkEnd w:id="1134"/>
      <w:bookmarkEnd w:id="1135"/>
    </w:p>
    <w:p>
      <w:pPr>
        <w:spacing w:line="360" w:lineRule="auto"/>
      </w:pPr>
    </w:p>
    <w:p>
      <w:pPr>
        <w:spacing w:line="360" w:lineRule="auto"/>
        <w:rPr>
          <w:rFonts w:ascii="宋体"/>
        </w:rPr>
      </w:pPr>
    </w:p>
    <w:p>
      <w:pPr>
        <w:pStyle w:val="2"/>
        <w:sectPr>
          <w:headerReference r:id="rId24" w:type="default"/>
          <w:pgSz w:w="11906" w:h="16838"/>
          <w:pgMar w:top="1440" w:right="1797" w:bottom="1440" w:left="1797" w:header="851" w:footer="992" w:gutter="0"/>
          <w:cols w:space="720" w:num="1"/>
        </w:sectPr>
      </w:pPr>
      <w:bookmarkStart w:id="1136" w:name="_Toc489692685"/>
    </w:p>
    <w:bookmarkEnd w:id="1136"/>
    <w:p>
      <w:pPr>
        <w:pStyle w:val="148"/>
        <w:spacing w:before="120" w:after="120"/>
      </w:pPr>
      <w:bookmarkStart w:id="1137" w:name="_Toc342296527"/>
      <w:bookmarkStart w:id="1138" w:name="_Toc497458719"/>
      <w:bookmarkStart w:id="1139" w:name="_Toc10235178"/>
      <w:bookmarkStart w:id="1140" w:name="_Toc483575313"/>
      <w:bookmarkStart w:id="1141" w:name="_Toc480481676"/>
      <w:bookmarkStart w:id="1142" w:name="_Toc241459764"/>
      <w:r>
        <w:rPr>
          <w:rFonts w:hint="eastAsia"/>
        </w:rPr>
        <w:t>工程量清单封面</w:t>
      </w:r>
      <w:bookmarkEnd w:id="1137"/>
      <w:bookmarkEnd w:id="1138"/>
      <w:bookmarkEnd w:id="1139"/>
      <w:bookmarkEnd w:id="1140"/>
      <w:bookmarkEnd w:id="1141"/>
      <w:bookmarkEnd w:id="1142"/>
    </w:p>
    <w:p>
      <w:pPr>
        <w:tabs>
          <w:tab w:val="left" w:pos="720"/>
        </w:tabs>
        <w:spacing w:after="120" w:afterLines="50" w:line="300" w:lineRule="auto"/>
        <w:ind w:firstLine="1050" w:firstLineChars="500"/>
        <w:rPr>
          <w:rFonts w:ascii="Arial" w:hAnsi="Arial" w:cs="Arial"/>
          <w:szCs w:val="28"/>
          <w:u w:val="single"/>
        </w:rPr>
      </w:pPr>
    </w:p>
    <w:p>
      <w:pPr>
        <w:tabs>
          <w:tab w:val="left" w:pos="720"/>
        </w:tabs>
        <w:spacing w:after="120" w:afterLines="50" w:line="300" w:lineRule="auto"/>
        <w:ind w:firstLine="1680" w:firstLineChars="800"/>
        <w:rPr>
          <w:rFonts w:ascii="Arial" w:hAnsi="Arial" w:cs="Arial"/>
          <w:szCs w:val="28"/>
        </w:rPr>
      </w:pPr>
      <w:r>
        <w:rPr>
          <w:rFonts w:ascii="Arial" w:hAnsi="Arial" w:cs="Arial"/>
          <w:szCs w:val="28"/>
          <w:u w:val="single"/>
        </w:rPr>
        <w:t xml:space="preserve">                                         </w:t>
      </w:r>
      <w:r>
        <w:rPr>
          <w:rFonts w:hint="eastAsia" w:ascii="Arial" w:hAnsi="Arial" w:cs="Arial"/>
          <w:szCs w:val="28"/>
        </w:rPr>
        <w:t>工程</w:t>
      </w:r>
    </w:p>
    <w:p>
      <w:pPr>
        <w:tabs>
          <w:tab w:val="left" w:pos="720"/>
        </w:tabs>
        <w:spacing w:after="120" w:afterLines="50" w:line="300" w:lineRule="auto"/>
        <w:rPr>
          <w:rFonts w:ascii="Arial" w:hAnsi="Arial" w:cs="Arial"/>
        </w:rPr>
      </w:pPr>
    </w:p>
    <w:p>
      <w:pPr>
        <w:tabs>
          <w:tab w:val="left" w:pos="720"/>
        </w:tabs>
        <w:spacing w:after="120" w:afterLines="50" w:line="300" w:lineRule="auto"/>
        <w:rPr>
          <w:rFonts w:ascii="Arial" w:hAnsi="Arial" w:cs="Arial"/>
        </w:rPr>
      </w:pPr>
    </w:p>
    <w:p>
      <w:pPr>
        <w:tabs>
          <w:tab w:val="left" w:pos="720"/>
        </w:tabs>
        <w:spacing w:after="120" w:afterLines="50" w:line="300" w:lineRule="auto"/>
        <w:jc w:val="center"/>
        <w:rPr>
          <w:rFonts w:ascii="Arial" w:hAnsi="Arial" w:eastAsia="黑体" w:cs="Arial"/>
          <w:bCs/>
          <w:sz w:val="36"/>
          <w:szCs w:val="48"/>
        </w:rPr>
      </w:pPr>
      <w:r>
        <w:rPr>
          <w:rFonts w:hint="eastAsia" w:ascii="Arial" w:hAnsi="Arial" w:eastAsia="黑体" w:cs="Arial"/>
          <w:bCs/>
          <w:sz w:val="36"/>
          <w:szCs w:val="48"/>
        </w:rPr>
        <w:t>工程量清单</w:t>
      </w:r>
    </w:p>
    <w:p>
      <w:pPr>
        <w:tabs>
          <w:tab w:val="left" w:pos="720"/>
        </w:tabs>
        <w:spacing w:after="120" w:afterLines="50" w:line="300" w:lineRule="auto"/>
        <w:rPr>
          <w:rFonts w:ascii="Arial" w:hAnsi="Arial" w:cs="Arial"/>
        </w:rPr>
      </w:pPr>
    </w:p>
    <w:p>
      <w:pPr>
        <w:tabs>
          <w:tab w:val="left" w:pos="720"/>
        </w:tabs>
        <w:spacing w:after="120" w:afterLines="50" w:line="300" w:lineRule="auto"/>
        <w:rPr>
          <w:rFonts w:ascii="Arial" w:hAnsi="Arial" w:cs="Arial"/>
        </w:rPr>
      </w:pPr>
    </w:p>
    <w:p>
      <w:pPr>
        <w:tabs>
          <w:tab w:val="left" w:pos="720"/>
        </w:tabs>
        <w:spacing w:after="120" w:afterLines="50" w:line="300" w:lineRule="auto"/>
        <w:rPr>
          <w:rFonts w:ascii="Arial" w:hAnsi="Arial" w:cs="Arial"/>
        </w:rPr>
      </w:pPr>
    </w:p>
    <w:p>
      <w:pPr>
        <w:tabs>
          <w:tab w:val="left" w:pos="720"/>
        </w:tabs>
        <w:spacing w:after="120" w:afterLines="50" w:line="300" w:lineRule="auto"/>
        <w:rPr>
          <w:rFonts w:ascii="Arial" w:hAnsi="Arial" w:cs="Arial"/>
        </w:rPr>
      </w:pPr>
    </w:p>
    <w:p>
      <w:pPr>
        <w:tabs>
          <w:tab w:val="left" w:pos="720"/>
        </w:tabs>
        <w:spacing w:after="120" w:afterLines="50" w:line="300" w:lineRule="auto"/>
        <w:rPr>
          <w:rFonts w:ascii="Arial" w:hAnsi="Arial" w:cs="Arial"/>
        </w:rPr>
      </w:pPr>
    </w:p>
    <w:p>
      <w:pPr>
        <w:tabs>
          <w:tab w:val="left" w:pos="720"/>
        </w:tabs>
        <w:rPr>
          <w:rFonts w:ascii="Arial" w:hAnsi="Arial" w:cs="Arial"/>
        </w:rPr>
      </w:pPr>
    </w:p>
    <w:p>
      <w:pPr>
        <w:tabs>
          <w:tab w:val="left" w:pos="720"/>
        </w:tabs>
        <w:ind w:firstLine="3675" w:firstLineChars="1750"/>
        <w:rPr>
          <w:rFonts w:ascii="Arial" w:hAnsi="Arial" w:cs="Arial"/>
        </w:rPr>
      </w:pPr>
      <w:r>
        <w:rPr>
          <w:rFonts w:hint="eastAsia" w:ascii="Arial" w:hAnsi="Arial" w:cs="Arial"/>
        </w:rPr>
        <w:t>工程造价</w:t>
      </w:r>
    </w:p>
    <w:p>
      <w:pPr>
        <w:tabs>
          <w:tab w:val="left" w:pos="720"/>
        </w:tabs>
        <w:rPr>
          <w:rFonts w:ascii="宋体" w:cs="Arial"/>
          <w:u w:val="single"/>
        </w:rPr>
      </w:pPr>
      <w:r>
        <w:rPr>
          <w:rFonts w:hint="eastAsia" w:ascii="宋体" w:hAnsi="宋体" w:cs="Arial"/>
        </w:rPr>
        <w:t>招</w:t>
      </w:r>
      <w:r>
        <w:rPr>
          <w:rFonts w:ascii="宋体" w:hAnsi="宋体" w:cs="Arial"/>
        </w:rPr>
        <w:t xml:space="preserve"> </w:t>
      </w:r>
      <w:r>
        <w:rPr>
          <w:rFonts w:hint="eastAsia" w:ascii="宋体" w:hAnsi="宋体" w:cs="Arial"/>
        </w:rPr>
        <w:t>标</w:t>
      </w:r>
      <w:r>
        <w:rPr>
          <w:rFonts w:ascii="宋体" w:hAnsi="宋体" w:cs="Arial"/>
        </w:rPr>
        <w:t xml:space="preserve"> </w:t>
      </w:r>
      <w:r>
        <w:rPr>
          <w:rFonts w:hint="eastAsia" w:ascii="宋体" w:hAnsi="宋体" w:cs="Arial"/>
        </w:rPr>
        <w:t>人：</w:t>
      </w:r>
      <w:r>
        <w:rPr>
          <w:rFonts w:ascii="宋体" w:hAnsi="宋体" w:cs="Arial"/>
          <w:u w:val="single"/>
        </w:rPr>
        <w:t xml:space="preserve">                       </w:t>
      </w:r>
      <w:r>
        <w:rPr>
          <w:rFonts w:ascii="宋体" w:hAnsi="宋体" w:cs="Arial"/>
        </w:rPr>
        <w:t xml:space="preserve">  </w:t>
      </w:r>
      <w:r>
        <w:rPr>
          <w:rFonts w:hint="eastAsia" w:ascii="宋体" w:hAnsi="宋体" w:cs="Arial"/>
        </w:rPr>
        <w:t>咨</w:t>
      </w:r>
      <w:r>
        <w:rPr>
          <w:rFonts w:ascii="宋体" w:hAnsi="宋体" w:cs="Arial"/>
        </w:rPr>
        <w:t xml:space="preserve"> </w:t>
      </w:r>
      <w:r>
        <w:rPr>
          <w:rFonts w:hint="eastAsia" w:ascii="宋体" w:hAnsi="宋体" w:cs="Arial"/>
        </w:rPr>
        <w:t>询</w:t>
      </w:r>
      <w:r>
        <w:rPr>
          <w:rFonts w:ascii="宋体" w:hAnsi="宋体" w:cs="Arial"/>
        </w:rPr>
        <w:t xml:space="preserve"> </w:t>
      </w:r>
      <w:r>
        <w:rPr>
          <w:rFonts w:hint="eastAsia" w:ascii="宋体" w:hAnsi="宋体" w:cs="Arial"/>
        </w:rPr>
        <w:t>人：</w:t>
      </w:r>
      <w:r>
        <w:rPr>
          <w:rFonts w:ascii="宋体" w:hAnsi="宋体" w:cs="Arial"/>
          <w:u w:val="single"/>
        </w:rPr>
        <w:t xml:space="preserve">                          </w:t>
      </w:r>
    </w:p>
    <w:p>
      <w:pPr>
        <w:tabs>
          <w:tab w:val="left" w:pos="720"/>
        </w:tabs>
        <w:rPr>
          <w:rFonts w:ascii="宋体" w:cs="Arial"/>
          <w:szCs w:val="21"/>
        </w:rPr>
      </w:pPr>
      <w:r>
        <w:rPr>
          <w:rFonts w:ascii="宋体" w:hAnsi="宋体" w:cs="Arial"/>
          <w:szCs w:val="21"/>
        </w:rPr>
        <w:t xml:space="preserve">          </w:t>
      </w:r>
      <w:r>
        <w:rPr>
          <w:rFonts w:hint="eastAsia" w:ascii="宋体" w:hAnsi="宋体" w:cs="Arial"/>
          <w:szCs w:val="21"/>
        </w:rPr>
        <w:t>（盖企业</w:t>
      </w:r>
      <w:r>
        <w:rPr>
          <w:rFonts w:ascii="宋体" w:hAnsi="宋体" w:cs="Arial"/>
          <w:szCs w:val="21"/>
        </w:rPr>
        <w:t>CA</w:t>
      </w:r>
      <w:r>
        <w:rPr>
          <w:rFonts w:hint="eastAsia" w:ascii="宋体" w:hAnsi="宋体" w:cs="Arial"/>
          <w:szCs w:val="21"/>
        </w:rPr>
        <w:t>电子印章）</w:t>
      </w:r>
      <w:r>
        <w:rPr>
          <w:rFonts w:ascii="宋体" w:hAnsi="宋体" w:cs="Arial"/>
          <w:szCs w:val="21"/>
        </w:rPr>
        <w:t xml:space="preserve">                </w:t>
      </w:r>
      <w:r>
        <w:rPr>
          <w:rFonts w:hint="eastAsia" w:ascii="宋体" w:hAnsi="宋体" w:cs="Arial"/>
          <w:szCs w:val="21"/>
        </w:rPr>
        <w:t>（盖企业</w:t>
      </w:r>
      <w:r>
        <w:rPr>
          <w:rFonts w:ascii="宋体" w:hAnsi="宋体" w:cs="Arial"/>
          <w:szCs w:val="21"/>
        </w:rPr>
        <w:t>CA</w:t>
      </w:r>
      <w:r>
        <w:rPr>
          <w:rFonts w:hint="eastAsia" w:ascii="宋体" w:hAnsi="宋体" w:cs="Arial"/>
          <w:szCs w:val="21"/>
        </w:rPr>
        <w:t>电子印章）</w:t>
      </w:r>
    </w:p>
    <w:p>
      <w:pPr>
        <w:tabs>
          <w:tab w:val="left" w:pos="720"/>
        </w:tabs>
        <w:rPr>
          <w:rFonts w:ascii="宋体" w:cs="Arial"/>
        </w:rPr>
      </w:pPr>
    </w:p>
    <w:p>
      <w:pPr>
        <w:tabs>
          <w:tab w:val="left" w:pos="720"/>
        </w:tabs>
        <w:rPr>
          <w:rFonts w:ascii="宋体" w:cs="Arial"/>
        </w:rPr>
      </w:pPr>
    </w:p>
    <w:p>
      <w:pPr>
        <w:tabs>
          <w:tab w:val="left" w:pos="720"/>
        </w:tabs>
        <w:rPr>
          <w:rFonts w:ascii="宋体" w:cs="Arial"/>
        </w:rPr>
      </w:pPr>
    </w:p>
    <w:p>
      <w:pPr>
        <w:tabs>
          <w:tab w:val="left" w:pos="720"/>
        </w:tabs>
        <w:rPr>
          <w:rFonts w:ascii="宋体" w:cs="Arial"/>
        </w:rPr>
      </w:pPr>
    </w:p>
    <w:p>
      <w:pPr>
        <w:tabs>
          <w:tab w:val="left" w:pos="720"/>
        </w:tabs>
        <w:rPr>
          <w:rFonts w:ascii="宋体" w:cs="Arial"/>
        </w:rPr>
      </w:pPr>
      <w:r>
        <w:rPr>
          <w:rFonts w:hint="eastAsia" w:ascii="宋体" w:hAnsi="宋体" w:cs="Arial"/>
        </w:rPr>
        <w:t>法定代表人</w:t>
      </w:r>
      <w:r>
        <w:rPr>
          <w:rFonts w:ascii="宋体" w:hAnsi="宋体" w:cs="Arial"/>
        </w:rPr>
        <w:t xml:space="preserve">                           </w:t>
      </w:r>
      <w:r>
        <w:rPr>
          <w:rFonts w:hint="eastAsia" w:ascii="宋体" w:hAnsi="宋体" w:cs="Arial"/>
        </w:rPr>
        <w:t>法定代表人</w:t>
      </w:r>
    </w:p>
    <w:p>
      <w:pPr>
        <w:tabs>
          <w:tab w:val="left" w:pos="720"/>
        </w:tabs>
        <w:rPr>
          <w:rFonts w:ascii="宋体" w:cs="Arial"/>
          <w:u w:val="single"/>
        </w:rPr>
      </w:pPr>
      <w:r>
        <w:rPr>
          <w:rFonts w:hint="eastAsia" w:ascii="宋体" w:hAnsi="宋体" w:cs="Arial"/>
        </w:rPr>
        <w:t>或其授权人：</w:t>
      </w:r>
      <w:r>
        <w:rPr>
          <w:rFonts w:ascii="宋体" w:hAnsi="宋体" w:cs="Arial"/>
          <w:u w:val="single"/>
        </w:rPr>
        <w:t xml:space="preserve">                      </w:t>
      </w:r>
      <w:r>
        <w:rPr>
          <w:rFonts w:ascii="宋体" w:hAnsi="宋体" w:cs="Arial"/>
        </w:rPr>
        <w:t xml:space="preserve">   </w:t>
      </w:r>
      <w:r>
        <w:rPr>
          <w:rFonts w:hint="eastAsia" w:ascii="宋体" w:hAnsi="宋体" w:cs="Arial"/>
        </w:rPr>
        <w:t>或其授权人：</w:t>
      </w:r>
      <w:r>
        <w:rPr>
          <w:rFonts w:ascii="宋体" w:hAnsi="宋体" w:cs="Arial"/>
          <w:u w:val="single"/>
        </w:rPr>
        <w:t xml:space="preserve">                      </w:t>
      </w:r>
    </w:p>
    <w:p>
      <w:pPr>
        <w:tabs>
          <w:tab w:val="left" w:pos="720"/>
        </w:tabs>
        <w:rPr>
          <w:rFonts w:ascii="宋体" w:cs="Arial"/>
          <w:szCs w:val="21"/>
        </w:rPr>
      </w:pPr>
      <w:r>
        <w:rPr>
          <w:rFonts w:ascii="宋体" w:hAnsi="宋体" w:cs="Arial"/>
          <w:szCs w:val="21"/>
        </w:rPr>
        <w:t xml:space="preserve">            </w:t>
      </w:r>
      <w:r>
        <w:rPr>
          <w:rFonts w:hint="eastAsia" w:ascii="宋体" w:hAnsi="宋体" w:cs="Arial"/>
          <w:szCs w:val="21"/>
        </w:rPr>
        <w:t>（盖个人</w:t>
      </w:r>
      <w:r>
        <w:rPr>
          <w:rFonts w:ascii="宋体" w:hAnsi="宋体" w:cs="Arial"/>
          <w:szCs w:val="21"/>
        </w:rPr>
        <w:t>CA</w:t>
      </w:r>
      <w:r>
        <w:rPr>
          <w:rFonts w:hint="eastAsia" w:ascii="宋体" w:hAnsi="宋体" w:cs="Arial"/>
          <w:szCs w:val="21"/>
        </w:rPr>
        <w:t>电子印章）</w:t>
      </w:r>
      <w:r>
        <w:rPr>
          <w:rFonts w:ascii="宋体" w:hAnsi="宋体" w:cs="Arial"/>
          <w:szCs w:val="21"/>
        </w:rPr>
        <w:t xml:space="preserve">               </w:t>
      </w:r>
      <w:r>
        <w:rPr>
          <w:rFonts w:hint="eastAsia" w:ascii="宋体" w:hAnsi="宋体" w:cs="Arial"/>
          <w:szCs w:val="21"/>
        </w:rPr>
        <w:t>（盖个人</w:t>
      </w:r>
      <w:r>
        <w:rPr>
          <w:rFonts w:ascii="宋体" w:hAnsi="宋体" w:cs="Arial"/>
          <w:szCs w:val="21"/>
        </w:rPr>
        <w:t>CA</w:t>
      </w:r>
      <w:r>
        <w:rPr>
          <w:rFonts w:hint="eastAsia" w:ascii="宋体" w:hAnsi="宋体" w:cs="Arial"/>
          <w:szCs w:val="21"/>
        </w:rPr>
        <w:t>电子印章）</w:t>
      </w:r>
    </w:p>
    <w:p>
      <w:pPr>
        <w:tabs>
          <w:tab w:val="left" w:pos="720"/>
        </w:tabs>
        <w:rPr>
          <w:rFonts w:ascii="宋体" w:cs="Arial"/>
        </w:rPr>
      </w:pPr>
    </w:p>
    <w:p>
      <w:pPr>
        <w:tabs>
          <w:tab w:val="left" w:pos="720"/>
        </w:tabs>
        <w:rPr>
          <w:rFonts w:ascii="宋体" w:cs="Arial"/>
        </w:rPr>
      </w:pPr>
    </w:p>
    <w:p>
      <w:pPr>
        <w:tabs>
          <w:tab w:val="left" w:pos="720"/>
        </w:tabs>
        <w:rPr>
          <w:rFonts w:ascii="宋体" w:cs="Arial"/>
        </w:rPr>
      </w:pPr>
    </w:p>
    <w:p>
      <w:pPr>
        <w:tabs>
          <w:tab w:val="left" w:pos="720"/>
        </w:tabs>
        <w:rPr>
          <w:rFonts w:ascii="宋体" w:cs="Arial"/>
        </w:rPr>
      </w:pPr>
    </w:p>
    <w:p>
      <w:pPr>
        <w:tabs>
          <w:tab w:val="left" w:pos="720"/>
        </w:tabs>
        <w:rPr>
          <w:rFonts w:ascii="宋体" w:cs="Arial"/>
          <w:u w:val="single"/>
        </w:rPr>
      </w:pPr>
      <w:r>
        <w:rPr>
          <w:rFonts w:hint="eastAsia" w:ascii="宋体" w:hAnsi="宋体" w:cs="Arial"/>
        </w:rPr>
        <w:t>编制人：</w:t>
      </w:r>
      <w:r>
        <w:rPr>
          <w:rFonts w:ascii="宋体" w:hAnsi="宋体" w:cs="Arial"/>
          <w:u w:val="single"/>
        </w:rPr>
        <w:t xml:space="preserve">                         </w:t>
      </w:r>
      <w:r>
        <w:rPr>
          <w:rFonts w:ascii="宋体" w:hAnsi="宋体" w:cs="Arial"/>
        </w:rPr>
        <w:t xml:space="preserve">     </w:t>
      </w:r>
      <w:r>
        <w:rPr>
          <w:rFonts w:hint="eastAsia" w:ascii="宋体" w:hAnsi="宋体" w:cs="Arial"/>
        </w:rPr>
        <w:t>复核人：</w:t>
      </w:r>
      <w:r>
        <w:rPr>
          <w:rFonts w:ascii="宋体" w:hAnsi="宋体" w:cs="Arial"/>
          <w:u w:val="single"/>
        </w:rPr>
        <w:t xml:space="preserve">                             </w:t>
      </w:r>
    </w:p>
    <w:p>
      <w:pPr>
        <w:tabs>
          <w:tab w:val="left" w:pos="720"/>
        </w:tabs>
        <w:rPr>
          <w:rFonts w:ascii="宋体" w:cs="Arial"/>
          <w:szCs w:val="21"/>
        </w:rPr>
      </w:pPr>
      <w:r>
        <w:rPr>
          <w:rFonts w:ascii="宋体" w:hAnsi="宋体" w:cs="Arial"/>
          <w:szCs w:val="21"/>
        </w:rPr>
        <w:t xml:space="preserve">       </w:t>
      </w:r>
      <w:r>
        <w:rPr>
          <w:rFonts w:hint="eastAsia" w:ascii="宋体" w:hAnsi="宋体" w:cs="Arial"/>
          <w:szCs w:val="21"/>
        </w:rPr>
        <w:t>（造价人员盖</w:t>
      </w:r>
      <w:r>
        <w:rPr>
          <w:rFonts w:ascii="宋体" w:hAnsi="宋体" w:cs="Arial"/>
          <w:szCs w:val="21"/>
        </w:rPr>
        <w:t>CA</w:t>
      </w:r>
      <w:r>
        <w:rPr>
          <w:rFonts w:hint="eastAsia" w:ascii="宋体" w:hAnsi="宋体" w:cs="Arial"/>
          <w:szCs w:val="21"/>
        </w:rPr>
        <w:t>电子执业专用章）</w:t>
      </w:r>
      <w:r>
        <w:rPr>
          <w:rFonts w:ascii="宋体" w:hAnsi="宋体" w:cs="Arial"/>
          <w:szCs w:val="21"/>
        </w:rPr>
        <w:t xml:space="preserve">        </w:t>
      </w:r>
      <w:r>
        <w:rPr>
          <w:rFonts w:hint="eastAsia" w:ascii="宋体" w:hAnsi="宋体" w:cs="Arial"/>
          <w:szCs w:val="21"/>
        </w:rPr>
        <w:t>（造价工程师盖</w:t>
      </w:r>
      <w:r>
        <w:rPr>
          <w:rFonts w:ascii="宋体" w:hAnsi="宋体" w:cs="Arial"/>
          <w:szCs w:val="21"/>
        </w:rPr>
        <w:t>CA</w:t>
      </w:r>
      <w:r>
        <w:rPr>
          <w:rFonts w:hint="eastAsia" w:ascii="宋体" w:hAnsi="宋体" w:cs="Arial"/>
          <w:szCs w:val="21"/>
        </w:rPr>
        <w:t>电子执业专用章）</w:t>
      </w:r>
    </w:p>
    <w:p>
      <w:pPr>
        <w:tabs>
          <w:tab w:val="left" w:pos="720"/>
        </w:tabs>
        <w:rPr>
          <w:rFonts w:ascii="Arial" w:hAnsi="Arial" w:cs="Arial"/>
        </w:rPr>
      </w:pPr>
    </w:p>
    <w:p>
      <w:pPr>
        <w:tabs>
          <w:tab w:val="left" w:pos="720"/>
        </w:tabs>
        <w:rPr>
          <w:rFonts w:ascii="Arial" w:hAnsi="Arial" w:cs="Arial"/>
        </w:rPr>
      </w:pPr>
    </w:p>
    <w:p>
      <w:pPr>
        <w:tabs>
          <w:tab w:val="left" w:pos="720"/>
        </w:tabs>
        <w:rPr>
          <w:rFonts w:ascii="Arial" w:hAnsi="Arial" w:cs="Arial"/>
        </w:rPr>
      </w:pPr>
    </w:p>
    <w:p>
      <w:pPr>
        <w:tabs>
          <w:tab w:val="left" w:pos="720"/>
        </w:tabs>
        <w:rPr>
          <w:rFonts w:ascii="Arial" w:hAnsi="Arial" w:cs="Arial"/>
        </w:rPr>
      </w:pPr>
    </w:p>
    <w:p>
      <w:pPr>
        <w:tabs>
          <w:tab w:val="left" w:pos="720"/>
        </w:tabs>
        <w:rPr>
          <w:rFonts w:ascii="Arial" w:hAnsi="Arial" w:cs="Arial"/>
        </w:rPr>
      </w:pPr>
    </w:p>
    <w:p>
      <w:pPr>
        <w:tabs>
          <w:tab w:val="left" w:pos="720"/>
        </w:tabs>
        <w:rPr>
          <w:rFonts w:ascii="Arial" w:hAnsi="Arial" w:cs="Arial"/>
          <w:u w:val="single"/>
        </w:rPr>
      </w:pPr>
      <w:r>
        <w:rPr>
          <w:rFonts w:hint="eastAsia" w:ascii="Arial" w:hAnsi="Arial" w:cs="Arial"/>
        </w:rPr>
        <w:t>编制时间：</w:t>
      </w:r>
      <w:r>
        <w:rPr>
          <w:rFonts w:ascii="Arial" w:hAnsi="Arial" w:cs="Arial"/>
          <w:u w:val="single"/>
        </w:rPr>
        <w:t xml:space="preserve">      </w:t>
      </w:r>
      <w:r>
        <w:rPr>
          <w:rFonts w:hint="eastAsia" w:ascii="Arial" w:hAnsi="Arial" w:cs="Arial"/>
        </w:rPr>
        <w:t>年</w:t>
      </w:r>
      <w:r>
        <w:rPr>
          <w:rFonts w:ascii="Arial" w:hAnsi="Arial" w:cs="Arial"/>
        </w:rPr>
        <w:t xml:space="preserve"> </w:t>
      </w:r>
      <w:r>
        <w:rPr>
          <w:rFonts w:ascii="Arial" w:hAnsi="Arial" w:cs="Arial"/>
          <w:u w:val="single"/>
        </w:rPr>
        <w:t xml:space="preserve">   </w:t>
      </w:r>
      <w:r>
        <w:rPr>
          <w:rFonts w:hint="eastAsia" w:ascii="Arial" w:hAnsi="Arial" w:cs="Arial"/>
        </w:rPr>
        <w:t>月</w:t>
      </w:r>
      <w:r>
        <w:rPr>
          <w:rFonts w:ascii="Arial" w:hAnsi="Arial" w:cs="Arial"/>
          <w:u w:val="single"/>
        </w:rPr>
        <w:t xml:space="preserve">    </w:t>
      </w:r>
      <w:r>
        <w:rPr>
          <w:rFonts w:hint="eastAsia" w:ascii="Arial" w:hAnsi="Arial" w:cs="Arial"/>
        </w:rPr>
        <w:t>日</w:t>
      </w:r>
      <w:r>
        <w:rPr>
          <w:rFonts w:ascii="Arial" w:hAnsi="Arial" w:cs="Arial"/>
        </w:rPr>
        <w:t xml:space="preserve">      </w:t>
      </w:r>
      <w:r>
        <w:rPr>
          <w:rFonts w:hint="eastAsia" w:ascii="Arial" w:hAnsi="Arial" w:cs="Arial"/>
        </w:rPr>
        <w:t>复核时间：</w:t>
      </w:r>
      <w:r>
        <w:rPr>
          <w:rFonts w:ascii="Arial" w:hAnsi="Arial" w:cs="Arial"/>
          <w:u w:val="single"/>
        </w:rPr>
        <w:t xml:space="preserve">      </w:t>
      </w:r>
      <w:r>
        <w:rPr>
          <w:rFonts w:hint="eastAsia" w:ascii="Arial" w:hAnsi="Arial" w:cs="Arial"/>
        </w:rPr>
        <w:t>年</w:t>
      </w:r>
      <w:r>
        <w:rPr>
          <w:rFonts w:ascii="Arial" w:hAnsi="Arial" w:cs="Arial"/>
          <w:u w:val="single"/>
        </w:rPr>
        <w:t xml:space="preserve">     </w:t>
      </w:r>
      <w:r>
        <w:rPr>
          <w:rFonts w:hint="eastAsia" w:ascii="Arial" w:hAnsi="Arial" w:cs="Arial"/>
        </w:rPr>
        <w:t>月</w:t>
      </w:r>
      <w:r>
        <w:rPr>
          <w:rFonts w:ascii="Arial" w:hAnsi="Arial" w:cs="Arial"/>
        </w:rPr>
        <w:t xml:space="preserve"> </w:t>
      </w:r>
      <w:r>
        <w:rPr>
          <w:rFonts w:ascii="Arial" w:hAnsi="Arial" w:cs="Arial"/>
          <w:u w:val="single"/>
        </w:rPr>
        <w:t xml:space="preserve">   </w:t>
      </w:r>
      <w:r>
        <w:rPr>
          <w:rFonts w:hint="eastAsia" w:ascii="Arial" w:hAnsi="Arial" w:cs="Arial"/>
        </w:rPr>
        <w:t>日</w:t>
      </w:r>
    </w:p>
    <w:p>
      <w:pPr>
        <w:pStyle w:val="148"/>
        <w:spacing w:before="120" w:after="120"/>
      </w:pPr>
      <w:r>
        <w:rPr>
          <w:rFonts w:ascii="黑体" w:cs="Arial"/>
          <w:b/>
        </w:rPr>
        <w:br w:type="page"/>
      </w:r>
      <w:bookmarkStart w:id="1143" w:name="_Toc361603550"/>
      <w:bookmarkEnd w:id="1143"/>
      <w:bookmarkStart w:id="1144" w:name="_Toc342296528"/>
      <w:bookmarkStart w:id="1145" w:name="_Toc241459765"/>
      <w:bookmarkStart w:id="1146" w:name="_Toc10235179"/>
      <w:bookmarkStart w:id="1147" w:name="_Toc480481677"/>
      <w:bookmarkStart w:id="1148" w:name="_Toc497458720"/>
      <w:bookmarkStart w:id="1149" w:name="_Toc483575314"/>
      <w:r>
        <w:rPr>
          <w:rFonts w:hint="eastAsia"/>
        </w:rPr>
        <w:t>投标总价</w:t>
      </w:r>
      <w:bookmarkEnd w:id="1144"/>
      <w:bookmarkEnd w:id="1145"/>
      <w:r>
        <w:rPr>
          <w:rFonts w:hint="eastAsia"/>
        </w:rPr>
        <w:t>表</w:t>
      </w:r>
      <w:bookmarkEnd w:id="1146"/>
      <w:bookmarkEnd w:id="1147"/>
      <w:bookmarkEnd w:id="1148"/>
      <w:bookmarkEnd w:id="1149"/>
    </w:p>
    <w:p>
      <w:pPr>
        <w:spacing w:after="120" w:afterLines="50" w:line="300" w:lineRule="auto"/>
        <w:rPr>
          <w:rFonts w:ascii="Arial" w:hAnsi="宋体" w:cs="Arial"/>
        </w:rPr>
      </w:pPr>
    </w:p>
    <w:p>
      <w:pPr>
        <w:spacing w:after="120" w:afterLines="50" w:line="300" w:lineRule="auto"/>
        <w:rPr>
          <w:rFonts w:ascii="Arial" w:hAnsi="宋体" w:cs="Arial"/>
        </w:rPr>
      </w:pPr>
    </w:p>
    <w:p>
      <w:pPr>
        <w:tabs>
          <w:tab w:val="left" w:pos="720"/>
        </w:tabs>
        <w:spacing w:after="120" w:afterLines="50" w:line="300" w:lineRule="auto"/>
        <w:jc w:val="center"/>
        <w:rPr>
          <w:rFonts w:ascii="Arial" w:hAnsi="Arial" w:eastAsia="黑体" w:cs="Arial"/>
          <w:bCs/>
          <w:sz w:val="36"/>
          <w:szCs w:val="48"/>
        </w:rPr>
      </w:pPr>
      <w:r>
        <w:rPr>
          <w:rFonts w:hint="eastAsia" w:ascii="Arial" w:hAnsi="Arial" w:eastAsia="黑体" w:cs="Arial"/>
          <w:bCs/>
          <w:sz w:val="36"/>
          <w:szCs w:val="48"/>
        </w:rPr>
        <w:t>投</w:t>
      </w:r>
      <w:r>
        <w:rPr>
          <w:rFonts w:ascii="Arial" w:hAnsi="Arial" w:eastAsia="黑体" w:cs="Arial"/>
          <w:bCs/>
          <w:sz w:val="36"/>
          <w:szCs w:val="48"/>
        </w:rPr>
        <w:t xml:space="preserve"> </w:t>
      </w:r>
      <w:r>
        <w:rPr>
          <w:rFonts w:hint="eastAsia" w:ascii="Arial" w:hAnsi="Arial" w:eastAsia="黑体" w:cs="Arial"/>
          <w:bCs/>
          <w:sz w:val="36"/>
          <w:szCs w:val="48"/>
        </w:rPr>
        <w:t>标</w:t>
      </w:r>
      <w:r>
        <w:rPr>
          <w:rFonts w:ascii="Arial" w:hAnsi="Arial" w:eastAsia="黑体" w:cs="Arial"/>
          <w:bCs/>
          <w:sz w:val="36"/>
          <w:szCs w:val="48"/>
        </w:rPr>
        <w:t xml:space="preserve"> </w:t>
      </w:r>
      <w:r>
        <w:rPr>
          <w:rFonts w:hint="eastAsia" w:ascii="Arial" w:hAnsi="Arial" w:eastAsia="黑体" w:cs="Arial"/>
          <w:bCs/>
          <w:sz w:val="36"/>
          <w:szCs w:val="48"/>
        </w:rPr>
        <w:t>总</w:t>
      </w:r>
      <w:r>
        <w:rPr>
          <w:rFonts w:ascii="Arial" w:hAnsi="Arial" w:eastAsia="黑体" w:cs="Arial"/>
          <w:bCs/>
          <w:sz w:val="36"/>
          <w:szCs w:val="48"/>
        </w:rPr>
        <w:t xml:space="preserve"> </w:t>
      </w:r>
      <w:r>
        <w:rPr>
          <w:rFonts w:hint="eastAsia" w:ascii="Arial" w:hAnsi="Arial" w:eastAsia="黑体" w:cs="Arial"/>
          <w:bCs/>
          <w:sz w:val="36"/>
          <w:szCs w:val="48"/>
        </w:rPr>
        <w:t>价</w:t>
      </w:r>
    </w:p>
    <w:p>
      <w:pPr>
        <w:tabs>
          <w:tab w:val="left" w:pos="720"/>
        </w:tabs>
        <w:spacing w:after="120" w:afterLines="50" w:line="300" w:lineRule="auto"/>
        <w:rPr>
          <w:rFonts w:ascii="Arial" w:hAnsi="Arial" w:cs="Arial"/>
        </w:rPr>
      </w:pPr>
    </w:p>
    <w:p>
      <w:pPr>
        <w:tabs>
          <w:tab w:val="left" w:pos="720"/>
        </w:tabs>
        <w:spacing w:after="120" w:afterLines="50" w:line="300" w:lineRule="auto"/>
        <w:rPr>
          <w:rFonts w:ascii="宋体" w:cs="Arial"/>
        </w:rPr>
      </w:pPr>
    </w:p>
    <w:p>
      <w:pPr>
        <w:tabs>
          <w:tab w:val="left" w:pos="720"/>
        </w:tabs>
        <w:spacing w:after="240" w:afterLines="100" w:line="300" w:lineRule="auto"/>
        <w:ind w:firstLine="960" w:firstLineChars="400"/>
        <w:rPr>
          <w:rFonts w:ascii="宋体" w:cs="Arial"/>
          <w:sz w:val="24"/>
          <w:u w:val="single"/>
        </w:rPr>
      </w:pPr>
      <w:r>
        <w:rPr>
          <w:rFonts w:hint="eastAsia" w:ascii="宋体" w:hAnsi="宋体" w:cs="Arial"/>
          <w:sz w:val="24"/>
        </w:rPr>
        <w:t>招</w:t>
      </w:r>
      <w:r>
        <w:rPr>
          <w:rFonts w:ascii="宋体" w:hAnsi="宋体" w:cs="Arial"/>
          <w:sz w:val="24"/>
        </w:rPr>
        <w:t xml:space="preserve"> </w:t>
      </w:r>
      <w:r>
        <w:rPr>
          <w:rFonts w:hint="eastAsia" w:ascii="宋体" w:hAnsi="宋体" w:cs="Arial"/>
          <w:sz w:val="24"/>
        </w:rPr>
        <w:t>标</w:t>
      </w:r>
      <w:r>
        <w:rPr>
          <w:rFonts w:ascii="宋体" w:hAnsi="宋体" w:cs="Arial"/>
          <w:sz w:val="24"/>
        </w:rPr>
        <w:t xml:space="preserve"> </w:t>
      </w:r>
      <w:r>
        <w:rPr>
          <w:rFonts w:hint="eastAsia" w:ascii="宋体" w:hAnsi="宋体" w:cs="Arial"/>
          <w:sz w:val="24"/>
        </w:rPr>
        <w:t>人：</w:t>
      </w:r>
      <w:r>
        <w:rPr>
          <w:rFonts w:ascii="宋体" w:hAnsi="宋体" w:cs="Arial"/>
          <w:sz w:val="24"/>
          <w:u w:val="single"/>
        </w:rPr>
        <w:t xml:space="preserve">                                                  </w:t>
      </w:r>
    </w:p>
    <w:p>
      <w:pPr>
        <w:tabs>
          <w:tab w:val="left" w:pos="720"/>
        </w:tabs>
        <w:spacing w:after="240" w:afterLines="100" w:line="300" w:lineRule="auto"/>
        <w:ind w:firstLine="960" w:firstLineChars="400"/>
        <w:rPr>
          <w:rFonts w:ascii="宋体" w:cs="Arial"/>
          <w:sz w:val="24"/>
        </w:rPr>
      </w:pPr>
      <w:r>
        <w:rPr>
          <w:rFonts w:hint="eastAsia" w:ascii="宋体" w:hAnsi="宋体" w:cs="Arial"/>
          <w:sz w:val="24"/>
        </w:rPr>
        <w:t>工程名称：</w:t>
      </w:r>
      <w:r>
        <w:rPr>
          <w:rFonts w:ascii="宋体" w:hAnsi="宋体" w:cs="Arial"/>
          <w:sz w:val="24"/>
          <w:u w:val="single"/>
        </w:rPr>
        <w:t xml:space="preserve">                                                  </w:t>
      </w:r>
    </w:p>
    <w:p>
      <w:pPr>
        <w:tabs>
          <w:tab w:val="left" w:pos="720"/>
        </w:tabs>
        <w:spacing w:after="240" w:afterLines="100" w:line="300" w:lineRule="auto"/>
        <w:ind w:firstLine="960" w:firstLineChars="400"/>
        <w:rPr>
          <w:rFonts w:ascii="宋体" w:cs="Arial"/>
          <w:u w:val="single"/>
        </w:rPr>
      </w:pPr>
      <w:r>
        <w:rPr>
          <w:rFonts w:hint="eastAsia" w:ascii="宋体" w:hAnsi="宋体" w:cs="Arial"/>
          <w:sz w:val="24"/>
        </w:rPr>
        <w:t>投标总价</w:t>
      </w:r>
      <w:r>
        <w:rPr>
          <w:rFonts w:hint="eastAsia" w:ascii="宋体" w:hAnsi="宋体" w:cs="Arial"/>
        </w:rPr>
        <w:t>（小写）：</w:t>
      </w:r>
      <w:r>
        <w:rPr>
          <w:rFonts w:ascii="宋体" w:hAnsi="宋体" w:cs="Arial"/>
          <w:u w:val="single"/>
        </w:rPr>
        <w:t xml:space="preserve">                                                  </w:t>
      </w:r>
    </w:p>
    <w:p>
      <w:pPr>
        <w:tabs>
          <w:tab w:val="left" w:pos="720"/>
        </w:tabs>
        <w:spacing w:after="240" w:afterLines="100" w:line="300" w:lineRule="auto"/>
        <w:rPr>
          <w:rFonts w:ascii="宋体" w:cs="Arial"/>
        </w:rPr>
      </w:pPr>
      <w:r>
        <w:rPr>
          <w:rFonts w:ascii="宋体" w:hAnsi="宋体" w:cs="Arial"/>
        </w:rPr>
        <w:t xml:space="preserve">                  </w:t>
      </w:r>
      <w:r>
        <w:rPr>
          <w:rFonts w:hint="eastAsia" w:ascii="宋体" w:hAnsi="宋体" w:cs="Arial"/>
        </w:rPr>
        <w:t>（大写）：</w:t>
      </w:r>
      <w:r>
        <w:rPr>
          <w:rFonts w:ascii="宋体" w:hAnsi="宋体" w:cs="Arial"/>
          <w:u w:val="single"/>
        </w:rPr>
        <w:t xml:space="preserve">                                                  </w:t>
      </w:r>
    </w:p>
    <w:p>
      <w:pPr>
        <w:tabs>
          <w:tab w:val="left" w:pos="720"/>
        </w:tabs>
        <w:spacing w:after="120" w:afterLines="50" w:line="300" w:lineRule="auto"/>
        <w:ind w:firstLine="3675" w:firstLineChars="1750"/>
        <w:rPr>
          <w:rFonts w:ascii="宋体" w:cs="Arial"/>
        </w:rPr>
      </w:pPr>
    </w:p>
    <w:p>
      <w:pPr>
        <w:tabs>
          <w:tab w:val="left" w:pos="720"/>
        </w:tabs>
        <w:spacing w:after="120" w:afterLines="50" w:line="300" w:lineRule="auto"/>
        <w:ind w:firstLine="3675" w:firstLineChars="1750"/>
        <w:rPr>
          <w:rFonts w:ascii="宋体" w:cs="Arial"/>
        </w:rPr>
      </w:pPr>
    </w:p>
    <w:p>
      <w:pPr>
        <w:tabs>
          <w:tab w:val="left" w:pos="720"/>
        </w:tabs>
        <w:spacing w:after="120" w:afterLines="50" w:line="300" w:lineRule="auto"/>
        <w:ind w:firstLine="960" w:firstLineChars="400"/>
        <w:rPr>
          <w:rFonts w:ascii="宋体" w:cs="Arial"/>
          <w:sz w:val="24"/>
          <w:u w:val="single"/>
        </w:rPr>
      </w:pPr>
      <w:r>
        <w:rPr>
          <w:rFonts w:hint="eastAsia" w:ascii="宋体" w:hAnsi="宋体" w:cs="Arial"/>
          <w:sz w:val="24"/>
        </w:rPr>
        <w:t>投</w:t>
      </w:r>
      <w:r>
        <w:rPr>
          <w:rFonts w:ascii="宋体" w:hAnsi="宋体" w:cs="Arial"/>
          <w:sz w:val="24"/>
        </w:rPr>
        <w:t xml:space="preserve"> </w:t>
      </w:r>
      <w:r>
        <w:rPr>
          <w:rFonts w:hint="eastAsia" w:ascii="宋体" w:hAnsi="宋体" w:cs="Arial"/>
          <w:sz w:val="24"/>
        </w:rPr>
        <w:t>标</w:t>
      </w:r>
      <w:r>
        <w:rPr>
          <w:rFonts w:ascii="宋体" w:hAnsi="宋体" w:cs="Arial"/>
          <w:sz w:val="24"/>
        </w:rPr>
        <w:t xml:space="preserve"> </w:t>
      </w:r>
      <w:r>
        <w:rPr>
          <w:rFonts w:hint="eastAsia" w:ascii="宋体" w:hAnsi="宋体" w:cs="Arial"/>
          <w:sz w:val="24"/>
        </w:rPr>
        <w:t>人：</w:t>
      </w:r>
      <w:r>
        <w:rPr>
          <w:rFonts w:ascii="宋体" w:hAnsi="宋体" w:cs="Arial"/>
          <w:sz w:val="24"/>
          <w:u w:val="single"/>
        </w:rPr>
        <w:t xml:space="preserve">                                                  </w:t>
      </w:r>
      <w:r>
        <w:rPr>
          <w:rFonts w:ascii="宋体" w:hAnsi="宋体" w:cs="Arial"/>
          <w:sz w:val="24"/>
        </w:rPr>
        <w:t xml:space="preserve">  </w:t>
      </w:r>
    </w:p>
    <w:p>
      <w:pPr>
        <w:tabs>
          <w:tab w:val="left" w:pos="720"/>
        </w:tabs>
        <w:spacing w:after="120" w:afterLines="50" w:line="300" w:lineRule="auto"/>
        <w:jc w:val="center"/>
        <w:rPr>
          <w:rFonts w:ascii="宋体" w:cs="Arial"/>
          <w:szCs w:val="21"/>
        </w:rPr>
      </w:pPr>
      <w:r>
        <w:rPr>
          <w:rFonts w:ascii="宋体" w:hAnsi="宋体" w:cs="Arial"/>
          <w:szCs w:val="21"/>
        </w:rPr>
        <w:t xml:space="preserve">       </w:t>
      </w:r>
      <w:r>
        <w:rPr>
          <w:rFonts w:hint="eastAsia" w:ascii="宋体" w:hAnsi="宋体" w:cs="Arial"/>
          <w:szCs w:val="21"/>
        </w:rPr>
        <w:t>（盖企业</w:t>
      </w:r>
      <w:r>
        <w:rPr>
          <w:rFonts w:ascii="宋体" w:hAnsi="宋体" w:cs="Arial"/>
          <w:szCs w:val="21"/>
        </w:rPr>
        <w:t>CA</w:t>
      </w:r>
      <w:r>
        <w:rPr>
          <w:rFonts w:hint="eastAsia" w:ascii="Arial" w:hAnsi="Arial" w:cs="Arial"/>
          <w:szCs w:val="21"/>
        </w:rPr>
        <w:t>电子</w:t>
      </w:r>
      <w:r>
        <w:rPr>
          <w:rFonts w:hint="eastAsia" w:ascii="宋体" w:hAnsi="宋体" w:cs="Arial"/>
          <w:szCs w:val="21"/>
        </w:rPr>
        <w:t>印章）</w:t>
      </w:r>
    </w:p>
    <w:p>
      <w:pPr>
        <w:tabs>
          <w:tab w:val="left" w:pos="720"/>
        </w:tabs>
        <w:spacing w:after="120" w:afterLines="50" w:line="300" w:lineRule="auto"/>
        <w:rPr>
          <w:rFonts w:ascii="宋体" w:cs="Arial"/>
        </w:rPr>
      </w:pPr>
    </w:p>
    <w:p>
      <w:pPr>
        <w:tabs>
          <w:tab w:val="left" w:pos="720"/>
        </w:tabs>
        <w:spacing w:after="120" w:afterLines="50" w:line="300" w:lineRule="auto"/>
        <w:ind w:firstLine="960" w:firstLineChars="400"/>
        <w:rPr>
          <w:rFonts w:ascii="宋体" w:cs="Arial"/>
          <w:sz w:val="24"/>
        </w:rPr>
      </w:pPr>
      <w:r>
        <w:rPr>
          <w:rFonts w:hint="eastAsia" w:ascii="宋体" w:hAnsi="宋体" w:cs="Arial"/>
          <w:sz w:val="24"/>
        </w:rPr>
        <w:t>法定代表人</w:t>
      </w:r>
      <w:r>
        <w:rPr>
          <w:rFonts w:ascii="宋体" w:hAnsi="宋体" w:cs="Arial"/>
          <w:sz w:val="24"/>
        </w:rPr>
        <w:t xml:space="preserve">                          </w:t>
      </w:r>
    </w:p>
    <w:p>
      <w:pPr>
        <w:tabs>
          <w:tab w:val="left" w:pos="720"/>
        </w:tabs>
        <w:spacing w:after="120" w:afterLines="50" w:line="300" w:lineRule="auto"/>
        <w:ind w:firstLine="960" w:firstLineChars="400"/>
        <w:rPr>
          <w:rFonts w:ascii="宋体" w:cs="Arial"/>
          <w:szCs w:val="21"/>
        </w:rPr>
      </w:pPr>
      <w:r>
        <w:rPr>
          <w:rFonts w:hint="eastAsia" w:ascii="宋体" w:hAnsi="宋体" w:cs="Arial"/>
          <w:sz w:val="24"/>
        </w:rPr>
        <w:t>或其授权人</w:t>
      </w:r>
      <w:r>
        <w:rPr>
          <w:rFonts w:hint="eastAsia" w:ascii="宋体" w:hAnsi="宋体" w:cs="Arial"/>
        </w:rPr>
        <w:t>：</w:t>
      </w:r>
      <w:r>
        <w:rPr>
          <w:rFonts w:ascii="宋体" w:hAnsi="宋体" w:cs="Arial"/>
          <w:u w:val="single"/>
        </w:rPr>
        <w:t xml:space="preserve">                                                      </w:t>
      </w:r>
    </w:p>
    <w:p>
      <w:pPr>
        <w:tabs>
          <w:tab w:val="left" w:pos="720"/>
        </w:tabs>
        <w:spacing w:after="120" w:afterLines="50" w:line="300" w:lineRule="auto"/>
        <w:rPr>
          <w:rFonts w:ascii="宋体" w:cs="Arial"/>
          <w:szCs w:val="21"/>
        </w:rPr>
      </w:pPr>
      <w:r>
        <w:rPr>
          <w:rFonts w:ascii="宋体" w:hAnsi="宋体" w:cs="Arial"/>
          <w:szCs w:val="21"/>
        </w:rPr>
        <w:t xml:space="preserve">                                   </w:t>
      </w:r>
      <w:r>
        <w:rPr>
          <w:rFonts w:hint="eastAsia" w:ascii="宋体" w:hAnsi="宋体" w:cs="Arial"/>
          <w:szCs w:val="21"/>
        </w:rPr>
        <w:t>（盖个人</w:t>
      </w:r>
      <w:r>
        <w:rPr>
          <w:rFonts w:ascii="宋体" w:hAnsi="宋体" w:cs="Arial"/>
          <w:szCs w:val="21"/>
        </w:rPr>
        <w:t>CA</w:t>
      </w:r>
      <w:r>
        <w:rPr>
          <w:rFonts w:hint="eastAsia" w:ascii="Arial" w:hAnsi="Arial" w:cs="Arial"/>
          <w:szCs w:val="21"/>
        </w:rPr>
        <w:t>电子</w:t>
      </w:r>
      <w:r>
        <w:rPr>
          <w:rFonts w:hint="eastAsia" w:ascii="宋体" w:hAnsi="宋体" w:cs="Arial"/>
          <w:szCs w:val="21"/>
        </w:rPr>
        <w:t>印章）</w:t>
      </w:r>
    </w:p>
    <w:p>
      <w:pPr>
        <w:tabs>
          <w:tab w:val="left" w:pos="720"/>
        </w:tabs>
        <w:spacing w:after="120" w:afterLines="50" w:line="300" w:lineRule="auto"/>
        <w:rPr>
          <w:rFonts w:ascii="宋体" w:cs="Arial"/>
        </w:rPr>
      </w:pPr>
    </w:p>
    <w:p>
      <w:pPr>
        <w:tabs>
          <w:tab w:val="left" w:pos="720"/>
        </w:tabs>
        <w:spacing w:after="120" w:afterLines="50" w:line="300" w:lineRule="auto"/>
        <w:ind w:firstLine="960" w:firstLineChars="400"/>
        <w:rPr>
          <w:rFonts w:ascii="宋体" w:cs="Arial"/>
          <w:sz w:val="24"/>
          <w:szCs w:val="21"/>
        </w:rPr>
      </w:pPr>
      <w:r>
        <w:rPr>
          <w:rFonts w:hint="eastAsia" w:ascii="宋体" w:hAnsi="宋体" w:cs="Arial"/>
          <w:sz w:val="24"/>
        </w:rPr>
        <w:t>编制人：</w:t>
      </w:r>
      <w:r>
        <w:rPr>
          <w:rFonts w:ascii="宋体" w:hAnsi="宋体" w:cs="Arial"/>
          <w:sz w:val="24"/>
          <w:u w:val="single"/>
        </w:rPr>
        <w:t xml:space="preserve">                                                 </w:t>
      </w:r>
    </w:p>
    <w:p>
      <w:pPr>
        <w:tabs>
          <w:tab w:val="left" w:pos="720"/>
        </w:tabs>
        <w:spacing w:after="120" w:afterLines="50" w:line="300" w:lineRule="auto"/>
        <w:rPr>
          <w:rFonts w:ascii="宋体" w:cs="Arial"/>
          <w:szCs w:val="21"/>
        </w:rPr>
      </w:pPr>
      <w:r>
        <w:rPr>
          <w:rFonts w:ascii="宋体" w:hAnsi="宋体" w:cs="Arial"/>
          <w:szCs w:val="21"/>
        </w:rPr>
        <w:t xml:space="preserve">                                </w:t>
      </w:r>
      <w:r>
        <w:rPr>
          <w:rFonts w:hint="eastAsia" w:ascii="宋体" w:hAnsi="宋体" w:cs="Arial"/>
          <w:szCs w:val="21"/>
        </w:rPr>
        <w:t>（造价人员盖</w:t>
      </w:r>
      <w:r>
        <w:rPr>
          <w:rFonts w:ascii="宋体" w:hAnsi="宋体" w:cs="Arial"/>
          <w:szCs w:val="21"/>
        </w:rPr>
        <w:t>CA</w:t>
      </w:r>
      <w:r>
        <w:rPr>
          <w:rFonts w:hint="eastAsia" w:ascii="Arial" w:hAnsi="Arial" w:cs="Arial"/>
          <w:szCs w:val="21"/>
        </w:rPr>
        <w:t>电子</w:t>
      </w:r>
      <w:r>
        <w:rPr>
          <w:rFonts w:hint="eastAsia" w:ascii="宋体" w:hAnsi="宋体" w:cs="Arial"/>
          <w:szCs w:val="21"/>
        </w:rPr>
        <w:t>执业专用章）</w:t>
      </w:r>
    </w:p>
    <w:p>
      <w:pPr>
        <w:tabs>
          <w:tab w:val="left" w:pos="720"/>
        </w:tabs>
        <w:spacing w:after="120" w:afterLines="50" w:line="300" w:lineRule="auto"/>
        <w:rPr>
          <w:rFonts w:ascii="宋体" w:cs="Arial"/>
        </w:rPr>
      </w:pPr>
    </w:p>
    <w:p>
      <w:pPr>
        <w:tabs>
          <w:tab w:val="left" w:pos="720"/>
        </w:tabs>
        <w:spacing w:after="120" w:afterLines="50" w:line="300" w:lineRule="auto"/>
        <w:ind w:firstLine="960" w:firstLineChars="400"/>
        <w:rPr>
          <w:rFonts w:ascii="宋体" w:cs="Arial"/>
          <w:sz w:val="24"/>
        </w:rPr>
      </w:pPr>
    </w:p>
    <w:p>
      <w:pPr>
        <w:tabs>
          <w:tab w:val="left" w:pos="720"/>
        </w:tabs>
        <w:spacing w:after="120" w:afterLines="50" w:line="300" w:lineRule="auto"/>
        <w:ind w:firstLine="960" w:firstLineChars="400"/>
        <w:rPr>
          <w:rFonts w:ascii="宋体" w:cs="Arial"/>
          <w:sz w:val="24"/>
        </w:rPr>
      </w:pPr>
    </w:p>
    <w:p>
      <w:pPr>
        <w:tabs>
          <w:tab w:val="left" w:pos="720"/>
        </w:tabs>
        <w:spacing w:after="120" w:afterLines="50" w:line="300" w:lineRule="auto"/>
        <w:ind w:firstLine="960" w:firstLineChars="400"/>
        <w:rPr>
          <w:rFonts w:ascii="宋体" w:cs="Arial"/>
          <w:sz w:val="24"/>
          <w:u w:val="single"/>
        </w:rPr>
      </w:pPr>
      <w:r>
        <w:rPr>
          <w:rFonts w:hint="eastAsia" w:ascii="宋体" w:hAnsi="宋体" w:cs="Arial"/>
          <w:sz w:val="24"/>
        </w:rPr>
        <w:t>编制时间：</w:t>
      </w:r>
      <w:r>
        <w:rPr>
          <w:rFonts w:ascii="宋体" w:hAnsi="宋体" w:cs="Arial"/>
          <w:sz w:val="24"/>
          <w:u w:val="single"/>
        </w:rPr>
        <w:t xml:space="preserve">         </w:t>
      </w:r>
      <w:r>
        <w:rPr>
          <w:rFonts w:ascii="宋体" w:hAnsi="宋体" w:cs="Arial"/>
          <w:sz w:val="24"/>
        </w:rPr>
        <w:t xml:space="preserve"> </w:t>
      </w:r>
      <w:r>
        <w:rPr>
          <w:rFonts w:hint="eastAsia" w:ascii="宋体" w:hAnsi="宋体" w:cs="Arial"/>
          <w:sz w:val="24"/>
        </w:rPr>
        <w:t>年</w:t>
      </w:r>
      <w:r>
        <w:rPr>
          <w:rFonts w:ascii="宋体" w:hAnsi="宋体" w:cs="Arial"/>
          <w:sz w:val="24"/>
        </w:rPr>
        <w:t xml:space="preserve"> </w:t>
      </w:r>
      <w:r>
        <w:rPr>
          <w:rFonts w:ascii="宋体" w:hAnsi="宋体" w:cs="Arial"/>
          <w:sz w:val="24"/>
          <w:u w:val="single"/>
        </w:rPr>
        <w:t xml:space="preserve">      </w:t>
      </w:r>
      <w:r>
        <w:rPr>
          <w:rFonts w:hint="eastAsia" w:ascii="宋体" w:hAnsi="宋体" w:cs="Arial"/>
          <w:sz w:val="24"/>
        </w:rPr>
        <w:t>月</w:t>
      </w:r>
      <w:r>
        <w:rPr>
          <w:rFonts w:ascii="宋体" w:hAnsi="宋体" w:cs="Arial"/>
          <w:sz w:val="24"/>
          <w:u w:val="single"/>
        </w:rPr>
        <w:t xml:space="preserve">      </w:t>
      </w:r>
      <w:r>
        <w:rPr>
          <w:rFonts w:hint="eastAsia" w:ascii="宋体" w:hAnsi="宋体" w:cs="Arial"/>
          <w:sz w:val="24"/>
        </w:rPr>
        <w:t>日</w:t>
      </w:r>
    </w:p>
    <w:p>
      <w:pPr>
        <w:pStyle w:val="148"/>
        <w:spacing w:before="120" w:after="120"/>
      </w:pPr>
      <w:r>
        <w:rPr>
          <w:rFonts w:ascii="Arial" w:hAnsi="Arial" w:cs="Arial"/>
          <w:b/>
          <w:szCs w:val="44"/>
        </w:rPr>
        <w:br w:type="page"/>
      </w:r>
      <w:bookmarkStart w:id="1150" w:name="_Toc241459766"/>
      <w:bookmarkStart w:id="1151" w:name="_Toc10235180"/>
      <w:bookmarkStart w:id="1152" w:name="_Toc497458721"/>
      <w:bookmarkStart w:id="1153" w:name="_Toc342296529"/>
      <w:bookmarkStart w:id="1154" w:name="_Toc483575315"/>
      <w:bookmarkStart w:id="1155" w:name="_Toc480481678"/>
      <w:r>
        <w:rPr>
          <w:rFonts w:hint="eastAsia"/>
        </w:rPr>
        <w:t>总说明</w:t>
      </w:r>
      <w:bookmarkEnd w:id="1150"/>
      <w:bookmarkEnd w:id="1151"/>
      <w:bookmarkEnd w:id="1152"/>
      <w:bookmarkEnd w:id="1153"/>
      <w:bookmarkEnd w:id="1154"/>
      <w:bookmarkEnd w:id="1155"/>
    </w:p>
    <w:p>
      <w:pPr>
        <w:tabs>
          <w:tab w:val="left" w:pos="720"/>
        </w:tabs>
        <w:spacing w:after="120" w:afterLines="50" w:line="300" w:lineRule="auto"/>
        <w:jc w:val="center"/>
        <w:rPr>
          <w:rFonts w:ascii="Arial" w:hAnsi="Arial" w:eastAsia="黑体" w:cs="Arial"/>
          <w:bCs/>
          <w:sz w:val="36"/>
          <w:szCs w:val="48"/>
        </w:rPr>
      </w:pPr>
      <w:r>
        <w:rPr>
          <w:rFonts w:hint="eastAsia" w:ascii="Arial" w:hAnsi="Arial" w:eastAsia="黑体" w:cs="Arial"/>
          <w:bCs/>
          <w:sz w:val="36"/>
          <w:szCs w:val="48"/>
        </w:rPr>
        <w:t>总</w:t>
      </w:r>
      <w:r>
        <w:rPr>
          <w:rFonts w:ascii="Arial" w:hAnsi="Arial" w:eastAsia="黑体" w:cs="Arial"/>
          <w:bCs/>
          <w:sz w:val="36"/>
          <w:szCs w:val="48"/>
        </w:rPr>
        <w:t xml:space="preserve"> </w:t>
      </w:r>
      <w:r>
        <w:rPr>
          <w:rFonts w:hint="eastAsia" w:ascii="Arial" w:hAnsi="Arial" w:eastAsia="黑体" w:cs="Arial"/>
          <w:bCs/>
          <w:sz w:val="36"/>
          <w:szCs w:val="48"/>
        </w:rPr>
        <w:t>说</w:t>
      </w:r>
      <w:r>
        <w:rPr>
          <w:rFonts w:ascii="Arial" w:hAnsi="Arial" w:eastAsia="黑体" w:cs="Arial"/>
          <w:bCs/>
          <w:sz w:val="36"/>
          <w:szCs w:val="48"/>
        </w:rPr>
        <w:t xml:space="preserve"> </w:t>
      </w:r>
      <w:r>
        <w:rPr>
          <w:rFonts w:hint="eastAsia" w:ascii="Arial" w:hAnsi="Arial" w:eastAsia="黑体" w:cs="Arial"/>
          <w:bCs/>
          <w:sz w:val="36"/>
          <w:szCs w:val="48"/>
        </w:rPr>
        <w:t>明</w:t>
      </w:r>
    </w:p>
    <w:p>
      <w:pPr>
        <w:tabs>
          <w:tab w:val="left" w:pos="720"/>
        </w:tabs>
        <w:spacing w:after="120" w:afterLines="50" w:line="300" w:lineRule="auto"/>
        <w:rPr>
          <w:rFonts w:ascii="Arial" w:hAnsi="Arial" w:cs="Arial"/>
        </w:rPr>
      </w:pPr>
    </w:p>
    <w:p>
      <w:pPr>
        <w:tabs>
          <w:tab w:val="left" w:pos="720"/>
        </w:tabs>
        <w:spacing w:after="120" w:afterLines="50" w:line="300" w:lineRule="auto"/>
        <w:rPr>
          <w:rFonts w:ascii="Arial" w:hAnsi="Arial" w:cs="Arial"/>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3" w:hRule="atLeast"/>
        </w:trPr>
        <w:tc>
          <w:tcPr>
            <w:tcW w:w="8280" w:type="dxa"/>
          </w:tcPr>
          <w:p>
            <w:pPr>
              <w:tabs>
                <w:tab w:val="left" w:pos="720"/>
              </w:tabs>
              <w:spacing w:after="120" w:afterLines="50" w:line="300" w:lineRule="auto"/>
              <w:rPr>
                <w:rFonts w:ascii="Arial" w:hAnsi="Arial" w:cs="Arial"/>
              </w:rPr>
            </w:pPr>
          </w:p>
        </w:tc>
      </w:tr>
    </w:tbl>
    <w:p>
      <w:pPr>
        <w:tabs>
          <w:tab w:val="left" w:pos="720"/>
        </w:tabs>
        <w:spacing w:after="120" w:afterLines="50" w:line="300" w:lineRule="auto"/>
        <w:rPr>
          <w:rFonts w:ascii="Arial" w:hAnsi="宋体" w:cs="Arial"/>
        </w:rPr>
      </w:pPr>
    </w:p>
    <w:p>
      <w:pPr>
        <w:pStyle w:val="148"/>
        <w:spacing w:before="120" w:after="120"/>
      </w:pPr>
      <w:r>
        <w:rPr>
          <w:rFonts w:ascii="Arial" w:cs="Arial"/>
          <w:b/>
        </w:rPr>
        <w:br w:type="page"/>
      </w:r>
      <w:r>
        <w:rPr>
          <w:rFonts w:hint="eastAsia" w:ascii="宋体" w:cs="Arial"/>
          <w:b/>
          <w:kern w:val="0"/>
        </w:rPr>
        <w:t xml:space="preserve">  </w:t>
      </w:r>
      <w:bookmarkStart w:id="1156" w:name="_Toc10235186"/>
      <w:bookmarkStart w:id="1157" w:name="_Toc10233958"/>
      <w:bookmarkStart w:id="1158" w:name="_Toc23757441"/>
      <w:bookmarkStart w:id="1159" w:name="_Hlk8724023"/>
      <w:bookmarkStart w:id="1160" w:name="_Toc483575316"/>
      <w:bookmarkStart w:id="1161" w:name="_Toc241459767"/>
      <w:bookmarkStart w:id="1162" w:name="_Toc497458722"/>
      <w:bookmarkStart w:id="1163" w:name="_Toc480481679"/>
      <w:bookmarkStart w:id="1164" w:name="_Toc342296530"/>
      <w:bookmarkStart w:id="1165" w:name="_Toc23757436"/>
      <w:bookmarkStart w:id="1166" w:name="_Toc10235181"/>
      <w:r>
        <w:rPr>
          <w:rFonts w:hint="eastAsia"/>
        </w:rPr>
        <w:t>工程项目投标报价汇总表</w:t>
      </w:r>
    </w:p>
    <w:p>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工程项目投标报价汇总表</w:t>
      </w:r>
    </w:p>
    <w:p>
      <w:pPr>
        <w:tabs>
          <w:tab w:val="left" w:pos="720"/>
        </w:tabs>
        <w:spacing w:after="120" w:afterLines="50" w:line="300" w:lineRule="auto"/>
        <w:ind w:right="90"/>
        <w:rPr>
          <w:rFonts w:ascii="Arial" w:hAnsi="Arial" w:cs="Arial"/>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9"/>
        <w:tblW w:w="8549" w:type="dxa"/>
        <w:tblInd w:w="103" w:type="dxa"/>
        <w:tblLayout w:type="fixed"/>
        <w:tblCellMar>
          <w:top w:w="0" w:type="dxa"/>
          <w:left w:w="0" w:type="dxa"/>
          <w:bottom w:w="0" w:type="dxa"/>
          <w:right w:w="0" w:type="dxa"/>
        </w:tblCellMar>
      </w:tblPr>
      <w:tblGrid>
        <w:gridCol w:w="773"/>
        <w:gridCol w:w="2673"/>
        <w:gridCol w:w="992"/>
        <w:gridCol w:w="851"/>
        <w:gridCol w:w="1276"/>
        <w:gridCol w:w="850"/>
        <w:gridCol w:w="1134"/>
      </w:tblGrid>
      <w:tr>
        <w:tblPrEx>
          <w:tblCellMar>
            <w:top w:w="0" w:type="dxa"/>
            <w:left w:w="0" w:type="dxa"/>
            <w:bottom w:w="0" w:type="dxa"/>
            <w:right w:w="0" w:type="dxa"/>
          </w:tblCellMar>
        </w:tblPrEx>
        <w:trPr>
          <w:trHeight w:val="468" w:hRule="exact"/>
        </w:trPr>
        <w:tc>
          <w:tcPr>
            <w:tcW w:w="773" w:type="dxa"/>
            <w:vMerge w:val="restart"/>
            <w:tcBorders>
              <w:top w:val="single" w:color="000000" w:sz="4" w:space="0"/>
              <w:left w:val="single" w:color="000000" w:sz="4" w:space="0"/>
              <w:right w:val="single" w:color="000000" w:sz="4" w:space="0"/>
            </w:tcBorders>
            <w:vAlign w:val="center"/>
          </w:tcPr>
          <w:p>
            <w:pPr>
              <w:pStyle w:val="280"/>
              <w:ind w:right="43"/>
              <w:jc w:val="center"/>
              <w:rPr>
                <w:rFonts w:ascii="宋体" w:hAnsi="宋体" w:cs="宋体"/>
                <w:sz w:val="21"/>
                <w:szCs w:val="21"/>
              </w:rPr>
            </w:pPr>
            <w:bookmarkStart w:id="1167" w:name="_Toc241459768"/>
            <w:r>
              <w:rPr>
                <w:rFonts w:ascii="Arial"/>
                <w:sz w:val="21"/>
              </w:rPr>
              <w:t>序号</w:t>
            </w:r>
          </w:p>
        </w:tc>
        <w:tc>
          <w:tcPr>
            <w:tcW w:w="2673" w:type="dxa"/>
            <w:vMerge w:val="restart"/>
            <w:tcBorders>
              <w:top w:val="single" w:color="000000" w:sz="4" w:space="0"/>
              <w:left w:val="single" w:color="000000" w:sz="4" w:space="0"/>
              <w:right w:val="single" w:color="000000" w:sz="4" w:space="0"/>
            </w:tcBorders>
            <w:vAlign w:val="center"/>
          </w:tcPr>
          <w:p>
            <w:pPr>
              <w:pStyle w:val="280"/>
              <w:ind w:right="43"/>
              <w:jc w:val="center"/>
              <w:rPr>
                <w:rFonts w:ascii="宋体" w:hAnsi="宋体" w:cs="宋体"/>
                <w:sz w:val="21"/>
                <w:szCs w:val="21"/>
              </w:rPr>
            </w:pPr>
            <w:r>
              <w:rPr>
                <w:rFonts w:ascii="Arial"/>
                <w:sz w:val="21"/>
              </w:rPr>
              <w:t>项目名称</w:t>
            </w:r>
          </w:p>
        </w:tc>
        <w:tc>
          <w:tcPr>
            <w:tcW w:w="992" w:type="dxa"/>
            <w:vMerge w:val="restart"/>
            <w:tcBorders>
              <w:top w:val="single" w:color="000000" w:sz="4" w:space="0"/>
              <w:left w:val="single" w:color="000000" w:sz="4" w:space="0"/>
              <w:right w:val="single" w:color="000000" w:sz="4" w:space="0"/>
            </w:tcBorders>
            <w:vAlign w:val="center"/>
          </w:tcPr>
          <w:p>
            <w:pPr>
              <w:pStyle w:val="280"/>
              <w:ind w:right="43"/>
              <w:jc w:val="center"/>
              <w:rPr>
                <w:rFonts w:ascii="宋体" w:hAnsi="宋体" w:cs="宋体"/>
                <w:sz w:val="21"/>
                <w:szCs w:val="21"/>
              </w:rPr>
            </w:pPr>
            <w:r>
              <w:rPr>
                <w:rFonts w:ascii="Arial"/>
                <w:sz w:val="21"/>
              </w:rPr>
              <w:t>金额</w:t>
            </w:r>
          </w:p>
          <w:p>
            <w:pPr>
              <w:pStyle w:val="280"/>
              <w:ind w:right="43"/>
              <w:jc w:val="center"/>
              <w:rPr>
                <w:rFonts w:ascii="宋体" w:hAnsi="宋体" w:cs="宋体"/>
                <w:sz w:val="21"/>
                <w:szCs w:val="21"/>
              </w:rPr>
            </w:pPr>
            <w:r>
              <w:rPr>
                <w:rFonts w:ascii="宋体" w:hAnsi="宋体" w:cs="宋体"/>
                <w:sz w:val="21"/>
                <w:szCs w:val="21"/>
              </w:rPr>
              <w:t>（元）</w:t>
            </w:r>
          </w:p>
        </w:tc>
        <w:tc>
          <w:tcPr>
            <w:tcW w:w="4111" w:type="dxa"/>
            <w:gridSpan w:val="4"/>
            <w:tcBorders>
              <w:top w:val="single" w:color="000000" w:sz="4" w:space="0"/>
              <w:left w:val="single" w:color="000000" w:sz="4" w:space="0"/>
              <w:bottom w:val="single" w:color="000000" w:sz="4" w:space="0"/>
              <w:right w:val="single" w:color="000000" w:sz="4" w:space="0"/>
            </w:tcBorders>
            <w:vAlign w:val="center"/>
          </w:tcPr>
          <w:p>
            <w:pPr>
              <w:pStyle w:val="280"/>
              <w:ind w:right="43"/>
              <w:jc w:val="center"/>
              <w:rPr>
                <w:rFonts w:ascii="宋体" w:hAnsi="宋体" w:cs="宋体"/>
                <w:sz w:val="21"/>
                <w:szCs w:val="21"/>
              </w:rPr>
            </w:pPr>
            <w:r>
              <w:rPr>
                <w:rFonts w:ascii="宋体" w:hAnsi="宋体" w:cs="宋体"/>
                <w:sz w:val="21"/>
                <w:szCs w:val="21"/>
              </w:rPr>
              <w:t>其中：</w:t>
            </w:r>
          </w:p>
        </w:tc>
      </w:tr>
      <w:tr>
        <w:tblPrEx>
          <w:tblCellMar>
            <w:top w:w="0" w:type="dxa"/>
            <w:left w:w="0" w:type="dxa"/>
            <w:bottom w:w="0" w:type="dxa"/>
            <w:right w:w="0" w:type="dxa"/>
          </w:tblCellMar>
        </w:tblPrEx>
        <w:trPr>
          <w:trHeight w:val="353" w:hRule="exact"/>
        </w:trPr>
        <w:tc>
          <w:tcPr>
            <w:tcW w:w="773" w:type="dxa"/>
            <w:vMerge w:val="continue"/>
            <w:tcBorders>
              <w:left w:val="single" w:color="000000" w:sz="4" w:space="0"/>
              <w:right w:val="single" w:color="000000" w:sz="4" w:space="0"/>
            </w:tcBorders>
          </w:tcPr>
          <w:p>
            <w:pPr>
              <w:rPr>
                <w:sz w:val="22"/>
              </w:rPr>
            </w:pPr>
          </w:p>
        </w:tc>
        <w:tc>
          <w:tcPr>
            <w:tcW w:w="2673" w:type="dxa"/>
            <w:vMerge w:val="continue"/>
            <w:tcBorders>
              <w:left w:val="single" w:color="000000" w:sz="4" w:space="0"/>
              <w:right w:val="single" w:color="000000" w:sz="4" w:space="0"/>
            </w:tcBorders>
          </w:tcPr>
          <w:p>
            <w:pPr>
              <w:rPr>
                <w:sz w:val="22"/>
              </w:rPr>
            </w:pPr>
          </w:p>
        </w:tc>
        <w:tc>
          <w:tcPr>
            <w:tcW w:w="992" w:type="dxa"/>
            <w:vMerge w:val="continue"/>
            <w:tcBorders>
              <w:left w:val="single" w:color="000000" w:sz="4" w:space="0"/>
              <w:right w:val="single" w:color="000000" w:sz="4" w:space="0"/>
            </w:tcBorders>
            <w:vAlign w:val="center"/>
          </w:tcPr>
          <w:p>
            <w:pPr>
              <w:jc w:val="center"/>
              <w:rPr>
                <w:sz w:val="22"/>
              </w:rPr>
            </w:pPr>
          </w:p>
        </w:tc>
        <w:tc>
          <w:tcPr>
            <w:tcW w:w="851" w:type="dxa"/>
            <w:vMerge w:val="restart"/>
            <w:tcBorders>
              <w:top w:val="single" w:color="000000" w:sz="4" w:space="0"/>
              <w:left w:val="single" w:color="000000" w:sz="4" w:space="0"/>
              <w:right w:val="single" w:color="000000" w:sz="4" w:space="0"/>
            </w:tcBorders>
            <w:vAlign w:val="center"/>
          </w:tcPr>
          <w:p>
            <w:pPr>
              <w:pStyle w:val="280"/>
              <w:ind w:right="43"/>
              <w:jc w:val="center"/>
              <w:rPr>
                <w:rFonts w:ascii="宋体" w:hAnsi="宋体" w:cs="宋体"/>
                <w:sz w:val="21"/>
                <w:szCs w:val="21"/>
              </w:rPr>
            </w:pPr>
            <w:r>
              <w:rPr>
                <w:rFonts w:ascii="Arial"/>
                <w:sz w:val="21"/>
              </w:rPr>
              <w:t>暂估价</w:t>
            </w:r>
          </w:p>
          <w:p>
            <w:pPr>
              <w:pStyle w:val="280"/>
              <w:ind w:right="43"/>
              <w:jc w:val="center"/>
              <w:rPr>
                <w:rFonts w:ascii="宋体" w:hAnsi="宋体" w:cs="宋体"/>
                <w:sz w:val="21"/>
                <w:szCs w:val="21"/>
              </w:rPr>
            </w:pPr>
            <w:r>
              <w:rPr>
                <w:rFonts w:ascii="宋体" w:hAnsi="宋体" w:cs="宋体"/>
                <w:sz w:val="21"/>
                <w:szCs w:val="21"/>
              </w:rPr>
              <w:t>（元）</w:t>
            </w:r>
          </w:p>
        </w:tc>
        <w:tc>
          <w:tcPr>
            <w:tcW w:w="1276" w:type="dxa"/>
            <w:vMerge w:val="restart"/>
            <w:tcBorders>
              <w:top w:val="single" w:color="000000" w:sz="4" w:space="0"/>
              <w:left w:val="single" w:color="000000" w:sz="4" w:space="0"/>
              <w:right w:val="single" w:color="auto" w:sz="4" w:space="0"/>
            </w:tcBorders>
            <w:vAlign w:val="center"/>
          </w:tcPr>
          <w:p>
            <w:pPr>
              <w:pStyle w:val="280"/>
              <w:ind w:right="43"/>
              <w:jc w:val="center"/>
              <w:rPr>
                <w:rFonts w:ascii="宋体" w:hAnsi="宋体" w:cs="宋体"/>
                <w:sz w:val="21"/>
                <w:szCs w:val="21"/>
                <w:lang w:eastAsia="zh-CN"/>
              </w:rPr>
            </w:pPr>
            <w:r>
              <w:rPr>
                <w:rFonts w:ascii="宋体" w:hAnsi="宋体" w:cs="宋体"/>
                <w:sz w:val="21"/>
                <w:szCs w:val="21"/>
                <w:lang w:eastAsia="zh-CN"/>
              </w:rPr>
              <w:t>建筑</w:t>
            </w:r>
            <w:r>
              <w:rPr>
                <w:rFonts w:ascii="Arial"/>
                <w:sz w:val="21"/>
                <w:lang w:eastAsia="zh-CN"/>
              </w:rPr>
              <w:t>垃圾</w:t>
            </w:r>
          </w:p>
          <w:p>
            <w:pPr>
              <w:pStyle w:val="280"/>
              <w:ind w:right="43"/>
              <w:jc w:val="center"/>
              <w:rPr>
                <w:rFonts w:ascii="宋体" w:hAnsi="宋体" w:cs="宋体"/>
                <w:sz w:val="21"/>
                <w:szCs w:val="21"/>
                <w:lang w:eastAsia="zh-CN"/>
              </w:rPr>
            </w:pPr>
            <w:r>
              <w:rPr>
                <w:rFonts w:ascii="宋体" w:hAnsi="宋体" w:cs="宋体"/>
                <w:sz w:val="21"/>
                <w:szCs w:val="21"/>
                <w:lang w:eastAsia="zh-CN"/>
              </w:rPr>
              <w:t>运输处置费</w:t>
            </w:r>
          </w:p>
          <w:p>
            <w:pPr>
              <w:pStyle w:val="280"/>
              <w:ind w:right="43"/>
              <w:jc w:val="center"/>
              <w:rPr>
                <w:rFonts w:ascii="宋体" w:hAnsi="宋体" w:cs="宋体"/>
                <w:sz w:val="21"/>
                <w:szCs w:val="21"/>
                <w:lang w:eastAsia="zh-CN"/>
              </w:rPr>
            </w:pPr>
            <w:r>
              <w:rPr>
                <w:rFonts w:ascii="宋体" w:hAnsi="宋体" w:cs="宋体"/>
                <w:sz w:val="21"/>
                <w:szCs w:val="21"/>
                <w:lang w:eastAsia="zh-CN"/>
              </w:rPr>
              <w:t>（元）</w:t>
            </w:r>
          </w:p>
        </w:tc>
        <w:tc>
          <w:tcPr>
            <w:tcW w:w="1984" w:type="dxa"/>
            <w:gridSpan w:val="2"/>
            <w:tcBorders>
              <w:top w:val="single" w:color="000000" w:sz="4" w:space="0"/>
              <w:left w:val="single" w:color="auto" w:sz="4" w:space="0"/>
              <w:bottom w:val="single" w:color="auto" w:sz="4" w:space="0"/>
              <w:right w:val="single" w:color="000000" w:sz="4" w:space="0"/>
            </w:tcBorders>
            <w:vAlign w:val="center"/>
          </w:tcPr>
          <w:p>
            <w:pPr>
              <w:pStyle w:val="280"/>
              <w:ind w:right="43"/>
              <w:jc w:val="center"/>
              <w:rPr>
                <w:rFonts w:ascii="宋体" w:hAnsi="宋体" w:cs="宋体"/>
                <w:sz w:val="21"/>
                <w:szCs w:val="21"/>
                <w:lang w:eastAsia="zh-CN"/>
              </w:rPr>
            </w:pPr>
            <w:r>
              <w:rPr>
                <w:rFonts w:ascii="宋体" w:hAnsi="宋体" w:cs="宋体"/>
                <w:sz w:val="21"/>
                <w:szCs w:val="21"/>
                <w:lang w:eastAsia="zh-CN"/>
              </w:rPr>
              <w:t>规费（元）</w:t>
            </w:r>
          </w:p>
        </w:tc>
      </w:tr>
      <w:tr>
        <w:tblPrEx>
          <w:tblCellMar>
            <w:top w:w="0" w:type="dxa"/>
            <w:left w:w="0" w:type="dxa"/>
            <w:bottom w:w="0" w:type="dxa"/>
            <w:right w:w="0" w:type="dxa"/>
          </w:tblCellMar>
        </w:tblPrEx>
        <w:trPr>
          <w:trHeight w:val="654" w:hRule="exact"/>
        </w:trPr>
        <w:tc>
          <w:tcPr>
            <w:tcW w:w="773" w:type="dxa"/>
            <w:vMerge w:val="continue"/>
            <w:tcBorders>
              <w:left w:val="single" w:color="000000" w:sz="4" w:space="0"/>
              <w:bottom w:val="single" w:color="000000" w:sz="4" w:space="0"/>
              <w:right w:val="single" w:color="000000" w:sz="4" w:space="0"/>
            </w:tcBorders>
          </w:tcPr>
          <w:p>
            <w:pPr>
              <w:rPr>
                <w:sz w:val="22"/>
              </w:rPr>
            </w:pPr>
          </w:p>
        </w:tc>
        <w:tc>
          <w:tcPr>
            <w:tcW w:w="2673" w:type="dxa"/>
            <w:vMerge w:val="continue"/>
            <w:tcBorders>
              <w:left w:val="single" w:color="000000" w:sz="4" w:space="0"/>
              <w:bottom w:val="single" w:color="000000" w:sz="4" w:space="0"/>
              <w:right w:val="single" w:color="000000" w:sz="4" w:space="0"/>
            </w:tcBorders>
          </w:tcPr>
          <w:p>
            <w:pPr>
              <w:rPr>
                <w:sz w:val="22"/>
              </w:rPr>
            </w:pPr>
          </w:p>
        </w:tc>
        <w:tc>
          <w:tcPr>
            <w:tcW w:w="992" w:type="dxa"/>
            <w:vMerge w:val="continue"/>
            <w:tcBorders>
              <w:left w:val="single" w:color="000000" w:sz="4" w:space="0"/>
              <w:bottom w:val="single" w:color="000000" w:sz="4" w:space="0"/>
              <w:right w:val="single" w:color="000000" w:sz="4" w:space="0"/>
            </w:tcBorders>
            <w:vAlign w:val="center"/>
          </w:tcPr>
          <w:p>
            <w:pPr>
              <w:jc w:val="center"/>
              <w:rPr>
                <w:sz w:val="22"/>
              </w:rPr>
            </w:pPr>
          </w:p>
        </w:tc>
        <w:tc>
          <w:tcPr>
            <w:tcW w:w="851" w:type="dxa"/>
            <w:vMerge w:val="continue"/>
            <w:tcBorders>
              <w:left w:val="single" w:color="000000" w:sz="4" w:space="0"/>
              <w:bottom w:val="single" w:color="000000" w:sz="4" w:space="0"/>
              <w:right w:val="single" w:color="000000" w:sz="4" w:space="0"/>
            </w:tcBorders>
            <w:vAlign w:val="center"/>
          </w:tcPr>
          <w:p>
            <w:pPr>
              <w:pStyle w:val="280"/>
              <w:spacing w:before="102" w:line="273" w:lineRule="exact"/>
              <w:ind w:left="103"/>
              <w:jc w:val="center"/>
              <w:rPr>
                <w:rFonts w:ascii="宋体" w:hAnsi="宋体" w:cs="宋体"/>
                <w:sz w:val="21"/>
                <w:szCs w:val="21"/>
              </w:rPr>
            </w:pPr>
          </w:p>
        </w:tc>
        <w:tc>
          <w:tcPr>
            <w:tcW w:w="1276" w:type="dxa"/>
            <w:vMerge w:val="continue"/>
            <w:tcBorders>
              <w:left w:val="single" w:color="000000" w:sz="4" w:space="0"/>
              <w:bottom w:val="single" w:color="000000" w:sz="4" w:space="0"/>
              <w:right w:val="single" w:color="auto" w:sz="4" w:space="0"/>
            </w:tcBorders>
            <w:vAlign w:val="center"/>
          </w:tcPr>
          <w:p>
            <w:pPr>
              <w:pStyle w:val="280"/>
              <w:spacing w:line="240" w:lineRule="exact"/>
              <w:ind w:left="2"/>
              <w:jc w:val="center"/>
              <w:rPr>
                <w:rFonts w:ascii="宋体" w:hAnsi="宋体" w:cs="宋体"/>
                <w:sz w:val="21"/>
                <w:szCs w:val="21"/>
                <w:lang w:eastAsia="zh-CN"/>
              </w:rPr>
            </w:pPr>
          </w:p>
        </w:tc>
        <w:tc>
          <w:tcPr>
            <w:tcW w:w="850" w:type="dxa"/>
            <w:tcBorders>
              <w:top w:val="single" w:color="auto" w:sz="4" w:space="0"/>
              <w:left w:val="single" w:color="auto" w:sz="4" w:space="0"/>
              <w:bottom w:val="single" w:color="000000" w:sz="4" w:space="0"/>
              <w:right w:val="single" w:color="000000" w:sz="4" w:space="0"/>
            </w:tcBorders>
            <w:vAlign w:val="center"/>
          </w:tcPr>
          <w:p>
            <w:pPr>
              <w:pStyle w:val="280"/>
              <w:ind w:right="43"/>
              <w:jc w:val="center"/>
              <w:rPr>
                <w:rFonts w:ascii="宋体" w:hAnsi="宋体" w:cs="宋体"/>
                <w:sz w:val="21"/>
                <w:szCs w:val="21"/>
                <w:lang w:eastAsia="zh-CN"/>
              </w:rPr>
            </w:pPr>
            <w:r>
              <w:rPr>
                <w:rFonts w:hint="eastAsia" w:ascii="宋体" w:hAnsi="宋体" w:cs="宋体"/>
                <w:sz w:val="21"/>
                <w:szCs w:val="21"/>
                <w:lang w:eastAsia="zh-CN"/>
              </w:rPr>
              <w:t>规费</w:t>
            </w:r>
          </w:p>
        </w:tc>
        <w:tc>
          <w:tcPr>
            <w:tcW w:w="1134" w:type="dxa"/>
            <w:tcBorders>
              <w:top w:val="single" w:color="auto" w:sz="4" w:space="0"/>
              <w:left w:val="single" w:color="000000" w:sz="4" w:space="0"/>
              <w:bottom w:val="single" w:color="000000" w:sz="4" w:space="0"/>
              <w:right w:val="single" w:color="000000" w:sz="4" w:space="0"/>
            </w:tcBorders>
            <w:vAlign w:val="center"/>
          </w:tcPr>
          <w:p>
            <w:pPr>
              <w:pStyle w:val="280"/>
              <w:ind w:right="43"/>
              <w:jc w:val="center"/>
              <w:rPr>
                <w:rFonts w:ascii="宋体" w:hAnsi="宋体" w:cs="宋体"/>
                <w:sz w:val="21"/>
                <w:szCs w:val="21"/>
                <w:lang w:eastAsia="zh-CN"/>
              </w:rPr>
            </w:pPr>
            <w:r>
              <w:rPr>
                <w:rFonts w:hint="eastAsia" w:ascii="宋体" w:hAnsi="宋体" w:cs="宋体"/>
                <w:sz w:val="21"/>
                <w:szCs w:val="21"/>
                <w:lang w:eastAsia="zh-CN"/>
              </w:rPr>
              <w:t>其中：农民工工伤保险</w:t>
            </w:r>
          </w:p>
        </w:tc>
      </w:tr>
      <w:tr>
        <w:tblPrEx>
          <w:tblCellMar>
            <w:top w:w="0" w:type="dxa"/>
            <w:left w:w="0" w:type="dxa"/>
            <w:bottom w:w="0" w:type="dxa"/>
            <w:right w:w="0" w:type="dxa"/>
          </w:tblCellMar>
        </w:tblPrEx>
        <w:trPr>
          <w:trHeight w:val="689" w:hRule="exact"/>
        </w:trPr>
        <w:tc>
          <w:tcPr>
            <w:tcW w:w="773" w:type="dxa"/>
            <w:tcBorders>
              <w:top w:val="single" w:color="000000" w:sz="4" w:space="0"/>
              <w:left w:val="single" w:color="000000" w:sz="4" w:space="0"/>
              <w:bottom w:val="single" w:color="000000" w:sz="4" w:space="0"/>
              <w:right w:val="single" w:color="000000" w:sz="4" w:space="0"/>
            </w:tcBorders>
            <w:vAlign w:val="center"/>
          </w:tcPr>
          <w:p>
            <w:pPr>
              <w:pStyle w:val="280"/>
              <w:ind w:right="43"/>
              <w:jc w:val="center"/>
              <w:rPr>
                <w:rFonts w:ascii="Arial" w:hAnsi="Arial" w:eastAsia="Arial" w:cs="Arial"/>
                <w:sz w:val="21"/>
                <w:szCs w:val="21"/>
              </w:rPr>
            </w:pPr>
            <w:r>
              <w:rPr>
                <w:rFonts w:ascii="Arial"/>
                <w:sz w:val="21"/>
              </w:rPr>
              <w:t>1</w:t>
            </w:r>
          </w:p>
        </w:tc>
        <w:tc>
          <w:tcPr>
            <w:tcW w:w="2673" w:type="dxa"/>
            <w:tcBorders>
              <w:top w:val="single" w:color="000000" w:sz="4" w:space="0"/>
              <w:left w:val="single" w:color="000000" w:sz="4" w:space="0"/>
              <w:bottom w:val="single" w:color="000000" w:sz="4" w:space="0"/>
              <w:right w:val="single" w:color="000000" w:sz="4" w:space="0"/>
            </w:tcBorders>
            <w:vAlign w:val="center"/>
          </w:tcPr>
          <w:p>
            <w:pPr>
              <w:pStyle w:val="280"/>
              <w:ind w:right="43" w:firstLine="210" w:firstLineChars="100"/>
              <w:jc w:val="both"/>
              <w:rPr>
                <w:rFonts w:ascii="宋体" w:hAnsi="宋体" w:cs="宋体"/>
                <w:sz w:val="21"/>
                <w:szCs w:val="21"/>
              </w:rPr>
            </w:pPr>
            <w:r>
              <w:rPr>
                <w:rFonts w:ascii="Arial"/>
                <w:sz w:val="21"/>
              </w:rPr>
              <w:t>分部分项工程</w:t>
            </w:r>
          </w:p>
        </w:tc>
        <w:tc>
          <w:tcPr>
            <w:tcW w:w="992" w:type="dxa"/>
            <w:tcBorders>
              <w:top w:val="single" w:color="000000" w:sz="4" w:space="0"/>
              <w:left w:val="single" w:color="000000" w:sz="4" w:space="0"/>
              <w:bottom w:val="single" w:color="000000" w:sz="4" w:space="0"/>
              <w:right w:val="single" w:color="000000" w:sz="4" w:space="0"/>
            </w:tcBorders>
          </w:tcPr>
          <w:p>
            <w:pPr>
              <w:rPr>
                <w:sz w:val="22"/>
              </w:rPr>
            </w:pPr>
          </w:p>
        </w:tc>
        <w:tc>
          <w:tcPr>
            <w:tcW w:w="851" w:type="dxa"/>
            <w:tcBorders>
              <w:top w:val="single" w:color="000000" w:sz="4" w:space="0"/>
              <w:left w:val="single" w:color="000000" w:sz="4" w:space="0"/>
              <w:bottom w:val="single" w:color="000000" w:sz="4" w:space="0"/>
              <w:right w:val="single" w:color="000000" w:sz="4" w:space="0"/>
            </w:tcBorders>
          </w:tcPr>
          <w:p>
            <w:pPr>
              <w:rPr>
                <w:sz w:val="22"/>
              </w:rPr>
            </w:pPr>
          </w:p>
        </w:tc>
        <w:tc>
          <w:tcPr>
            <w:tcW w:w="1276" w:type="dxa"/>
            <w:tcBorders>
              <w:top w:val="single" w:color="000000" w:sz="4" w:space="0"/>
              <w:left w:val="single" w:color="000000" w:sz="4" w:space="0"/>
              <w:bottom w:val="single" w:color="000000" w:sz="4" w:space="0"/>
              <w:right w:val="single" w:color="auto" w:sz="4" w:space="0"/>
            </w:tcBorders>
          </w:tcPr>
          <w:p>
            <w:pPr>
              <w:rPr>
                <w:sz w:val="22"/>
              </w:rPr>
            </w:pPr>
          </w:p>
        </w:tc>
        <w:tc>
          <w:tcPr>
            <w:tcW w:w="850" w:type="dxa"/>
            <w:tcBorders>
              <w:top w:val="single" w:color="000000" w:sz="4" w:space="0"/>
              <w:left w:val="single" w:color="auto" w:sz="4" w:space="0"/>
              <w:bottom w:val="single" w:color="000000" w:sz="4" w:space="0"/>
              <w:right w:val="single" w:color="000000" w:sz="4" w:space="0"/>
            </w:tcBorders>
          </w:tcPr>
          <w:p>
            <w:pPr>
              <w:jc w:val="center"/>
              <w:rPr>
                <w:sz w:val="22"/>
              </w:rPr>
            </w:pPr>
          </w:p>
        </w:tc>
        <w:tc>
          <w:tcPr>
            <w:tcW w:w="1134" w:type="dxa"/>
            <w:tcBorders>
              <w:top w:val="single" w:color="000000" w:sz="4" w:space="0"/>
              <w:left w:val="single" w:color="000000" w:sz="4" w:space="0"/>
              <w:bottom w:val="single" w:color="000000" w:sz="4" w:space="0"/>
              <w:right w:val="single" w:color="000000" w:sz="4" w:space="0"/>
            </w:tcBorders>
          </w:tcPr>
          <w:p>
            <w:pPr>
              <w:jc w:val="center"/>
              <w:rPr>
                <w:sz w:val="22"/>
              </w:rPr>
            </w:pPr>
            <w:r>
              <w:rPr>
                <w:rFonts w:hint="eastAsia"/>
                <w:sz w:val="22"/>
              </w:rPr>
              <w:t>/</w:t>
            </w:r>
          </w:p>
        </w:tc>
      </w:tr>
      <w:tr>
        <w:tblPrEx>
          <w:tblCellMar>
            <w:top w:w="0" w:type="dxa"/>
            <w:left w:w="0" w:type="dxa"/>
            <w:bottom w:w="0" w:type="dxa"/>
            <w:right w:w="0" w:type="dxa"/>
          </w:tblCellMar>
        </w:tblPrEx>
        <w:trPr>
          <w:trHeight w:val="691" w:hRule="exact"/>
        </w:trPr>
        <w:tc>
          <w:tcPr>
            <w:tcW w:w="773" w:type="dxa"/>
            <w:tcBorders>
              <w:top w:val="single" w:color="000000" w:sz="4" w:space="0"/>
              <w:left w:val="single" w:color="000000" w:sz="4" w:space="0"/>
              <w:bottom w:val="single" w:color="000000" w:sz="4" w:space="0"/>
              <w:right w:val="single" w:color="000000" w:sz="4" w:space="0"/>
            </w:tcBorders>
            <w:vAlign w:val="center"/>
          </w:tcPr>
          <w:p>
            <w:pPr>
              <w:pStyle w:val="280"/>
              <w:ind w:right="43"/>
              <w:jc w:val="center"/>
              <w:rPr>
                <w:rFonts w:ascii="Arial" w:hAnsi="Arial" w:eastAsia="Arial" w:cs="Arial"/>
                <w:sz w:val="21"/>
                <w:szCs w:val="21"/>
              </w:rPr>
            </w:pPr>
            <w:r>
              <w:rPr>
                <w:rFonts w:ascii="Arial"/>
                <w:sz w:val="21"/>
              </w:rPr>
              <w:t>1.1</w:t>
            </w:r>
          </w:p>
        </w:tc>
        <w:tc>
          <w:tcPr>
            <w:tcW w:w="2673" w:type="dxa"/>
            <w:tcBorders>
              <w:top w:val="single" w:color="000000" w:sz="4" w:space="0"/>
              <w:left w:val="single" w:color="000000" w:sz="4" w:space="0"/>
              <w:bottom w:val="single" w:color="000000" w:sz="4" w:space="0"/>
              <w:right w:val="single" w:color="000000" w:sz="4" w:space="0"/>
            </w:tcBorders>
            <w:vAlign w:val="center"/>
          </w:tcPr>
          <w:p>
            <w:pPr>
              <w:pStyle w:val="280"/>
              <w:ind w:right="43" w:firstLine="210" w:firstLineChars="100"/>
              <w:jc w:val="both"/>
              <w:rPr>
                <w:rFonts w:ascii="宋体" w:hAnsi="宋体" w:cs="宋体"/>
                <w:sz w:val="21"/>
                <w:szCs w:val="21"/>
                <w:lang w:eastAsia="zh-CN"/>
              </w:rPr>
            </w:pPr>
            <w:r>
              <w:rPr>
                <w:rFonts w:ascii="宋体" w:hAnsi="宋体" w:cs="宋体"/>
                <w:sz w:val="21"/>
                <w:szCs w:val="21"/>
                <w:lang w:eastAsia="zh-CN"/>
              </w:rPr>
              <w:t>（XXXX</w:t>
            </w:r>
            <w:r>
              <w:rPr>
                <w:rFonts w:ascii="宋体" w:hAnsi="宋体" w:cs="宋体"/>
                <w:spacing w:val="-53"/>
                <w:sz w:val="21"/>
                <w:szCs w:val="21"/>
                <w:lang w:eastAsia="zh-CN"/>
              </w:rPr>
              <w:t xml:space="preserve"> </w:t>
            </w:r>
            <w:r>
              <w:rPr>
                <w:rFonts w:ascii="Arial"/>
                <w:sz w:val="21"/>
                <w:lang w:eastAsia="zh-CN"/>
              </w:rPr>
              <w:t>单项工程</w:t>
            </w:r>
            <w:r>
              <w:rPr>
                <w:rFonts w:ascii="宋体" w:hAnsi="宋体" w:cs="宋体"/>
                <w:sz w:val="21"/>
                <w:szCs w:val="21"/>
                <w:lang w:eastAsia="zh-CN"/>
              </w:rPr>
              <w:t>）</w:t>
            </w:r>
          </w:p>
        </w:tc>
        <w:tc>
          <w:tcPr>
            <w:tcW w:w="992" w:type="dxa"/>
            <w:tcBorders>
              <w:top w:val="single" w:color="000000" w:sz="4" w:space="0"/>
              <w:left w:val="single" w:color="000000" w:sz="4" w:space="0"/>
              <w:bottom w:val="single" w:color="000000" w:sz="4" w:space="0"/>
              <w:right w:val="single" w:color="000000" w:sz="4" w:space="0"/>
            </w:tcBorders>
          </w:tcPr>
          <w:p>
            <w:pPr>
              <w:rPr>
                <w:sz w:val="22"/>
              </w:rPr>
            </w:pPr>
          </w:p>
        </w:tc>
        <w:tc>
          <w:tcPr>
            <w:tcW w:w="851" w:type="dxa"/>
            <w:tcBorders>
              <w:top w:val="single" w:color="000000" w:sz="4" w:space="0"/>
              <w:left w:val="single" w:color="000000" w:sz="4" w:space="0"/>
              <w:bottom w:val="single" w:color="000000" w:sz="4" w:space="0"/>
              <w:right w:val="single" w:color="000000" w:sz="4" w:space="0"/>
            </w:tcBorders>
          </w:tcPr>
          <w:p>
            <w:pPr>
              <w:rPr>
                <w:sz w:val="22"/>
              </w:rPr>
            </w:pPr>
          </w:p>
        </w:tc>
        <w:tc>
          <w:tcPr>
            <w:tcW w:w="1276" w:type="dxa"/>
            <w:tcBorders>
              <w:top w:val="single" w:color="000000" w:sz="4" w:space="0"/>
              <w:left w:val="single" w:color="000000" w:sz="4" w:space="0"/>
              <w:bottom w:val="single" w:color="000000" w:sz="4" w:space="0"/>
              <w:right w:val="single" w:color="auto" w:sz="4" w:space="0"/>
            </w:tcBorders>
          </w:tcPr>
          <w:p>
            <w:pPr>
              <w:rPr>
                <w:sz w:val="22"/>
              </w:rPr>
            </w:pPr>
          </w:p>
        </w:tc>
        <w:tc>
          <w:tcPr>
            <w:tcW w:w="850" w:type="dxa"/>
            <w:tcBorders>
              <w:top w:val="single" w:color="000000" w:sz="4" w:space="0"/>
              <w:left w:val="single" w:color="auto" w:sz="4" w:space="0"/>
              <w:bottom w:val="single" w:color="000000" w:sz="4" w:space="0"/>
              <w:right w:val="single" w:color="000000" w:sz="4" w:space="0"/>
            </w:tcBorders>
          </w:tcPr>
          <w:p>
            <w:pPr>
              <w:jc w:val="center"/>
              <w:rPr>
                <w:sz w:val="22"/>
              </w:rPr>
            </w:pPr>
          </w:p>
        </w:tc>
        <w:tc>
          <w:tcPr>
            <w:tcW w:w="1134" w:type="dxa"/>
            <w:tcBorders>
              <w:top w:val="single" w:color="000000" w:sz="4" w:space="0"/>
              <w:left w:val="single" w:color="000000" w:sz="4" w:space="0"/>
              <w:bottom w:val="single" w:color="000000" w:sz="4" w:space="0"/>
              <w:right w:val="single" w:color="000000" w:sz="4" w:space="0"/>
            </w:tcBorders>
          </w:tcPr>
          <w:p>
            <w:pPr>
              <w:jc w:val="center"/>
              <w:rPr>
                <w:sz w:val="22"/>
              </w:rPr>
            </w:pPr>
            <w:r>
              <w:rPr>
                <w:rFonts w:hint="eastAsia"/>
                <w:sz w:val="22"/>
              </w:rPr>
              <w:t>/</w:t>
            </w:r>
          </w:p>
        </w:tc>
      </w:tr>
      <w:tr>
        <w:tblPrEx>
          <w:tblCellMar>
            <w:top w:w="0" w:type="dxa"/>
            <w:left w:w="0" w:type="dxa"/>
            <w:bottom w:w="0" w:type="dxa"/>
            <w:right w:w="0" w:type="dxa"/>
          </w:tblCellMar>
        </w:tblPrEx>
        <w:trPr>
          <w:trHeight w:val="689" w:hRule="exact"/>
        </w:trPr>
        <w:tc>
          <w:tcPr>
            <w:tcW w:w="773" w:type="dxa"/>
            <w:tcBorders>
              <w:top w:val="single" w:color="000000" w:sz="4" w:space="0"/>
              <w:left w:val="single" w:color="000000" w:sz="4" w:space="0"/>
              <w:bottom w:val="single" w:color="000000" w:sz="4" w:space="0"/>
              <w:right w:val="single" w:color="000000" w:sz="4" w:space="0"/>
            </w:tcBorders>
            <w:vAlign w:val="center"/>
          </w:tcPr>
          <w:p>
            <w:pPr>
              <w:pStyle w:val="280"/>
              <w:ind w:right="43"/>
              <w:jc w:val="center"/>
              <w:rPr>
                <w:rFonts w:ascii="Arial" w:hAnsi="Arial" w:eastAsia="Arial" w:cs="Arial"/>
                <w:sz w:val="21"/>
                <w:szCs w:val="21"/>
              </w:rPr>
            </w:pPr>
            <w:r>
              <w:rPr>
                <w:rFonts w:ascii="Arial"/>
                <w:sz w:val="21"/>
              </w:rPr>
              <w:t>1.2</w:t>
            </w:r>
          </w:p>
        </w:tc>
        <w:tc>
          <w:tcPr>
            <w:tcW w:w="2673" w:type="dxa"/>
            <w:tcBorders>
              <w:top w:val="single" w:color="000000" w:sz="4" w:space="0"/>
              <w:left w:val="single" w:color="000000" w:sz="4" w:space="0"/>
              <w:bottom w:val="single" w:color="000000" w:sz="4" w:space="0"/>
              <w:right w:val="single" w:color="000000" w:sz="4" w:space="0"/>
            </w:tcBorders>
            <w:vAlign w:val="center"/>
          </w:tcPr>
          <w:p>
            <w:pPr>
              <w:pStyle w:val="280"/>
              <w:ind w:right="43"/>
              <w:jc w:val="both"/>
            </w:pPr>
          </w:p>
        </w:tc>
        <w:tc>
          <w:tcPr>
            <w:tcW w:w="992" w:type="dxa"/>
            <w:tcBorders>
              <w:top w:val="single" w:color="000000" w:sz="4" w:space="0"/>
              <w:left w:val="single" w:color="000000" w:sz="4" w:space="0"/>
              <w:bottom w:val="single" w:color="000000" w:sz="4" w:space="0"/>
              <w:right w:val="single" w:color="000000" w:sz="4" w:space="0"/>
            </w:tcBorders>
          </w:tcPr>
          <w:p>
            <w:pPr>
              <w:rPr>
                <w:sz w:val="22"/>
              </w:rPr>
            </w:pPr>
          </w:p>
        </w:tc>
        <w:tc>
          <w:tcPr>
            <w:tcW w:w="851" w:type="dxa"/>
            <w:tcBorders>
              <w:top w:val="single" w:color="000000" w:sz="4" w:space="0"/>
              <w:left w:val="single" w:color="000000" w:sz="4" w:space="0"/>
              <w:bottom w:val="single" w:color="000000" w:sz="4" w:space="0"/>
              <w:right w:val="single" w:color="000000" w:sz="4" w:space="0"/>
            </w:tcBorders>
          </w:tcPr>
          <w:p>
            <w:pPr>
              <w:rPr>
                <w:sz w:val="22"/>
              </w:rPr>
            </w:pPr>
          </w:p>
        </w:tc>
        <w:tc>
          <w:tcPr>
            <w:tcW w:w="1276" w:type="dxa"/>
            <w:tcBorders>
              <w:top w:val="single" w:color="000000" w:sz="4" w:space="0"/>
              <w:left w:val="single" w:color="000000" w:sz="4" w:space="0"/>
              <w:bottom w:val="single" w:color="000000" w:sz="4" w:space="0"/>
              <w:right w:val="single" w:color="auto" w:sz="4" w:space="0"/>
            </w:tcBorders>
          </w:tcPr>
          <w:p>
            <w:pPr>
              <w:rPr>
                <w:sz w:val="22"/>
              </w:rPr>
            </w:pPr>
          </w:p>
        </w:tc>
        <w:tc>
          <w:tcPr>
            <w:tcW w:w="850" w:type="dxa"/>
            <w:tcBorders>
              <w:top w:val="single" w:color="000000" w:sz="4" w:space="0"/>
              <w:left w:val="single" w:color="auto" w:sz="4" w:space="0"/>
              <w:bottom w:val="single" w:color="000000" w:sz="4" w:space="0"/>
              <w:right w:val="single" w:color="000000" w:sz="4" w:space="0"/>
            </w:tcBorders>
          </w:tcPr>
          <w:p>
            <w:pPr>
              <w:jc w:val="center"/>
              <w:rPr>
                <w:sz w:val="22"/>
              </w:rPr>
            </w:pPr>
          </w:p>
        </w:tc>
        <w:tc>
          <w:tcPr>
            <w:tcW w:w="1134" w:type="dxa"/>
            <w:tcBorders>
              <w:top w:val="single" w:color="000000" w:sz="4" w:space="0"/>
              <w:left w:val="single" w:color="000000" w:sz="4" w:space="0"/>
              <w:bottom w:val="single" w:color="000000" w:sz="4" w:space="0"/>
              <w:right w:val="single" w:color="000000" w:sz="4" w:space="0"/>
            </w:tcBorders>
          </w:tcPr>
          <w:p>
            <w:pPr>
              <w:jc w:val="center"/>
              <w:rPr>
                <w:sz w:val="22"/>
              </w:rPr>
            </w:pPr>
            <w:r>
              <w:rPr>
                <w:rFonts w:hint="eastAsia"/>
                <w:sz w:val="22"/>
              </w:rPr>
              <w:t>/</w:t>
            </w:r>
          </w:p>
        </w:tc>
      </w:tr>
      <w:tr>
        <w:tblPrEx>
          <w:tblCellMar>
            <w:top w:w="0" w:type="dxa"/>
            <w:left w:w="0" w:type="dxa"/>
            <w:bottom w:w="0" w:type="dxa"/>
            <w:right w:w="0" w:type="dxa"/>
          </w:tblCellMar>
        </w:tblPrEx>
        <w:trPr>
          <w:trHeight w:val="691" w:hRule="exact"/>
        </w:trPr>
        <w:tc>
          <w:tcPr>
            <w:tcW w:w="773" w:type="dxa"/>
            <w:tcBorders>
              <w:top w:val="single" w:color="000000" w:sz="4" w:space="0"/>
              <w:left w:val="single" w:color="000000" w:sz="4" w:space="0"/>
              <w:bottom w:val="single" w:color="000000" w:sz="4" w:space="0"/>
              <w:right w:val="single" w:color="000000" w:sz="4" w:space="0"/>
            </w:tcBorders>
            <w:vAlign w:val="center"/>
          </w:tcPr>
          <w:p>
            <w:pPr>
              <w:pStyle w:val="280"/>
              <w:ind w:right="43"/>
              <w:jc w:val="center"/>
              <w:rPr>
                <w:rFonts w:ascii="Arial" w:hAnsi="Arial" w:eastAsia="Arial" w:cs="Arial"/>
                <w:sz w:val="21"/>
                <w:szCs w:val="21"/>
              </w:rPr>
            </w:pPr>
            <w:r>
              <w:rPr>
                <w:rFonts w:ascii="Arial"/>
                <w:sz w:val="21"/>
              </w:rPr>
              <w:t>2</w:t>
            </w:r>
          </w:p>
        </w:tc>
        <w:tc>
          <w:tcPr>
            <w:tcW w:w="2673" w:type="dxa"/>
            <w:tcBorders>
              <w:top w:val="single" w:color="000000" w:sz="4" w:space="0"/>
              <w:left w:val="single" w:color="000000" w:sz="4" w:space="0"/>
              <w:bottom w:val="single" w:color="000000" w:sz="4" w:space="0"/>
              <w:right w:val="single" w:color="000000" w:sz="4" w:space="0"/>
            </w:tcBorders>
            <w:vAlign w:val="center"/>
          </w:tcPr>
          <w:p>
            <w:pPr>
              <w:pStyle w:val="280"/>
              <w:ind w:right="43" w:firstLine="210" w:firstLineChars="100"/>
              <w:jc w:val="both"/>
              <w:rPr>
                <w:rFonts w:ascii="宋体" w:hAnsi="宋体" w:cs="宋体"/>
                <w:sz w:val="21"/>
                <w:szCs w:val="21"/>
              </w:rPr>
            </w:pPr>
            <w:r>
              <w:rPr>
                <w:rFonts w:ascii="Arial"/>
                <w:sz w:val="21"/>
              </w:rPr>
              <w:t>措施项目</w:t>
            </w:r>
          </w:p>
        </w:tc>
        <w:tc>
          <w:tcPr>
            <w:tcW w:w="992" w:type="dxa"/>
            <w:tcBorders>
              <w:top w:val="single" w:color="000000" w:sz="4" w:space="0"/>
              <w:left w:val="single" w:color="000000" w:sz="4" w:space="0"/>
              <w:bottom w:val="single" w:color="000000" w:sz="4" w:space="0"/>
              <w:right w:val="single" w:color="000000" w:sz="4" w:space="0"/>
            </w:tcBorders>
          </w:tcPr>
          <w:p>
            <w:pPr>
              <w:rPr>
                <w:sz w:val="22"/>
              </w:rPr>
            </w:pPr>
          </w:p>
        </w:tc>
        <w:tc>
          <w:tcPr>
            <w:tcW w:w="851" w:type="dxa"/>
            <w:tcBorders>
              <w:top w:val="single" w:color="000000" w:sz="4" w:space="0"/>
              <w:left w:val="single" w:color="000000" w:sz="4" w:space="0"/>
              <w:bottom w:val="single" w:color="000000" w:sz="4" w:space="0"/>
              <w:right w:val="single" w:color="000000" w:sz="4" w:space="0"/>
            </w:tcBorders>
          </w:tcPr>
          <w:p>
            <w:pPr>
              <w:rPr>
                <w:sz w:val="22"/>
              </w:rPr>
            </w:pPr>
          </w:p>
        </w:tc>
        <w:tc>
          <w:tcPr>
            <w:tcW w:w="1276" w:type="dxa"/>
            <w:tcBorders>
              <w:top w:val="single" w:color="000000" w:sz="4" w:space="0"/>
              <w:left w:val="single" w:color="000000" w:sz="4" w:space="0"/>
              <w:bottom w:val="single" w:color="000000" w:sz="4" w:space="0"/>
              <w:right w:val="single" w:color="auto" w:sz="4" w:space="0"/>
            </w:tcBorders>
          </w:tcPr>
          <w:p>
            <w:pPr>
              <w:rPr>
                <w:sz w:val="22"/>
              </w:rPr>
            </w:pPr>
          </w:p>
        </w:tc>
        <w:tc>
          <w:tcPr>
            <w:tcW w:w="850" w:type="dxa"/>
            <w:tcBorders>
              <w:top w:val="single" w:color="000000" w:sz="4" w:space="0"/>
              <w:left w:val="single" w:color="auto" w:sz="4" w:space="0"/>
              <w:bottom w:val="single" w:color="000000" w:sz="4" w:space="0"/>
              <w:right w:val="single" w:color="000000" w:sz="4" w:space="0"/>
            </w:tcBorders>
          </w:tcPr>
          <w:p>
            <w:pPr>
              <w:jc w:val="center"/>
              <w:rPr>
                <w:sz w:val="22"/>
              </w:rPr>
            </w:pPr>
          </w:p>
        </w:tc>
        <w:tc>
          <w:tcPr>
            <w:tcW w:w="1134" w:type="dxa"/>
            <w:tcBorders>
              <w:top w:val="single" w:color="000000" w:sz="4" w:space="0"/>
              <w:left w:val="single" w:color="000000" w:sz="4" w:space="0"/>
              <w:bottom w:val="single" w:color="000000" w:sz="4" w:space="0"/>
              <w:right w:val="single" w:color="000000" w:sz="4" w:space="0"/>
            </w:tcBorders>
          </w:tcPr>
          <w:p>
            <w:pPr>
              <w:jc w:val="center"/>
              <w:rPr>
                <w:sz w:val="22"/>
              </w:rPr>
            </w:pPr>
            <w:r>
              <w:rPr>
                <w:rFonts w:hint="eastAsia"/>
                <w:sz w:val="22"/>
              </w:rPr>
              <w:t>/</w:t>
            </w:r>
          </w:p>
        </w:tc>
      </w:tr>
      <w:tr>
        <w:tblPrEx>
          <w:tblCellMar>
            <w:top w:w="0" w:type="dxa"/>
            <w:left w:w="0" w:type="dxa"/>
            <w:bottom w:w="0" w:type="dxa"/>
            <w:right w:w="0" w:type="dxa"/>
          </w:tblCellMar>
        </w:tblPrEx>
        <w:trPr>
          <w:trHeight w:val="691" w:hRule="exact"/>
        </w:trPr>
        <w:tc>
          <w:tcPr>
            <w:tcW w:w="773" w:type="dxa"/>
            <w:tcBorders>
              <w:top w:val="single" w:color="000000" w:sz="4" w:space="0"/>
              <w:left w:val="single" w:color="000000" w:sz="4" w:space="0"/>
              <w:bottom w:val="single" w:color="000000" w:sz="4" w:space="0"/>
              <w:right w:val="single" w:color="000000" w:sz="4" w:space="0"/>
            </w:tcBorders>
            <w:vAlign w:val="center"/>
          </w:tcPr>
          <w:p>
            <w:pPr>
              <w:pStyle w:val="280"/>
              <w:ind w:right="43"/>
              <w:jc w:val="center"/>
              <w:rPr>
                <w:rFonts w:ascii="Arial"/>
                <w:sz w:val="21"/>
              </w:rPr>
            </w:pPr>
            <w:r>
              <w:rPr>
                <w:rFonts w:hint="eastAsia" w:ascii="Arial"/>
                <w:sz w:val="21"/>
              </w:rPr>
              <w:t>2</w:t>
            </w:r>
            <w:r>
              <w:rPr>
                <w:rFonts w:ascii="Arial"/>
                <w:sz w:val="21"/>
              </w:rPr>
              <w:t>.1</w:t>
            </w:r>
          </w:p>
        </w:tc>
        <w:tc>
          <w:tcPr>
            <w:tcW w:w="2673" w:type="dxa"/>
            <w:tcBorders>
              <w:top w:val="single" w:color="000000" w:sz="4" w:space="0"/>
              <w:left w:val="single" w:color="000000" w:sz="4" w:space="0"/>
              <w:bottom w:val="single" w:color="000000" w:sz="4" w:space="0"/>
              <w:right w:val="single" w:color="000000" w:sz="4" w:space="0"/>
            </w:tcBorders>
            <w:vAlign w:val="center"/>
          </w:tcPr>
          <w:p>
            <w:pPr>
              <w:pStyle w:val="280"/>
              <w:ind w:right="43" w:firstLine="210" w:firstLineChars="100"/>
              <w:jc w:val="both"/>
              <w:rPr>
                <w:rFonts w:ascii="宋体" w:hAnsi="宋体" w:cs="宋体"/>
                <w:sz w:val="21"/>
                <w:szCs w:val="21"/>
              </w:rPr>
            </w:pPr>
            <w:r>
              <w:rPr>
                <w:rFonts w:hint="eastAsia" w:ascii="宋体" w:hAnsi="宋体" w:cs="宋体"/>
                <w:sz w:val="21"/>
                <w:szCs w:val="21"/>
                <w:lang w:eastAsia="zh-CN"/>
              </w:rPr>
              <w:t>其中：单价</w:t>
            </w:r>
            <w:r>
              <w:rPr>
                <w:rFonts w:hint="eastAsia" w:ascii="Arial"/>
                <w:sz w:val="21"/>
              </w:rPr>
              <w:t>措施</w:t>
            </w:r>
            <w:r>
              <w:rPr>
                <w:rFonts w:hint="eastAsia" w:ascii="宋体" w:hAnsi="宋体" w:cs="宋体"/>
                <w:sz w:val="21"/>
                <w:szCs w:val="21"/>
                <w:lang w:eastAsia="zh-CN"/>
              </w:rPr>
              <w:t>项目</w:t>
            </w:r>
          </w:p>
        </w:tc>
        <w:tc>
          <w:tcPr>
            <w:tcW w:w="992" w:type="dxa"/>
            <w:tcBorders>
              <w:top w:val="single" w:color="000000" w:sz="4" w:space="0"/>
              <w:left w:val="single" w:color="000000" w:sz="4" w:space="0"/>
              <w:bottom w:val="single" w:color="000000" w:sz="4" w:space="0"/>
              <w:right w:val="single" w:color="000000" w:sz="4" w:space="0"/>
            </w:tcBorders>
          </w:tcPr>
          <w:p>
            <w:pPr>
              <w:rPr>
                <w:sz w:val="22"/>
              </w:rPr>
            </w:pPr>
          </w:p>
        </w:tc>
        <w:tc>
          <w:tcPr>
            <w:tcW w:w="851" w:type="dxa"/>
            <w:tcBorders>
              <w:top w:val="single" w:color="000000" w:sz="4" w:space="0"/>
              <w:left w:val="single" w:color="000000" w:sz="4" w:space="0"/>
              <w:bottom w:val="single" w:color="000000" w:sz="4" w:space="0"/>
              <w:right w:val="single" w:color="000000" w:sz="4" w:space="0"/>
            </w:tcBorders>
          </w:tcPr>
          <w:p>
            <w:pPr>
              <w:rPr>
                <w:sz w:val="22"/>
              </w:rPr>
            </w:pPr>
          </w:p>
        </w:tc>
        <w:tc>
          <w:tcPr>
            <w:tcW w:w="1276" w:type="dxa"/>
            <w:tcBorders>
              <w:top w:val="single" w:color="000000" w:sz="4" w:space="0"/>
              <w:left w:val="single" w:color="000000" w:sz="4" w:space="0"/>
              <w:bottom w:val="single" w:color="000000" w:sz="4" w:space="0"/>
              <w:right w:val="single" w:color="auto" w:sz="4" w:space="0"/>
            </w:tcBorders>
          </w:tcPr>
          <w:p>
            <w:pPr>
              <w:rPr>
                <w:sz w:val="22"/>
              </w:rPr>
            </w:pPr>
          </w:p>
        </w:tc>
        <w:tc>
          <w:tcPr>
            <w:tcW w:w="850" w:type="dxa"/>
            <w:tcBorders>
              <w:top w:val="single" w:color="000000" w:sz="4" w:space="0"/>
              <w:left w:val="single" w:color="auto" w:sz="4" w:space="0"/>
              <w:bottom w:val="single" w:color="000000" w:sz="4" w:space="0"/>
              <w:right w:val="single" w:color="000000" w:sz="4" w:space="0"/>
            </w:tcBorders>
          </w:tcPr>
          <w:p>
            <w:pPr>
              <w:jc w:val="center"/>
              <w:rPr>
                <w:sz w:val="22"/>
              </w:rPr>
            </w:pPr>
          </w:p>
        </w:tc>
        <w:tc>
          <w:tcPr>
            <w:tcW w:w="1134" w:type="dxa"/>
            <w:tcBorders>
              <w:top w:val="single" w:color="000000" w:sz="4" w:space="0"/>
              <w:left w:val="single" w:color="000000" w:sz="4" w:space="0"/>
              <w:bottom w:val="single" w:color="000000" w:sz="4" w:space="0"/>
              <w:right w:val="single" w:color="000000" w:sz="4" w:space="0"/>
            </w:tcBorders>
          </w:tcPr>
          <w:p>
            <w:pPr>
              <w:jc w:val="center"/>
              <w:rPr>
                <w:sz w:val="22"/>
              </w:rPr>
            </w:pPr>
            <w:r>
              <w:rPr>
                <w:rFonts w:hint="eastAsia"/>
                <w:sz w:val="22"/>
              </w:rPr>
              <w:t>/</w:t>
            </w:r>
          </w:p>
        </w:tc>
      </w:tr>
      <w:tr>
        <w:tblPrEx>
          <w:tblCellMar>
            <w:top w:w="0" w:type="dxa"/>
            <w:left w:w="0" w:type="dxa"/>
            <w:bottom w:w="0" w:type="dxa"/>
            <w:right w:w="0" w:type="dxa"/>
          </w:tblCellMar>
        </w:tblPrEx>
        <w:trPr>
          <w:trHeight w:val="689" w:hRule="exact"/>
        </w:trPr>
        <w:tc>
          <w:tcPr>
            <w:tcW w:w="773" w:type="dxa"/>
            <w:tcBorders>
              <w:top w:val="single" w:color="000000" w:sz="4" w:space="0"/>
              <w:left w:val="single" w:color="000000" w:sz="4" w:space="0"/>
              <w:bottom w:val="single" w:color="000000" w:sz="4" w:space="0"/>
              <w:right w:val="single" w:color="000000" w:sz="4" w:space="0"/>
            </w:tcBorders>
            <w:vAlign w:val="center"/>
          </w:tcPr>
          <w:p>
            <w:pPr>
              <w:pStyle w:val="280"/>
              <w:ind w:right="43"/>
              <w:jc w:val="center"/>
              <w:rPr>
                <w:rFonts w:ascii="Arial"/>
                <w:sz w:val="21"/>
              </w:rPr>
            </w:pPr>
            <w:r>
              <w:rPr>
                <w:rFonts w:ascii="Arial"/>
                <w:sz w:val="21"/>
              </w:rPr>
              <w:t>2.2</w:t>
            </w:r>
          </w:p>
        </w:tc>
        <w:tc>
          <w:tcPr>
            <w:tcW w:w="2673" w:type="dxa"/>
            <w:tcBorders>
              <w:top w:val="single" w:color="000000" w:sz="4" w:space="0"/>
              <w:left w:val="single" w:color="000000" w:sz="4" w:space="0"/>
              <w:bottom w:val="single" w:color="000000" w:sz="4" w:space="0"/>
              <w:right w:val="single" w:color="000000" w:sz="4" w:space="0"/>
            </w:tcBorders>
            <w:vAlign w:val="center"/>
          </w:tcPr>
          <w:p>
            <w:pPr>
              <w:pStyle w:val="280"/>
              <w:ind w:right="43" w:firstLine="210" w:firstLineChars="100"/>
              <w:jc w:val="both"/>
              <w:rPr>
                <w:rFonts w:ascii="Arial"/>
                <w:sz w:val="21"/>
                <w:lang w:eastAsia="zh-CN"/>
              </w:rPr>
            </w:pPr>
            <w:r>
              <w:rPr>
                <w:rFonts w:ascii="Arial"/>
                <w:sz w:val="21"/>
                <w:lang w:eastAsia="zh-CN"/>
              </w:rPr>
              <w:t>其中：安全文明施工费</w:t>
            </w:r>
          </w:p>
        </w:tc>
        <w:tc>
          <w:tcPr>
            <w:tcW w:w="992" w:type="dxa"/>
            <w:tcBorders>
              <w:top w:val="single" w:color="000000" w:sz="4" w:space="0"/>
              <w:left w:val="single" w:color="000000" w:sz="4" w:space="0"/>
              <w:bottom w:val="single" w:color="000000" w:sz="4" w:space="0"/>
              <w:right w:val="single" w:color="000000" w:sz="4" w:space="0"/>
            </w:tcBorders>
          </w:tcPr>
          <w:p>
            <w:pPr>
              <w:rPr>
                <w:sz w:val="22"/>
              </w:rPr>
            </w:pPr>
          </w:p>
        </w:tc>
        <w:tc>
          <w:tcPr>
            <w:tcW w:w="851" w:type="dxa"/>
            <w:tcBorders>
              <w:top w:val="single" w:color="000000" w:sz="4" w:space="0"/>
              <w:left w:val="single" w:color="000000" w:sz="4" w:space="0"/>
              <w:bottom w:val="single" w:color="000000" w:sz="4" w:space="0"/>
              <w:right w:val="single" w:color="000000" w:sz="4" w:space="0"/>
            </w:tcBorders>
          </w:tcPr>
          <w:p>
            <w:pPr>
              <w:rPr>
                <w:sz w:val="22"/>
              </w:rPr>
            </w:pPr>
          </w:p>
        </w:tc>
        <w:tc>
          <w:tcPr>
            <w:tcW w:w="1276" w:type="dxa"/>
            <w:tcBorders>
              <w:top w:val="single" w:color="000000" w:sz="4" w:space="0"/>
              <w:left w:val="single" w:color="000000" w:sz="4" w:space="0"/>
              <w:bottom w:val="single" w:color="000000" w:sz="4" w:space="0"/>
              <w:right w:val="single" w:color="auto" w:sz="4" w:space="0"/>
            </w:tcBorders>
          </w:tcPr>
          <w:p>
            <w:pPr>
              <w:rPr>
                <w:sz w:val="22"/>
              </w:rPr>
            </w:pPr>
          </w:p>
        </w:tc>
        <w:tc>
          <w:tcPr>
            <w:tcW w:w="850" w:type="dxa"/>
            <w:tcBorders>
              <w:top w:val="single" w:color="000000" w:sz="4" w:space="0"/>
              <w:left w:val="single" w:color="auto" w:sz="4" w:space="0"/>
              <w:bottom w:val="single" w:color="000000" w:sz="4" w:space="0"/>
              <w:right w:val="single" w:color="000000" w:sz="4" w:space="0"/>
            </w:tcBorders>
          </w:tcPr>
          <w:p>
            <w:pPr>
              <w:jc w:val="center"/>
              <w:rPr>
                <w:sz w:val="22"/>
              </w:rPr>
            </w:pPr>
            <w:r>
              <w:rPr>
                <w:rFonts w:hint="eastAsia"/>
                <w:sz w:val="22"/>
              </w:rPr>
              <w:t>/</w:t>
            </w:r>
          </w:p>
        </w:tc>
        <w:tc>
          <w:tcPr>
            <w:tcW w:w="1134" w:type="dxa"/>
            <w:tcBorders>
              <w:top w:val="single" w:color="000000" w:sz="4" w:space="0"/>
              <w:left w:val="single" w:color="000000" w:sz="4" w:space="0"/>
              <w:bottom w:val="single" w:color="000000" w:sz="4" w:space="0"/>
              <w:right w:val="single" w:color="000000" w:sz="4" w:space="0"/>
            </w:tcBorders>
          </w:tcPr>
          <w:p>
            <w:pPr>
              <w:jc w:val="center"/>
              <w:rPr>
                <w:sz w:val="22"/>
              </w:rPr>
            </w:pPr>
            <w:r>
              <w:rPr>
                <w:rFonts w:hint="eastAsia"/>
                <w:sz w:val="22"/>
              </w:rPr>
              <w:t>/</w:t>
            </w:r>
          </w:p>
        </w:tc>
      </w:tr>
      <w:tr>
        <w:tblPrEx>
          <w:tblCellMar>
            <w:top w:w="0" w:type="dxa"/>
            <w:left w:w="0" w:type="dxa"/>
            <w:bottom w:w="0" w:type="dxa"/>
            <w:right w:w="0" w:type="dxa"/>
          </w:tblCellMar>
        </w:tblPrEx>
        <w:trPr>
          <w:trHeight w:val="691" w:hRule="exact"/>
        </w:trPr>
        <w:tc>
          <w:tcPr>
            <w:tcW w:w="773" w:type="dxa"/>
            <w:tcBorders>
              <w:top w:val="single" w:color="000000" w:sz="4" w:space="0"/>
              <w:left w:val="single" w:color="000000" w:sz="4" w:space="0"/>
              <w:bottom w:val="single" w:color="000000" w:sz="4" w:space="0"/>
              <w:right w:val="single" w:color="000000" w:sz="4" w:space="0"/>
            </w:tcBorders>
            <w:vAlign w:val="center"/>
          </w:tcPr>
          <w:p>
            <w:pPr>
              <w:pStyle w:val="280"/>
              <w:ind w:right="43"/>
              <w:jc w:val="center"/>
              <w:rPr>
                <w:rFonts w:ascii="Arial" w:hAnsi="Arial" w:eastAsia="Arial" w:cs="Arial"/>
                <w:sz w:val="21"/>
                <w:szCs w:val="21"/>
              </w:rPr>
            </w:pPr>
            <w:r>
              <w:rPr>
                <w:rFonts w:ascii="Arial"/>
                <w:sz w:val="21"/>
              </w:rPr>
              <w:t>2.3</w:t>
            </w:r>
          </w:p>
        </w:tc>
        <w:tc>
          <w:tcPr>
            <w:tcW w:w="2673" w:type="dxa"/>
            <w:tcBorders>
              <w:top w:val="single" w:color="000000" w:sz="4" w:space="0"/>
              <w:left w:val="single" w:color="000000" w:sz="4" w:space="0"/>
              <w:bottom w:val="single" w:color="000000" w:sz="4" w:space="0"/>
              <w:right w:val="single" w:color="000000" w:sz="4" w:space="0"/>
            </w:tcBorders>
            <w:vAlign w:val="center"/>
          </w:tcPr>
          <w:p>
            <w:pPr>
              <w:pStyle w:val="280"/>
              <w:ind w:right="43" w:firstLine="210" w:firstLineChars="100"/>
              <w:jc w:val="both"/>
              <w:rPr>
                <w:rFonts w:ascii="宋体" w:hAnsi="宋体" w:cs="宋体"/>
                <w:sz w:val="21"/>
                <w:szCs w:val="21"/>
                <w:lang w:eastAsia="zh-CN"/>
              </w:rPr>
            </w:pPr>
            <w:r>
              <w:rPr>
                <w:rFonts w:ascii="Arial"/>
                <w:sz w:val="21"/>
                <w:lang w:eastAsia="zh-CN"/>
              </w:rPr>
              <w:t>其中</w:t>
            </w:r>
            <w:r>
              <w:rPr>
                <w:rFonts w:ascii="宋体" w:hAnsi="宋体" w:cs="宋体"/>
                <w:spacing w:val="-2"/>
                <w:sz w:val="21"/>
                <w:szCs w:val="21"/>
                <w:lang w:eastAsia="zh-CN"/>
              </w:rPr>
              <w:t>：施工垃圾场外运输和</w:t>
            </w:r>
            <w:r>
              <w:rPr>
                <w:rFonts w:ascii="宋体" w:hAnsi="宋体" w:cs="宋体"/>
                <w:spacing w:val="-82"/>
                <w:sz w:val="21"/>
                <w:szCs w:val="21"/>
                <w:lang w:eastAsia="zh-CN"/>
              </w:rPr>
              <w:t xml:space="preserve"> </w:t>
            </w:r>
            <w:r>
              <w:rPr>
                <w:rFonts w:ascii="宋体" w:hAnsi="宋体" w:cs="宋体"/>
                <w:sz w:val="21"/>
                <w:szCs w:val="21"/>
                <w:lang w:eastAsia="zh-CN"/>
              </w:rPr>
              <w:t>消纳费</w:t>
            </w:r>
          </w:p>
        </w:tc>
        <w:tc>
          <w:tcPr>
            <w:tcW w:w="992" w:type="dxa"/>
            <w:tcBorders>
              <w:top w:val="single" w:color="000000" w:sz="4" w:space="0"/>
              <w:left w:val="single" w:color="000000" w:sz="4" w:space="0"/>
              <w:bottom w:val="single" w:color="000000" w:sz="4" w:space="0"/>
              <w:right w:val="single" w:color="000000" w:sz="4" w:space="0"/>
            </w:tcBorders>
          </w:tcPr>
          <w:p>
            <w:pPr>
              <w:rPr>
                <w:sz w:val="22"/>
              </w:rPr>
            </w:pPr>
          </w:p>
        </w:tc>
        <w:tc>
          <w:tcPr>
            <w:tcW w:w="851" w:type="dxa"/>
            <w:tcBorders>
              <w:top w:val="single" w:color="000000" w:sz="4" w:space="0"/>
              <w:left w:val="single" w:color="000000" w:sz="4" w:space="0"/>
              <w:bottom w:val="single" w:color="000000" w:sz="4" w:space="0"/>
              <w:right w:val="single" w:color="000000" w:sz="4" w:space="0"/>
            </w:tcBorders>
          </w:tcPr>
          <w:p>
            <w:pPr>
              <w:rPr>
                <w:sz w:val="22"/>
              </w:rPr>
            </w:pPr>
          </w:p>
        </w:tc>
        <w:tc>
          <w:tcPr>
            <w:tcW w:w="1276" w:type="dxa"/>
            <w:tcBorders>
              <w:top w:val="single" w:color="000000" w:sz="4" w:space="0"/>
              <w:left w:val="single" w:color="000000" w:sz="4" w:space="0"/>
              <w:bottom w:val="single" w:color="000000" w:sz="4" w:space="0"/>
              <w:right w:val="single" w:color="auto" w:sz="4" w:space="0"/>
            </w:tcBorders>
          </w:tcPr>
          <w:p>
            <w:pPr>
              <w:rPr>
                <w:sz w:val="22"/>
              </w:rPr>
            </w:pPr>
          </w:p>
        </w:tc>
        <w:tc>
          <w:tcPr>
            <w:tcW w:w="850" w:type="dxa"/>
            <w:tcBorders>
              <w:top w:val="single" w:color="000000" w:sz="4" w:space="0"/>
              <w:left w:val="single" w:color="auto" w:sz="4" w:space="0"/>
              <w:bottom w:val="single" w:color="000000" w:sz="4" w:space="0"/>
              <w:right w:val="single" w:color="000000" w:sz="4" w:space="0"/>
            </w:tcBorders>
          </w:tcPr>
          <w:p>
            <w:pPr>
              <w:jc w:val="center"/>
              <w:rPr>
                <w:sz w:val="22"/>
              </w:rPr>
            </w:pPr>
            <w:r>
              <w:rPr>
                <w:rFonts w:hint="eastAsia"/>
                <w:sz w:val="22"/>
              </w:rPr>
              <w:t>/</w:t>
            </w:r>
          </w:p>
        </w:tc>
        <w:tc>
          <w:tcPr>
            <w:tcW w:w="1134" w:type="dxa"/>
            <w:tcBorders>
              <w:top w:val="single" w:color="000000" w:sz="4" w:space="0"/>
              <w:left w:val="single" w:color="000000" w:sz="4" w:space="0"/>
              <w:bottom w:val="single" w:color="000000" w:sz="4" w:space="0"/>
              <w:right w:val="single" w:color="000000" w:sz="4" w:space="0"/>
            </w:tcBorders>
          </w:tcPr>
          <w:p>
            <w:pPr>
              <w:jc w:val="center"/>
              <w:rPr>
                <w:sz w:val="22"/>
              </w:rPr>
            </w:pPr>
            <w:r>
              <w:rPr>
                <w:rFonts w:hint="eastAsia"/>
                <w:sz w:val="22"/>
              </w:rPr>
              <w:t>/</w:t>
            </w:r>
          </w:p>
        </w:tc>
      </w:tr>
      <w:tr>
        <w:tblPrEx>
          <w:tblCellMar>
            <w:top w:w="0" w:type="dxa"/>
            <w:left w:w="0" w:type="dxa"/>
            <w:bottom w:w="0" w:type="dxa"/>
            <w:right w:w="0" w:type="dxa"/>
          </w:tblCellMar>
        </w:tblPrEx>
        <w:trPr>
          <w:trHeight w:val="689" w:hRule="exact"/>
        </w:trPr>
        <w:tc>
          <w:tcPr>
            <w:tcW w:w="773" w:type="dxa"/>
            <w:tcBorders>
              <w:top w:val="single" w:color="000000" w:sz="4" w:space="0"/>
              <w:left w:val="single" w:color="000000" w:sz="4" w:space="0"/>
              <w:bottom w:val="single" w:color="000000" w:sz="4" w:space="0"/>
              <w:right w:val="single" w:color="000000" w:sz="4" w:space="0"/>
            </w:tcBorders>
            <w:vAlign w:val="center"/>
          </w:tcPr>
          <w:p>
            <w:pPr>
              <w:pStyle w:val="280"/>
              <w:ind w:right="43"/>
              <w:jc w:val="center"/>
              <w:rPr>
                <w:rFonts w:ascii="Arial" w:hAnsi="Arial" w:eastAsia="Arial" w:cs="Arial"/>
                <w:sz w:val="21"/>
                <w:szCs w:val="21"/>
              </w:rPr>
            </w:pPr>
            <w:r>
              <w:rPr>
                <w:rFonts w:ascii="Arial"/>
                <w:sz w:val="21"/>
              </w:rPr>
              <w:t>3</w:t>
            </w:r>
          </w:p>
        </w:tc>
        <w:tc>
          <w:tcPr>
            <w:tcW w:w="2673" w:type="dxa"/>
            <w:tcBorders>
              <w:top w:val="single" w:color="000000" w:sz="4" w:space="0"/>
              <w:left w:val="single" w:color="000000" w:sz="4" w:space="0"/>
              <w:bottom w:val="single" w:color="000000" w:sz="4" w:space="0"/>
              <w:right w:val="single" w:color="000000" w:sz="4" w:space="0"/>
            </w:tcBorders>
            <w:vAlign w:val="center"/>
          </w:tcPr>
          <w:p>
            <w:pPr>
              <w:pStyle w:val="280"/>
              <w:ind w:right="43" w:firstLine="210" w:firstLineChars="100"/>
              <w:jc w:val="both"/>
              <w:rPr>
                <w:rFonts w:ascii="宋体" w:hAnsi="宋体" w:cs="宋体"/>
                <w:sz w:val="21"/>
                <w:szCs w:val="21"/>
              </w:rPr>
            </w:pPr>
            <w:r>
              <w:rPr>
                <w:rFonts w:ascii="Arial"/>
                <w:sz w:val="21"/>
              </w:rPr>
              <w:t>其他项目</w:t>
            </w:r>
          </w:p>
        </w:tc>
        <w:tc>
          <w:tcPr>
            <w:tcW w:w="992" w:type="dxa"/>
            <w:tcBorders>
              <w:top w:val="single" w:color="000000" w:sz="4" w:space="0"/>
              <w:left w:val="single" w:color="000000" w:sz="4" w:space="0"/>
              <w:bottom w:val="single" w:color="000000" w:sz="4" w:space="0"/>
              <w:right w:val="single" w:color="000000" w:sz="4" w:space="0"/>
            </w:tcBorders>
          </w:tcPr>
          <w:p>
            <w:pPr>
              <w:rPr>
                <w:sz w:val="22"/>
              </w:rPr>
            </w:pPr>
          </w:p>
        </w:tc>
        <w:tc>
          <w:tcPr>
            <w:tcW w:w="851" w:type="dxa"/>
            <w:tcBorders>
              <w:top w:val="single" w:color="000000" w:sz="4" w:space="0"/>
              <w:left w:val="single" w:color="000000" w:sz="4" w:space="0"/>
              <w:bottom w:val="single" w:color="000000" w:sz="4" w:space="0"/>
              <w:right w:val="single" w:color="000000" w:sz="4" w:space="0"/>
            </w:tcBorders>
          </w:tcPr>
          <w:p>
            <w:pPr>
              <w:rPr>
                <w:sz w:val="22"/>
              </w:rPr>
            </w:pPr>
          </w:p>
        </w:tc>
        <w:tc>
          <w:tcPr>
            <w:tcW w:w="1276" w:type="dxa"/>
            <w:tcBorders>
              <w:top w:val="single" w:color="000000" w:sz="4" w:space="0"/>
              <w:left w:val="single" w:color="000000" w:sz="4" w:space="0"/>
              <w:bottom w:val="single" w:color="000000" w:sz="4" w:space="0"/>
              <w:right w:val="single" w:color="auto" w:sz="4" w:space="0"/>
            </w:tcBorders>
          </w:tcPr>
          <w:p>
            <w:pPr>
              <w:rPr>
                <w:sz w:val="22"/>
              </w:rPr>
            </w:pPr>
          </w:p>
        </w:tc>
        <w:tc>
          <w:tcPr>
            <w:tcW w:w="850" w:type="dxa"/>
            <w:tcBorders>
              <w:top w:val="single" w:color="000000" w:sz="4" w:space="0"/>
              <w:left w:val="single" w:color="auto" w:sz="4" w:space="0"/>
              <w:bottom w:val="single" w:color="000000" w:sz="4" w:space="0"/>
              <w:right w:val="single" w:color="000000" w:sz="4" w:space="0"/>
            </w:tcBorders>
          </w:tcPr>
          <w:p>
            <w:pPr>
              <w:jc w:val="center"/>
              <w:rPr>
                <w:sz w:val="22"/>
              </w:rPr>
            </w:pPr>
            <w:r>
              <w:rPr>
                <w:rFonts w:hint="eastAsia"/>
                <w:sz w:val="22"/>
              </w:rPr>
              <w:t>/</w:t>
            </w:r>
          </w:p>
        </w:tc>
        <w:tc>
          <w:tcPr>
            <w:tcW w:w="1134" w:type="dxa"/>
            <w:tcBorders>
              <w:top w:val="single" w:color="000000" w:sz="4" w:space="0"/>
              <w:left w:val="single" w:color="000000" w:sz="4" w:space="0"/>
              <w:bottom w:val="single" w:color="000000" w:sz="4" w:space="0"/>
              <w:right w:val="single" w:color="000000" w:sz="4" w:space="0"/>
            </w:tcBorders>
          </w:tcPr>
          <w:p>
            <w:pPr>
              <w:jc w:val="center"/>
              <w:rPr>
                <w:sz w:val="22"/>
              </w:rPr>
            </w:pPr>
            <w:r>
              <w:rPr>
                <w:rFonts w:hint="eastAsia"/>
                <w:sz w:val="22"/>
              </w:rPr>
              <w:t>/</w:t>
            </w:r>
          </w:p>
        </w:tc>
      </w:tr>
      <w:tr>
        <w:tblPrEx>
          <w:tblCellMar>
            <w:top w:w="0" w:type="dxa"/>
            <w:left w:w="0" w:type="dxa"/>
            <w:bottom w:w="0" w:type="dxa"/>
            <w:right w:w="0" w:type="dxa"/>
          </w:tblCellMar>
        </w:tblPrEx>
        <w:trPr>
          <w:trHeight w:val="691" w:hRule="exact"/>
        </w:trPr>
        <w:tc>
          <w:tcPr>
            <w:tcW w:w="773" w:type="dxa"/>
            <w:tcBorders>
              <w:top w:val="single" w:color="000000" w:sz="4" w:space="0"/>
              <w:left w:val="single" w:color="000000" w:sz="4" w:space="0"/>
              <w:bottom w:val="single" w:color="000000" w:sz="4" w:space="0"/>
              <w:right w:val="single" w:color="000000" w:sz="4" w:space="0"/>
            </w:tcBorders>
            <w:vAlign w:val="center"/>
          </w:tcPr>
          <w:p>
            <w:pPr>
              <w:pStyle w:val="280"/>
              <w:ind w:right="43"/>
              <w:jc w:val="center"/>
              <w:rPr>
                <w:rFonts w:ascii="Arial" w:hAnsi="Arial" w:eastAsia="Arial" w:cs="Arial"/>
                <w:sz w:val="21"/>
                <w:szCs w:val="21"/>
              </w:rPr>
            </w:pPr>
            <w:r>
              <w:rPr>
                <w:rFonts w:ascii="Arial"/>
                <w:sz w:val="21"/>
              </w:rPr>
              <w:t>3.1</w:t>
            </w:r>
          </w:p>
        </w:tc>
        <w:tc>
          <w:tcPr>
            <w:tcW w:w="2673" w:type="dxa"/>
            <w:tcBorders>
              <w:top w:val="single" w:color="000000" w:sz="4" w:space="0"/>
              <w:left w:val="single" w:color="000000" w:sz="4" w:space="0"/>
              <w:bottom w:val="single" w:color="000000" w:sz="4" w:space="0"/>
              <w:right w:val="single" w:color="000000" w:sz="4" w:space="0"/>
            </w:tcBorders>
            <w:vAlign w:val="center"/>
          </w:tcPr>
          <w:p>
            <w:pPr>
              <w:pStyle w:val="280"/>
              <w:ind w:right="43" w:firstLine="210" w:firstLineChars="100"/>
              <w:jc w:val="both"/>
              <w:rPr>
                <w:rFonts w:ascii="Arial"/>
                <w:sz w:val="21"/>
                <w:lang w:eastAsia="zh-CN"/>
              </w:rPr>
            </w:pPr>
            <w:r>
              <w:rPr>
                <w:rFonts w:ascii="Arial"/>
                <w:sz w:val="21"/>
                <w:lang w:eastAsia="zh-CN"/>
              </w:rPr>
              <w:t>其中：暂列金额</w:t>
            </w:r>
          </w:p>
          <w:p>
            <w:pPr>
              <w:pStyle w:val="280"/>
              <w:ind w:right="43"/>
              <w:jc w:val="center"/>
              <w:rPr>
                <w:rFonts w:ascii="Arial"/>
                <w:sz w:val="21"/>
                <w:lang w:eastAsia="zh-CN"/>
              </w:rPr>
            </w:pPr>
            <w:r>
              <w:rPr>
                <w:rFonts w:ascii="Arial"/>
                <w:sz w:val="21"/>
                <w:lang w:eastAsia="zh-CN"/>
              </w:rPr>
              <w:t>（不包括计日工）</w:t>
            </w:r>
          </w:p>
        </w:tc>
        <w:tc>
          <w:tcPr>
            <w:tcW w:w="992" w:type="dxa"/>
            <w:tcBorders>
              <w:top w:val="single" w:color="000000" w:sz="4" w:space="0"/>
              <w:left w:val="single" w:color="000000" w:sz="4" w:space="0"/>
              <w:bottom w:val="single" w:color="000000" w:sz="4" w:space="0"/>
              <w:right w:val="single" w:color="000000" w:sz="4" w:space="0"/>
            </w:tcBorders>
          </w:tcPr>
          <w:p>
            <w:pPr>
              <w:rPr>
                <w:sz w:val="22"/>
              </w:rPr>
            </w:pPr>
          </w:p>
        </w:tc>
        <w:tc>
          <w:tcPr>
            <w:tcW w:w="851" w:type="dxa"/>
            <w:tcBorders>
              <w:top w:val="single" w:color="000000" w:sz="4" w:space="0"/>
              <w:left w:val="single" w:color="000000" w:sz="4" w:space="0"/>
              <w:bottom w:val="single" w:color="000000" w:sz="4" w:space="0"/>
              <w:right w:val="single" w:color="000000" w:sz="4" w:space="0"/>
            </w:tcBorders>
          </w:tcPr>
          <w:p>
            <w:pPr>
              <w:rPr>
                <w:sz w:val="22"/>
              </w:rPr>
            </w:pPr>
          </w:p>
        </w:tc>
        <w:tc>
          <w:tcPr>
            <w:tcW w:w="1276" w:type="dxa"/>
            <w:tcBorders>
              <w:top w:val="single" w:color="000000" w:sz="4" w:space="0"/>
              <w:left w:val="single" w:color="000000" w:sz="4" w:space="0"/>
              <w:bottom w:val="single" w:color="000000" w:sz="4" w:space="0"/>
              <w:right w:val="single" w:color="auto" w:sz="4" w:space="0"/>
            </w:tcBorders>
          </w:tcPr>
          <w:p>
            <w:pPr>
              <w:rPr>
                <w:sz w:val="22"/>
              </w:rPr>
            </w:pPr>
          </w:p>
        </w:tc>
        <w:tc>
          <w:tcPr>
            <w:tcW w:w="850" w:type="dxa"/>
            <w:tcBorders>
              <w:top w:val="single" w:color="000000" w:sz="4" w:space="0"/>
              <w:left w:val="single" w:color="auto" w:sz="4" w:space="0"/>
              <w:bottom w:val="single" w:color="000000" w:sz="4" w:space="0"/>
              <w:right w:val="single" w:color="000000" w:sz="4" w:space="0"/>
            </w:tcBorders>
          </w:tcPr>
          <w:p>
            <w:pPr>
              <w:jc w:val="center"/>
              <w:rPr>
                <w:sz w:val="22"/>
              </w:rPr>
            </w:pPr>
            <w:r>
              <w:rPr>
                <w:rFonts w:hint="eastAsia"/>
                <w:sz w:val="22"/>
              </w:rPr>
              <w:t>/</w:t>
            </w:r>
          </w:p>
        </w:tc>
        <w:tc>
          <w:tcPr>
            <w:tcW w:w="1134" w:type="dxa"/>
            <w:tcBorders>
              <w:top w:val="single" w:color="000000" w:sz="4" w:space="0"/>
              <w:left w:val="single" w:color="000000" w:sz="4" w:space="0"/>
              <w:bottom w:val="single" w:color="000000" w:sz="4" w:space="0"/>
              <w:right w:val="single" w:color="000000" w:sz="4" w:space="0"/>
            </w:tcBorders>
          </w:tcPr>
          <w:p>
            <w:pPr>
              <w:jc w:val="center"/>
              <w:rPr>
                <w:sz w:val="22"/>
              </w:rPr>
            </w:pPr>
            <w:r>
              <w:rPr>
                <w:rFonts w:hint="eastAsia"/>
                <w:sz w:val="22"/>
              </w:rPr>
              <w:t>/</w:t>
            </w:r>
          </w:p>
        </w:tc>
      </w:tr>
      <w:tr>
        <w:tblPrEx>
          <w:tblCellMar>
            <w:top w:w="0" w:type="dxa"/>
            <w:left w:w="0" w:type="dxa"/>
            <w:bottom w:w="0" w:type="dxa"/>
            <w:right w:w="0" w:type="dxa"/>
          </w:tblCellMar>
        </w:tblPrEx>
        <w:trPr>
          <w:trHeight w:val="910" w:hRule="exact"/>
        </w:trPr>
        <w:tc>
          <w:tcPr>
            <w:tcW w:w="773" w:type="dxa"/>
            <w:tcBorders>
              <w:top w:val="single" w:color="000000" w:sz="4" w:space="0"/>
              <w:left w:val="single" w:color="000000" w:sz="4" w:space="0"/>
              <w:bottom w:val="single" w:color="000000" w:sz="4" w:space="0"/>
              <w:right w:val="single" w:color="000000" w:sz="4" w:space="0"/>
            </w:tcBorders>
            <w:vAlign w:val="center"/>
          </w:tcPr>
          <w:p>
            <w:pPr>
              <w:pStyle w:val="280"/>
              <w:ind w:right="43"/>
              <w:jc w:val="center"/>
              <w:rPr>
                <w:rFonts w:ascii="Arial" w:hAnsi="Arial" w:eastAsia="Arial" w:cs="Arial"/>
                <w:sz w:val="21"/>
                <w:szCs w:val="21"/>
              </w:rPr>
            </w:pPr>
            <w:r>
              <w:rPr>
                <w:rFonts w:ascii="Arial"/>
                <w:sz w:val="21"/>
              </w:rPr>
              <w:t>3.2</w:t>
            </w:r>
          </w:p>
        </w:tc>
        <w:tc>
          <w:tcPr>
            <w:tcW w:w="2673" w:type="dxa"/>
            <w:tcBorders>
              <w:top w:val="single" w:color="000000" w:sz="4" w:space="0"/>
              <w:left w:val="single" w:color="000000" w:sz="4" w:space="0"/>
              <w:bottom w:val="single" w:color="000000" w:sz="4" w:space="0"/>
              <w:right w:val="single" w:color="000000" w:sz="4" w:space="0"/>
            </w:tcBorders>
            <w:vAlign w:val="center"/>
          </w:tcPr>
          <w:p>
            <w:pPr>
              <w:pStyle w:val="280"/>
              <w:ind w:right="43" w:firstLine="210" w:firstLineChars="100"/>
              <w:jc w:val="both"/>
              <w:rPr>
                <w:rFonts w:ascii="宋体" w:hAnsi="宋体" w:cs="宋体"/>
                <w:sz w:val="21"/>
                <w:szCs w:val="21"/>
                <w:lang w:eastAsia="zh-CN"/>
              </w:rPr>
            </w:pPr>
            <w:r>
              <w:rPr>
                <w:rFonts w:ascii="Arial"/>
                <w:sz w:val="21"/>
                <w:lang w:eastAsia="zh-CN"/>
              </w:rPr>
              <w:t>其中</w:t>
            </w:r>
            <w:r>
              <w:rPr>
                <w:rFonts w:ascii="宋体" w:hAnsi="宋体" w:cs="宋体"/>
                <w:sz w:val="21"/>
                <w:szCs w:val="21"/>
                <w:lang w:eastAsia="zh-CN"/>
              </w:rPr>
              <w:t>：专业工程暂估价</w:t>
            </w:r>
          </w:p>
        </w:tc>
        <w:tc>
          <w:tcPr>
            <w:tcW w:w="992" w:type="dxa"/>
            <w:tcBorders>
              <w:top w:val="single" w:color="000000" w:sz="4" w:space="0"/>
              <w:left w:val="single" w:color="000000" w:sz="4" w:space="0"/>
              <w:bottom w:val="single" w:color="000000" w:sz="4" w:space="0"/>
              <w:right w:val="single" w:color="000000" w:sz="4" w:space="0"/>
            </w:tcBorders>
          </w:tcPr>
          <w:p>
            <w:pPr>
              <w:rPr>
                <w:sz w:val="22"/>
              </w:rPr>
            </w:pPr>
          </w:p>
        </w:tc>
        <w:tc>
          <w:tcPr>
            <w:tcW w:w="851" w:type="dxa"/>
            <w:tcBorders>
              <w:top w:val="single" w:color="000000" w:sz="4" w:space="0"/>
              <w:left w:val="single" w:color="000000" w:sz="4" w:space="0"/>
              <w:bottom w:val="single" w:color="000000" w:sz="4" w:space="0"/>
              <w:right w:val="single" w:color="000000" w:sz="4" w:space="0"/>
            </w:tcBorders>
          </w:tcPr>
          <w:p>
            <w:pPr>
              <w:rPr>
                <w:sz w:val="22"/>
              </w:rPr>
            </w:pPr>
          </w:p>
        </w:tc>
        <w:tc>
          <w:tcPr>
            <w:tcW w:w="1276" w:type="dxa"/>
            <w:tcBorders>
              <w:top w:val="single" w:color="000000" w:sz="4" w:space="0"/>
              <w:left w:val="single" w:color="000000" w:sz="4" w:space="0"/>
              <w:bottom w:val="single" w:color="000000" w:sz="4" w:space="0"/>
              <w:right w:val="single" w:color="auto" w:sz="4" w:space="0"/>
            </w:tcBorders>
          </w:tcPr>
          <w:p>
            <w:pPr>
              <w:rPr>
                <w:sz w:val="22"/>
              </w:rPr>
            </w:pPr>
          </w:p>
        </w:tc>
        <w:tc>
          <w:tcPr>
            <w:tcW w:w="850" w:type="dxa"/>
            <w:tcBorders>
              <w:top w:val="single" w:color="000000" w:sz="4" w:space="0"/>
              <w:left w:val="single" w:color="auto" w:sz="4" w:space="0"/>
              <w:bottom w:val="single" w:color="000000" w:sz="4" w:space="0"/>
              <w:right w:val="single" w:color="000000" w:sz="4" w:space="0"/>
            </w:tcBorders>
          </w:tcPr>
          <w:p>
            <w:pPr>
              <w:jc w:val="center"/>
              <w:rPr>
                <w:sz w:val="22"/>
              </w:rPr>
            </w:pPr>
            <w:r>
              <w:rPr>
                <w:rFonts w:hint="eastAsia"/>
                <w:sz w:val="22"/>
              </w:rPr>
              <w:t>/</w:t>
            </w:r>
          </w:p>
        </w:tc>
        <w:tc>
          <w:tcPr>
            <w:tcW w:w="1134" w:type="dxa"/>
            <w:tcBorders>
              <w:top w:val="single" w:color="000000" w:sz="4" w:space="0"/>
              <w:left w:val="single" w:color="000000" w:sz="4" w:space="0"/>
              <w:bottom w:val="single" w:color="000000" w:sz="4" w:space="0"/>
              <w:right w:val="single" w:color="000000" w:sz="4" w:space="0"/>
            </w:tcBorders>
          </w:tcPr>
          <w:p>
            <w:pPr>
              <w:jc w:val="center"/>
              <w:rPr>
                <w:sz w:val="22"/>
              </w:rPr>
            </w:pPr>
            <w:r>
              <w:rPr>
                <w:rFonts w:hint="eastAsia"/>
                <w:sz w:val="22"/>
              </w:rPr>
              <w:t>/</w:t>
            </w:r>
          </w:p>
        </w:tc>
      </w:tr>
      <w:tr>
        <w:tblPrEx>
          <w:tblCellMar>
            <w:top w:w="0" w:type="dxa"/>
            <w:left w:w="0" w:type="dxa"/>
            <w:bottom w:w="0" w:type="dxa"/>
            <w:right w:w="0" w:type="dxa"/>
          </w:tblCellMar>
        </w:tblPrEx>
        <w:trPr>
          <w:trHeight w:val="691" w:hRule="exact"/>
        </w:trPr>
        <w:tc>
          <w:tcPr>
            <w:tcW w:w="773" w:type="dxa"/>
            <w:tcBorders>
              <w:top w:val="single" w:color="000000" w:sz="4" w:space="0"/>
              <w:left w:val="single" w:color="000000" w:sz="4" w:space="0"/>
              <w:bottom w:val="single" w:color="000000" w:sz="4" w:space="0"/>
              <w:right w:val="single" w:color="000000" w:sz="4" w:space="0"/>
            </w:tcBorders>
            <w:vAlign w:val="center"/>
          </w:tcPr>
          <w:p>
            <w:pPr>
              <w:pStyle w:val="280"/>
              <w:ind w:right="43"/>
              <w:jc w:val="center"/>
              <w:rPr>
                <w:rFonts w:ascii="Arial" w:hAnsi="Arial" w:eastAsia="Arial" w:cs="Arial"/>
                <w:sz w:val="21"/>
                <w:szCs w:val="21"/>
              </w:rPr>
            </w:pPr>
            <w:r>
              <w:rPr>
                <w:rFonts w:ascii="Arial"/>
                <w:sz w:val="21"/>
              </w:rPr>
              <w:t>3.3</w:t>
            </w:r>
          </w:p>
        </w:tc>
        <w:tc>
          <w:tcPr>
            <w:tcW w:w="2673" w:type="dxa"/>
            <w:tcBorders>
              <w:top w:val="single" w:color="000000" w:sz="4" w:space="0"/>
              <w:left w:val="single" w:color="000000" w:sz="4" w:space="0"/>
              <w:bottom w:val="single" w:color="000000" w:sz="4" w:space="0"/>
              <w:right w:val="single" w:color="000000" w:sz="4" w:space="0"/>
            </w:tcBorders>
            <w:vAlign w:val="center"/>
          </w:tcPr>
          <w:p>
            <w:pPr>
              <w:pStyle w:val="280"/>
              <w:ind w:right="43" w:firstLine="210" w:firstLineChars="100"/>
              <w:jc w:val="both"/>
              <w:rPr>
                <w:rFonts w:ascii="宋体" w:hAnsi="宋体" w:cs="宋体"/>
                <w:sz w:val="21"/>
                <w:szCs w:val="21"/>
              </w:rPr>
            </w:pPr>
            <w:r>
              <w:rPr>
                <w:rFonts w:ascii="宋体" w:hAnsi="宋体" w:cs="宋体"/>
                <w:sz w:val="21"/>
                <w:szCs w:val="21"/>
              </w:rPr>
              <w:t>其中：计日工</w:t>
            </w:r>
          </w:p>
        </w:tc>
        <w:tc>
          <w:tcPr>
            <w:tcW w:w="992" w:type="dxa"/>
            <w:tcBorders>
              <w:top w:val="single" w:color="000000" w:sz="4" w:space="0"/>
              <w:left w:val="single" w:color="000000" w:sz="4" w:space="0"/>
              <w:bottom w:val="single" w:color="000000" w:sz="4" w:space="0"/>
              <w:right w:val="single" w:color="000000" w:sz="4" w:space="0"/>
            </w:tcBorders>
          </w:tcPr>
          <w:p>
            <w:pPr>
              <w:rPr>
                <w:sz w:val="22"/>
              </w:rPr>
            </w:pPr>
          </w:p>
        </w:tc>
        <w:tc>
          <w:tcPr>
            <w:tcW w:w="851" w:type="dxa"/>
            <w:tcBorders>
              <w:top w:val="single" w:color="000000" w:sz="4" w:space="0"/>
              <w:left w:val="single" w:color="000000" w:sz="4" w:space="0"/>
              <w:bottom w:val="single" w:color="000000" w:sz="4" w:space="0"/>
              <w:right w:val="single" w:color="000000" w:sz="4" w:space="0"/>
            </w:tcBorders>
          </w:tcPr>
          <w:p>
            <w:pPr>
              <w:rPr>
                <w:sz w:val="22"/>
              </w:rPr>
            </w:pPr>
          </w:p>
        </w:tc>
        <w:tc>
          <w:tcPr>
            <w:tcW w:w="1276" w:type="dxa"/>
            <w:tcBorders>
              <w:top w:val="single" w:color="000000" w:sz="4" w:space="0"/>
              <w:left w:val="single" w:color="000000" w:sz="4" w:space="0"/>
              <w:bottom w:val="single" w:color="000000" w:sz="4" w:space="0"/>
              <w:right w:val="single" w:color="auto" w:sz="4" w:space="0"/>
            </w:tcBorders>
          </w:tcPr>
          <w:p>
            <w:pPr>
              <w:rPr>
                <w:sz w:val="22"/>
              </w:rPr>
            </w:pPr>
          </w:p>
        </w:tc>
        <w:tc>
          <w:tcPr>
            <w:tcW w:w="850" w:type="dxa"/>
            <w:tcBorders>
              <w:top w:val="single" w:color="000000" w:sz="4" w:space="0"/>
              <w:left w:val="single" w:color="auto" w:sz="4" w:space="0"/>
              <w:bottom w:val="single" w:color="000000" w:sz="4" w:space="0"/>
              <w:right w:val="single" w:color="000000" w:sz="4" w:space="0"/>
            </w:tcBorders>
          </w:tcPr>
          <w:p>
            <w:pPr>
              <w:jc w:val="center"/>
              <w:rPr>
                <w:sz w:val="22"/>
              </w:rPr>
            </w:pPr>
            <w:r>
              <w:rPr>
                <w:rFonts w:hint="eastAsia"/>
                <w:sz w:val="22"/>
              </w:rPr>
              <w:t>/</w:t>
            </w:r>
          </w:p>
        </w:tc>
        <w:tc>
          <w:tcPr>
            <w:tcW w:w="1134" w:type="dxa"/>
            <w:tcBorders>
              <w:top w:val="single" w:color="000000" w:sz="4" w:space="0"/>
              <w:left w:val="single" w:color="000000" w:sz="4" w:space="0"/>
              <w:bottom w:val="single" w:color="000000" w:sz="4" w:space="0"/>
              <w:right w:val="single" w:color="000000" w:sz="4" w:space="0"/>
            </w:tcBorders>
          </w:tcPr>
          <w:p>
            <w:pPr>
              <w:jc w:val="center"/>
              <w:rPr>
                <w:sz w:val="22"/>
              </w:rPr>
            </w:pPr>
            <w:r>
              <w:rPr>
                <w:rFonts w:hint="eastAsia"/>
                <w:sz w:val="22"/>
              </w:rPr>
              <w:t>/</w:t>
            </w:r>
          </w:p>
        </w:tc>
      </w:tr>
      <w:tr>
        <w:tblPrEx>
          <w:tblCellMar>
            <w:top w:w="0" w:type="dxa"/>
            <w:left w:w="0" w:type="dxa"/>
            <w:bottom w:w="0" w:type="dxa"/>
            <w:right w:w="0" w:type="dxa"/>
          </w:tblCellMar>
        </w:tblPrEx>
        <w:trPr>
          <w:trHeight w:val="689" w:hRule="exact"/>
        </w:trPr>
        <w:tc>
          <w:tcPr>
            <w:tcW w:w="773" w:type="dxa"/>
            <w:tcBorders>
              <w:top w:val="single" w:color="000000" w:sz="4" w:space="0"/>
              <w:left w:val="single" w:color="000000" w:sz="4" w:space="0"/>
              <w:bottom w:val="single" w:color="000000" w:sz="4" w:space="0"/>
              <w:right w:val="single" w:color="000000" w:sz="4" w:space="0"/>
            </w:tcBorders>
            <w:vAlign w:val="center"/>
          </w:tcPr>
          <w:p>
            <w:pPr>
              <w:pStyle w:val="280"/>
              <w:ind w:right="43"/>
              <w:jc w:val="center"/>
              <w:rPr>
                <w:rFonts w:ascii="Arial" w:hAnsi="Arial" w:eastAsia="Arial" w:cs="Arial"/>
                <w:sz w:val="21"/>
                <w:szCs w:val="21"/>
              </w:rPr>
            </w:pPr>
            <w:r>
              <w:rPr>
                <w:rFonts w:ascii="Arial"/>
                <w:sz w:val="21"/>
              </w:rPr>
              <w:t>3.4</w:t>
            </w:r>
          </w:p>
        </w:tc>
        <w:tc>
          <w:tcPr>
            <w:tcW w:w="2673" w:type="dxa"/>
            <w:tcBorders>
              <w:top w:val="single" w:color="000000" w:sz="4" w:space="0"/>
              <w:left w:val="single" w:color="000000" w:sz="4" w:space="0"/>
              <w:bottom w:val="single" w:color="000000" w:sz="4" w:space="0"/>
              <w:right w:val="single" w:color="000000" w:sz="4" w:space="0"/>
            </w:tcBorders>
            <w:vAlign w:val="center"/>
          </w:tcPr>
          <w:p>
            <w:pPr>
              <w:pStyle w:val="280"/>
              <w:ind w:right="43" w:firstLine="210" w:firstLineChars="100"/>
              <w:jc w:val="both"/>
              <w:rPr>
                <w:rFonts w:ascii="宋体" w:hAnsi="宋体" w:cs="宋体"/>
                <w:sz w:val="21"/>
                <w:szCs w:val="21"/>
              </w:rPr>
            </w:pPr>
            <w:r>
              <w:rPr>
                <w:rFonts w:ascii="Arial"/>
                <w:sz w:val="21"/>
              </w:rPr>
              <w:t>其中</w:t>
            </w:r>
            <w:r>
              <w:rPr>
                <w:rFonts w:ascii="宋体" w:hAnsi="宋体" w:cs="宋体"/>
                <w:sz w:val="21"/>
                <w:szCs w:val="21"/>
              </w:rPr>
              <w:t>：总承包服务费</w:t>
            </w:r>
          </w:p>
        </w:tc>
        <w:tc>
          <w:tcPr>
            <w:tcW w:w="992" w:type="dxa"/>
            <w:tcBorders>
              <w:top w:val="single" w:color="000000" w:sz="4" w:space="0"/>
              <w:left w:val="single" w:color="000000" w:sz="4" w:space="0"/>
              <w:bottom w:val="single" w:color="000000" w:sz="4" w:space="0"/>
              <w:right w:val="single" w:color="000000" w:sz="4" w:space="0"/>
            </w:tcBorders>
          </w:tcPr>
          <w:p>
            <w:pPr>
              <w:rPr>
                <w:sz w:val="22"/>
              </w:rPr>
            </w:pPr>
          </w:p>
        </w:tc>
        <w:tc>
          <w:tcPr>
            <w:tcW w:w="851" w:type="dxa"/>
            <w:tcBorders>
              <w:top w:val="single" w:color="000000" w:sz="4" w:space="0"/>
              <w:left w:val="single" w:color="000000" w:sz="4" w:space="0"/>
              <w:bottom w:val="single" w:color="000000" w:sz="4" w:space="0"/>
              <w:right w:val="single" w:color="000000" w:sz="4" w:space="0"/>
            </w:tcBorders>
          </w:tcPr>
          <w:p>
            <w:pPr>
              <w:rPr>
                <w:sz w:val="22"/>
              </w:rPr>
            </w:pPr>
          </w:p>
        </w:tc>
        <w:tc>
          <w:tcPr>
            <w:tcW w:w="1276" w:type="dxa"/>
            <w:tcBorders>
              <w:top w:val="single" w:color="000000" w:sz="4" w:space="0"/>
              <w:left w:val="single" w:color="000000" w:sz="4" w:space="0"/>
              <w:bottom w:val="single" w:color="000000" w:sz="4" w:space="0"/>
              <w:right w:val="single" w:color="auto" w:sz="4" w:space="0"/>
            </w:tcBorders>
          </w:tcPr>
          <w:p>
            <w:pPr>
              <w:rPr>
                <w:sz w:val="22"/>
              </w:rPr>
            </w:pPr>
          </w:p>
        </w:tc>
        <w:tc>
          <w:tcPr>
            <w:tcW w:w="850" w:type="dxa"/>
            <w:tcBorders>
              <w:top w:val="single" w:color="000000" w:sz="4" w:space="0"/>
              <w:left w:val="single" w:color="auto" w:sz="4" w:space="0"/>
              <w:bottom w:val="single" w:color="000000" w:sz="4" w:space="0"/>
              <w:right w:val="single" w:color="000000" w:sz="4" w:space="0"/>
            </w:tcBorders>
          </w:tcPr>
          <w:p>
            <w:pPr>
              <w:jc w:val="center"/>
              <w:rPr>
                <w:sz w:val="22"/>
              </w:rPr>
            </w:pPr>
            <w:r>
              <w:rPr>
                <w:rFonts w:hint="eastAsia"/>
                <w:sz w:val="22"/>
              </w:rPr>
              <w:t>/</w:t>
            </w:r>
          </w:p>
        </w:tc>
        <w:tc>
          <w:tcPr>
            <w:tcW w:w="1134" w:type="dxa"/>
            <w:tcBorders>
              <w:top w:val="single" w:color="000000" w:sz="4" w:space="0"/>
              <w:left w:val="single" w:color="000000" w:sz="4" w:space="0"/>
              <w:bottom w:val="single" w:color="000000" w:sz="4" w:space="0"/>
              <w:right w:val="single" w:color="000000" w:sz="4" w:space="0"/>
            </w:tcBorders>
          </w:tcPr>
          <w:p>
            <w:pPr>
              <w:jc w:val="center"/>
              <w:rPr>
                <w:sz w:val="22"/>
              </w:rPr>
            </w:pPr>
            <w:r>
              <w:rPr>
                <w:rFonts w:hint="eastAsia"/>
                <w:sz w:val="22"/>
              </w:rPr>
              <w:t>/</w:t>
            </w:r>
          </w:p>
        </w:tc>
      </w:tr>
      <w:tr>
        <w:tblPrEx>
          <w:tblCellMar>
            <w:top w:w="0" w:type="dxa"/>
            <w:left w:w="0" w:type="dxa"/>
            <w:bottom w:w="0" w:type="dxa"/>
            <w:right w:w="0" w:type="dxa"/>
          </w:tblCellMar>
        </w:tblPrEx>
        <w:trPr>
          <w:trHeight w:val="692" w:hRule="exact"/>
        </w:trPr>
        <w:tc>
          <w:tcPr>
            <w:tcW w:w="773" w:type="dxa"/>
            <w:tcBorders>
              <w:top w:val="single" w:color="000000" w:sz="4" w:space="0"/>
              <w:left w:val="single" w:color="000000" w:sz="4" w:space="0"/>
              <w:bottom w:val="single" w:color="000000" w:sz="4" w:space="0"/>
              <w:right w:val="single" w:color="000000" w:sz="4" w:space="0"/>
            </w:tcBorders>
            <w:vAlign w:val="center"/>
          </w:tcPr>
          <w:p>
            <w:pPr>
              <w:pStyle w:val="280"/>
              <w:ind w:right="43"/>
              <w:jc w:val="center"/>
              <w:rPr>
                <w:rFonts w:ascii="Arial" w:hAnsi="Arial" w:eastAsia="Arial" w:cs="Arial"/>
                <w:sz w:val="21"/>
                <w:szCs w:val="21"/>
              </w:rPr>
            </w:pPr>
            <w:r>
              <w:rPr>
                <w:rFonts w:ascii="Arial"/>
                <w:sz w:val="21"/>
              </w:rPr>
              <w:t>4</w:t>
            </w:r>
          </w:p>
        </w:tc>
        <w:tc>
          <w:tcPr>
            <w:tcW w:w="2673" w:type="dxa"/>
            <w:tcBorders>
              <w:top w:val="single" w:color="000000" w:sz="4" w:space="0"/>
              <w:left w:val="single" w:color="000000" w:sz="4" w:space="0"/>
              <w:bottom w:val="single" w:color="000000" w:sz="4" w:space="0"/>
              <w:right w:val="single" w:color="000000" w:sz="4" w:space="0"/>
            </w:tcBorders>
            <w:vAlign w:val="center"/>
          </w:tcPr>
          <w:p>
            <w:pPr>
              <w:pStyle w:val="280"/>
              <w:ind w:right="43" w:firstLine="210" w:firstLineChars="100"/>
              <w:jc w:val="both"/>
              <w:rPr>
                <w:rFonts w:ascii="宋体" w:hAnsi="宋体" w:cs="宋体"/>
                <w:sz w:val="21"/>
                <w:szCs w:val="21"/>
              </w:rPr>
            </w:pPr>
            <w:r>
              <w:rPr>
                <w:rFonts w:ascii="宋体" w:hAnsi="宋体" w:cs="宋体"/>
                <w:sz w:val="21"/>
                <w:szCs w:val="21"/>
              </w:rPr>
              <w:t>税金</w:t>
            </w:r>
          </w:p>
        </w:tc>
        <w:tc>
          <w:tcPr>
            <w:tcW w:w="992" w:type="dxa"/>
            <w:tcBorders>
              <w:top w:val="single" w:color="000000" w:sz="4" w:space="0"/>
              <w:left w:val="single" w:color="000000" w:sz="4" w:space="0"/>
              <w:bottom w:val="single" w:color="000000" w:sz="4" w:space="0"/>
              <w:right w:val="single" w:color="000000" w:sz="4" w:space="0"/>
            </w:tcBorders>
          </w:tcPr>
          <w:p>
            <w:pPr>
              <w:rPr>
                <w:sz w:val="22"/>
              </w:rPr>
            </w:pPr>
          </w:p>
        </w:tc>
        <w:tc>
          <w:tcPr>
            <w:tcW w:w="851" w:type="dxa"/>
            <w:tcBorders>
              <w:top w:val="single" w:color="000000" w:sz="4" w:space="0"/>
              <w:left w:val="single" w:color="000000" w:sz="4" w:space="0"/>
              <w:bottom w:val="single" w:color="000000" w:sz="4" w:space="0"/>
              <w:right w:val="single" w:color="000000" w:sz="4" w:space="0"/>
            </w:tcBorders>
          </w:tcPr>
          <w:p>
            <w:pPr>
              <w:rPr>
                <w:sz w:val="22"/>
              </w:rPr>
            </w:pPr>
          </w:p>
        </w:tc>
        <w:tc>
          <w:tcPr>
            <w:tcW w:w="1276" w:type="dxa"/>
            <w:tcBorders>
              <w:top w:val="single" w:color="000000" w:sz="4" w:space="0"/>
              <w:left w:val="single" w:color="000000" w:sz="4" w:space="0"/>
              <w:bottom w:val="single" w:color="000000" w:sz="4" w:space="0"/>
              <w:right w:val="single" w:color="auto" w:sz="4" w:space="0"/>
            </w:tcBorders>
          </w:tcPr>
          <w:p>
            <w:pPr>
              <w:rPr>
                <w:sz w:val="22"/>
              </w:rPr>
            </w:pPr>
          </w:p>
        </w:tc>
        <w:tc>
          <w:tcPr>
            <w:tcW w:w="850" w:type="dxa"/>
            <w:tcBorders>
              <w:top w:val="single" w:color="000000" w:sz="4" w:space="0"/>
              <w:left w:val="single" w:color="auto" w:sz="4" w:space="0"/>
              <w:bottom w:val="single" w:color="000000" w:sz="4" w:space="0"/>
              <w:right w:val="single" w:color="000000" w:sz="4" w:space="0"/>
            </w:tcBorders>
          </w:tcPr>
          <w:p>
            <w:pPr>
              <w:jc w:val="center"/>
              <w:rPr>
                <w:sz w:val="22"/>
              </w:rPr>
            </w:pPr>
            <w:r>
              <w:rPr>
                <w:rFonts w:hint="eastAsia"/>
                <w:sz w:val="22"/>
              </w:rPr>
              <w:t>/</w:t>
            </w:r>
          </w:p>
        </w:tc>
        <w:tc>
          <w:tcPr>
            <w:tcW w:w="1134" w:type="dxa"/>
            <w:tcBorders>
              <w:top w:val="single" w:color="000000" w:sz="4" w:space="0"/>
              <w:left w:val="single" w:color="000000" w:sz="4" w:space="0"/>
              <w:bottom w:val="single" w:color="000000" w:sz="4" w:space="0"/>
              <w:right w:val="single" w:color="000000" w:sz="4" w:space="0"/>
            </w:tcBorders>
          </w:tcPr>
          <w:p>
            <w:pPr>
              <w:jc w:val="center"/>
              <w:rPr>
                <w:sz w:val="22"/>
              </w:rPr>
            </w:pPr>
            <w:r>
              <w:rPr>
                <w:rFonts w:hint="eastAsia"/>
                <w:sz w:val="22"/>
              </w:rPr>
              <w:t>/</w:t>
            </w:r>
          </w:p>
        </w:tc>
      </w:tr>
      <w:tr>
        <w:tblPrEx>
          <w:tblCellMar>
            <w:top w:w="0" w:type="dxa"/>
            <w:left w:w="0" w:type="dxa"/>
            <w:bottom w:w="0" w:type="dxa"/>
            <w:right w:w="0" w:type="dxa"/>
          </w:tblCellMar>
        </w:tblPrEx>
        <w:trPr>
          <w:trHeight w:val="689" w:hRule="exact"/>
        </w:trPr>
        <w:tc>
          <w:tcPr>
            <w:tcW w:w="3446" w:type="dxa"/>
            <w:gridSpan w:val="2"/>
            <w:tcBorders>
              <w:top w:val="single" w:color="000000" w:sz="4" w:space="0"/>
              <w:left w:val="single" w:color="000000" w:sz="4" w:space="0"/>
              <w:bottom w:val="single" w:color="000000" w:sz="4" w:space="0"/>
              <w:right w:val="single" w:color="000000" w:sz="4" w:space="0"/>
            </w:tcBorders>
            <w:vAlign w:val="center"/>
          </w:tcPr>
          <w:p>
            <w:pPr>
              <w:pStyle w:val="280"/>
              <w:ind w:right="43" w:firstLine="210" w:firstLineChars="100"/>
              <w:jc w:val="both"/>
              <w:rPr>
                <w:rFonts w:ascii="Arial" w:hAnsi="Arial" w:eastAsia="Arial" w:cs="Arial"/>
                <w:sz w:val="21"/>
                <w:szCs w:val="21"/>
              </w:rPr>
            </w:pPr>
            <w:r>
              <w:rPr>
                <w:rFonts w:ascii="Arial"/>
                <w:sz w:val="21"/>
              </w:rPr>
              <w:t>投标报价合计</w:t>
            </w:r>
            <w:r>
              <w:rPr>
                <w:rFonts w:ascii="Arial" w:hAnsi="Arial" w:eastAsia="Arial" w:cs="Arial"/>
                <w:sz w:val="21"/>
                <w:szCs w:val="21"/>
              </w:rPr>
              <w:t>=1+2+3+4</w:t>
            </w:r>
          </w:p>
        </w:tc>
        <w:tc>
          <w:tcPr>
            <w:tcW w:w="992" w:type="dxa"/>
            <w:tcBorders>
              <w:top w:val="single" w:color="000000" w:sz="4" w:space="0"/>
              <w:left w:val="single" w:color="000000" w:sz="4" w:space="0"/>
              <w:bottom w:val="single" w:color="000000" w:sz="4" w:space="0"/>
              <w:right w:val="single" w:color="000000" w:sz="4" w:space="0"/>
            </w:tcBorders>
          </w:tcPr>
          <w:p>
            <w:pPr>
              <w:rPr>
                <w:sz w:val="22"/>
              </w:rPr>
            </w:pPr>
          </w:p>
        </w:tc>
        <w:tc>
          <w:tcPr>
            <w:tcW w:w="851" w:type="dxa"/>
            <w:tcBorders>
              <w:top w:val="single" w:color="000000" w:sz="4" w:space="0"/>
              <w:left w:val="single" w:color="000000" w:sz="4" w:space="0"/>
              <w:bottom w:val="single" w:color="000000" w:sz="4" w:space="0"/>
              <w:right w:val="single" w:color="000000" w:sz="4" w:space="0"/>
            </w:tcBorders>
          </w:tcPr>
          <w:p>
            <w:pPr>
              <w:rPr>
                <w:sz w:val="22"/>
              </w:rPr>
            </w:pPr>
          </w:p>
        </w:tc>
        <w:tc>
          <w:tcPr>
            <w:tcW w:w="1276" w:type="dxa"/>
            <w:tcBorders>
              <w:top w:val="single" w:color="000000" w:sz="4" w:space="0"/>
              <w:left w:val="single" w:color="000000" w:sz="4" w:space="0"/>
              <w:bottom w:val="single" w:color="000000" w:sz="4" w:space="0"/>
              <w:right w:val="single" w:color="auto" w:sz="4" w:space="0"/>
            </w:tcBorders>
          </w:tcPr>
          <w:p>
            <w:pPr>
              <w:rPr>
                <w:sz w:val="22"/>
              </w:rPr>
            </w:pPr>
          </w:p>
        </w:tc>
        <w:tc>
          <w:tcPr>
            <w:tcW w:w="850" w:type="dxa"/>
            <w:tcBorders>
              <w:top w:val="single" w:color="000000" w:sz="4" w:space="0"/>
              <w:left w:val="single" w:color="auto" w:sz="4" w:space="0"/>
              <w:bottom w:val="single" w:color="000000" w:sz="4" w:space="0"/>
              <w:right w:val="single" w:color="000000" w:sz="4" w:space="0"/>
            </w:tcBorders>
          </w:tcPr>
          <w:p>
            <w:pPr>
              <w:rPr>
                <w:sz w:val="22"/>
              </w:rPr>
            </w:pPr>
          </w:p>
        </w:tc>
        <w:tc>
          <w:tcPr>
            <w:tcW w:w="1134" w:type="dxa"/>
            <w:tcBorders>
              <w:top w:val="single" w:color="000000" w:sz="4" w:space="0"/>
              <w:left w:val="single" w:color="000000" w:sz="4" w:space="0"/>
              <w:bottom w:val="single" w:color="000000" w:sz="4" w:space="0"/>
              <w:right w:val="single" w:color="000000" w:sz="4" w:space="0"/>
            </w:tcBorders>
          </w:tcPr>
          <w:p>
            <w:pPr>
              <w:rPr>
                <w:sz w:val="22"/>
              </w:rPr>
            </w:pPr>
          </w:p>
        </w:tc>
      </w:tr>
    </w:tbl>
    <w:p>
      <w:pPr>
        <w:pStyle w:val="148"/>
        <w:spacing w:before="120" w:after="120"/>
        <w:rPr>
          <w:rFonts w:ascii="宋体"/>
          <w:kern w:val="0"/>
        </w:rPr>
        <w:sectPr>
          <w:pgSz w:w="11906" w:h="16838"/>
          <w:pgMar w:top="1440" w:right="1797" w:bottom="1135" w:left="1797" w:header="851" w:footer="992" w:gutter="0"/>
          <w:cols w:space="720" w:num="1"/>
        </w:sectPr>
      </w:pPr>
    </w:p>
    <w:bookmarkEnd w:id="1167"/>
    <w:p>
      <w:pPr>
        <w:pStyle w:val="148"/>
        <w:spacing w:before="120" w:after="120"/>
        <w:rPr>
          <w:rFonts w:ascii="宋体"/>
        </w:rPr>
      </w:pPr>
      <w:r>
        <w:rPr>
          <w:rFonts w:hint="eastAsia"/>
        </w:rPr>
        <w:t xml:space="preserve">  </w:t>
      </w:r>
      <w:bookmarkStart w:id="1168" w:name="_Hlk8254270"/>
      <w:r>
        <w:rPr>
          <w:rFonts w:hint="eastAsia"/>
        </w:rPr>
        <w:t>总价措施项目清单与计价汇总表</w:t>
      </w:r>
      <w:bookmarkEnd w:id="1156"/>
      <w:bookmarkEnd w:id="1157"/>
      <w:bookmarkEnd w:id="1158"/>
    </w:p>
    <w:p>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总价措施项目清单与计价汇总表</w:t>
      </w:r>
    </w:p>
    <w:p>
      <w:pPr>
        <w:tabs>
          <w:tab w:val="left" w:pos="720"/>
        </w:tabs>
        <w:spacing w:after="120" w:afterLines="50" w:line="300" w:lineRule="auto"/>
        <w:rPr>
          <w:rFonts w:ascii="Arial" w:hAnsi="Arial" w:cs="Arial"/>
          <w:szCs w:val="22"/>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9"/>
        <w:tblW w:w="0" w:type="auto"/>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09"/>
        <w:gridCol w:w="2866"/>
        <w:gridCol w:w="1273"/>
        <w:gridCol w:w="127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bookmarkStart w:id="1169" w:name="_Hlk8556479"/>
            <w:r>
              <w:rPr>
                <w:rFonts w:hint="eastAsia" w:ascii="Arial" w:hAnsi="Arial" w:cs="Arial"/>
              </w:rPr>
              <w:t>序号</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项目</w:t>
            </w:r>
          </w:p>
          <w:p>
            <w:pPr>
              <w:tabs>
                <w:tab w:val="left" w:pos="720"/>
              </w:tabs>
              <w:spacing w:line="300" w:lineRule="auto"/>
              <w:jc w:val="center"/>
              <w:rPr>
                <w:rFonts w:ascii="Arial" w:hAnsi="Arial" w:cs="Arial"/>
              </w:rPr>
            </w:pPr>
            <w:r>
              <w:rPr>
                <w:rFonts w:hint="eastAsia" w:ascii="Arial" w:hAnsi="Arial" w:cs="Arial"/>
              </w:rPr>
              <w:t>编码</w:t>
            </w: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子目名称</w:t>
            </w:r>
          </w:p>
        </w:tc>
        <w:tc>
          <w:tcPr>
            <w:tcW w:w="1273"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不含税金额（元）</w:t>
            </w:r>
          </w:p>
        </w:tc>
        <w:tc>
          <w:tcPr>
            <w:tcW w:w="1273"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含税金额（元）</w:t>
            </w: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1</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r>
              <w:rPr>
                <w:rFonts w:hint="eastAsia" w:ascii="宋体" w:hAnsi="宋体" w:cs="Arial"/>
              </w:rPr>
              <w:t>安全文明施工费</w:t>
            </w:r>
          </w:p>
        </w:tc>
        <w:tc>
          <w:tcPr>
            <w:tcW w:w="1273"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273"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i/>
              </w:rPr>
            </w:pPr>
            <w:r>
              <w:rPr>
                <w:rFonts w:hint="eastAsia" w:ascii="Arial" w:hAnsi="Arial" w:cs="Arial"/>
              </w:rPr>
              <w:t>明细详见后附表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2</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r>
              <w:rPr>
                <w:rFonts w:hint="eastAsia" w:ascii="宋体" w:hAnsi="宋体" w:cs="Arial"/>
              </w:rPr>
              <w:t>夜间施工增加费</w:t>
            </w:r>
          </w:p>
        </w:tc>
        <w:tc>
          <w:tcPr>
            <w:tcW w:w="1273"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273"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3</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r>
              <w:rPr>
                <w:rFonts w:hint="eastAsia" w:ascii="宋体" w:hAnsi="宋体" w:cs="Arial"/>
              </w:rPr>
              <w:t>二次搬运费</w:t>
            </w:r>
          </w:p>
        </w:tc>
        <w:tc>
          <w:tcPr>
            <w:tcW w:w="1273"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273"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4</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r>
              <w:rPr>
                <w:rFonts w:hint="eastAsia" w:ascii="宋体" w:hAnsi="宋体" w:cs="Arial"/>
              </w:rPr>
              <w:t>冬雨季施工增加费</w:t>
            </w:r>
          </w:p>
        </w:tc>
        <w:tc>
          <w:tcPr>
            <w:tcW w:w="1273"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273"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5</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r>
              <w:rPr>
                <w:rFonts w:hint="eastAsia" w:ascii="宋体" w:hAnsi="宋体" w:cs="Arial"/>
              </w:rPr>
              <w:t>已完工程及设备保护</w:t>
            </w:r>
          </w:p>
        </w:tc>
        <w:tc>
          <w:tcPr>
            <w:tcW w:w="1273"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273"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6</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w:t>
            </w: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宋体" w:hAnsi="宋体" w:cs="Arial"/>
              </w:rPr>
            </w:pPr>
            <w:r>
              <w:rPr>
                <w:rFonts w:hint="eastAsia" w:ascii="Arial" w:hAnsi="Arial" w:cs="Arial"/>
              </w:rPr>
              <w:t>施工垃圾场外运输和消纳费</w:t>
            </w:r>
          </w:p>
        </w:tc>
        <w:tc>
          <w:tcPr>
            <w:tcW w:w="1273"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273"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明细详见后附表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7</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r>
              <w:rPr>
                <w:rFonts w:hint="eastAsia" w:ascii="Arial" w:hAnsi="Arial" w:cs="Arial"/>
              </w:rPr>
              <w:t>赶工增加费（如有）</w:t>
            </w:r>
          </w:p>
        </w:tc>
        <w:tc>
          <w:tcPr>
            <w:tcW w:w="1273"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273"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8</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r>
              <w:rPr>
                <w:rFonts w:hint="eastAsia" w:ascii="宋体" w:hAnsi="宋体" w:cs="宋体"/>
                <w:bCs/>
                <w:iCs/>
                <w:kern w:val="0"/>
                <w:szCs w:val="20"/>
              </w:rPr>
              <w:t>……</w:t>
            </w:r>
          </w:p>
        </w:tc>
        <w:tc>
          <w:tcPr>
            <w:tcW w:w="1273"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273"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p>
        </w:tc>
        <w:tc>
          <w:tcPr>
            <w:tcW w:w="1273"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273"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p>
        </w:tc>
        <w:tc>
          <w:tcPr>
            <w:tcW w:w="1273"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273"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p>
        </w:tc>
        <w:tc>
          <w:tcPr>
            <w:tcW w:w="1273"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273"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p>
        </w:tc>
        <w:tc>
          <w:tcPr>
            <w:tcW w:w="1273"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273"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86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p>
        </w:tc>
        <w:tc>
          <w:tcPr>
            <w:tcW w:w="1273"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273"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82" w:type="dxa"/>
            <w:gridSpan w:val="3"/>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合计</w:t>
            </w:r>
          </w:p>
        </w:tc>
        <w:tc>
          <w:tcPr>
            <w:tcW w:w="1273"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273"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84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bookmarkEnd w:id="1168"/>
      <w:bookmarkEnd w:id="1169"/>
    </w:tbl>
    <w:p>
      <w:pPr>
        <w:tabs>
          <w:tab w:val="left" w:pos="720"/>
        </w:tabs>
        <w:spacing w:line="300" w:lineRule="auto"/>
        <w:ind w:right="28"/>
        <w:rPr>
          <w:rFonts w:ascii="黑体" w:hAnsi="Arial" w:eastAsia="黑体" w:cs="Arial"/>
          <w:szCs w:val="21"/>
        </w:rPr>
      </w:pPr>
    </w:p>
    <w:p>
      <w:pPr>
        <w:tabs>
          <w:tab w:val="left" w:pos="720"/>
        </w:tabs>
        <w:spacing w:before="120" w:beforeLines="50" w:after="120" w:afterLines="50" w:line="300" w:lineRule="auto"/>
        <w:ind w:left="708" w:right="28" w:hanging="707" w:hangingChars="337"/>
        <w:rPr>
          <w:rFonts w:ascii="宋体" w:hAnsi="宋体" w:cs="Arial"/>
          <w:szCs w:val="21"/>
        </w:rPr>
      </w:pPr>
      <w:r>
        <w:rPr>
          <w:rFonts w:hint="eastAsia" w:ascii="宋体" w:hAnsi="宋体" w:cs="Arial"/>
          <w:szCs w:val="21"/>
        </w:rPr>
        <w:t>注：1.在“不含税金额”中填写对应措施费用。除“</w:t>
      </w:r>
      <w:r>
        <w:rPr>
          <w:rFonts w:hint="eastAsia" w:ascii="宋体" w:hAnsi="宋体" w:cs="Arial"/>
        </w:rPr>
        <w:t>安全文明施工费”及“</w:t>
      </w:r>
      <w:r>
        <w:rPr>
          <w:rFonts w:hint="eastAsia" w:ascii="Arial" w:hAnsi="Arial" w:cs="Arial"/>
        </w:rPr>
        <w:t>施工垃圾场外运输和消纳费”由由安全文明施工费明细表及施工垃圾场外运输和消纳费明细表带入数据外，其他均应</w:t>
      </w:r>
      <w:r>
        <w:rPr>
          <w:rFonts w:hint="eastAsia" w:ascii="宋体" w:hAnsi="宋体" w:cs="Arial"/>
          <w:szCs w:val="21"/>
        </w:rPr>
        <w:t>逐项在总价措施项目清单组价分析表”中列明施工方案出处及计算方法。</w:t>
      </w:r>
    </w:p>
    <w:p>
      <w:pPr>
        <w:tabs>
          <w:tab w:val="left" w:pos="720"/>
        </w:tabs>
        <w:spacing w:before="120" w:beforeLines="50" w:after="120" w:afterLines="50" w:line="300" w:lineRule="auto"/>
        <w:ind w:left="705" w:leftChars="202" w:right="28" w:hanging="281" w:hangingChars="134"/>
        <w:rPr>
          <w:rFonts w:ascii="宋体" w:hAnsi="宋体" w:cs="Arial"/>
          <w:szCs w:val="21"/>
        </w:rPr>
      </w:pPr>
      <w:r>
        <w:rPr>
          <w:rFonts w:hint="eastAsia" w:ascii="宋体" w:hAnsi="宋体" w:cs="Arial"/>
          <w:szCs w:val="21"/>
        </w:rPr>
        <w:t>2.投标人的安全文明施工费、赶工增加费（如有）不得作为让利因素。</w:t>
      </w:r>
    </w:p>
    <w:bookmarkEnd w:id="1159"/>
    <w:p>
      <w:pPr>
        <w:widowControl/>
        <w:spacing w:line="360" w:lineRule="auto"/>
        <w:jc w:val="left"/>
        <w:rPr>
          <w:rFonts w:ascii="宋体"/>
          <w:kern w:val="0"/>
          <w:sz w:val="24"/>
          <w:szCs w:val="20"/>
        </w:rPr>
        <w:sectPr>
          <w:pgSz w:w="11906" w:h="16838"/>
          <w:pgMar w:top="1440" w:right="1276" w:bottom="1440" w:left="1797" w:header="851" w:footer="992" w:gutter="0"/>
          <w:cols w:space="720" w:num="1"/>
        </w:sectPr>
      </w:pPr>
    </w:p>
    <w:p>
      <w:pPr>
        <w:pStyle w:val="148"/>
        <w:spacing w:before="120" w:after="120"/>
        <w:rPr>
          <w:rFonts w:ascii="宋体"/>
        </w:rPr>
      </w:pPr>
      <w:bookmarkStart w:id="1170" w:name="_Toc10235187"/>
      <w:bookmarkStart w:id="1171" w:name="_Toc10233959"/>
      <w:bookmarkStart w:id="1172" w:name="_Toc23757442"/>
      <w:bookmarkStart w:id="1173" w:name="_Toc483575321"/>
      <w:bookmarkStart w:id="1174" w:name="_Toc480481684"/>
      <w:bookmarkStart w:id="1175" w:name="_Toc342296535"/>
      <w:bookmarkStart w:id="1176" w:name="_Toc497458727"/>
      <w:bookmarkStart w:id="1177" w:name="_Toc241459771"/>
      <w:r>
        <w:rPr>
          <w:rFonts w:hint="eastAsia"/>
        </w:rPr>
        <w:t>安全文明施工费明细表</w:t>
      </w:r>
      <w:bookmarkEnd w:id="1170"/>
      <w:bookmarkEnd w:id="1171"/>
      <w:bookmarkEnd w:id="1172"/>
    </w:p>
    <w:p>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安全文明施工费明细表</w:t>
      </w:r>
    </w:p>
    <w:p>
      <w:pPr>
        <w:tabs>
          <w:tab w:val="left" w:pos="720"/>
        </w:tabs>
        <w:spacing w:after="120" w:afterLines="50"/>
        <w:rPr>
          <w:rFonts w:ascii="Arial" w:hAnsi="Arial" w:cs="Arial"/>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9"/>
        <w:tblW w:w="14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4"/>
        <w:gridCol w:w="709"/>
        <w:gridCol w:w="6242"/>
        <w:gridCol w:w="1134"/>
        <w:gridCol w:w="1275"/>
        <w:gridCol w:w="709"/>
        <w:gridCol w:w="851"/>
        <w:gridCol w:w="113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8" w:type="dxa"/>
            <w:gridSpan w:val="2"/>
            <w:vMerge w:val="restart"/>
            <w:vAlign w:val="center"/>
          </w:tcPr>
          <w:p>
            <w:pPr>
              <w:tabs>
                <w:tab w:val="left" w:pos="720"/>
              </w:tabs>
              <w:spacing w:line="300" w:lineRule="auto"/>
              <w:jc w:val="center"/>
              <w:rPr>
                <w:rFonts w:ascii="Arial" w:hAnsi="Arial" w:cs="Arial"/>
              </w:rPr>
            </w:pPr>
            <w:r>
              <w:rPr>
                <w:rFonts w:hint="eastAsia" w:ascii="Arial" w:hAnsi="Arial" w:cs="Arial"/>
              </w:rPr>
              <w:t>序号</w:t>
            </w:r>
          </w:p>
        </w:tc>
        <w:tc>
          <w:tcPr>
            <w:tcW w:w="709" w:type="dxa"/>
            <w:vMerge w:val="restart"/>
            <w:vAlign w:val="center"/>
          </w:tcPr>
          <w:p>
            <w:pPr>
              <w:tabs>
                <w:tab w:val="left" w:pos="720"/>
              </w:tabs>
              <w:spacing w:line="300" w:lineRule="auto"/>
              <w:jc w:val="center"/>
              <w:rPr>
                <w:rFonts w:ascii="Arial" w:hAnsi="Arial" w:cs="Arial"/>
              </w:rPr>
            </w:pPr>
            <w:r>
              <w:rPr>
                <w:rFonts w:hint="eastAsia" w:ascii="Arial" w:hAnsi="Arial" w:cs="Arial"/>
              </w:rPr>
              <w:t>项目</w:t>
            </w:r>
          </w:p>
          <w:p>
            <w:pPr>
              <w:tabs>
                <w:tab w:val="left" w:pos="720"/>
              </w:tabs>
              <w:spacing w:line="300" w:lineRule="auto"/>
              <w:jc w:val="center"/>
              <w:rPr>
                <w:rFonts w:ascii="Arial" w:hAnsi="Arial" w:cs="Arial"/>
              </w:rPr>
            </w:pPr>
            <w:r>
              <w:rPr>
                <w:rFonts w:hint="eastAsia" w:ascii="Arial" w:hAnsi="Arial" w:cs="Arial"/>
              </w:rPr>
              <w:t>编码</w:t>
            </w:r>
          </w:p>
        </w:tc>
        <w:tc>
          <w:tcPr>
            <w:tcW w:w="6242" w:type="dxa"/>
            <w:vMerge w:val="restart"/>
            <w:vAlign w:val="center"/>
          </w:tcPr>
          <w:p>
            <w:pPr>
              <w:tabs>
                <w:tab w:val="left" w:pos="720"/>
              </w:tabs>
              <w:spacing w:line="300" w:lineRule="auto"/>
              <w:jc w:val="center"/>
              <w:rPr>
                <w:rFonts w:ascii="Arial" w:hAnsi="Arial" w:cs="Arial"/>
              </w:rPr>
            </w:pPr>
            <w:r>
              <w:rPr>
                <w:rFonts w:hint="eastAsia" w:ascii="Arial" w:hAnsi="Arial" w:cs="Arial"/>
              </w:rPr>
              <w:t>子目名称</w:t>
            </w:r>
          </w:p>
        </w:tc>
        <w:tc>
          <w:tcPr>
            <w:tcW w:w="3969" w:type="dxa"/>
            <w:gridSpan w:val="4"/>
            <w:vAlign w:val="center"/>
          </w:tcPr>
          <w:p>
            <w:pPr>
              <w:tabs>
                <w:tab w:val="left" w:pos="720"/>
              </w:tabs>
              <w:spacing w:line="300" w:lineRule="auto"/>
              <w:jc w:val="center"/>
              <w:rPr>
                <w:rFonts w:ascii="Arial" w:hAnsi="Arial" w:cs="Arial"/>
              </w:rPr>
            </w:pPr>
            <w:r>
              <w:rPr>
                <w:rFonts w:hint="eastAsia" w:ascii="Arial" w:hAnsi="Arial" w:cs="Arial"/>
              </w:rPr>
              <w:t>不含税金额（元）</w:t>
            </w:r>
          </w:p>
        </w:tc>
        <w:tc>
          <w:tcPr>
            <w:tcW w:w="1134" w:type="dxa"/>
            <w:vMerge w:val="restart"/>
            <w:vAlign w:val="center"/>
          </w:tcPr>
          <w:p>
            <w:pPr>
              <w:tabs>
                <w:tab w:val="left" w:pos="720"/>
              </w:tabs>
              <w:spacing w:line="300" w:lineRule="auto"/>
              <w:jc w:val="center"/>
              <w:rPr>
                <w:rFonts w:ascii="Arial" w:hAnsi="Arial" w:cs="Arial"/>
              </w:rPr>
            </w:pPr>
            <w:r>
              <w:rPr>
                <w:rFonts w:hint="eastAsia" w:ascii="Arial" w:hAnsi="Arial" w:cs="Arial"/>
              </w:rPr>
              <w:t>含税金额</w:t>
            </w:r>
          </w:p>
          <w:p>
            <w:pPr>
              <w:tabs>
                <w:tab w:val="left" w:pos="720"/>
              </w:tabs>
              <w:spacing w:line="300" w:lineRule="auto"/>
              <w:jc w:val="center"/>
              <w:rPr>
                <w:rFonts w:ascii="Arial" w:hAnsi="Arial" w:cs="Arial"/>
              </w:rPr>
            </w:pPr>
            <w:r>
              <w:rPr>
                <w:rFonts w:hint="eastAsia" w:ascii="Arial" w:hAnsi="Arial" w:cs="Arial"/>
              </w:rPr>
              <w:t>（元）</w:t>
            </w:r>
          </w:p>
        </w:tc>
        <w:tc>
          <w:tcPr>
            <w:tcW w:w="708" w:type="dxa"/>
            <w:vMerge w:val="restart"/>
            <w:vAlign w:val="center"/>
          </w:tcPr>
          <w:p>
            <w:pPr>
              <w:tabs>
                <w:tab w:val="left" w:pos="720"/>
              </w:tabs>
              <w:spacing w:line="300" w:lineRule="auto"/>
              <w:jc w:val="center"/>
              <w:rPr>
                <w:rFonts w:ascii="Arial" w:hAnsi="Arial" w:cs="Arial"/>
              </w:rPr>
            </w:pPr>
            <w:r>
              <w:rPr>
                <w:rFonts w:hint="eastAsia" w:ascii="Arial" w:hAnsi="Arial" w:cs="Aria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8" w:type="dxa"/>
            <w:gridSpan w:val="2"/>
            <w:vMerge w:val="continue"/>
          </w:tcPr>
          <w:p>
            <w:pPr>
              <w:widowControl/>
              <w:jc w:val="left"/>
              <w:rPr>
                <w:rFonts w:ascii="Arial" w:hAnsi="Arial" w:cs="Arial"/>
              </w:rPr>
            </w:pPr>
          </w:p>
        </w:tc>
        <w:tc>
          <w:tcPr>
            <w:tcW w:w="709" w:type="dxa"/>
            <w:vMerge w:val="continue"/>
            <w:vAlign w:val="center"/>
          </w:tcPr>
          <w:p>
            <w:pPr>
              <w:widowControl/>
              <w:jc w:val="left"/>
              <w:rPr>
                <w:rFonts w:ascii="Arial" w:hAnsi="Arial" w:cs="Arial"/>
              </w:rPr>
            </w:pPr>
          </w:p>
        </w:tc>
        <w:tc>
          <w:tcPr>
            <w:tcW w:w="6242" w:type="dxa"/>
            <w:vMerge w:val="continue"/>
            <w:vAlign w:val="center"/>
          </w:tcPr>
          <w:p>
            <w:pPr>
              <w:widowControl/>
              <w:jc w:val="left"/>
              <w:rPr>
                <w:rFonts w:ascii="Arial" w:hAnsi="Arial" w:cs="Arial"/>
              </w:rPr>
            </w:pPr>
          </w:p>
        </w:tc>
        <w:tc>
          <w:tcPr>
            <w:tcW w:w="1134" w:type="dxa"/>
            <w:vAlign w:val="center"/>
          </w:tcPr>
          <w:p>
            <w:pPr>
              <w:widowControl/>
              <w:jc w:val="center"/>
              <w:rPr>
                <w:rFonts w:ascii="Arial" w:hAnsi="Arial" w:cs="Arial"/>
              </w:rPr>
            </w:pPr>
            <w:r>
              <w:rPr>
                <w:rFonts w:hint="eastAsia" w:ascii="Arial" w:hAnsi="Arial" w:cs="Arial"/>
              </w:rPr>
              <w:t>实际成本</w:t>
            </w:r>
          </w:p>
        </w:tc>
        <w:tc>
          <w:tcPr>
            <w:tcW w:w="1275" w:type="dxa"/>
            <w:vAlign w:val="center"/>
          </w:tcPr>
          <w:p>
            <w:pPr>
              <w:widowControl/>
              <w:jc w:val="center"/>
              <w:rPr>
                <w:rFonts w:ascii="Arial" w:hAnsi="Arial" w:cs="Arial"/>
              </w:rPr>
            </w:pPr>
            <w:r>
              <w:rPr>
                <w:rFonts w:hint="eastAsia" w:ascii="Arial" w:hAnsi="Arial" w:cs="Arial"/>
              </w:rPr>
              <w:t>企业管理费</w:t>
            </w:r>
          </w:p>
        </w:tc>
        <w:tc>
          <w:tcPr>
            <w:tcW w:w="709" w:type="dxa"/>
            <w:vAlign w:val="center"/>
          </w:tcPr>
          <w:p>
            <w:pPr>
              <w:widowControl/>
              <w:jc w:val="center"/>
              <w:rPr>
                <w:rFonts w:ascii="Arial" w:hAnsi="Arial" w:cs="Arial"/>
              </w:rPr>
            </w:pPr>
            <w:r>
              <w:rPr>
                <w:rFonts w:hint="eastAsia" w:ascii="Arial" w:hAnsi="Arial" w:cs="Arial"/>
              </w:rPr>
              <w:t>利润</w:t>
            </w:r>
          </w:p>
        </w:tc>
        <w:tc>
          <w:tcPr>
            <w:tcW w:w="851" w:type="dxa"/>
            <w:vAlign w:val="center"/>
          </w:tcPr>
          <w:p>
            <w:pPr>
              <w:widowControl/>
              <w:jc w:val="center"/>
              <w:rPr>
                <w:rFonts w:ascii="Arial" w:hAnsi="Arial" w:cs="Arial"/>
              </w:rPr>
            </w:pPr>
            <w:r>
              <w:rPr>
                <w:rFonts w:hint="eastAsia" w:ascii="Arial" w:hAnsi="Arial" w:cs="Arial"/>
              </w:rPr>
              <w:t>小计</w:t>
            </w:r>
          </w:p>
        </w:tc>
        <w:tc>
          <w:tcPr>
            <w:tcW w:w="1134" w:type="dxa"/>
            <w:vMerge w:val="continue"/>
            <w:vAlign w:val="center"/>
          </w:tcPr>
          <w:p>
            <w:pPr>
              <w:widowControl/>
              <w:jc w:val="left"/>
              <w:rPr>
                <w:rFonts w:ascii="Arial" w:hAnsi="Arial" w:cs="Arial"/>
              </w:rPr>
            </w:pPr>
          </w:p>
        </w:tc>
        <w:tc>
          <w:tcPr>
            <w:tcW w:w="708" w:type="dxa"/>
            <w:vMerge w:val="continue"/>
            <w:vAlign w:val="center"/>
          </w:tcPr>
          <w:p>
            <w:pPr>
              <w:widowControl/>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8" w:type="dxa"/>
            <w:gridSpan w:val="2"/>
          </w:tcPr>
          <w:p>
            <w:pPr>
              <w:tabs>
                <w:tab w:val="left" w:pos="720"/>
              </w:tabs>
              <w:spacing w:line="300" w:lineRule="auto"/>
              <w:jc w:val="center"/>
              <w:rPr>
                <w:rFonts w:ascii="宋体" w:hAnsi="宋体" w:cs="宋体"/>
              </w:rPr>
            </w:pPr>
            <w:r>
              <w:rPr>
                <w:rFonts w:hint="eastAsia" w:ascii="宋体" w:hAnsi="宋体" w:cs="宋体"/>
              </w:rPr>
              <w:t>1</w:t>
            </w:r>
          </w:p>
        </w:tc>
        <w:tc>
          <w:tcPr>
            <w:tcW w:w="709" w:type="dxa"/>
            <w:vAlign w:val="center"/>
          </w:tcPr>
          <w:p>
            <w:pPr>
              <w:tabs>
                <w:tab w:val="left" w:pos="720"/>
              </w:tabs>
              <w:spacing w:line="300" w:lineRule="auto"/>
              <w:jc w:val="center"/>
              <w:rPr>
                <w:rFonts w:ascii="Arial" w:hAnsi="Arial" w:cs="Arial"/>
              </w:rPr>
            </w:pPr>
          </w:p>
        </w:tc>
        <w:tc>
          <w:tcPr>
            <w:tcW w:w="6242" w:type="dxa"/>
            <w:vAlign w:val="center"/>
          </w:tcPr>
          <w:p>
            <w:pPr>
              <w:tabs>
                <w:tab w:val="left" w:pos="720"/>
              </w:tabs>
              <w:spacing w:line="300" w:lineRule="auto"/>
              <w:jc w:val="left"/>
              <w:rPr>
                <w:rFonts w:ascii="Arial" w:hAnsi="Arial" w:cs="Arial"/>
              </w:rPr>
            </w:pPr>
            <w:r>
              <w:rPr>
                <w:rFonts w:hint="eastAsia" w:ascii="Arial" w:hAnsi="Arial" w:cs="Arial"/>
              </w:rPr>
              <w:t>管理目标等级（</w:t>
            </w:r>
            <w:r>
              <w:rPr>
                <w:rFonts w:ascii="Arial" w:hAnsi="Arial" w:cs="Arial"/>
                <w:u w:val="single"/>
              </w:rPr>
              <w:t xml:space="preserve">       </w:t>
            </w:r>
            <w:r>
              <w:rPr>
                <w:rFonts w:hint="eastAsia" w:ascii="Arial" w:hAnsi="Arial" w:cs="Arial"/>
              </w:rPr>
              <w:t>）对应的《图集》标准内项目</w:t>
            </w:r>
            <w:r>
              <w:rPr>
                <w:rFonts w:hint="eastAsia" w:ascii="宋体" w:hAnsi="宋体" w:cs="Arial"/>
              </w:rPr>
              <w:t>措施费</w:t>
            </w:r>
          </w:p>
        </w:tc>
        <w:tc>
          <w:tcPr>
            <w:tcW w:w="1134" w:type="dxa"/>
            <w:vAlign w:val="center"/>
          </w:tcPr>
          <w:p>
            <w:pPr>
              <w:tabs>
                <w:tab w:val="left" w:pos="720"/>
              </w:tabs>
              <w:spacing w:line="300" w:lineRule="auto"/>
              <w:jc w:val="center"/>
              <w:rPr>
                <w:rFonts w:ascii="Arial" w:hAnsi="Arial" w:cs="Arial"/>
              </w:rPr>
            </w:pPr>
          </w:p>
        </w:tc>
        <w:tc>
          <w:tcPr>
            <w:tcW w:w="1275" w:type="dxa"/>
          </w:tcPr>
          <w:p>
            <w:pPr>
              <w:tabs>
                <w:tab w:val="left" w:pos="720"/>
              </w:tabs>
              <w:spacing w:line="300" w:lineRule="auto"/>
              <w:jc w:val="center"/>
              <w:rPr>
                <w:rFonts w:ascii="Arial" w:hAnsi="Arial" w:cs="Arial"/>
              </w:rPr>
            </w:pPr>
          </w:p>
        </w:tc>
        <w:tc>
          <w:tcPr>
            <w:tcW w:w="709" w:type="dxa"/>
          </w:tcPr>
          <w:p>
            <w:pPr>
              <w:tabs>
                <w:tab w:val="left" w:pos="720"/>
              </w:tabs>
              <w:spacing w:line="300" w:lineRule="auto"/>
              <w:jc w:val="center"/>
              <w:rPr>
                <w:rFonts w:ascii="Arial" w:hAnsi="Arial" w:cs="Arial"/>
              </w:rPr>
            </w:pPr>
          </w:p>
        </w:tc>
        <w:tc>
          <w:tcPr>
            <w:tcW w:w="851" w:type="dxa"/>
          </w:tcPr>
          <w:p>
            <w:pPr>
              <w:tabs>
                <w:tab w:val="left" w:pos="720"/>
              </w:tabs>
              <w:spacing w:line="300" w:lineRule="auto"/>
              <w:jc w:val="center"/>
              <w:rPr>
                <w:rFonts w:ascii="Arial" w:hAnsi="Arial" w:cs="Arial"/>
              </w:rPr>
            </w:pPr>
          </w:p>
        </w:tc>
        <w:tc>
          <w:tcPr>
            <w:tcW w:w="1134" w:type="dxa"/>
          </w:tcPr>
          <w:p>
            <w:pPr>
              <w:tabs>
                <w:tab w:val="left" w:pos="720"/>
              </w:tabs>
              <w:spacing w:line="300" w:lineRule="auto"/>
              <w:jc w:val="center"/>
              <w:rPr>
                <w:rFonts w:ascii="Arial" w:hAnsi="Arial" w:cs="Arial"/>
              </w:rPr>
            </w:pPr>
          </w:p>
        </w:tc>
        <w:tc>
          <w:tcPr>
            <w:tcW w:w="70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Merge w:val="restart"/>
            <w:vAlign w:val="center"/>
          </w:tcPr>
          <w:p>
            <w:pPr>
              <w:tabs>
                <w:tab w:val="left" w:pos="720"/>
              </w:tabs>
              <w:spacing w:line="300" w:lineRule="auto"/>
              <w:jc w:val="center"/>
              <w:rPr>
                <w:rFonts w:ascii="宋体" w:hAnsi="宋体" w:cs="宋体"/>
              </w:rPr>
            </w:pPr>
            <w:r>
              <w:rPr>
                <w:rFonts w:hint="eastAsia" w:ascii="宋体" w:hAnsi="宋体" w:cs="宋体"/>
              </w:rPr>
              <w:t>其</w:t>
            </w:r>
          </w:p>
          <w:p>
            <w:pPr>
              <w:tabs>
                <w:tab w:val="left" w:pos="720"/>
              </w:tabs>
              <w:spacing w:line="300" w:lineRule="auto"/>
              <w:jc w:val="center"/>
              <w:rPr>
                <w:rFonts w:ascii="宋体" w:hAnsi="宋体" w:cs="宋体"/>
              </w:rPr>
            </w:pPr>
            <w:r>
              <w:rPr>
                <w:rFonts w:hint="eastAsia" w:ascii="宋体" w:hAnsi="宋体" w:cs="宋体"/>
              </w:rPr>
              <w:t>中</w:t>
            </w:r>
          </w:p>
        </w:tc>
        <w:tc>
          <w:tcPr>
            <w:tcW w:w="704" w:type="dxa"/>
            <w:vAlign w:val="center"/>
          </w:tcPr>
          <w:p>
            <w:pPr>
              <w:tabs>
                <w:tab w:val="left" w:pos="720"/>
              </w:tabs>
              <w:spacing w:line="300" w:lineRule="auto"/>
              <w:jc w:val="center"/>
              <w:rPr>
                <w:rFonts w:ascii="宋体" w:hAnsi="宋体" w:cs="宋体"/>
              </w:rPr>
            </w:pPr>
            <w:r>
              <w:rPr>
                <w:rFonts w:hint="eastAsia" w:ascii="宋体" w:hAnsi="宋体" w:cs="宋体"/>
              </w:rPr>
              <w:t>1.1</w:t>
            </w:r>
          </w:p>
        </w:tc>
        <w:tc>
          <w:tcPr>
            <w:tcW w:w="709" w:type="dxa"/>
            <w:vAlign w:val="center"/>
          </w:tcPr>
          <w:p>
            <w:pPr>
              <w:tabs>
                <w:tab w:val="left" w:pos="720"/>
              </w:tabs>
              <w:spacing w:line="300" w:lineRule="auto"/>
              <w:jc w:val="center"/>
              <w:rPr>
                <w:rFonts w:ascii="Arial" w:hAnsi="Arial" w:cs="Arial"/>
              </w:rPr>
            </w:pPr>
          </w:p>
        </w:tc>
        <w:tc>
          <w:tcPr>
            <w:tcW w:w="6242" w:type="dxa"/>
            <w:vAlign w:val="center"/>
          </w:tcPr>
          <w:p>
            <w:pPr>
              <w:tabs>
                <w:tab w:val="left" w:pos="720"/>
              </w:tabs>
              <w:spacing w:line="300" w:lineRule="auto"/>
              <w:jc w:val="left"/>
              <w:rPr>
                <w:rFonts w:ascii="Arial" w:hAnsi="Arial" w:cs="Arial"/>
              </w:rPr>
            </w:pPr>
            <w:r>
              <w:rPr>
                <w:rFonts w:hint="eastAsia" w:ascii="宋体" w:hAnsi="宋体"/>
              </w:rPr>
              <w:t>安全施工费</w:t>
            </w:r>
          </w:p>
        </w:tc>
        <w:tc>
          <w:tcPr>
            <w:tcW w:w="1134" w:type="dxa"/>
            <w:vAlign w:val="center"/>
          </w:tcPr>
          <w:p>
            <w:pPr>
              <w:tabs>
                <w:tab w:val="left" w:pos="720"/>
              </w:tabs>
              <w:spacing w:line="300" w:lineRule="auto"/>
              <w:jc w:val="center"/>
              <w:rPr>
                <w:rFonts w:ascii="Arial" w:hAnsi="Arial" w:cs="Arial"/>
              </w:rPr>
            </w:pPr>
          </w:p>
        </w:tc>
        <w:tc>
          <w:tcPr>
            <w:tcW w:w="1275" w:type="dxa"/>
          </w:tcPr>
          <w:p>
            <w:pPr>
              <w:tabs>
                <w:tab w:val="left" w:pos="720"/>
              </w:tabs>
              <w:spacing w:line="300" w:lineRule="auto"/>
              <w:jc w:val="center"/>
              <w:rPr>
                <w:rFonts w:ascii="Arial" w:hAnsi="Arial" w:cs="Arial"/>
              </w:rPr>
            </w:pPr>
          </w:p>
        </w:tc>
        <w:tc>
          <w:tcPr>
            <w:tcW w:w="709" w:type="dxa"/>
          </w:tcPr>
          <w:p>
            <w:pPr>
              <w:tabs>
                <w:tab w:val="left" w:pos="720"/>
              </w:tabs>
              <w:spacing w:line="300" w:lineRule="auto"/>
              <w:jc w:val="center"/>
              <w:rPr>
                <w:rFonts w:ascii="Arial" w:hAnsi="Arial" w:cs="Arial"/>
              </w:rPr>
            </w:pPr>
          </w:p>
        </w:tc>
        <w:tc>
          <w:tcPr>
            <w:tcW w:w="851" w:type="dxa"/>
          </w:tcPr>
          <w:p>
            <w:pPr>
              <w:tabs>
                <w:tab w:val="left" w:pos="720"/>
              </w:tabs>
              <w:spacing w:line="300" w:lineRule="auto"/>
              <w:jc w:val="center"/>
              <w:rPr>
                <w:rFonts w:ascii="Arial" w:hAnsi="Arial" w:cs="Arial"/>
              </w:rPr>
            </w:pPr>
          </w:p>
        </w:tc>
        <w:tc>
          <w:tcPr>
            <w:tcW w:w="1134" w:type="dxa"/>
          </w:tcPr>
          <w:p>
            <w:pPr>
              <w:tabs>
                <w:tab w:val="left" w:pos="720"/>
              </w:tabs>
              <w:spacing w:line="300" w:lineRule="auto"/>
              <w:jc w:val="center"/>
              <w:rPr>
                <w:rFonts w:ascii="Arial" w:hAnsi="Arial" w:cs="Arial"/>
              </w:rPr>
            </w:pPr>
          </w:p>
        </w:tc>
        <w:tc>
          <w:tcPr>
            <w:tcW w:w="70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Merge w:val="continue"/>
          </w:tcPr>
          <w:p>
            <w:pPr>
              <w:tabs>
                <w:tab w:val="left" w:pos="720"/>
              </w:tabs>
              <w:spacing w:line="300" w:lineRule="auto"/>
              <w:jc w:val="center"/>
              <w:rPr>
                <w:rFonts w:ascii="宋体" w:hAnsi="宋体" w:cs="宋体"/>
              </w:rPr>
            </w:pPr>
          </w:p>
        </w:tc>
        <w:tc>
          <w:tcPr>
            <w:tcW w:w="704" w:type="dxa"/>
            <w:vAlign w:val="center"/>
          </w:tcPr>
          <w:p>
            <w:pPr>
              <w:tabs>
                <w:tab w:val="left" w:pos="720"/>
              </w:tabs>
              <w:spacing w:line="300" w:lineRule="auto"/>
              <w:jc w:val="center"/>
              <w:rPr>
                <w:rFonts w:ascii="宋体" w:hAnsi="宋体" w:cs="宋体"/>
              </w:rPr>
            </w:pPr>
            <w:r>
              <w:rPr>
                <w:rFonts w:hint="eastAsia" w:ascii="宋体" w:hAnsi="宋体" w:cs="宋体"/>
              </w:rPr>
              <w:t>1.2</w:t>
            </w:r>
          </w:p>
        </w:tc>
        <w:tc>
          <w:tcPr>
            <w:tcW w:w="709" w:type="dxa"/>
            <w:vAlign w:val="center"/>
          </w:tcPr>
          <w:p>
            <w:pPr>
              <w:tabs>
                <w:tab w:val="left" w:pos="720"/>
              </w:tabs>
              <w:spacing w:line="300" w:lineRule="auto"/>
              <w:jc w:val="center"/>
              <w:rPr>
                <w:rFonts w:ascii="Arial" w:hAnsi="Arial" w:cs="Arial"/>
              </w:rPr>
            </w:pPr>
          </w:p>
        </w:tc>
        <w:tc>
          <w:tcPr>
            <w:tcW w:w="6242" w:type="dxa"/>
            <w:vAlign w:val="center"/>
          </w:tcPr>
          <w:p>
            <w:pPr>
              <w:tabs>
                <w:tab w:val="left" w:pos="720"/>
              </w:tabs>
              <w:spacing w:line="300" w:lineRule="auto"/>
              <w:jc w:val="left"/>
              <w:rPr>
                <w:rFonts w:ascii="Arial" w:hAnsi="Arial" w:cs="Arial"/>
              </w:rPr>
            </w:pPr>
            <w:r>
              <w:rPr>
                <w:rFonts w:hint="eastAsia" w:ascii="宋体" w:hAnsi="宋体"/>
              </w:rPr>
              <w:t>文明施工费</w:t>
            </w:r>
          </w:p>
        </w:tc>
        <w:tc>
          <w:tcPr>
            <w:tcW w:w="1134" w:type="dxa"/>
            <w:vAlign w:val="center"/>
          </w:tcPr>
          <w:p>
            <w:pPr>
              <w:tabs>
                <w:tab w:val="left" w:pos="720"/>
              </w:tabs>
              <w:spacing w:line="300" w:lineRule="auto"/>
              <w:jc w:val="center"/>
              <w:rPr>
                <w:rFonts w:ascii="Arial" w:hAnsi="Arial" w:cs="Arial"/>
              </w:rPr>
            </w:pPr>
          </w:p>
        </w:tc>
        <w:tc>
          <w:tcPr>
            <w:tcW w:w="1275" w:type="dxa"/>
          </w:tcPr>
          <w:p>
            <w:pPr>
              <w:tabs>
                <w:tab w:val="left" w:pos="720"/>
              </w:tabs>
              <w:spacing w:line="300" w:lineRule="auto"/>
              <w:jc w:val="center"/>
              <w:rPr>
                <w:rFonts w:ascii="Arial" w:hAnsi="Arial" w:cs="Arial"/>
              </w:rPr>
            </w:pPr>
          </w:p>
        </w:tc>
        <w:tc>
          <w:tcPr>
            <w:tcW w:w="709" w:type="dxa"/>
          </w:tcPr>
          <w:p>
            <w:pPr>
              <w:tabs>
                <w:tab w:val="left" w:pos="720"/>
              </w:tabs>
              <w:spacing w:line="300" w:lineRule="auto"/>
              <w:jc w:val="center"/>
              <w:rPr>
                <w:rFonts w:ascii="Arial" w:hAnsi="Arial" w:cs="Arial"/>
              </w:rPr>
            </w:pPr>
          </w:p>
        </w:tc>
        <w:tc>
          <w:tcPr>
            <w:tcW w:w="851" w:type="dxa"/>
          </w:tcPr>
          <w:p>
            <w:pPr>
              <w:tabs>
                <w:tab w:val="left" w:pos="720"/>
              </w:tabs>
              <w:spacing w:line="300" w:lineRule="auto"/>
              <w:jc w:val="center"/>
              <w:rPr>
                <w:rFonts w:ascii="Arial" w:hAnsi="Arial" w:cs="Arial"/>
              </w:rPr>
            </w:pPr>
          </w:p>
        </w:tc>
        <w:tc>
          <w:tcPr>
            <w:tcW w:w="1134" w:type="dxa"/>
          </w:tcPr>
          <w:p>
            <w:pPr>
              <w:tabs>
                <w:tab w:val="left" w:pos="720"/>
              </w:tabs>
              <w:spacing w:line="300" w:lineRule="auto"/>
              <w:jc w:val="center"/>
              <w:rPr>
                <w:rFonts w:ascii="Arial" w:hAnsi="Arial" w:cs="Arial"/>
              </w:rPr>
            </w:pPr>
          </w:p>
        </w:tc>
        <w:tc>
          <w:tcPr>
            <w:tcW w:w="70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Merge w:val="continue"/>
          </w:tcPr>
          <w:p>
            <w:pPr>
              <w:tabs>
                <w:tab w:val="left" w:pos="720"/>
              </w:tabs>
              <w:spacing w:line="300" w:lineRule="auto"/>
              <w:jc w:val="center"/>
              <w:rPr>
                <w:rFonts w:ascii="宋体" w:hAnsi="宋体" w:cs="宋体"/>
              </w:rPr>
            </w:pPr>
          </w:p>
        </w:tc>
        <w:tc>
          <w:tcPr>
            <w:tcW w:w="704" w:type="dxa"/>
            <w:vAlign w:val="center"/>
          </w:tcPr>
          <w:p>
            <w:pPr>
              <w:tabs>
                <w:tab w:val="left" w:pos="720"/>
              </w:tabs>
              <w:spacing w:line="300" w:lineRule="auto"/>
              <w:jc w:val="center"/>
              <w:rPr>
                <w:rFonts w:ascii="宋体" w:hAnsi="宋体" w:cs="宋体"/>
              </w:rPr>
            </w:pPr>
            <w:r>
              <w:rPr>
                <w:rFonts w:hint="eastAsia" w:ascii="宋体" w:hAnsi="宋体" w:cs="宋体"/>
              </w:rPr>
              <w:t>1.3</w:t>
            </w:r>
          </w:p>
        </w:tc>
        <w:tc>
          <w:tcPr>
            <w:tcW w:w="709" w:type="dxa"/>
            <w:vAlign w:val="center"/>
          </w:tcPr>
          <w:p>
            <w:pPr>
              <w:tabs>
                <w:tab w:val="left" w:pos="720"/>
              </w:tabs>
              <w:spacing w:line="300" w:lineRule="auto"/>
              <w:jc w:val="center"/>
              <w:rPr>
                <w:rFonts w:ascii="Arial" w:hAnsi="Arial" w:cs="Arial"/>
              </w:rPr>
            </w:pPr>
          </w:p>
        </w:tc>
        <w:tc>
          <w:tcPr>
            <w:tcW w:w="6242" w:type="dxa"/>
            <w:vAlign w:val="center"/>
          </w:tcPr>
          <w:p>
            <w:pPr>
              <w:tabs>
                <w:tab w:val="left" w:pos="720"/>
              </w:tabs>
              <w:spacing w:line="300" w:lineRule="auto"/>
              <w:jc w:val="left"/>
              <w:rPr>
                <w:rFonts w:ascii="Arial" w:hAnsi="Arial" w:cs="Arial"/>
              </w:rPr>
            </w:pPr>
            <w:r>
              <w:rPr>
                <w:rFonts w:hint="eastAsia" w:ascii="宋体" w:hAnsi="宋体"/>
              </w:rPr>
              <w:t>环境保护费</w:t>
            </w:r>
          </w:p>
        </w:tc>
        <w:tc>
          <w:tcPr>
            <w:tcW w:w="1134" w:type="dxa"/>
            <w:vAlign w:val="center"/>
          </w:tcPr>
          <w:p>
            <w:pPr>
              <w:tabs>
                <w:tab w:val="left" w:pos="720"/>
              </w:tabs>
              <w:spacing w:line="300" w:lineRule="auto"/>
              <w:jc w:val="center"/>
              <w:rPr>
                <w:rFonts w:ascii="Arial" w:hAnsi="Arial" w:cs="Arial"/>
              </w:rPr>
            </w:pPr>
          </w:p>
        </w:tc>
        <w:tc>
          <w:tcPr>
            <w:tcW w:w="1275" w:type="dxa"/>
          </w:tcPr>
          <w:p>
            <w:pPr>
              <w:tabs>
                <w:tab w:val="left" w:pos="720"/>
              </w:tabs>
              <w:spacing w:line="300" w:lineRule="auto"/>
              <w:jc w:val="center"/>
              <w:rPr>
                <w:rFonts w:ascii="Arial" w:hAnsi="Arial" w:cs="Arial"/>
              </w:rPr>
            </w:pPr>
          </w:p>
        </w:tc>
        <w:tc>
          <w:tcPr>
            <w:tcW w:w="709" w:type="dxa"/>
          </w:tcPr>
          <w:p>
            <w:pPr>
              <w:tabs>
                <w:tab w:val="left" w:pos="720"/>
              </w:tabs>
              <w:spacing w:line="300" w:lineRule="auto"/>
              <w:jc w:val="center"/>
              <w:rPr>
                <w:rFonts w:ascii="Arial" w:hAnsi="Arial" w:cs="Arial"/>
              </w:rPr>
            </w:pPr>
          </w:p>
        </w:tc>
        <w:tc>
          <w:tcPr>
            <w:tcW w:w="851" w:type="dxa"/>
          </w:tcPr>
          <w:p>
            <w:pPr>
              <w:tabs>
                <w:tab w:val="left" w:pos="720"/>
              </w:tabs>
              <w:spacing w:line="300" w:lineRule="auto"/>
              <w:jc w:val="center"/>
              <w:rPr>
                <w:rFonts w:ascii="Arial" w:hAnsi="Arial" w:cs="Arial"/>
              </w:rPr>
            </w:pPr>
          </w:p>
        </w:tc>
        <w:tc>
          <w:tcPr>
            <w:tcW w:w="1134" w:type="dxa"/>
          </w:tcPr>
          <w:p>
            <w:pPr>
              <w:tabs>
                <w:tab w:val="left" w:pos="720"/>
              </w:tabs>
              <w:spacing w:line="300" w:lineRule="auto"/>
              <w:jc w:val="center"/>
              <w:rPr>
                <w:rFonts w:ascii="Arial" w:hAnsi="Arial" w:cs="Arial"/>
              </w:rPr>
            </w:pPr>
          </w:p>
        </w:tc>
        <w:tc>
          <w:tcPr>
            <w:tcW w:w="70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Merge w:val="continue"/>
          </w:tcPr>
          <w:p>
            <w:pPr>
              <w:tabs>
                <w:tab w:val="left" w:pos="720"/>
              </w:tabs>
              <w:spacing w:line="300" w:lineRule="auto"/>
              <w:jc w:val="center"/>
              <w:rPr>
                <w:rFonts w:ascii="宋体" w:hAnsi="宋体" w:cs="宋体"/>
              </w:rPr>
            </w:pPr>
          </w:p>
        </w:tc>
        <w:tc>
          <w:tcPr>
            <w:tcW w:w="704" w:type="dxa"/>
            <w:vAlign w:val="center"/>
          </w:tcPr>
          <w:p>
            <w:pPr>
              <w:tabs>
                <w:tab w:val="left" w:pos="720"/>
              </w:tabs>
              <w:spacing w:line="300" w:lineRule="auto"/>
              <w:jc w:val="center"/>
              <w:rPr>
                <w:rFonts w:ascii="宋体" w:hAnsi="宋体" w:cs="宋体"/>
              </w:rPr>
            </w:pPr>
            <w:r>
              <w:rPr>
                <w:rFonts w:hint="eastAsia" w:ascii="宋体" w:hAnsi="宋体" w:cs="宋体"/>
              </w:rPr>
              <w:t>1.4</w:t>
            </w:r>
          </w:p>
        </w:tc>
        <w:tc>
          <w:tcPr>
            <w:tcW w:w="709" w:type="dxa"/>
            <w:vAlign w:val="center"/>
          </w:tcPr>
          <w:p>
            <w:pPr>
              <w:tabs>
                <w:tab w:val="left" w:pos="720"/>
              </w:tabs>
              <w:spacing w:line="300" w:lineRule="auto"/>
              <w:jc w:val="center"/>
              <w:rPr>
                <w:rFonts w:ascii="Arial" w:hAnsi="Arial" w:cs="Arial"/>
              </w:rPr>
            </w:pPr>
          </w:p>
        </w:tc>
        <w:tc>
          <w:tcPr>
            <w:tcW w:w="6242" w:type="dxa"/>
            <w:vAlign w:val="center"/>
          </w:tcPr>
          <w:p>
            <w:pPr>
              <w:tabs>
                <w:tab w:val="left" w:pos="720"/>
              </w:tabs>
              <w:spacing w:line="300" w:lineRule="auto"/>
              <w:jc w:val="left"/>
              <w:rPr>
                <w:rFonts w:ascii="Arial" w:hAnsi="Arial" w:cs="Arial"/>
              </w:rPr>
            </w:pPr>
            <w:r>
              <w:rPr>
                <w:rFonts w:hint="eastAsia" w:ascii="宋体" w:hAnsi="宋体"/>
              </w:rPr>
              <w:t>临时设施费</w:t>
            </w:r>
          </w:p>
        </w:tc>
        <w:tc>
          <w:tcPr>
            <w:tcW w:w="1134" w:type="dxa"/>
            <w:vAlign w:val="center"/>
          </w:tcPr>
          <w:p>
            <w:pPr>
              <w:tabs>
                <w:tab w:val="left" w:pos="720"/>
              </w:tabs>
              <w:spacing w:line="300" w:lineRule="auto"/>
              <w:jc w:val="center"/>
              <w:rPr>
                <w:rFonts w:ascii="Arial" w:hAnsi="Arial" w:cs="Arial"/>
              </w:rPr>
            </w:pPr>
          </w:p>
        </w:tc>
        <w:tc>
          <w:tcPr>
            <w:tcW w:w="1275" w:type="dxa"/>
          </w:tcPr>
          <w:p>
            <w:pPr>
              <w:tabs>
                <w:tab w:val="left" w:pos="720"/>
              </w:tabs>
              <w:spacing w:line="300" w:lineRule="auto"/>
              <w:jc w:val="center"/>
              <w:rPr>
                <w:rFonts w:ascii="Arial" w:hAnsi="Arial" w:cs="Arial"/>
              </w:rPr>
            </w:pPr>
          </w:p>
        </w:tc>
        <w:tc>
          <w:tcPr>
            <w:tcW w:w="709" w:type="dxa"/>
          </w:tcPr>
          <w:p>
            <w:pPr>
              <w:tabs>
                <w:tab w:val="left" w:pos="720"/>
              </w:tabs>
              <w:spacing w:line="300" w:lineRule="auto"/>
              <w:jc w:val="center"/>
              <w:rPr>
                <w:rFonts w:ascii="Arial" w:hAnsi="Arial" w:cs="Arial"/>
              </w:rPr>
            </w:pPr>
          </w:p>
        </w:tc>
        <w:tc>
          <w:tcPr>
            <w:tcW w:w="851" w:type="dxa"/>
          </w:tcPr>
          <w:p>
            <w:pPr>
              <w:tabs>
                <w:tab w:val="left" w:pos="720"/>
              </w:tabs>
              <w:spacing w:line="300" w:lineRule="auto"/>
              <w:jc w:val="center"/>
              <w:rPr>
                <w:rFonts w:ascii="Arial" w:hAnsi="Arial" w:cs="Arial"/>
              </w:rPr>
            </w:pPr>
          </w:p>
        </w:tc>
        <w:tc>
          <w:tcPr>
            <w:tcW w:w="1134" w:type="dxa"/>
          </w:tcPr>
          <w:p>
            <w:pPr>
              <w:tabs>
                <w:tab w:val="left" w:pos="720"/>
              </w:tabs>
              <w:spacing w:line="300" w:lineRule="auto"/>
              <w:jc w:val="center"/>
              <w:rPr>
                <w:rFonts w:ascii="Arial" w:hAnsi="Arial" w:cs="Arial"/>
              </w:rPr>
            </w:pPr>
          </w:p>
        </w:tc>
        <w:tc>
          <w:tcPr>
            <w:tcW w:w="70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Merge w:val="continue"/>
          </w:tcPr>
          <w:p>
            <w:pPr>
              <w:tabs>
                <w:tab w:val="left" w:pos="720"/>
              </w:tabs>
              <w:spacing w:line="300" w:lineRule="auto"/>
              <w:jc w:val="center"/>
              <w:rPr>
                <w:rFonts w:ascii="宋体" w:hAnsi="宋体" w:cs="宋体"/>
              </w:rPr>
            </w:pPr>
          </w:p>
        </w:tc>
        <w:tc>
          <w:tcPr>
            <w:tcW w:w="1413" w:type="dxa"/>
            <w:gridSpan w:val="2"/>
            <w:vAlign w:val="center"/>
          </w:tcPr>
          <w:p>
            <w:pPr>
              <w:tabs>
                <w:tab w:val="left" w:pos="720"/>
              </w:tabs>
              <w:spacing w:line="300" w:lineRule="auto"/>
              <w:jc w:val="center"/>
              <w:rPr>
                <w:rFonts w:ascii="Arial" w:hAnsi="Arial" w:cs="Arial"/>
              </w:rPr>
            </w:pPr>
            <w:r>
              <w:rPr>
                <w:rFonts w:hint="eastAsia" w:ascii="宋体" w:hAnsi="宋体" w:cs="宋体"/>
              </w:rPr>
              <w:t>其中</w:t>
            </w:r>
          </w:p>
        </w:tc>
        <w:tc>
          <w:tcPr>
            <w:tcW w:w="6242" w:type="dxa"/>
            <w:vAlign w:val="center"/>
          </w:tcPr>
          <w:p>
            <w:pPr>
              <w:tabs>
                <w:tab w:val="left" w:pos="720"/>
              </w:tabs>
              <w:spacing w:line="300" w:lineRule="auto"/>
              <w:jc w:val="left"/>
              <w:rPr>
                <w:rFonts w:ascii="宋体" w:hAnsi="宋体"/>
              </w:rPr>
            </w:pPr>
            <w:r>
              <w:rPr>
                <w:rFonts w:hint="eastAsia" w:ascii="宋体" w:hAnsi="宋体"/>
              </w:rPr>
              <w:t>常态化疫情防控措施费</w:t>
            </w:r>
          </w:p>
        </w:tc>
        <w:tc>
          <w:tcPr>
            <w:tcW w:w="1134" w:type="dxa"/>
            <w:vAlign w:val="center"/>
          </w:tcPr>
          <w:p>
            <w:pPr>
              <w:tabs>
                <w:tab w:val="left" w:pos="720"/>
              </w:tabs>
              <w:spacing w:line="300" w:lineRule="auto"/>
              <w:jc w:val="center"/>
              <w:rPr>
                <w:rFonts w:ascii="Arial" w:hAnsi="Arial" w:cs="Arial"/>
              </w:rPr>
            </w:pPr>
          </w:p>
        </w:tc>
        <w:tc>
          <w:tcPr>
            <w:tcW w:w="1275" w:type="dxa"/>
          </w:tcPr>
          <w:p>
            <w:pPr>
              <w:tabs>
                <w:tab w:val="left" w:pos="720"/>
              </w:tabs>
              <w:spacing w:line="300" w:lineRule="auto"/>
              <w:jc w:val="center"/>
              <w:rPr>
                <w:rFonts w:ascii="Arial" w:hAnsi="Arial" w:cs="Arial"/>
              </w:rPr>
            </w:pPr>
          </w:p>
        </w:tc>
        <w:tc>
          <w:tcPr>
            <w:tcW w:w="709" w:type="dxa"/>
          </w:tcPr>
          <w:p>
            <w:pPr>
              <w:tabs>
                <w:tab w:val="left" w:pos="720"/>
              </w:tabs>
              <w:spacing w:line="300" w:lineRule="auto"/>
              <w:jc w:val="center"/>
              <w:rPr>
                <w:rFonts w:ascii="Arial" w:hAnsi="Arial" w:cs="Arial"/>
              </w:rPr>
            </w:pPr>
          </w:p>
        </w:tc>
        <w:tc>
          <w:tcPr>
            <w:tcW w:w="851" w:type="dxa"/>
          </w:tcPr>
          <w:p>
            <w:pPr>
              <w:tabs>
                <w:tab w:val="left" w:pos="720"/>
              </w:tabs>
              <w:spacing w:line="300" w:lineRule="auto"/>
              <w:jc w:val="center"/>
              <w:rPr>
                <w:rFonts w:ascii="Arial" w:hAnsi="Arial" w:cs="Arial"/>
              </w:rPr>
            </w:pPr>
          </w:p>
        </w:tc>
        <w:tc>
          <w:tcPr>
            <w:tcW w:w="1134" w:type="dxa"/>
          </w:tcPr>
          <w:p>
            <w:pPr>
              <w:tabs>
                <w:tab w:val="left" w:pos="720"/>
              </w:tabs>
              <w:spacing w:line="300" w:lineRule="auto"/>
              <w:jc w:val="center"/>
              <w:rPr>
                <w:rFonts w:ascii="Arial" w:hAnsi="Arial" w:cs="Arial"/>
              </w:rPr>
            </w:pPr>
          </w:p>
        </w:tc>
        <w:tc>
          <w:tcPr>
            <w:tcW w:w="70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8" w:type="dxa"/>
            <w:gridSpan w:val="2"/>
          </w:tcPr>
          <w:p>
            <w:pPr>
              <w:tabs>
                <w:tab w:val="left" w:pos="720"/>
              </w:tabs>
              <w:spacing w:line="300" w:lineRule="auto"/>
              <w:jc w:val="center"/>
              <w:rPr>
                <w:rFonts w:ascii="宋体" w:hAnsi="宋体" w:cs="宋体"/>
              </w:rPr>
            </w:pPr>
            <w:r>
              <w:rPr>
                <w:rFonts w:hint="eastAsia" w:ascii="宋体" w:hAnsi="宋体" w:cs="宋体"/>
              </w:rPr>
              <w:t>2</w:t>
            </w:r>
          </w:p>
        </w:tc>
        <w:tc>
          <w:tcPr>
            <w:tcW w:w="709" w:type="dxa"/>
            <w:vAlign w:val="center"/>
          </w:tcPr>
          <w:p>
            <w:pPr>
              <w:tabs>
                <w:tab w:val="left" w:pos="720"/>
              </w:tabs>
              <w:spacing w:line="300" w:lineRule="auto"/>
              <w:jc w:val="center"/>
              <w:rPr>
                <w:rFonts w:ascii="Arial" w:hAnsi="Arial" w:cs="Arial"/>
              </w:rPr>
            </w:pPr>
          </w:p>
        </w:tc>
        <w:tc>
          <w:tcPr>
            <w:tcW w:w="6242" w:type="dxa"/>
            <w:vAlign w:val="center"/>
          </w:tcPr>
          <w:p>
            <w:pPr>
              <w:tabs>
                <w:tab w:val="left" w:pos="720"/>
              </w:tabs>
              <w:spacing w:line="300" w:lineRule="auto"/>
              <w:jc w:val="left"/>
              <w:rPr>
                <w:rFonts w:ascii="Arial" w:hAnsi="Arial" w:cs="Arial"/>
              </w:rPr>
            </w:pPr>
            <w:r>
              <w:rPr>
                <w:rFonts w:hint="eastAsia" w:ascii="宋体" w:hAnsi="宋体"/>
              </w:rPr>
              <w:t>特殊安全文明施工措施费</w:t>
            </w:r>
          </w:p>
        </w:tc>
        <w:tc>
          <w:tcPr>
            <w:tcW w:w="1134" w:type="dxa"/>
            <w:vAlign w:val="center"/>
          </w:tcPr>
          <w:p>
            <w:pPr>
              <w:tabs>
                <w:tab w:val="left" w:pos="720"/>
              </w:tabs>
              <w:spacing w:line="300" w:lineRule="auto"/>
              <w:jc w:val="center"/>
              <w:rPr>
                <w:rFonts w:ascii="Arial" w:hAnsi="Arial" w:cs="Arial"/>
              </w:rPr>
            </w:pPr>
          </w:p>
        </w:tc>
        <w:tc>
          <w:tcPr>
            <w:tcW w:w="1275" w:type="dxa"/>
          </w:tcPr>
          <w:p>
            <w:pPr>
              <w:tabs>
                <w:tab w:val="left" w:pos="720"/>
              </w:tabs>
              <w:spacing w:line="300" w:lineRule="auto"/>
              <w:jc w:val="center"/>
              <w:rPr>
                <w:rFonts w:ascii="Arial" w:hAnsi="Arial" w:cs="Arial"/>
              </w:rPr>
            </w:pPr>
          </w:p>
        </w:tc>
        <w:tc>
          <w:tcPr>
            <w:tcW w:w="709" w:type="dxa"/>
          </w:tcPr>
          <w:p>
            <w:pPr>
              <w:tabs>
                <w:tab w:val="left" w:pos="720"/>
              </w:tabs>
              <w:spacing w:line="300" w:lineRule="auto"/>
              <w:jc w:val="center"/>
              <w:rPr>
                <w:rFonts w:ascii="Arial" w:hAnsi="Arial" w:cs="Arial"/>
              </w:rPr>
            </w:pPr>
          </w:p>
        </w:tc>
        <w:tc>
          <w:tcPr>
            <w:tcW w:w="851" w:type="dxa"/>
          </w:tcPr>
          <w:p>
            <w:pPr>
              <w:tabs>
                <w:tab w:val="left" w:pos="720"/>
              </w:tabs>
              <w:spacing w:line="300" w:lineRule="auto"/>
              <w:jc w:val="center"/>
              <w:rPr>
                <w:rFonts w:ascii="Arial" w:hAnsi="Arial" w:cs="Arial"/>
              </w:rPr>
            </w:pPr>
          </w:p>
        </w:tc>
        <w:tc>
          <w:tcPr>
            <w:tcW w:w="1134" w:type="dxa"/>
          </w:tcPr>
          <w:p>
            <w:pPr>
              <w:tabs>
                <w:tab w:val="left" w:pos="720"/>
              </w:tabs>
              <w:spacing w:line="300" w:lineRule="auto"/>
              <w:jc w:val="center"/>
              <w:rPr>
                <w:rFonts w:ascii="Arial" w:hAnsi="Arial" w:cs="Arial"/>
              </w:rPr>
            </w:pPr>
          </w:p>
        </w:tc>
        <w:tc>
          <w:tcPr>
            <w:tcW w:w="70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Merge w:val="restart"/>
            <w:vAlign w:val="center"/>
          </w:tcPr>
          <w:p>
            <w:pPr>
              <w:tabs>
                <w:tab w:val="left" w:pos="720"/>
              </w:tabs>
              <w:spacing w:line="300" w:lineRule="auto"/>
              <w:jc w:val="center"/>
              <w:rPr>
                <w:rFonts w:ascii="宋体" w:hAnsi="宋体" w:cs="宋体"/>
              </w:rPr>
            </w:pPr>
            <w:r>
              <w:rPr>
                <w:rFonts w:hint="eastAsia" w:ascii="宋体" w:hAnsi="宋体" w:cs="宋体"/>
              </w:rPr>
              <w:t>其</w:t>
            </w:r>
          </w:p>
          <w:p>
            <w:pPr>
              <w:tabs>
                <w:tab w:val="left" w:pos="720"/>
              </w:tabs>
              <w:spacing w:line="300" w:lineRule="auto"/>
              <w:jc w:val="center"/>
              <w:rPr>
                <w:rFonts w:ascii="宋体" w:hAnsi="宋体" w:cs="宋体"/>
              </w:rPr>
            </w:pPr>
            <w:r>
              <w:rPr>
                <w:rFonts w:hint="eastAsia" w:ascii="宋体" w:hAnsi="宋体" w:cs="宋体"/>
              </w:rPr>
              <w:t>中</w:t>
            </w:r>
          </w:p>
        </w:tc>
        <w:tc>
          <w:tcPr>
            <w:tcW w:w="704" w:type="dxa"/>
            <w:vAlign w:val="center"/>
          </w:tcPr>
          <w:p>
            <w:pPr>
              <w:tabs>
                <w:tab w:val="left" w:pos="720"/>
              </w:tabs>
              <w:spacing w:line="300" w:lineRule="auto"/>
              <w:jc w:val="center"/>
              <w:rPr>
                <w:rFonts w:ascii="宋体" w:hAnsi="宋体" w:cs="宋体"/>
              </w:rPr>
            </w:pPr>
            <w:r>
              <w:rPr>
                <w:rFonts w:hint="eastAsia" w:ascii="宋体" w:hAnsi="宋体" w:cs="宋体"/>
              </w:rPr>
              <w:t>2.1</w:t>
            </w:r>
          </w:p>
        </w:tc>
        <w:tc>
          <w:tcPr>
            <w:tcW w:w="709" w:type="dxa"/>
            <w:vAlign w:val="center"/>
          </w:tcPr>
          <w:p>
            <w:pPr>
              <w:tabs>
                <w:tab w:val="left" w:pos="720"/>
              </w:tabs>
              <w:spacing w:line="300" w:lineRule="auto"/>
              <w:jc w:val="center"/>
              <w:rPr>
                <w:rFonts w:ascii="Arial" w:hAnsi="Arial" w:cs="Arial"/>
              </w:rPr>
            </w:pPr>
          </w:p>
        </w:tc>
        <w:tc>
          <w:tcPr>
            <w:tcW w:w="6242" w:type="dxa"/>
            <w:vAlign w:val="center"/>
          </w:tcPr>
          <w:p>
            <w:pPr>
              <w:tabs>
                <w:tab w:val="left" w:pos="720"/>
              </w:tabs>
              <w:spacing w:line="300" w:lineRule="auto"/>
              <w:jc w:val="left"/>
              <w:rPr>
                <w:rFonts w:ascii="宋体" w:cs="Arial"/>
              </w:rPr>
            </w:pPr>
            <w:r>
              <w:rPr>
                <w:rFonts w:hint="eastAsia" w:ascii="Arial" w:hAnsi="Arial" w:cs="Arial"/>
              </w:rPr>
              <w:t>管理目标等级对应的《图集》标准外项目</w:t>
            </w:r>
            <w:r>
              <w:rPr>
                <w:rFonts w:hint="eastAsia" w:ascii="宋体" w:hAnsi="宋体" w:cs="Arial"/>
              </w:rPr>
              <w:t>措施费</w:t>
            </w:r>
          </w:p>
        </w:tc>
        <w:tc>
          <w:tcPr>
            <w:tcW w:w="1134" w:type="dxa"/>
            <w:vAlign w:val="center"/>
          </w:tcPr>
          <w:p>
            <w:pPr>
              <w:tabs>
                <w:tab w:val="left" w:pos="720"/>
              </w:tabs>
              <w:spacing w:line="300" w:lineRule="auto"/>
              <w:jc w:val="center"/>
              <w:rPr>
                <w:rFonts w:ascii="Arial" w:hAnsi="Arial" w:cs="Arial"/>
              </w:rPr>
            </w:pPr>
          </w:p>
        </w:tc>
        <w:tc>
          <w:tcPr>
            <w:tcW w:w="1275" w:type="dxa"/>
          </w:tcPr>
          <w:p>
            <w:pPr>
              <w:tabs>
                <w:tab w:val="left" w:pos="720"/>
              </w:tabs>
              <w:spacing w:line="300" w:lineRule="auto"/>
              <w:jc w:val="center"/>
              <w:rPr>
                <w:rFonts w:ascii="Arial" w:hAnsi="Arial" w:cs="Arial"/>
              </w:rPr>
            </w:pPr>
          </w:p>
        </w:tc>
        <w:tc>
          <w:tcPr>
            <w:tcW w:w="709" w:type="dxa"/>
          </w:tcPr>
          <w:p>
            <w:pPr>
              <w:tabs>
                <w:tab w:val="left" w:pos="720"/>
              </w:tabs>
              <w:spacing w:line="300" w:lineRule="auto"/>
              <w:jc w:val="center"/>
              <w:rPr>
                <w:rFonts w:ascii="Arial" w:hAnsi="Arial" w:cs="Arial"/>
              </w:rPr>
            </w:pPr>
          </w:p>
        </w:tc>
        <w:tc>
          <w:tcPr>
            <w:tcW w:w="851" w:type="dxa"/>
          </w:tcPr>
          <w:p>
            <w:pPr>
              <w:tabs>
                <w:tab w:val="left" w:pos="720"/>
              </w:tabs>
              <w:spacing w:line="300" w:lineRule="auto"/>
              <w:jc w:val="center"/>
              <w:rPr>
                <w:rFonts w:ascii="Arial" w:hAnsi="Arial" w:cs="Arial"/>
              </w:rPr>
            </w:pPr>
          </w:p>
        </w:tc>
        <w:tc>
          <w:tcPr>
            <w:tcW w:w="1134" w:type="dxa"/>
          </w:tcPr>
          <w:p>
            <w:pPr>
              <w:tabs>
                <w:tab w:val="left" w:pos="720"/>
              </w:tabs>
              <w:spacing w:line="300" w:lineRule="auto"/>
              <w:jc w:val="center"/>
              <w:rPr>
                <w:rFonts w:ascii="Arial" w:hAnsi="Arial" w:cs="Arial"/>
              </w:rPr>
            </w:pPr>
          </w:p>
        </w:tc>
        <w:tc>
          <w:tcPr>
            <w:tcW w:w="70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Merge w:val="continue"/>
          </w:tcPr>
          <w:p>
            <w:pPr>
              <w:tabs>
                <w:tab w:val="left" w:pos="720"/>
              </w:tabs>
              <w:spacing w:line="300" w:lineRule="auto"/>
              <w:jc w:val="center"/>
              <w:rPr>
                <w:rFonts w:ascii="宋体" w:hAnsi="宋体" w:cs="宋体"/>
              </w:rPr>
            </w:pPr>
          </w:p>
        </w:tc>
        <w:tc>
          <w:tcPr>
            <w:tcW w:w="704" w:type="dxa"/>
            <w:vAlign w:val="center"/>
          </w:tcPr>
          <w:p>
            <w:pPr>
              <w:tabs>
                <w:tab w:val="left" w:pos="720"/>
              </w:tabs>
              <w:spacing w:line="300" w:lineRule="auto"/>
              <w:jc w:val="center"/>
              <w:rPr>
                <w:rFonts w:ascii="宋体" w:hAnsi="宋体" w:cs="宋体"/>
              </w:rPr>
            </w:pPr>
            <w:r>
              <w:rPr>
                <w:rFonts w:hint="eastAsia" w:ascii="宋体" w:hAnsi="宋体" w:cs="宋体"/>
              </w:rPr>
              <w:t>2.2</w:t>
            </w:r>
          </w:p>
        </w:tc>
        <w:tc>
          <w:tcPr>
            <w:tcW w:w="709" w:type="dxa"/>
            <w:vAlign w:val="center"/>
          </w:tcPr>
          <w:p>
            <w:pPr>
              <w:tabs>
                <w:tab w:val="left" w:pos="720"/>
              </w:tabs>
              <w:spacing w:line="300" w:lineRule="auto"/>
              <w:jc w:val="center"/>
              <w:rPr>
                <w:rFonts w:ascii="Arial" w:hAnsi="Arial" w:cs="Arial"/>
              </w:rPr>
            </w:pPr>
          </w:p>
        </w:tc>
        <w:tc>
          <w:tcPr>
            <w:tcW w:w="6242" w:type="dxa"/>
            <w:vAlign w:val="center"/>
          </w:tcPr>
          <w:p>
            <w:pPr>
              <w:tabs>
                <w:tab w:val="left" w:pos="720"/>
              </w:tabs>
              <w:spacing w:line="300" w:lineRule="auto"/>
              <w:jc w:val="left"/>
              <w:rPr>
                <w:rFonts w:ascii="宋体" w:cs="Arial"/>
              </w:rPr>
            </w:pPr>
            <w:r>
              <w:rPr>
                <w:rFonts w:hint="eastAsia" w:ascii="宋体" w:hAnsi="宋体" w:cs="Arial"/>
              </w:rPr>
              <w:t>超过一定规模的危大工程对应的安全文明施工增加措施费</w:t>
            </w:r>
          </w:p>
        </w:tc>
        <w:tc>
          <w:tcPr>
            <w:tcW w:w="1134" w:type="dxa"/>
            <w:vAlign w:val="center"/>
          </w:tcPr>
          <w:p>
            <w:pPr>
              <w:tabs>
                <w:tab w:val="left" w:pos="720"/>
              </w:tabs>
              <w:spacing w:line="300" w:lineRule="auto"/>
              <w:jc w:val="center"/>
              <w:rPr>
                <w:rFonts w:ascii="Arial" w:hAnsi="Arial" w:cs="Arial"/>
              </w:rPr>
            </w:pPr>
          </w:p>
        </w:tc>
        <w:tc>
          <w:tcPr>
            <w:tcW w:w="1275" w:type="dxa"/>
          </w:tcPr>
          <w:p>
            <w:pPr>
              <w:tabs>
                <w:tab w:val="left" w:pos="720"/>
              </w:tabs>
              <w:spacing w:line="300" w:lineRule="auto"/>
              <w:jc w:val="center"/>
              <w:rPr>
                <w:rFonts w:ascii="Arial" w:hAnsi="Arial" w:cs="Arial"/>
              </w:rPr>
            </w:pPr>
          </w:p>
        </w:tc>
        <w:tc>
          <w:tcPr>
            <w:tcW w:w="709" w:type="dxa"/>
          </w:tcPr>
          <w:p>
            <w:pPr>
              <w:tabs>
                <w:tab w:val="left" w:pos="720"/>
              </w:tabs>
              <w:spacing w:line="300" w:lineRule="auto"/>
              <w:jc w:val="center"/>
              <w:rPr>
                <w:rFonts w:ascii="Arial" w:hAnsi="Arial" w:cs="Arial"/>
              </w:rPr>
            </w:pPr>
          </w:p>
        </w:tc>
        <w:tc>
          <w:tcPr>
            <w:tcW w:w="851" w:type="dxa"/>
          </w:tcPr>
          <w:p>
            <w:pPr>
              <w:tabs>
                <w:tab w:val="left" w:pos="720"/>
              </w:tabs>
              <w:spacing w:line="300" w:lineRule="auto"/>
              <w:jc w:val="center"/>
              <w:rPr>
                <w:rFonts w:ascii="Arial" w:hAnsi="Arial" w:cs="Arial"/>
              </w:rPr>
            </w:pPr>
          </w:p>
        </w:tc>
        <w:tc>
          <w:tcPr>
            <w:tcW w:w="1134" w:type="dxa"/>
          </w:tcPr>
          <w:p>
            <w:pPr>
              <w:tabs>
                <w:tab w:val="left" w:pos="720"/>
              </w:tabs>
              <w:spacing w:line="300" w:lineRule="auto"/>
              <w:jc w:val="center"/>
              <w:rPr>
                <w:rFonts w:ascii="Arial" w:hAnsi="Arial" w:cs="Arial"/>
              </w:rPr>
            </w:pPr>
          </w:p>
        </w:tc>
        <w:tc>
          <w:tcPr>
            <w:tcW w:w="70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Merge w:val="continue"/>
          </w:tcPr>
          <w:p>
            <w:pPr>
              <w:tabs>
                <w:tab w:val="left" w:pos="720"/>
              </w:tabs>
              <w:spacing w:line="300" w:lineRule="auto"/>
              <w:jc w:val="center"/>
              <w:rPr>
                <w:rFonts w:ascii="宋体" w:hAnsi="宋体" w:cs="宋体"/>
              </w:rPr>
            </w:pPr>
          </w:p>
        </w:tc>
        <w:tc>
          <w:tcPr>
            <w:tcW w:w="704" w:type="dxa"/>
            <w:vAlign w:val="center"/>
          </w:tcPr>
          <w:p>
            <w:pPr>
              <w:tabs>
                <w:tab w:val="left" w:pos="720"/>
              </w:tabs>
              <w:spacing w:line="300" w:lineRule="auto"/>
              <w:jc w:val="center"/>
              <w:rPr>
                <w:rFonts w:ascii="宋体" w:hAnsi="宋体" w:cs="宋体"/>
              </w:rPr>
            </w:pPr>
            <w:r>
              <w:rPr>
                <w:rFonts w:hint="eastAsia" w:ascii="宋体" w:hAnsi="宋体" w:cs="宋体"/>
              </w:rPr>
              <w:t>2.3</w:t>
            </w:r>
          </w:p>
        </w:tc>
        <w:tc>
          <w:tcPr>
            <w:tcW w:w="709" w:type="dxa"/>
            <w:vAlign w:val="center"/>
          </w:tcPr>
          <w:p>
            <w:pPr>
              <w:tabs>
                <w:tab w:val="left" w:pos="720"/>
              </w:tabs>
              <w:spacing w:line="300" w:lineRule="auto"/>
              <w:jc w:val="center"/>
              <w:rPr>
                <w:rFonts w:ascii="Arial" w:hAnsi="Arial" w:cs="Arial"/>
              </w:rPr>
            </w:pPr>
          </w:p>
        </w:tc>
        <w:tc>
          <w:tcPr>
            <w:tcW w:w="6242" w:type="dxa"/>
            <w:vAlign w:val="center"/>
          </w:tcPr>
          <w:p>
            <w:pPr>
              <w:tabs>
                <w:tab w:val="left" w:pos="720"/>
              </w:tabs>
              <w:spacing w:line="300" w:lineRule="auto"/>
              <w:jc w:val="left"/>
              <w:rPr>
                <w:rFonts w:ascii="宋体" w:cs="Arial"/>
              </w:rPr>
            </w:pPr>
            <w:r>
              <w:rPr>
                <w:rFonts w:hint="eastAsia" w:ascii="宋体" w:hAnsi="宋体"/>
              </w:rPr>
              <w:t>其他特殊安全文明施工措施费</w:t>
            </w:r>
          </w:p>
        </w:tc>
        <w:tc>
          <w:tcPr>
            <w:tcW w:w="1134" w:type="dxa"/>
            <w:vAlign w:val="center"/>
          </w:tcPr>
          <w:p>
            <w:pPr>
              <w:tabs>
                <w:tab w:val="left" w:pos="720"/>
              </w:tabs>
              <w:spacing w:line="300" w:lineRule="auto"/>
              <w:jc w:val="center"/>
              <w:rPr>
                <w:rFonts w:ascii="Arial" w:hAnsi="Arial" w:cs="Arial"/>
              </w:rPr>
            </w:pPr>
          </w:p>
        </w:tc>
        <w:tc>
          <w:tcPr>
            <w:tcW w:w="1275" w:type="dxa"/>
          </w:tcPr>
          <w:p>
            <w:pPr>
              <w:tabs>
                <w:tab w:val="left" w:pos="720"/>
              </w:tabs>
              <w:spacing w:line="300" w:lineRule="auto"/>
              <w:jc w:val="center"/>
              <w:rPr>
                <w:rFonts w:ascii="Arial" w:hAnsi="Arial" w:cs="Arial"/>
              </w:rPr>
            </w:pPr>
          </w:p>
        </w:tc>
        <w:tc>
          <w:tcPr>
            <w:tcW w:w="709" w:type="dxa"/>
          </w:tcPr>
          <w:p>
            <w:pPr>
              <w:tabs>
                <w:tab w:val="left" w:pos="720"/>
              </w:tabs>
              <w:spacing w:line="300" w:lineRule="auto"/>
              <w:jc w:val="center"/>
              <w:rPr>
                <w:rFonts w:ascii="Arial" w:hAnsi="Arial" w:cs="Arial"/>
              </w:rPr>
            </w:pPr>
          </w:p>
        </w:tc>
        <w:tc>
          <w:tcPr>
            <w:tcW w:w="851" w:type="dxa"/>
          </w:tcPr>
          <w:p>
            <w:pPr>
              <w:tabs>
                <w:tab w:val="left" w:pos="720"/>
              </w:tabs>
              <w:spacing w:line="300" w:lineRule="auto"/>
              <w:jc w:val="center"/>
              <w:rPr>
                <w:rFonts w:ascii="Arial" w:hAnsi="Arial" w:cs="Arial"/>
              </w:rPr>
            </w:pPr>
          </w:p>
        </w:tc>
        <w:tc>
          <w:tcPr>
            <w:tcW w:w="1134" w:type="dxa"/>
          </w:tcPr>
          <w:p>
            <w:pPr>
              <w:tabs>
                <w:tab w:val="left" w:pos="720"/>
              </w:tabs>
              <w:spacing w:line="300" w:lineRule="auto"/>
              <w:jc w:val="center"/>
              <w:rPr>
                <w:rFonts w:ascii="Arial" w:hAnsi="Arial" w:cs="Arial"/>
              </w:rPr>
            </w:pPr>
          </w:p>
        </w:tc>
        <w:tc>
          <w:tcPr>
            <w:tcW w:w="708" w:type="dxa"/>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59" w:type="dxa"/>
            <w:gridSpan w:val="4"/>
          </w:tcPr>
          <w:p>
            <w:pPr>
              <w:tabs>
                <w:tab w:val="left" w:pos="720"/>
              </w:tabs>
              <w:spacing w:line="300" w:lineRule="auto"/>
              <w:jc w:val="center"/>
              <w:rPr>
                <w:rFonts w:ascii="Arial" w:hAnsi="Arial" w:cs="Arial"/>
              </w:rPr>
            </w:pPr>
            <w:r>
              <w:rPr>
                <w:rFonts w:hint="eastAsia" w:ascii="Arial" w:hAnsi="Arial" w:cs="Arial"/>
              </w:rPr>
              <w:t>合计</w:t>
            </w:r>
          </w:p>
        </w:tc>
        <w:tc>
          <w:tcPr>
            <w:tcW w:w="1134" w:type="dxa"/>
            <w:vAlign w:val="center"/>
          </w:tcPr>
          <w:p>
            <w:pPr>
              <w:tabs>
                <w:tab w:val="left" w:pos="720"/>
              </w:tabs>
              <w:spacing w:line="300" w:lineRule="auto"/>
              <w:jc w:val="center"/>
              <w:rPr>
                <w:rFonts w:ascii="Arial" w:hAnsi="Arial" w:cs="Arial"/>
              </w:rPr>
            </w:pPr>
          </w:p>
        </w:tc>
        <w:tc>
          <w:tcPr>
            <w:tcW w:w="1275" w:type="dxa"/>
            <w:vAlign w:val="center"/>
          </w:tcPr>
          <w:p>
            <w:pPr>
              <w:tabs>
                <w:tab w:val="left" w:pos="720"/>
              </w:tabs>
              <w:spacing w:line="300" w:lineRule="auto"/>
              <w:jc w:val="center"/>
              <w:rPr>
                <w:rFonts w:ascii="Arial" w:hAnsi="Arial" w:cs="Arial"/>
              </w:rPr>
            </w:pPr>
          </w:p>
        </w:tc>
        <w:tc>
          <w:tcPr>
            <w:tcW w:w="709" w:type="dxa"/>
          </w:tcPr>
          <w:p>
            <w:pPr>
              <w:tabs>
                <w:tab w:val="left" w:pos="720"/>
              </w:tabs>
              <w:spacing w:line="300" w:lineRule="auto"/>
              <w:jc w:val="center"/>
              <w:rPr>
                <w:rFonts w:ascii="Arial" w:hAnsi="Arial" w:cs="Arial"/>
              </w:rPr>
            </w:pPr>
          </w:p>
        </w:tc>
        <w:tc>
          <w:tcPr>
            <w:tcW w:w="851" w:type="dxa"/>
          </w:tcPr>
          <w:p>
            <w:pPr>
              <w:tabs>
                <w:tab w:val="left" w:pos="720"/>
              </w:tabs>
              <w:spacing w:line="300" w:lineRule="auto"/>
              <w:jc w:val="center"/>
              <w:rPr>
                <w:rFonts w:ascii="Arial" w:hAnsi="Arial" w:cs="Arial"/>
              </w:rPr>
            </w:pPr>
          </w:p>
        </w:tc>
        <w:tc>
          <w:tcPr>
            <w:tcW w:w="1134" w:type="dxa"/>
          </w:tcPr>
          <w:p>
            <w:pPr>
              <w:tabs>
                <w:tab w:val="left" w:pos="720"/>
              </w:tabs>
              <w:spacing w:line="300" w:lineRule="auto"/>
              <w:jc w:val="center"/>
              <w:rPr>
                <w:rFonts w:ascii="Arial" w:hAnsi="Arial" w:cs="Arial"/>
              </w:rPr>
            </w:pPr>
          </w:p>
        </w:tc>
        <w:tc>
          <w:tcPr>
            <w:tcW w:w="708" w:type="dxa"/>
            <w:vAlign w:val="center"/>
          </w:tcPr>
          <w:p>
            <w:pPr>
              <w:tabs>
                <w:tab w:val="left" w:pos="720"/>
              </w:tabs>
              <w:spacing w:line="300" w:lineRule="auto"/>
              <w:jc w:val="center"/>
              <w:rPr>
                <w:rFonts w:ascii="Arial" w:hAnsi="Arial" w:cs="Arial"/>
              </w:rPr>
            </w:pPr>
          </w:p>
        </w:tc>
      </w:tr>
    </w:tbl>
    <w:p>
      <w:pPr>
        <w:tabs>
          <w:tab w:val="left" w:pos="720"/>
        </w:tabs>
        <w:spacing w:after="120" w:afterLines="50"/>
        <w:rPr>
          <w:rFonts w:ascii="Arial" w:hAnsi="Arial" w:cs="Arial"/>
        </w:rPr>
      </w:pP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p>
      <w:pPr>
        <w:tabs>
          <w:tab w:val="left" w:pos="0"/>
        </w:tabs>
        <w:spacing w:before="120" w:beforeLines="50" w:after="120" w:afterLines="50" w:line="300" w:lineRule="auto"/>
        <w:ind w:left="707" w:leftChars="1" w:right="66" w:hanging="705" w:hangingChars="336"/>
        <w:rPr>
          <w:rFonts w:ascii="宋体" w:hAnsi="宋体" w:cs="Arial"/>
        </w:rPr>
      </w:pPr>
      <w:r>
        <w:rPr>
          <w:rFonts w:hint="eastAsia" w:ascii="宋体" w:hAnsi="宋体" w:cs="Arial"/>
        </w:rPr>
        <w:t>注：1.依据总价措施项目清单组价分析表，在“</w:t>
      </w:r>
      <w:r>
        <w:rPr>
          <w:rFonts w:hint="eastAsia" w:ascii="Arial" w:hAnsi="Arial" w:cs="Arial"/>
        </w:rPr>
        <w:t>实际成本</w:t>
      </w:r>
      <w:r>
        <w:rPr>
          <w:rFonts w:hint="eastAsia" w:ascii="宋体" w:hAnsi="宋体" w:cs="Arial"/>
        </w:rPr>
        <w:t>”“</w:t>
      </w:r>
      <w:r>
        <w:rPr>
          <w:rFonts w:hint="eastAsia" w:ascii="Arial" w:hAnsi="Arial" w:cs="Arial"/>
        </w:rPr>
        <w:t>企业管理费”“利润”</w:t>
      </w:r>
      <w:r>
        <w:rPr>
          <w:rFonts w:hint="eastAsia" w:ascii="宋体" w:hAnsi="宋体" w:cs="Arial"/>
        </w:rPr>
        <w:t>填写对应数值。并逐项在总价措施项目清单组价分析表中列明施工方案出处及计算方法。</w:t>
      </w:r>
    </w:p>
    <w:p>
      <w:pPr>
        <w:spacing w:line="300" w:lineRule="auto"/>
        <w:ind w:firstLine="420" w:firstLineChars="200"/>
        <w:rPr>
          <w:rFonts w:ascii="宋体" w:hAnsi="宋体" w:cs="宋体"/>
          <w:szCs w:val="21"/>
        </w:rPr>
      </w:pPr>
      <w:bookmarkStart w:id="1178" w:name="_Toc10235188"/>
      <w:bookmarkStart w:id="1179" w:name="_Toc10233960"/>
      <w:r>
        <w:rPr>
          <w:rFonts w:hint="eastAsia" w:ascii="宋体" w:hAnsi="宋体" w:cs="宋体"/>
          <w:szCs w:val="21"/>
        </w:rPr>
        <w:t>2</w:t>
      </w:r>
      <w:r>
        <w:rPr>
          <w:rFonts w:ascii="宋体" w:hAnsi="宋体" w:cs="宋体"/>
          <w:szCs w:val="21"/>
        </w:rPr>
        <w:t>.</w:t>
      </w:r>
      <w:r>
        <w:rPr>
          <w:rFonts w:hint="eastAsia" w:ascii="宋体" w:hAnsi="宋体" w:cs="宋体"/>
          <w:szCs w:val="21"/>
        </w:rPr>
        <w:t>“管理目标等级（</w:t>
      </w:r>
      <w:r>
        <w:rPr>
          <w:rFonts w:ascii="宋体" w:hAnsi="宋体" w:cs="宋体"/>
          <w:szCs w:val="21"/>
          <w:u w:val="single"/>
        </w:rPr>
        <w:t xml:space="preserve">       </w:t>
      </w:r>
      <w:r>
        <w:rPr>
          <w:rFonts w:hint="eastAsia" w:ascii="宋体" w:hAnsi="宋体" w:cs="宋体"/>
          <w:szCs w:val="21"/>
        </w:rPr>
        <w:t>）对应的《图集》标准内项目措施费”中“（</w:t>
      </w:r>
      <w:r>
        <w:rPr>
          <w:rFonts w:ascii="宋体" w:hAnsi="宋体" w:cs="宋体"/>
          <w:szCs w:val="21"/>
          <w:u w:val="single"/>
        </w:rPr>
        <w:t xml:space="preserve">       </w:t>
      </w:r>
      <w:r>
        <w:rPr>
          <w:rFonts w:hint="eastAsia" w:ascii="宋体" w:hAnsi="宋体" w:cs="宋体"/>
          <w:szCs w:val="21"/>
        </w:rPr>
        <w:t>）”填写要求：招标工程量清单和最高投标限价中填写招标人要求</w:t>
      </w:r>
    </w:p>
    <w:p>
      <w:pPr>
        <w:spacing w:line="300" w:lineRule="auto"/>
        <w:ind w:firstLine="735" w:firstLineChars="350"/>
        <w:rPr>
          <w:rFonts w:ascii="宋体" w:hAnsi="宋体" w:cs="宋体"/>
          <w:szCs w:val="21"/>
        </w:rPr>
      </w:pPr>
      <w:r>
        <w:rPr>
          <w:rFonts w:hint="eastAsia" w:ascii="宋体" w:hAnsi="宋体" w:cs="宋体"/>
          <w:szCs w:val="21"/>
        </w:rPr>
        <w:t>的管理目标等级；投标报价中填报的管理目标等级须与投标函中所填报的管理目标等级一致，且不得低于招标人要求的管理目标等级。</w:t>
      </w:r>
    </w:p>
    <w:p>
      <w:pPr>
        <w:tabs>
          <w:tab w:val="left" w:pos="0"/>
        </w:tabs>
        <w:spacing w:before="120" w:beforeLines="50" w:after="120" w:afterLines="50" w:line="300" w:lineRule="auto"/>
        <w:ind w:left="707" w:leftChars="201" w:right="66" w:hanging="285" w:hangingChars="136"/>
        <w:rPr>
          <w:rFonts w:ascii="宋体" w:hAnsi="宋体" w:cs="Arial"/>
        </w:rPr>
        <w:sectPr>
          <w:pgSz w:w="16838" w:h="11906" w:orient="landscape"/>
          <w:pgMar w:top="1797" w:right="1440" w:bottom="1276" w:left="1440" w:header="851" w:footer="992" w:gutter="0"/>
          <w:cols w:space="720" w:num="1"/>
        </w:sectPr>
      </w:pPr>
      <w:r>
        <w:rPr>
          <w:rFonts w:hint="eastAsia" w:ascii="宋体" w:hAnsi="宋体" w:cs="宋体"/>
          <w:szCs w:val="21"/>
        </w:rPr>
        <w:t>3</w:t>
      </w:r>
      <w:r>
        <w:rPr>
          <w:rFonts w:ascii="宋体" w:hAnsi="宋体" w:cs="宋体"/>
          <w:szCs w:val="21"/>
        </w:rPr>
        <w:t>.</w:t>
      </w:r>
      <w:r>
        <w:rPr>
          <w:rFonts w:hint="eastAsia" w:ascii="宋体" w:hAnsi="宋体" w:cs="宋体"/>
          <w:szCs w:val="21"/>
        </w:rPr>
        <w:t>管理目标等级对应的《图集》标准内项目措施费金额为其项下安全施工费、文明施工费、环境保护费和临时设施费的金额之和。</w:t>
      </w:r>
    </w:p>
    <w:bookmarkEnd w:id="1173"/>
    <w:bookmarkEnd w:id="1174"/>
    <w:bookmarkEnd w:id="1175"/>
    <w:bookmarkEnd w:id="1176"/>
    <w:bookmarkEnd w:id="1177"/>
    <w:bookmarkEnd w:id="1178"/>
    <w:bookmarkEnd w:id="1179"/>
    <w:p>
      <w:pPr>
        <w:pStyle w:val="148"/>
      </w:pPr>
      <w:r>
        <w:rPr>
          <w:rFonts w:hint="eastAsia"/>
        </w:rPr>
        <w:t>施工垃圾场外运输和消纳费明细表</w:t>
      </w:r>
    </w:p>
    <w:p>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施工垃圾场外运输和消纳费明细表</w:t>
      </w:r>
    </w:p>
    <w:p>
      <w:pPr>
        <w:tabs>
          <w:tab w:val="left" w:pos="720"/>
        </w:tabs>
        <w:spacing w:after="120" w:afterLines="50" w:line="300" w:lineRule="auto"/>
        <w:rPr>
          <w:rFonts w:ascii="Arial" w:hAnsi="Arial" w:cs="Arial"/>
          <w:szCs w:val="22"/>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10"/>
        <w:gridCol w:w="2724"/>
        <w:gridCol w:w="710"/>
        <w:gridCol w:w="992"/>
        <w:gridCol w:w="1755"/>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序号</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项目</w:t>
            </w:r>
          </w:p>
          <w:p>
            <w:pPr>
              <w:tabs>
                <w:tab w:val="left" w:pos="720"/>
              </w:tabs>
              <w:spacing w:line="300" w:lineRule="auto"/>
              <w:jc w:val="center"/>
              <w:rPr>
                <w:rFonts w:ascii="Arial" w:hAnsi="Arial" w:cs="Arial"/>
              </w:rPr>
            </w:pPr>
            <w:r>
              <w:rPr>
                <w:rFonts w:hint="eastAsia" w:ascii="Arial" w:hAnsi="Arial" w:cs="Arial"/>
              </w:rPr>
              <w:t>编码</w:t>
            </w: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子目名称</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计算基础</w:t>
            </w: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费率（</w:t>
            </w:r>
            <w:r>
              <w:rPr>
                <w:rFonts w:ascii="Arial" w:hAnsi="Arial" w:cs="Arial"/>
              </w:rPr>
              <w:t>%</w:t>
            </w:r>
            <w:r>
              <w:rPr>
                <w:rFonts w:hint="eastAsia" w:ascii="Arial" w:hAnsi="Arial" w:cs="Arial"/>
              </w:rPr>
              <w:t>）</w:t>
            </w:r>
          </w:p>
        </w:tc>
        <w:tc>
          <w:tcPr>
            <w:tcW w:w="1755"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不含税金额</w:t>
            </w:r>
          </w:p>
          <w:p>
            <w:pPr>
              <w:tabs>
                <w:tab w:val="left" w:pos="720"/>
              </w:tabs>
              <w:spacing w:line="300" w:lineRule="auto"/>
              <w:jc w:val="center"/>
              <w:rPr>
                <w:rFonts w:ascii="Arial" w:hAnsi="Arial" w:cs="Arial"/>
              </w:rPr>
            </w:pPr>
            <w:r>
              <w:rPr>
                <w:rFonts w:hint="eastAsia" w:ascii="Arial" w:hAnsi="Arial" w:cs="Arial"/>
              </w:rPr>
              <w:t>（元）</w:t>
            </w: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1</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r>
              <w:rPr>
                <w:rFonts w:hint="eastAsia" w:ascii="Arial" w:hAnsi="Arial" w:cs="Arial"/>
              </w:rPr>
              <w:t>（</w:t>
            </w:r>
            <w:r>
              <w:rPr>
                <w:rFonts w:hint="eastAsia" w:ascii="宋体" w:hAnsi="宋体" w:cs="宋体"/>
                <w:kern w:val="0"/>
                <w:szCs w:val="21"/>
              </w:rPr>
              <w:t>XXXX</w:t>
            </w:r>
            <w:r>
              <w:rPr>
                <w:rFonts w:hint="eastAsia" w:ascii="Arial" w:hAnsi="Arial" w:cs="Arial"/>
              </w:rPr>
              <w:t>单项工程）施工垃圾场外运输和消纳费</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ind w:right="-143" w:rightChars="-68"/>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1.1</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r>
              <w:rPr>
                <w:rFonts w:hint="eastAsia" w:ascii="宋体" w:hAnsi="宋体" w:cs="宋体"/>
                <w:kern w:val="0"/>
                <w:szCs w:val="21"/>
              </w:rPr>
              <w:t>（XXXX单位工程）</w:t>
            </w:r>
            <w:r>
              <w:rPr>
                <w:rFonts w:hint="eastAsia" w:ascii="Arial" w:hAnsi="Arial" w:cs="Arial"/>
              </w:rPr>
              <w:t>施工垃圾场外运输和消纳费</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1.2</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u w:val="single"/>
              </w:rPr>
            </w:pPr>
            <w:r>
              <w:rPr>
                <w:rFonts w:hint="eastAsia" w:ascii="宋体" w:hAnsi="宋体" w:cs="宋体"/>
                <w:bCs/>
                <w:iCs/>
                <w:kern w:val="0"/>
                <w:szCs w:val="20"/>
              </w:rPr>
              <w:t>……</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u w:val="single"/>
              </w:rPr>
            </w:pP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2</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ind w:leftChars="-34" w:hanging="71" w:hangingChars="34"/>
              <w:jc w:val="left"/>
              <w:rPr>
                <w:rFonts w:ascii="Arial" w:hAnsi="Arial" w:cs="Arial"/>
                <w:u w:val="single"/>
              </w:rPr>
            </w:pPr>
            <w:r>
              <w:rPr>
                <w:rFonts w:hint="eastAsia" w:ascii="Arial" w:hAnsi="Arial" w:cs="Arial"/>
              </w:rPr>
              <w:t>（</w:t>
            </w:r>
            <w:r>
              <w:rPr>
                <w:rFonts w:hint="eastAsia" w:ascii="宋体" w:hAnsi="宋体" w:cs="宋体"/>
                <w:kern w:val="0"/>
                <w:szCs w:val="21"/>
              </w:rPr>
              <w:t>XXXX</w:t>
            </w:r>
            <w:r>
              <w:rPr>
                <w:rFonts w:hint="eastAsia" w:ascii="Arial" w:hAnsi="Arial" w:cs="Arial"/>
              </w:rPr>
              <w:t>单项工程）施工垃圾场外运输和消纳费</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2.1</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u w:val="single"/>
              </w:rPr>
            </w:pPr>
            <w:r>
              <w:rPr>
                <w:rFonts w:hint="eastAsia" w:ascii="宋体" w:hAnsi="宋体" w:cs="宋体"/>
                <w:kern w:val="0"/>
                <w:szCs w:val="21"/>
              </w:rPr>
              <w:t>（XXXX单位工程）</w:t>
            </w:r>
            <w:r>
              <w:rPr>
                <w:rFonts w:hint="eastAsia" w:ascii="Arial" w:hAnsi="Arial" w:cs="Arial"/>
              </w:rPr>
              <w:t>施工垃圾场外运输和消纳费</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2.2</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u w:val="single"/>
              </w:rPr>
            </w:pPr>
            <w:r>
              <w:rPr>
                <w:rFonts w:hint="eastAsia" w:ascii="宋体" w:hAnsi="宋体" w:cs="宋体"/>
                <w:bCs/>
                <w:iCs/>
                <w:kern w:val="0"/>
                <w:szCs w:val="20"/>
              </w:rPr>
              <w:t>……</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u w:val="single"/>
              </w:rPr>
            </w:pP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宋体" w:hAnsi="宋体" w:cs="宋体"/>
                <w:bCs/>
                <w:iCs/>
                <w:kern w:val="0"/>
                <w:szCs w:val="20"/>
              </w:rPr>
              <w:t>…</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r>
              <w:rPr>
                <w:rFonts w:hint="eastAsia" w:ascii="宋体" w:hAnsi="宋体" w:cs="宋体"/>
                <w:bCs/>
                <w:iCs/>
                <w:kern w:val="0"/>
                <w:szCs w:val="20"/>
              </w:rPr>
              <w:t>……</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272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43" w:type="dxa"/>
            <w:gridSpan w:val="3"/>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合计</w:t>
            </w:r>
          </w:p>
        </w:tc>
        <w:tc>
          <w:tcPr>
            <w:tcW w:w="71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75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1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bl>
    <w:p>
      <w:pPr>
        <w:tabs>
          <w:tab w:val="left" w:pos="720"/>
        </w:tabs>
        <w:spacing w:line="300" w:lineRule="auto"/>
        <w:ind w:right="28"/>
        <w:rPr>
          <w:rFonts w:ascii="黑体" w:hAnsi="Arial" w:eastAsia="黑体" w:cs="Arial"/>
          <w:szCs w:val="21"/>
        </w:rPr>
      </w:pPr>
    </w:p>
    <w:p>
      <w:pPr>
        <w:tabs>
          <w:tab w:val="left" w:pos="426"/>
        </w:tabs>
        <w:spacing w:before="120" w:beforeLines="50" w:after="120" w:afterLines="50" w:line="300" w:lineRule="auto"/>
        <w:ind w:left="567" w:right="28" w:hanging="567" w:hangingChars="270"/>
        <w:rPr>
          <w:rFonts w:ascii="宋体" w:hAnsi="宋体" w:cs="Arial"/>
          <w:szCs w:val="21"/>
        </w:rPr>
      </w:pPr>
      <w:r>
        <w:rPr>
          <w:rFonts w:hint="eastAsia" w:ascii="宋体" w:hAnsi="宋体" w:cs="Arial"/>
          <w:szCs w:val="21"/>
        </w:rPr>
        <w:t>注：按施工方案计算的施工垃圾场外运输和消纳费，若无“计算基础”和“费率”的数值，也可只填“不含税金额”数值，但应在总价措施项目</w:t>
      </w:r>
      <w:r>
        <w:rPr>
          <w:rFonts w:hint="eastAsia" w:ascii="宋体" w:hAnsi="宋体" w:cs="Arial"/>
        </w:rPr>
        <w:t>清单组价</w:t>
      </w:r>
      <w:r>
        <w:rPr>
          <w:rFonts w:hint="eastAsia" w:ascii="宋体" w:hAnsi="宋体" w:cs="Arial"/>
          <w:szCs w:val="21"/>
        </w:rPr>
        <w:t>分析表中列明施工方案出处及计算方法。</w:t>
      </w:r>
    </w:p>
    <w:p/>
    <w:p/>
    <w:p/>
    <w:p>
      <w:pPr>
        <w:pStyle w:val="148"/>
        <w:spacing w:before="120" w:after="120"/>
        <w:rPr>
          <w:rFonts w:ascii="宋体"/>
        </w:rPr>
      </w:pPr>
      <w:bookmarkStart w:id="1180" w:name="_Toc342296537"/>
      <w:bookmarkStart w:id="1181" w:name="_Toc241459773"/>
      <w:bookmarkStart w:id="1182" w:name="_Toc497458728"/>
      <w:bookmarkStart w:id="1183" w:name="_Toc480481685"/>
      <w:bookmarkStart w:id="1184" w:name="_Toc10235189"/>
      <w:bookmarkStart w:id="1185" w:name="_Toc23757443"/>
      <w:bookmarkStart w:id="1186" w:name="_Toc483575322"/>
      <w:r>
        <w:rPr>
          <w:rFonts w:hint="eastAsia"/>
        </w:rPr>
        <w:t>其他项目清单与计价汇总表</w:t>
      </w:r>
      <w:bookmarkEnd w:id="1180"/>
      <w:bookmarkEnd w:id="1181"/>
      <w:bookmarkEnd w:id="1182"/>
      <w:bookmarkEnd w:id="1183"/>
      <w:bookmarkEnd w:id="1184"/>
      <w:bookmarkEnd w:id="1185"/>
      <w:bookmarkEnd w:id="1186"/>
    </w:p>
    <w:p>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其他项目清单与计价汇总表</w:t>
      </w:r>
    </w:p>
    <w:p>
      <w:pPr>
        <w:tabs>
          <w:tab w:val="left" w:pos="720"/>
        </w:tabs>
        <w:spacing w:after="120" w:afterLines="50" w:line="300" w:lineRule="auto"/>
        <w:rPr>
          <w:rFonts w:ascii="Arial" w:hAnsi="Arial" w:cs="Arial"/>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240"/>
        <w:gridCol w:w="1440"/>
        <w:gridCol w:w="144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序号</w:t>
            </w:r>
          </w:p>
        </w:tc>
        <w:tc>
          <w:tcPr>
            <w:tcW w:w="324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子目名称</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计量单位</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不含税金额（元）</w:t>
            </w: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1</w:t>
            </w:r>
          </w:p>
        </w:tc>
        <w:tc>
          <w:tcPr>
            <w:tcW w:w="324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rPr>
                <w:rFonts w:ascii="Arial" w:hAnsi="Arial" w:cs="Arial"/>
              </w:rPr>
            </w:pPr>
            <w:r>
              <w:rPr>
                <w:rFonts w:hint="eastAsia" w:ascii="Arial" w:hAnsi="Arial" w:cs="Arial"/>
              </w:rPr>
              <w:t>暂列金额（不包括计日工）</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项</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明细详见表</w:t>
            </w:r>
            <w:r>
              <w:rPr>
                <w:rFonts w:ascii="Arial" w:hAnsi="Arial" w:cs="Arial"/>
              </w:rPr>
              <w:t>4.10-1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2</w:t>
            </w:r>
          </w:p>
        </w:tc>
        <w:tc>
          <w:tcPr>
            <w:tcW w:w="324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rPr>
                <w:rFonts w:ascii="Arial" w:hAnsi="Arial" w:cs="Arial"/>
              </w:rPr>
            </w:pPr>
            <w:r>
              <w:rPr>
                <w:rFonts w:hint="eastAsia" w:ascii="Arial" w:hAnsi="Arial" w:cs="Arial"/>
              </w:rPr>
              <w:t>暂估价</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2.1</w:t>
            </w:r>
          </w:p>
        </w:tc>
        <w:tc>
          <w:tcPr>
            <w:tcW w:w="324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rPr>
                <w:rFonts w:ascii="Arial" w:hAnsi="Arial" w:cs="Arial"/>
              </w:rPr>
            </w:pPr>
            <w:r>
              <w:rPr>
                <w:rFonts w:hint="eastAsia" w:ascii="Arial" w:hAnsi="Arial" w:cs="Arial"/>
              </w:rPr>
              <w:t>材料和工程设备暂估价</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明细详见表</w:t>
            </w:r>
            <w:r>
              <w:rPr>
                <w:rFonts w:ascii="Arial" w:hAnsi="Arial" w:cs="Arial"/>
              </w:rPr>
              <w:t>4.10-2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2.2</w:t>
            </w:r>
          </w:p>
        </w:tc>
        <w:tc>
          <w:tcPr>
            <w:tcW w:w="324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rPr>
                <w:rFonts w:ascii="Arial" w:hAnsi="Arial" w:cs="Arial"/>
              </w:rPr>
            </w:pPr>
            <w:r>
              <w:rPr>
                <w:rFonts w:hint="eastAsia" w:ascii="Arial" w:hAnsi="Arial" w:cs="Arial"/>
              </w:rPr>
              <w:t>专业工程暂估价</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明细详见表</w:t>
            </w:r>
            <w:r>
              <w:rPr>
                <w:rFonts w:ascii="Arial" w:hAnsi="Arial" w:cs="Arial"/>
              </w:rPr>
              <w:t>4.10-3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3</w:t>
            </w:r>
          </w:p>
        </w:tc>
        <w:tc>
          <w:tcPr>
            <w:tcW w:w="324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rPr>
                <w:rFonts w:ascii="Arial" w:hAnsi="Arial" w:cs="Arial"/>
              </w:rPr>
            </w:pPr>
            <w:r>
              <w:rPr>
                <w:rFonts w:hint="eastAsia" w:ascii="Arial" w:hAnsi="Arial" w:cs="Arial"/>
              </w:rPr>
              <w:t>计日工</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明细详见表</w:t>
            </w:r>
            <w:r>
              <w:rPr>
                <w:rFonts w:ascii="Arial" w:hAnsi="Arial" w:cs="Arial"/>
              </w:rPr>
              <w:t>4.10-4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4</w:t>
            </w:r>
          </w:p>
        </w:tc>
        <w:tc>
          <w:tcPr>
            <w:tcW w:w="324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rPr>
                <w:rFonts w:ascii="Arial" w:hAnsi="Arial" w:cs="Arial"/>
              </w:rPr>
            </w:pPr>
            <w:r>
              <w:rPr>
                <w:rFonts w:hint="eastAsia" w:ascii="Arial" w:hAnsi="Arial" w:cs="Arial"/>
              </w:rPr>
              <w:t>总承包服务费</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明细详见表</w:t>
            </w:r>
            <w:r>
              <w:rPr>
                <w:rFonts w:ascii="Arial" w:hAnsi="Arial" w:cs="Arial"/>
              </w:rPr>
              <w:t>4.10-5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324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324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0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324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5580" w:type="dxa"/>
            <w:gridSpan w:val="3"/>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合计</w:t>
            </w:r>
          </w:p>
        </w:tc>
        <w:tc>
          <w:tcPr>
            <w:tcW w:w="144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w:t>
            </w:r>
          </w:p>
        </w:tc>
      </w:tr>
    </w:tbl>
    <w:p>
      <w:pPr>
        <w:tabs>
          <w:tab w:val="left" w:pos="720"/>
        </w:tabs>
        <w:spacing w:after="120" w:afterLines="50" w:line="300" w:lineRule="auto"/>
        <w:rPr>
          <w:rFonts w:ascii="Arial" w:hAnsi="Arial" w:cs="Arial"/>
          <w:szCs w:val="21"/>
        </w:rPr>
      </w:pPr>
      <w:r>
        <w:rPr>
          <w:rFonts w:hint="eastAsia" w:ascii="Arial" w:hAnsi="Arial" w:cs="Arial"/>
          <w:szCs w:val="21"/>
        </w:rPr>
        <w:t>注：材料和工程设备暂估单价计入清单子目综合单价，此处不汇总。</w:t>
      </w:r>
    </w:p>
    <w:p>
      <w:pPr>
        <w:tabs>
          <w:tab w:val="left" w:pos="720"/>
        </w:tabs>
        <w:spacing w:after="120" w:afterLines="50" w:line="300" w:lineRule="auto"/>
        <w:rPr>
          <w:rFonts w:ascii="Arial" w:hAnsi="Arial" w:cs="Arial"/>
          <w:szCs w:val="21"/>
        </w:rPr>
      </w:pPr>
    </w:p>
    <w:p>
      <w:pPr>
        <w:tabs>
          <w:tab w:val="left" w:pos="720"/>
        </w:tabs>
        <w:spacing w:after="120" w:afterLines="50" w:line="300" w:lineRule="auto"/>
        <w:rPr>
          <w:rFonts w:ascii="Arial" w:hAnsi="Arial" w:cs="Arial"/>
          <w:szCs w:val="21"/>
        </w:rPr>
      </w:pPr>
    </w:p>
    <w:p>
      <w:pPr>
        <w:tabs>
          <w:tab w:val="left" w:pos="720"/>
        </w:tabs>
        <w:spacing w:after="120" w:afterLines="50" w:line="300" w:lineRule="auto"/>
        <w:rPr>
          <w:rFonts w:ascii="Arial" w:hAnsi="Arial" w:cs="Arial"/>
          <w:szCs w:val="21"/>
        </w:rPr>
      </w:pPr>
    </w:p>
    <w:p>
      <w:pPr>
        <w:pStyle w:val="148"/>
        <w:spacing w:before="120" w:after="120"/>
        <w:rPr>
          <w:rFonts w:ascii="宋体"/>
        </w:rPr>
      </w:pPr>
      <w:bookmarkStart w:id="1187" w:name="_Toc483575323"/>
      <w:bookmarkStart w:id="1188" w:name="_Toc480481686"/>
      <w:bookmarkStart w:id="1189" w:name="_Toc497458729"/>
      <w:bookmarkStart w:id="1190" w:name="_Toc23757444"/>
      <w:bookmarkStart w:id="1191" w:name="_Toc241459774"/>
      <w:bookmarkStart w:id="1192" w:name="_Toc10235190"/>
      <w:r>
        <w:rPr>
          <w:rFonts w:hint="eastAsia"/>
        </w:rPr>
        <w:t>暂列金额明细表</w:t>
      </w:r>
      <w:bookmarkEnd w:id="1187"/>
      <w:bookmarkEnd w:id="1188"/>
      <w:bookmarkEnd w:id="1189"/>
      <w:bookmarkEnd w:id="1190"/>
      <w:bookmarkEnd w:id="1191"/>
      <w:bookmarkEnd w:id="1192"/>
    </w:p>
    <w:p>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暂列金额明细表</w:t>
      </w:r>
    </w:p>
    <w:p>
      <w:pPr>
        <w:tabs>
          <w:tab w:val="left" w:pos="720"/>
        </w:tabs>
        <w:spacing w:after="120" w:afterLines="50" w:line="300" w:lineRule="auto"/>
        <w:rPr>
          <w:rFonts w:ascii="Arial" w:hAnsi="Arial" w:cs="Arial"/>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546"/>
        <w:gridCol w:w="1546"/>
        <w:gridCol w:w="1500"/>
        <w:gridCol w:w="822"/>
        <w:gridCol w:w="1281"/>
        <w:gridCol w:w="13"/>
        <w:gridCol w:w="1189"/>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vMerge w:val="restart"/>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序号</w:t>
            </w:r>
          </w:p>
        </w:tc>
        <w:tc>
          <w:tcPr>
            <w:tcW w:w="1546" w:type="dxa"/>
            <w:vMerge w:val="restart"/>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子目名称</w:t>
            </w:r>
          </w:p>
        </w:tc>
        <w:tc>
          <w:tcPr>
            <w:tcW w:w="1546" w:type="dxa"/>
            <w:vMerge w:val="restart"/>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计量单位</w:t>
            </w:r>
          </w:p>
        </w:tc>
        <w:tc>
          <w:tcPr>
            <w:tcW w:w="3603" w:type="dxa"/>
            <w:gridSpan w:val="3"/>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p>
            <w:pPr>
              <w:tabs>
                <w:tab w:val="left" w:pos="720"/>
              </w:tabs>
              <w:spacing w:line="300" w:lineRule="auto"/>
              <w:jc w:val="center"/>
              <w:rPr>
                <w:rFonts w:ascii="Arial" w:hAnsi="Arial" w:cs="Arial"/>
              </w:rPr>
            </w:pPr>
            <w:r>
              <w:rPr>
                <w:rFonts w:hint="eastAsia" w:ascii="Arial" w:hAnsi="Arial" w:cs="Arial"/>
              </w:rPr>
              <w:t>暂列金额</w:t>
            </w:r>
          </w:p>
        </w:tc>
        <w:tc>
          <w:tcPr>
            <w:tcW w:w="1202" w:type="dxa"/>
            <w:gridSpan w:val="2"/>
            <w:vMerge w:val="restart"/>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4" w:hRule="atLeast"/>
        </w:trPr>
        <w:tc>
          <w:tcPr>
            <w:tcW w:w="5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rPr>
            </w:pPr>
          </w:p>
        </w:tc>
        <w:tc>
          <w:tcPr>
            <w:tcW w:w="15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rPr>
            </w:pPr>
          </w:p>
        </w:tc>
        <w:tc>
          <w:tcPr>
            <w:tcW w:w="15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rPr>
            </w:pPr>
          </w:p>
        </w:tc>
        <w:tc>
          <w:tcPr>
            <w:tcW w:w="1500" w:type="dxa"/>
            <w:tcBorders>
              <w:top w:val="single" w:color="auto" w:sz="4" w:space="0"/>
              <w:left w:val="single" w:color="auto" w:sz="4" w:space="0"/>
              <w:bottom w:val="single" w:color="auto" w:sz="4" w:space="0"/>
              <w:right w:val="single" w:color="auto" w:sz="4" w:space="0"/>
            </w:tcBorders>
          </w:tcPr>
          <w:p>
            <w:pPr>
              <w:tabs>
                <w:tab w:val="left" w:pos="720"/>
              </w:tabs>
              <w:spacing w:line="300" w:lineRule="auto"/>
              <w:rPr>
                <w:rFonts w:ascii="Arial" w:hAnsi="Arial" w:cs="Arial"/>
              </w:rPr>
            </w:pPr>
            <w:r>
              <w:rPr>
                <w:rFonts w:hint="eastAsia" w:ascii="Arial" w:hAnsi="Arial" w:cs="Arial"/>
              </w:rPr>
              <w:t>不含税金额</w:t>
            </w:r>
          </w:p>
          <w:p>
            <w:pPr>
              <w:tabs>
                <w:tab w:val="left" w:pos="720"/>
              </w:tabs>
              <w:spacing w:line="300" w:lineRule="auto"/>
              <w:jc w:val="center"/>
              <w:rPr>
                <w:rFonts w:ascii="Arial" w:hAnsi="Arial" w:cs="Arial"/>
              </w:rPr>
            </w:pPr>
            <w:r>
              <w:rPr>
                <w:rFonts w:hint="eastAsia" w:ascii="Arial" w:hAnsi="Arial" w:cs="Arial"/>
              </w:rPr>
              <w:t>（元）</w:t>
            </w:r>
          </w:p>
        </w:tc>
        <w:tc>
          <w:tcPr>
            <w:tcW w:w="82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r>
              <w:rPr>
                <w:rFonts w:hint="eastAsia" w:ascii="Arial" w:hAnsi="Arial" w:cs="Arial"/>
              </w:rPr>
              <w:t>税金</w:t>
            </w:r>
          </w:p>
          <w:p>
            <w:pPr>
              <w:tabs>
                <w:tab w:val="left" w:pos="720"/>
              </w:tabs>
              <w:spacing w:line="300" w:lineRule="auto"/>
              <w:jc w:val="center"/>
              <w:rPr>
                <w:rFonts w:ascii="Arial" w:hAnsi="Arial" w:cs="Arial"/>
              </w:rPr>
            </w:pPr>
            <w:r>
              <w:rPr>
                <w:rFonts w:hint="eastAsia" w:ascii="Arial" w:hAnsi="Arial" w:cs="Arial"/>
              </w:rPr>
              <w:t>（元）</w:t>
            </w:r>
          </w:p>
        </w:tc>
        <w:tc>
          <w:tcPr>
            <w:tcW w:w="1281"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含税金额（元）</w:t>
            </w:r>
          </w:p>
        </w:tc>
        <w:tc>
          <w:tcPr>
            <w:tcW w:w="12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5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5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500"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82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281"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02" w:type="dxa"/>
            <w:gridSpan w:val="2"/>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5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5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500"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82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281"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02" w:type="dxa"/>
            <w:gridSpan w:val="2"/>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5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5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500"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82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281"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02" w:type="dxa"/>
            <w:gridSpan w:val="2"/>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5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5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500"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82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281"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02" w:type="dxa"/>
            <w:gridSpan w:val="2"/>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5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5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500"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82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281"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02" w:type="dxa"/>
            <w:gridSpan w:val="2"/>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5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5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500"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82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281"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02" w:type="dxa"/>
            <w:gridSpan w:val="2"/>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5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5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500"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82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281"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02" w:type="dxa"/>
            <w:gridSpan w:val="2"/>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5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5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500"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82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281"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02" w:type="dxa"/>
            <w:gridSpan w:val="2"/>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5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5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500"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82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281"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02" w:type="dxa"/>
            <w:gridSpan w:val="2"/>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511"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5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54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500"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82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281"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02" w:type="dxa"/>
            <w:gridSpan w:val="2"/>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603" w:type="dxa"/>
            <w:gridSpan w:val="3"/>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合计</w:t>
            </w:r>
          </w:p>
        </w:tc>
        <w:tc>
          <w:tcPr>
            <w:tcW w:w="150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8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94" w:type="dxa"/>
            <w:gridSpan w:val="2"/>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201" w:type="dxa"/>
            <w:gridSpan w:val="2"/>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r>
    </w:tbl>
    <w:p>
      <w:pPr>
        <w:tabs>
          <w:tab w:val="left" w:pos="720"/>
        </w:tabs>
        <w:spacing w:line="300" w:lineRule="auto"/>
        <w:rPr>
          <w:rFonts w:ascii="Arial" w:hAnsi="Arial" w:cs="Arial"/>
          <w:szCs w:val="21"/>
        </w:rPr>
      </w:pPr>
      <w:r>
        <w:rPr>
          <w:rFonts w:hint="eastAsia" w:ascii="Arial" w:hAnsi="Arial" w:cs="Arial"/>
          <w:szCs w:val="21"/>
        </w:rPr>
        <w:t>注：此表由招标人填写，不包括计日工。暂列金额项目部分如不能详列明细，也可只列暂列金额项目总金额，投标人在计取税金前应将上述“暂列金额”的“不</w:t>
      </w:r>
      <w:r>
        <w:rPr>
          <w:rFonts w:hint="eastAsia" w:ascii="Arial" w:hAnsi="Arial" w:cs="Arial"/>
        </w:rPr>
        <w:t>含税金额”</w:t>
      </w:r>
      <w:r>
        <w:rPr>
          <w:rFonts w:hint="eastAsia" w:ascii="Arial" w:hAnsi="Arial" w:cs="Arial"/>
          <w:szCs w:val="21"/>
        </w:rPr>
        <w:t>计入投标价格中。</w:t>
      </w:r>
    </w:p>
    <w:p>
      <w:pPr>
        <w:tabs>
          <w:tab w:val="left" w:pos="720"/>
        </w:tabs>
        <w:spacing w:line="300" w:lineRule="auto"/>
        <w:rPr>
          <w:rFonts w:ascii="Arial" w:hAnsi="Arial" w:cs="Arial"/>
          <w:szCs w:val="21"/>
        </w:rPr>
      </w:pPr>
    </w:p>
    <w:p>
      <w:pPr>
        <w:pStyle w:val="148"/>
        <w:spacing w:before="120" w:after="120"/>
        <w:rPr>
          <w:rFonts w:ascii="宋体"/>
        </w:rPr>
      </w:pPr>
      <w:bookmarkStart w:id="1193" w:name="_Toc10235192"/>
      <w:bookmarkStart w:id="1194" w:name="_Toc23757446"/>
      <w:r>
        <w:rPr>
          <w:rFonts w:hint="eastAsia"/>
        </w:rPr>
        <w:t>专业工程暂估价表</w:t>
      </w:r>
      <w:bookmarkEnd w:id="1193"/>
      <w:bookmarkEnd w:id="1194"/>
    </w:p>
    <w:p>
      <w:bookmarkStart w:id="1195" w:name="_Toc241459776"/>
      <w:bookmarkStart w:id="1196" w:name="_Toc480481688"/>
      <w:bookmarkStart w:id="1197" w:name="_Toc497458731"/>
      <w:bookmarkStart w:id="1198" w:name="_Toc483575325"/>
    </w:p>
    <w:p>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专业工程暂估价表</w:t>
      </w:r>
    </w:p>
    <w:p>
      <w:pPr>
        <w:tabs>
          <w:tab w:val="left" w:pos="720"/>
        </w:tabs>
        <w:spacing w:after="120" w:afterLines="50" w:line="300" w:lineRule="auto"/>
        <w:rPr>
          <w:rFonts w:ascii="Arial" w:hAnsi="Arial" w:cs="Arial"/>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291"/>
        <w:gridCol w:w="1194"/>
        <w:gridCol w:w="1276"/>
        <w:gridCol w:w="765"/>
        <w:gridCol w:w="1078"/>
        <w:gridCol w:w="1417"/>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92" w:type="dxa"/>
            <w:vMerge w:val="restart"/>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序号</w:t>
            </w:r>
          </w:p>
        </w:tc>
        <w:tc>
          <w:tcPr>
            <w:tcW w:w="1291" w:type="dxa"/>
            <w:vMerge w:val="restart"/>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工程名称</w:t>
            </w:r>
          </w:p>
        </w:tc>
        <w:tc>
          <w:tcPr>
            <w:tcW w:w="1194" w:type="dxa"/>
            <w:vMerge w:val="restart"/>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工程内容</w:t>
            </w:r>
          </w:p>
        </w:tc>
        <w:tc>
          <w:tcPr>
            <w:tcW w:w="4536" w:type="dxa"/>
            <w:gridSpan w:val="4"/>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p>
            <w:pPr>
              <w:tabs>
                <w:tab w:val="left" w:pos="720"/>
              </w:tabs>
              <w:spacing w:line="300" w:lineRule="auto"/>
              <w:jc w:val="center"/>
              <w:rPr>
                <w:rFonts w:ascii="Arial" w:hAnsi="Arial" w:cs="Arial"/>
              </w:rPr>
            </w:pPr>
            <w:r>
              <w:rPr>
                <w:rFonts w:hint="eastAsia" w:ascii="Arial" w:hAnsi="Arial" w:cs="Arial"/>
              </w:rPr>
              <w:t>暂估价金额</w:t>
            </w:r>
          </w:p>
        </w:tc>
        <w:tc>
          <w:tcPr>
            <w:tcW w:w="907" w:type="dxa"/>
            <w:vMerge w:val="restart"/>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rPr>
            </w:pPr>
          </w:p>
        </w:tc>
        <w:tc>
          <w:tcPr>
            <w:tcW w:w="12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rPr>
            </w:pPr>
          </w:p>
        </w:tc>
        <w:tc>
          <w:tcPr>
            <w:tcW w:w="11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不含税金额</w:t>
            </w:r>
          </w:p>
          <w:p>
            <w:pPr>
              <w:tabs>
                <w:tab w:val="left" w:pos="720"/>
              </w:tabs>
              <w:spacing w:line="300" w:lineRule="auto"/>
              <w:jc w:val="center"/>
              <w:rPr>
                <w:rFonts w:ascii="Arial" w:hAnsi="Arial" w:cs="Arial"/>
              </w:rPr>
            </w:pPr>
            <w:r>
              <w:rPr>
                <w:rFonts w:hint="eastAsia" w:ascii="Arial" w:hAnsi="Arial" w:cs="Arial"/>
              </w:rPr>
              <w:t>（元）</w:t>
            </w:r>
          </w:p>
        </w:tc>
        <w:tc>
          <w:tcPr>
            <w:tcW w:w="765"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税金</w:t>
            </w:r>
          </w:p>
          <w:p>
            <w:pPr>
              <w:tabs>
                <w:tab w:val="left" w:pos="720"/>
              </w:tabs>
              <w:spacing w:line="300" w:lineRule="auto"/>
              <w:jc w:val="center"/>
              <w:rPr>
                <w:rFonts w:ascii="Arial" w:hAnsi="Arial" w:cs="Arial"/>
              </w:rPr>
            </w:pPr>
            <w:r>
              <w:rPr>
                <w:rFonts w:hint="eastAsia" w:ascii="Arial" w:hAnsi="Arial" w:cs="Arial"/>
              </w:rPr>
              <w:t>（元）</w:t>
            </w:r>
          </w:p>
        </w:tc>
        <w:tc>
          <w:tcPr>
            <w:tcW w:w="1078"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含税金额（元）</w:t>
            </w: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宋体" w:hAnsi="宋体" w:cs="Arial"/>
                <w:szCs w:val="21"/>
              </w:rPr>
              <w:t>人+机占比</w:t>
            </w:r>
            <w:r>
              <w:rPr>
                <w:rFonts w:hint="eastAsia" w:ascii="Arial" w:hAnsi="Arial" w:cs="Arial"/>
              </w:rPr>
              <w:t>（</w:t>
            </w:r>
            <w:r>
              <w:rPr>
                <w:rFonts w:ascii="Arial" w:hAnsi="Arial" w:cs="Arial"/>
              </w:rPr>
              <w:t>%</w:t>
            </w:r>
            <w:r>
              <w:rPr>
                <w:rFonts w:hint="eastAsia" w:ascii="Arial" w:hAnsi="Arial" w:cs="Arial"/>
              </w:rPr>
              <w:t>）</w:t>
            </w:r>
          </w:p>
        </w:tc>
        <w:tc>
          <w:tcPr>
            <w:tcW w:w="9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9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91"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76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078"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9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91"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76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078"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9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91"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76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078"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9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91"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76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078"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9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91"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76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078"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49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91"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765"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078"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0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977" w:type="dxa"/>
            <w:gridSpan w:val="3"/>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合计</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65"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078"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417"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907"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r>
    </w:tbl>
    <w:p>
      <w:pPr>
        <w:tabs>
          <w:tab w:val="left" w:pos="720"/>
        </w:tabs>
        <w:spacing w:before="120" w:beforeLines="50" w:after="120" w:afterLines="50" w:line="300" w:lineRule="auto"/>
        <w:ind w:left="708" w:right="28" w:hanging="707" w:hangingChars="337"/>
        <w:rPr>
          <w:rFonts w:ascii="宋体" w:hAnsi="宋体" w:cs="Arial"/>
          <w:szCs w:val="21"/>
        </w:rPr>
      </w:pPr>
      <w:r>
        <w:rPr>
          <w:rFonts w:hint="eastAsia" w:ascii="宋体" w:hAnsi="宋体" w:cs="Arial"/>
          <w:szCs w:val="21"/>
        </w:rPr>
        <w:t>注：1. 此表由招标人填写，投标人在计取税金前应将上述专业工程“暂估价金额”的“不含税金额”计入投标价格。</w:t>
      </w:r>
    </w:p>
    <w:p>
      <w:pPr>
        <w:tabs>
          <w:tab w:val="left" w:pos="720"/>
        </w:tabs>
        <w:spacing w:before="120" w:beforeLines="50" w:after="120" w:afterLines="50" w:line="300" w:lineRule="auto"/>
        <w:ind w:left="707" w:leftChars="200" w:right="28" w:hanging="287" w:hangingChars="137"/>
        <w:rPr>
          <w:rFonts w:ascii="宋体" w:hAnsi="宋体" w:cs="Arial"/>
          <w:szCs w:val="21"/>
        </w:rPr>
      </w:pPr>
      <w:r>
        <w:rPr>
          <w:rFonts w:hint="eastAsia" w:ascii="宋体" w:hAnsi="宋体" w:cs="Arial"/>
          <w:szCs w:val="21"/>
        </w:rPr>
        <w:t>2.“人+机占比”为人</w:t>
      </w:r>
      <w:r>
        <w:rPr>
          <w:rFonts w:hint="eastAsia" w:ascii="宋体" w:hAnsi="宋体"/>
        </w:rPr>
        <w:t>工费与机械费之和占</w:t>
      </w:r>
      <w:r>
        <w:rPr>
          <w:rFonts w:hint="eastAsia" w:ascii="宋体" w:hAnsi="宋体" w:cs="Arial"/>
          <w:szCs w:val="21"/>
        </w:rPr>
        <w:t>专业工程暂估价（不含税金额）的比</w:t>
      </w:r>
      <w:r>
        <w:rPr>
          <w:rFonts w:hint="eastAsia" w:ascii="宋体" w:hAnsi="宋体"/>
        </w:rPr>
        <w:t>例。“人+机占比”仅作为</w:t>
      </w:r>
      <w:r>
        <w:rPr>
          <w:rFonts w:hint="eastAsia" w:ascii="Arial" w:hAnsi="Arial" w:cs="Arial"/>
        </w:rPr>
        <w:t>最高投标限价低限标准确定</w:t>
      </w:r>
      <w:r>
        <w:rPr>
          <w:rFonts w:hint="eastAsia" w:ascii="宋体" w:hAnsi="宋体" w:cs="Arial"/>
          <w:szCs w:val="21"/>
        </w:rPr>
        <w:t>、评标过程中专家测算投标报价是否低于低限标准使用。投标人应当根据自身的安全文明施工方案计算安全文明施工费报价，不应使用招标工程量清单中暂估价专业工程的</w:t>
      </w:r>
      <w:r>
        <w:rPr>
          <w:rFonts w:hint="eastAsia" w:ascii="宋体" w:hAnsi="宋体"/>
        </w:rPr>
        <w:t>“人+机占比”</w:t>
      </w:r>
      <w:r>
        <w:rPr>
          <w:rFonts w:hint="eastAsia" w:ascii="宋体" w:hAnsi="宋体" w:cs="Arial"/>
          <w:szCs w:val="21"/>
        </w:rPr>
        <w:t>计算其投标报价，也不得以招标工程量清单中</w:t>
      </w:r>
      <w:r>
        <w:rPr>
          <w:rFonts w:hint="eastAsia" w:ascii="宋体" w:hAnsi="宋体"/>
        </w:rPr>
        <w:t>“人+机占比”</w:t>
      </w:r>
      <w:r>
        <w:rPr>
          <w:rFonts w:hint="eastAsia" w:ascii="宋体" w:hAnsi="宋体" w:cs="Arial"/>
          <w:szCs w:val="21"/>
        </w:rPr>
        <w:t>与实际</w:t>
      </w:r>
      <w:r>
        <w:rPr>
          <w:rFonts w:hint="eastAsia" w:ascii="宋体" w:hAnsi="宋体"/>
        </w:rPr>
        <w:t>“人+机占比”</w:t>
      </w:r>
      <w:r>
        <w:rPr>
          <w:rFonts w:hint="eastAsia" w:ascii="宋体" w:hAnsi="宋体" w:cs="Arial"/>
          <w:szCs w:val="21"/>
        </w:rPr>
        <w:t>的差异作为合同价格调整的理由。</w:t>
      </w:r>
    </w:p>
    <w:p>
      <w:pPr>
        <w:tabs>
          <w:tab w:val="left" w:pos="720"/>
        </w:tabs>
        <w:spacing w:before="120" w:beforeLines="50" w:after="120" w:afterLines="50" w:line="300" w:lineRule="auto"/>
        <w:ind w:left="707" w:leftChars="200" w:right="28" w:hanging="287" w:hangingChars="137"/>
        <w:rPr>
          <w:rFonts w:ascii="宋体" w:hAnsi="宋体" w:cs="Arial"/>
          <w:szCs w:val="21"/>
        </w:rPr>
      </w:pPr>
      <w:r>
        <w:rPr>
          <w:rFonts w:hint="eastAsia" w:ascii="宋体" w:hAnsi="宋体" w:cs="Arial"/>
          <w:szCs w:val="21"/>
        </w:rPr>
        <w:t>3. 备注栏中应当对未达到招标规模标准的是否采用分包做出说明，采用分包方式的应当由发包人和承包人依法通过招标方式选择分包人。</w:t>
      </w:r>
    </w:p>
    <w:bookmarkEnd w:id="1195"/>
    <w:bookmarkEnd w:id="1196"/>
    <w:bookmarkEnd w:id="1197"/>
    <w:bookmarkEnd w:id="1198"/>
    <w:p>
      <w:pPr>
        <w:tabs>
          <w:tab w:val="left" w:pos="720"/>
        </w:tabs>
        <w:spacing w:after="120" w:afterLines="50" w:line="300" w:lineRule="auto"/>
        <w:ind w:right="26"/>
        <w:rPr>
          <w:rFonts w:ascii="Arial" w:hAnsi="Arial" w:cs="Arial"/>
          <w:szCs w:val="21"/>
        </w:rPr>
      </w:pPr>
    </w:p>
    <w:p>
      <w:pPr>
        <w:pStyle w:val="148"/>
        <w:spacing w:before="120" w:after="120"/>
        <w:rPr>
          <w:rFonts w:ascii="宋体"/>
        </w:rPr>
      </w:pPr>
      <w:bookmarkStart w:id="1199" w:name="_Toc480481689"/>
      <w:bookmarkStart w:id="1200" w:name="_Toc241459777"/>
      <w:bookmarkStart w:id="1201" w:name="_Toc483575326"/>
      <w:bookmarkStart w:id="1202" w:name="_Toc497458732"/>
      <w:bookmarkStart w:id="1203" w:name="_Toc23757447"/>
      <w:bookmarkStart w:id="1204" w:name="_Toc10235193"/>
      <w:r>
        <w:rPr>
          <w:rFonts w:hint="eastAsia"/>
        </w:rPr>
        <w:t>计日工表</w:t>
      </w:r>
      <w:bookmarkEnd w:id="1199"/>
      <w:bookmarkEnd w:id="1200"/>
      <w:bookmarkEnd w:id="1201"/>
      <w:bookmarkEnd w:id="1202"/>
      <w:bookmarkEnd w:id="1203"/>
      <w:bookmarkEnd w:id="1204"/>
    </w:p>
    <w:p>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计日工表</w:t>
      </w:r>
    </w:p>
    <w:p>
      <w:pPr>
        <w:tabs>
          <w:tab w:val="left" w:pos="720"/>
        </w:tabs>
        <w:spacing w:after="120" w:afterLines="50" w:line="300" w:lineRule="auto"/>
        <w:rPr>
          <w:rFonts w:ascii="Arial" w:hAnsi="Arial" w:cs="Arial"/>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878"/>
        <w:gridCol w:w="1134"/>
        <w:gridCol w:w="1276"/>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67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编号</w:t>
            </w:r>
          </w:p>
        </w:tc>
        <w:tc>
          <w:tcPr>
            <w:tcW w:w="1878"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子目名称</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单位</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暂定数量</w:t>
            </w: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综合单价（元）</w:t>
            </w: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一</w:t>
            </w:r>
          </w:p>
        </w:tc>
        <w:tc>
          <w:tcPr>
            <w:tcW w:w="1878"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rPr>
                <w:rFonts w:ascii="Arial" w:hAnsi="Arial" w:cs="Arial"/>
              </w:rPr>
            </w:pPr>
            <w:r>
              <w:rPr>
                <w:rFonts w:hint="eastAsia" w:ascii="Arial" w:hAnsi="Arial" w:cs="Arial"/>
              </w:rPr>
              <w:t>劳务（人工）</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1</w:t>
            </w:r>
          </w:p>
        </w:tc>
        <w:tc>
          <w:tcPr>
            <w:tcW w:w="1878"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2</w:t>
            </w:r>
          </w:p>
        </w:tc>
        <w:tc>
          <w:tcPr>
            <w:tcW w:w="1878"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3</w:t>
            </w:r>
          </w:p>
        </w:tc>
        <w:tc>
          <w:tcPr>
            <w:tcW w:w="1878"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21"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人工小计</w:t>
            </w: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二</w:t>
            </w:r>
          </w:p>
        </w:tc>
        <w:tc>
          <w:tcPr>
            <w:tcW w:w="1878"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rPr>
                <w:rFonts w:ascii="Arial" w:hAnsi="Arial" w:cs="Arial"/>
              </w:rPr>
            </w:pPr>
            <w:r>
              <w:rPr>
                <w:rFonts w:hint="eastAsia" w:ascii="Arial" w:hAnsi="Arial" w:cs="Arial"/>
              </w:rPr>
              <w:t>材料</w:t>
            </w:r>
          </w:p>
        </w:tc>
        <w:tc>
          <w:tcPr>
            <w:tcW w:w="1134"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559"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1</w:t>
            </w:r>
          </w:p>
        </w:tc>
        <w:tc>
          <w:tcPr>
            <w:tcW w:w="1878"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134"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559"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2</w:t>
            </w:r>
          </w:p>
        </w:tc>
        <w:tc>
          <w:tcPr>
            <w:tcW w:w="1878"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134"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559"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3</w:t>
            </w:r>
          </w:p>
        </w:tc>
        <w:tc>
          <w:tcPr>
            <w:tcW w:w="1878"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134"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559"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21"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材料小计</w:t>
            </w:r>
          </w:p>
        </w:tc>
        <w:tc>
          <w:tcPr>
            <w:tcW w:w="1559"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21"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ind w:firstLine="420" w:firstLineChars="200"/>
              <w:jc w:val="left"/>
              <w:rPr>
                <w:rFonts w:ascii="Arial" w:hAnsi="Arial" w:cs="Arial"/>
              </w:rPr>
            </w:pPr>
            <w:r>
              <w:rPr>
                <w:rFonts w:hint="eastAsia" w:ascii="Arial" w:hAnsi="Arial" w:cs="Arial"/>
              </w:rPr>
              <w:t>上述材料表中未列出的材料设备，投标人计取的包括企业管理费、利润和规费（不包括税金）在内的固定百分比：</w:t>
            </w: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三</w:t>
            </w:r>
          </w:p>
        </w:tc>
        <w:tc>
          <w:tcPr>
            <w:tcW w:w="1878"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rPr>
                <w:rFonts w:ascii="Arial" w:hAnsi="Arial" w:cs="Arial"/>
              </w:rPr>
            </w:pPr>
            <w:r>
              <w:rPr>
                <w:rFonts w:hint="eastAsia" w:ascii="Arial" w:hAnsi="Arial" w:cs="Arial"/>
              </w:rPr>
              <w:t>施工机械</w:t>
            </w:r>
          </w:p>
        </w:tc>
        <w:tc>
          <w:tcPr>
            <w:tcW w:w="1134"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559"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1</w:t>
            </w:r>
          </w:p>
        </w:tc>
        <w:tc>
          <w:tcPr>
            <w:tcW w:w="1878"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134"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559"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2</w:t>
            </w:r>
          </w:p>
        </w:tc>
        <w:tc>
          <w:tcPr>
            <w:tcW w:w="1878"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134"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559"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7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Arial" w:hAnsi="Arial" w:cs="Arial"/>
              </w:rPr>
              <w:t>3</w:t>
            </w:r>
          </w:p>
        </w:tc>
        <w:tc>
          <w:tcPr>
            <w:tcW w:w="1878"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134"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55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559"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21"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施工机械小计</w:t>
            </w:r>
          </w:p>
        </w:tc>
        <w:tc>
          <w:tcPr>
            <w:tcW w:w="1559"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21"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总</w:t>
            </w:r>
            <w:r>
              <w:rPr>
                <w:rFonts w:ascii="Arial" w:hAnsi="Arial" w:cs="Arial"/>
              </w:rPr>
              <w:t xml:space="preserve">    </w:t>
            </w:r>
            <w:r>
              <w:rPr>
                <w:rFonts w:hint="eastAsia" w:ascii="Arial" w:hAnsi="Arial" w:cs="Arial"/>
              </w:rPr>
              <w:t>计</w:t>
            </w:r>
          </w:p>
        </w:tc>
        <w:tc>
          <w:tcPr>
            <w:tcW w:w="1559"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r>
    </w:tbl>
    <w:p>
      <w:pPr>
        <w:tabs>
          <w:tab w:val="left" w:pos="720"/>
        </w:tabs>
        <w:spacing w:after="120" w:afterLines="50" w:line="300" w:lineRule="auto"/>
        <w:ind w:left="708" w:right="26" w:hanging="707" w:hangingChars="337"/>
        <w:rPr>
          <w:rFonts w:ascii="Arial" w:hAnsi="Arial" w:cs="Arial"/>
          <w:szCs w:val="21"/>
        </w:rPr>
      </w:pPr>
      <w:r>
        <w:rPr>
          <w:rFonts w:hint="eastAsia" w:ascii="Arial" w:hAnsi="Arial" w:cs="Arial"/>
          <w:szCs w:val="21"/>
        </w:rPr>
        <w:t>注：</w:t>
      </w:r>
      <w:r>
        <w:rPr>
          <w:rFonts w:ascii="Arial" w:hAnsi="Arial" w:cs="Arial"/>
          <w:szCs w:val="21"/>
        </w:rPr>
        <w:t xml:space="preserve">1. </w:t>
      </w:r>
      <w:r>
        <w:rPr>
          <w:rFonts w:hint="eastAsia" w:ascii="Arial" w:hAnsi="Arial" w:cs="Arial"/>
          <w:szCs w:val="21"/>
        </w:rPr>
        <w:t>此表暂定项目、暂定数量由招标人填写，编制最高投标限价时，单价由招标人按有关计价规定确定；</w:t>
      </w:r>
    </w:p>
    <w:p>
      <w:pPr>
        <w:tabs>
          <w:tab w:val="left" w:pos="720"/>
        </w:tabs>
        <w:spacing w:after="120" w:afterLines="50" w:line="300" w:lineRule="auto"/>
        <w:ind w:left="707" w:leftChars="200" w:right="26" w:hanging="287" w:hangingChars="137"/>
        <w:rPr>
          <w:rFonts w:ascii="Arial" w:hAnsi="Arial" w:cs="Arial"/>
          <w:szCs w:val="21"/>
        </w:rPr>
      </w:pPr>
      <w:r>
        <w:rPr>
          <w:rFonts w:ascii="Arial" w:hAnsi="Arial" w:cs="Arial"/>
          <w:szCs w:val="21"/>
        </w:rPr>
        <w:t xml:space="preserve">2. </w:t>
      </w:r>
      <w:r>
        <w:rPr>
          <w:rFonts w:hint="eastAsia" w:ascii="Arial" w:hAnsi="Arial" w:cs="Arial"/>
          <w:szCs w:val="21"/>
        </w:rPr>
        <w:t>投标时，子目和数量按招标人提供数据计算，单价由投标人自主报价，按暂定数量计算合价计入投标总价中。</w:t>
      </w:r>
    </w:p>
    <w:p>
      <w:pPr>
        <w:tabs>
          <w:tab w:val="left" w:pos="720"/>
        </w:tabs>
        <w:spacing w:after="120" w:afterLines="50" w:line="300" w:lineRule="auto"/>
        <w:ind w:left="707" w:leftChars="200" w:right="26" w:hanging="287" w:hangingChars="137"/>
        <w:rPr>
          <w:rFonts w:ascii="Arial" w:hAnsi="Arial" w:cs="Arial"/>
          <w:szCs w:val="21"/>
        </w:rPr>
      </w:pPr>
      <w:r>
        <w:rPr>
          <w:rFonts w:ascii="Arial" w:hAnsi="Arial" w:cs="Arial"/>
          <w:szCs w:val="21"/>
        </w:rPr>
        <w:t xml:space="preserve">3. </w:t>
      </w:r>
      <w:r>
        <w:rPr>
          <w:rFonts w:hint="eastAsia" w:ascii="Arial" w:hAnsi="Arial" w:cs="Arial"/>
          <w:szCs w:val="21"/>
        </w:rPr>
        <w:t>此表总计的计日工金额应当作为暂列金额的一部分，计入其他项目清单与计价汇总表中。</w:t>
      </w:r>
    </w:p>
    <w:p>
      <w:pPr>
        <w:tabs>
          <w:tab w:val="left" w:pos="720"/>
        </w:tabs>
        <w:spacing w:after="120" w:afterLines="50" w:line="300" w:lineRule="auto"/>
        <w:ind w:left="707" w:leftChars="200" w:right="26" w:hanging="287" w:hangingChars="137"/>
        <w:rPr>
          <w:rFonts w:ascii="Arial" w:hAnsi="Arial" w:cs="Arial"/>
          <w:szCs w:val="21"/>
        </w:rPr>
      </w:pPr>
    </w:p>
    <w:p>
      <w:pPr>
        <w:tabs>
          <w:tab w:val="left" w:pos="720"/>
        </w:tabs>
        <w:spacing w:line="300" w:lineRule="auto"/>
        <w:ind w:firstLine="420" w:firstLineChars="200"/>
        <w:rPr>
          <w:rFonts w:ascii="Arial" w:hAnsi="Arial" w:cs="Arial"/>
          <w:szCs w:val="21"/>
        </w:rPr>
      </w:pPr>
    </w:p>
    <w:p>
      <w:pPr>
        <w:pStyle w:val="148"/>
        <w:spacing w:before="120" w:after="120"/>
        <w:rPr>
          <w:rFonts w:ascii="宋体"/>
        </w:rPr>
      </w:pPr>
      <w:r>
        <w:rPr>
          <w:rFonts w:hint="eastAsia" w:ascii="宋体" w:cs="Arial"/>
          <w:b/>
          <w:kern w:val="0"/>
          <w:szCs w:val="44"/>
        </w:rPr>
        <w:br w:type="page"/>
      </w:r>
      <w:bookmarkStart w:id="1205" w:name="_Toc483575327"/>
      <w:bookmarkStart w:id="1206" w:name="_Toc23757448"/>
      <w:bookmarkStart w:id="1207" w:name="_Toc10235194"/>
      <w:bookmarkStart w:id="1208" w:name="_Toc497458733"/>
      <w:bookmarkStart w:id="1209" w:name="_Toc480481690"/>
      <w:bookmarkStart w:id="1210" w:name="_Toc241459778"/>
      <w:r>
        <w:rPr>
          <w:rFonts w:hint="eastAsia"/>
        </w:rPr>
        <w:t>总承包服务费计价表</w:t>
      </w:r>
      <w:bookmarkEnd w:id="1205"/>
      <w:bookmarkEnd w:id="1206"/>
      <w:bookmarkEnd w:id="1207"/>
      <w:bookmarkEnd w:id="1208"/>
      <w:bookmarkEnd w:id="1209"/>
      <w:bookmarkEnd w:id="1210"/>
    </w:p>
    <w:p>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总承包服务费计价表</w:t>
      </w:r>
    </w:p>
    <w:p>
      <w:pPr>
        <w:tabs>
          <w:tab w:val="left" w:pos="720"/>
        </w:tabs>
        <w:spacing w:after="120" w:afterLines="50" w:line="300" w:lineRule="auto"/>
        <w:rPr>
          <w:rFonts w:ascii="Arial" w:hAnsi="Arial" w:cs="Arial"/>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9"/>
        <w:tblW w:w="0" w:type="auto"/>
        <w:tblInd w:w="103" w:type="dxa"/>
        <w:tblLayout w:type="fixed"/>
        <w:tblCellMar>
          <w:top w:w="0" w:type="dxa"/>
          <w:left w:w="108" w:type="dxa"/>
          <w:bottom w:w="0" w:type="dxa"/>
          <w:right w:w="108" w:type="dxa"/>
        </w:tblCellMar>
      </w:tblPr>
      <w:tblGrid>
        <w:gridCol w:w="666"/>
        <w:gridCol w:w="1842"/>
        <w:gridCol w:w="1509"/>
        <w:gridCol w:w="1272"/>
        <w:gridCol w:w="1095"/>
        <w:gridCol w:w="858"/>
        <w:gridCol w:w="1183"/>
      </w:tblGrid>
      <w:tr>
        <w:tblPrEx>
          <w:tblCellMar>
            <w:top w:w="0" w:type="dxa"/>
            <w:left w:w="108" w:type="dxa"/>
            <w:bottom w:w="0" w:type="dxa"/>
            <w:right w:w="108" w:type="dxa"/>
          </w:tblCellMar>
        </w:tblPrEx>
        <w:trPr>
          <w:trHeight w:val="900" w:hRule="atLeast"/>
        </w:trPr>
        <w:tc>
          <w:tcPr>
            <w:tcW w:w="6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84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项目名称</w:t>
            </w:r>
          </w:p>
        </w:tc>
        <w:tc>
          <w:tcPr>
            <w:tcW w:w="15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项目价值（元）</w:t>
            </w:r>
          </w:p>
        </w:tc>
        <w:tc>
          <w:tcPr>
            <w:tcW w:w="127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服务内容</w:t>
            </w:r>
          </w:p>
        </w:tc>
        <w:tc>
          <w:tcPr>
            <w:tcW w:w="109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计算基础</w:t>
            </w:r>
          </w:p>
        </w:tc>
        <w:tc>
          <w:tcPr>
            <w:tcW w:w="8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费率（</w:t>
            </w:r>
            <w:r>
              <w:rPr>
                <w:rFonts w:ascii="Arial" w:hAnsi="Arial" w:cs="Arial"/>
                <w:kern w:val="0"/>
                <w:szCs w:val="21"/>
              </w:rPr>
              <w:t>%</w:t>
            </w:r>
            <w:r>
              <w:rPr>
                <w:rFonts w:hint="eastAsia" w:ascii="宋体" w:hAnsi="宋体" w:cs="宋体"/>
                <w:kern w:val="0"/>
                <w:szCs w:val="21"/>
              </w:rPr>
              <w:t>）</w:t>
            </w:r>
          </w:p>
        </w:tc>
        <w:tc>
          <w:tcPr>
            <w:tcW w:w="118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金额（元）</w:t>
            </w:r>
          </w:p>
        </w:tc>
      </w:tr>
      <w:tr>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1</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发包人发包专业工程</w:t>
            </w:r>
          </w:p>
        </w:tc>
        <w:tc>
          <w:tcPr>
            <w:tcW w:w="1509"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272"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095" w:type="dxa"/>
            <w:tcBorders>
              <w:top w:val="single" w:color="auto" w:sz="4" w:space="0"/>
              <w:left w:val="nil"/>
              <w:bottom w:val="single" w:color="auto" w:sz="4" w:space="0"/>
              <w:right w:val="single" w:color="auto" w:sz="4" w:space="0"/>
            </w:tcBorders>
          </w:tcPr>
          <w:p>
            <w:pPr>
              <w:widowControl/>
              <w:jc w:val="center"/>
              <w:rPr>
                <w:rFonts w:ascii="Arial" w:hAnsi="Arial" w:cs="Arial"/>
                <w:kern w:val="0"/>
                <w:szCs w:val="21"/>
              </w:rPr>
            </w:pPr>
          </w:p>
        </w:tc>
        <w:tc>
          <w:tcPr>
            <w:tcW w:w="85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p>
        </w:tc>
        <w:tc>
          <w:tcPr>
            <w:tcW w:w="1183" w:type="dxa"/>
            <w:tcBorders>
              <w:top w:val="nil"/>
              <w:left w:val="nil"/>
              <w:bottom w:val="single" w:color="auto" w:sz="4" w:space="0"/>
              <w:right w:val="single" w:color="auto" w:sz="4" w:space="0"/>
            </w:tcBorders>
            <w:vAlign w:val="center"/>
          </w:tcPr>
          <w:p>
            <w:pPr>
              <w:widowControl/>
              <w:rPr>
                <w:rFonts w:ascii="Arial" w:hAnsi="Arial" w:cs="Arial"/>
                <w:kern w:val="0"/>
                <w:szCs w:val="21"/>
              </w:rPr>
            </w:pPr>
          </w:p>
        </w:tc>
      </w:tr>
      <w:tr>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r>
              <w:rPr>
                <w:rFonts w:ascii="Arial" w:hAnsi="Arial" w:cs="Arial"/>
                <w:kern w:val="0"/>
                <w:szCs w:val="21"/>
              </w:rPr>
              <w:t>2</w:t>
            </w:r>
          </w:p>
        </w:tc>
        <w:tc>
          <w:tcPr>
            <w:tcW w:w="1842"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发包人供应材料和设备</w:t>
            </w:r>
          </w:p>
        </w:tc>
        <w:tc>
          <w:tcPr>
            <w:tcW w:w="1509"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272"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095" w:type="dxa"/>
            <w:tcBorders>
              <w:top w:val="single" w:color="auto" w:sz="4" w:space="0"/>
              <w:left w:val="nil"/>
              <w:bottom w:val="single" w:color="auto" w:sz="4" w:space="0"/>
              <w:right w:val="single" w:color="auto" w:sz="4" w:space="0"/>
            </w:tcBorders>
          </w:tcPr>
          <w:p>
            <w:pPr>
              <w:widowControl/>
              <w:jc w:val="center"/>
              <w:rPr>
                <w:rFonts w:ascii="Arial" w:hAnsi="Arial" w:cs="Arial"/>
                <w:kern w:val="0"/>
                <w:szCs w:val="21"/>
              </w:rPr>
            </w:pPr>
          </w:p>
        </w:tc>
        <w:tc>
          <w:tcPr>
            <w:tcW w:w="85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p>
        </w:tc>
        <w:tc>
          <w:tcPr>
            <w:tcW w:w="1183"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p>
        </w:tc>
        <w:tc>
          <w:tcPr>
            <w:tcW w:w="1842" w:type="dxa"/>
            <w:tcBorders>
              <w:top w:val="nil"/>
              <w:left w:val="nil"/>
              <w:bottom w:val="single" w:color="auto" w:sz="4" w:space="0"/>
              <w:right w:val="single" w:color="auto" w:sz="4" w:space="0"/>
            </w:tcBorders>
            <w:vAlign w:val="center"/>
          </w:tcPr>
          <w:p>
            <w:pPr>
              <w:widowControl/>
              <w:rPr>
                <w:rFonts w:ascii="Arial" w:hAnsi="Arial" w:cs="Arial"/>
                <w:kern w:val="0"/>
                <w:szCs w:val="21"/>
              </w:rPr>
            </w:pPr>
          </w:p>
        </w:tc>
        <w:tc>
          <w:tcPr>
            <w:tcW w:w="1509"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272"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095" w:type="dxa"/>
            <w:tcBorders>
              <w:top w:val="single" w:color="auto" w:sz="4" w:space="0"/>
              <w:left w:val="nil"/>
              <w:bottom w:val="single" w:color="auto" w:sz="4" w:space="0"/>
              <w:right w:val="single" w:color="auto" w:sz="4" w:space="0"/>
            </w:tcBorders>
          </w:tcPr>
          <w:p>
            <w:pPr>
              <w:widowControl/>
              <w:jc w:val="center"/>
              <w:rPr>
                <w:rFonts w:ascii="Arial" w:hAnsi="Arial" w:cs="Arial"/>
                <w:kern w:val="0"/>
                <w:szCs w:val="21"/>
              </w:rPr>
            </w:pPr>
          </w:p>
        </w:tc>
        <w:tc>
          <w:tcPr>
            <w:tcW w:w="85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p>
        </w:tc>
        <w:tc>
          <w:tcPr>
            <w:tcW w:w="1183"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p>
        </w:tc>
        <w:tc>
          <w:tcPr>
            <w:tcW w:w="1842" w:type="dxa"/>
            <w:tcBorders>
              <w:top w:val="nil"/>
              <w:left w:val="nil"/>
              <w:bottom w:val="single" w:color="auto" w:sz="4" w:space="0"/>
              <w:right w:val="single" w:color="auto" w:sz="4" w:space="0"/>
            </w:tcBorders>
            <w:vAlign w:val="center"/>
          </w:tcPr>
          <w:p>
            <w:pPr>
              <w:widowControl/>
              <w:jc w:val="left"/>
              <w:rPr>
                <w:rFonts w:ascii="Arial" w:hAnsi="Arial" w:cs="Arial"/>
                <w:kern w:val="0"/>
                <w:szCs w:val="21"/>
              </w:rPr>
            </w:pPr>
          </w:p>
        </w:tc>
        <w:tc>
          <w:tcPr>
            <w:tcW w:w="1509"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272" w:type="dxa"/>
            <w:tcBorders>
              <w:top w:val="nil"/>
              <w:left w:val="nil"/>
              <w:bottom w:val="single" w:color="auto" w:sz="4" w:space="0"/>
              <w:right w:val="single" w:color="auto" w:sz="4" w:space="0"/>
            </w:tcBorders>
            <w:vAlign w:val="center"/>
          </w:tcPr>
          <w:p>
            <w:pPr>
              <w:widowControl/>
              <w:jc w:val="right"/>
              <w:rPr>
                <w:rFonts w:ascii="Arial" w:hAnsi="Arial" w:cs="Arial"/>
                <w:kern w:val="0"/>
                <w:szCs w:val="21"/>
              </w:rPr>
            </w:pPr>
          </w:p>
        </w:tc>
        <w:tc>
          <w:tcPr>
            <w:tcW w:w="1095" w:type="dxa"/>
            <w:tcBorders>
              <w:top w:val="single" w:color="auto" w:sz="4" w:space="0"/>
              <w:left w:val="nil"/>
              <w:bottom w:val="single" w:color="auto" w:sz="4" w:space="0"/>
              <w:right w:val="single" w:color="auto" w:sz="4" w:space="0"/>
            </w:tcBorders>
          </w:tcPr>
          <w:p>
            <w:pPr>
              <w:widowControl/>
              <w:jc w:val="right"/>
              <w:rPr>
                <w:rFonts w:ascii="Arial" w:hAnsi="Arial" w:cs="Arial"/>
                <w:kern w:val="0"/>
                <w:szCs w:val="21"/>
              </w:rPr>
            </w:pPr>
          </w:p>
        </w:tc>
        <w:tc>
          <w:tcPr>
            <w:tcW w:w="858" w:type="dxa"/>
            <w:tcBorders>
              <w:top w:val="nil"/>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c>
          <w:tcPr>
            <w:tcW w:w="1183"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p>
        </w:tc>
        <w:tc>
          <w:tcPr>
            <w:tcW w:w="1842"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509"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272" w:type="dxa"/>
            <w:tcBorders>
              <w:top w:val="nil"/>
              <w:left w:val="nil"/>
              <w:bottom w:val="single" w:color="auto" w:sz="4" w:space="0"/>
              <w:right w:val="single" w:color="auto" w:sz="4" w:space="0"/>
            </w:tcBorders>
            <w:vAlign w:val="center"/>
          </w:tcPr>
          <w:p>
            <w:pPr>
              <w:widowControl/>
              <w:jc w:val="right"/>
              <w:rPr>
                <w:rFonts w:ascii="Arial" w:hAnsi="Arial" w:cs="Arial"/>
                <w:kern w:val="0"/>
                <w:szCs w:val="21"/>
              </w:rPr>
            </w:pPr>
          </w:p>
        </w:tc>
        <w:tc>
          <w:tcPr>
            <w:tcW w:w="1095" w:type="dxa"/>
            <w:tcBorders>
              <w:top w:val="single" w:color="auto" w:sz="4" w:space="0"/>
              <w:left w:val="nil"/>
              <w:bottom w:val="single" w:color="auto" w:sz="4" w:space="0"/>
              <w:right w:val="single" w:color="auto" w:sz="4" w:space="0"/>
            </w:tcBorders>
          </w:tcPr>
          <w:p>
            <w:pPr>
              <w:widowControl/>
              <w:jc w:val="right"/>
              <w:rPr>
                <w:rFonts w:ascii="Arial" w:hAnsi="Arial" w:cs="Arial"/>
                <w:kern w:val="0"/>
                <w:szCs w:val="21"/>
              </w:rPr>
            </w:pPr>
          </w:p>
        </w:tc>
        <w:tc>
          <w:tcPr>
            <w:tcW w:w="858" w:type="dxa"/>
            <w:tcBorders>
              <w:top w:val="nil"/>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c>
          <w:tcPr>
            <w:tcW w:w="1183"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p>
        </w:tc>
        <w:tc>
          <w:tcPr>
            <w:tcW w:w="1842"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509"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272" w:type="dxa"/>
            <w:tcBorders>
              <w:top w:val="nil"/>
              <w:left w:val="nil"/>
              <w:bottom w:val="single" w:color="auto" w:sz="4" w:space="0"/>
              <w:right w:val="single" w:color="auto" w:sz="4" w:space="0"/>
            </w:tcBorders>
            <w:vAlign w:val="center"/>
          </w:tcPr>
          <w:p>
            <w:pPr>
              <w:widowControl/>
              <w:jc w:val="right"/>
              <w:rPr>
                <w:rFonts w:ascii="Arial" w:hAnsi="Arial" w:cs="Arial"/>
                <w:kern w:val="0"/>
                <w:szCs w:val="21"/>
              </w:rPr>
            </w:pPr>
          </w:p>
        </w:tc>
        <w:tc>
          <w:tcPr>
            <w:tcW w:w="1095" w:type="dxa"/>
            <w:tcBorders>
              <w:top w:val="single" w:color="auto" w:sz="4" w:space="0"/>
              <w:left w:val="nil"/>
              <w:bottom w:val="single" w:color="auto" w:sz="4" w:space="0"/>
              <w:right w:val="single" w:color="auto" w:sz="4" w:space="0"/>
            </w:tcBorders>
          </w:tcPr>
          <w:p>
            <w:pPr>
              <w:widowControl/>
              <w:jc w:val="right"/>
              <w:rPr>
                <w:rFonts w:ascii="Arial" w:hAnsi="Arial" w:cs="Arial"/>
                <w:kern w:val="0"/>
                <w:szCs w:val="21"/>
              </w:rPr>
            </w:pPr>
          </w:p>
        </w:tc>
        <w:tc>
          <w:tcPr>
            <w:tcW w:w="858" w:type="dxa"/>
            <w:tcBorders>
              <w:top w:val="nil"/>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c>
          <w:tcPr>
            <w:tcW w:w="1183"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p>
        </w:tc>
        <w:tc>
          <w:tcPr>
            <w:tcW w:w="1842"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509"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272" w:type="dxa"/>
            <w:tcBorders>
              <w:top w:val="nil"/>
              <w:left w:val="nil"/>
              <w:bottom w:val="single" w:color="auto" w:sz="4" w:space="0"/>
              <w:right w:val="single" w:color="auto" w:sz="4" w:space="0"/>
            </w:tcBorders>
            <w:vAlign w:val="center"/>
          </w:tcPr>
          <w:p>
            <w:pPr>
              <w:widowControl/>
              <w:jc w:val="right"/>
              <w:rPr>
                <w:rFonts w:ascii="Arial" w:hAnsi="Arial" w:cs="Arial"/>
                <w:kern w:val="0"/>
                <w:szCs w:val="21"/>
              </w:rPr>
            </w:pPr>
          </w:p>
        </w:tc>
        <w:tc>
          <w:tcPr>
            <w:tcW w:w="1095" w:type="dxa"/>
            <w:tcBorders>
              <w:top w:val="single" w:color="auto" w:sz="4" w:space="0"/>
              <w:left w:val="nil"/>
              <w:bottom w:val="single" w:color="auto" w:sz="4" w:space="0"/>
              <w:right w:val="single" w:color="auto" w:sz="4" w:space="0"/>
            </w:tcBorders>
          </w:tcPr>
          <w:p>
            <w:pPr>
              <w:widowControl/>
              <w:jc w:val="right"/>
              <w:rPr>
                <w:rFonts w:ascii="Arial" w:hAnsi="Arial" w:cs="Arial"/>
                <w:kern w:val="0"/>
                <w:szCs w:val="21"/>
              </w:rPr>
            </w:pPr>
          </w:p>
        </w:tc>
        <w:tc>
          <w:tcPr>
            <w:tcW w:w="858" w:type="dxa"/>
            <w:tcBorders>
              <w:top w:val="nil"/>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c>
          <w:tcPr>
            <w:tcW w:w="1183"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p>
        </w:tc>
        <w:tc>
          <w:tcPr>
            <w:tcW w:w="1842"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509"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272" w:type="dxa"/>
            <w:tcBorders>
              <w:top w:val="nil"/>
              <w:left w:val="nil"/>
              <w:bottom w:val="single" w:color="auto" w:sz="4" w:space="0"/>
              <w:right w:val="single" w:color="auto" w:sz="4" w:space="0"/>
            </w:tcBorders>
            <w:vAlign w:val="center"/>
          </w:tcPr>
          <w:p>
            <w:pPr>
              <w:widowControl/>
              <w:jc w:val="right"/>
              <w:rPr>
                <w:rFonts w:ascii="Arial" w:hAnsi="Arial" w:cs="Arial"/>
                <w:kern w:val="0"/>
                <w:szCs w:val="21"/>
              </w:rPr>
            </w:pPr>
          </w:p>
        </w:tc>
        <w:tc>
          <w:tcPr>
            <w:tcW w:w="1095" w:type="dxa"/>
            <w:tcBorders>
              <w:top w:val="single" w:color="auto" w:sz="4" w:space="0"/>
              <w:left w:val="nil"/>
              <w:bottom w:val="single" w:color="auto" w:sz="4" w:space="0"/>
              <w:right w:val="single" w:color="auto" w:sz="4" w:space="0"/>
            </w:tcBorders>
          </w:tcPr>
          <w:p>
            <w:pPr>
              <w:widowControl/>
              <w:jc w:val="right"/>
              <w:rPr>
                <w:rFonts w:ascii="Arial" w:hAnsi="Arial" w:cs="Arial"/>
                <w:kern w:val="0"/>
                <w:szCs w:val="21"/>
              </w:rPr>
            </w:pPr>
          </w:p>
        </w:tc>
        <w:tc>
          <w:tcPr>
            <w:tcW w:w="858" w:type="dxa"/>
            <w:tcBorders>
              <w:top w:val="nil"/>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c>
          <w:tcPr>
            <w:tcW w:w="1183"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p>
        </w:tc>
        <w:tc>
          <w:tcPr>
            <w:tcW w:w="1842"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509"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272" w:type="dxa"/>
            <w:tcBorders>
              <w:top w:val="nil"/>
              <w:left w:val="nil"/>
              <w:bottom w:val="single" w:color="auto" w:sz="4" w:space="0"/>
              <w:right w:val="single" w:color="auto" w:sz="4" w:space="0"/>
            </w:tcBorders>
            <w:vAlign w:val="center"/>
          </w:tcPr>
          <w:p>
            <w:pPr>
              <w:widowControl/>
              <w:jc w:val="right"/>
              <w:rPr>
                <w:rFonts w:ascii="Arial" w:hAnsi="Arial" w:cs="Arial"/>
                <w:kern w:val="0"/>
                <w:szCs w:val="21"/>
              </w:rPr>
            </w:pPr>
          </w:p>
        </w:tc>
        <w:tc>
          <w:tcPr>
            <w:tcW w:w="1095" w:type="dxa"/>
            <w:tcBorders>
              <w:top w:val="single" w:color="auto" w:sz="4" w:space="0"/>
              <w:left w:val="nil"/>
              <w:bottom w:val="single" w:color="auto" w:sz="4" w:space="0"/>
              <w:right w:val="single" w:color="auto" w:sz="4" w:space="0"/>
            </w:tcBorders>
          </w:tcPr>
          <w:p>
            <w:pPr>
              <w:widowControl/>
              <w:jc w:val="right"/>
              <w:rPr>
                <w:rFonts w:ascii="Arial" w:hAnsi="Arial" w:cs="Arial"/>
                <w:kern w:val="0"/>
                <w:szCs w:val="21"/>
              </w:rPr>
            </w:pPr>
          </w:p>
        </w:tc>
        <w:tc>
          <w:tcPr>
            <w:tcW w:w="858" w:type="dxa"/>
            <w:tcBorders>
              <w:top w:val="nil"/>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c>
          <w:tcPr>
            <w:tcW w:w="1183"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900" w:hRule="atLeast"/>
        </w:trPr>
        <w:tc>
          <w:tcPr>
            <w:tcW w:w="666"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p>
        </w:tc>
        <w:tc>
          <w:tcPr>
            <w:tcW w:w="1842"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509"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272" w:type="dxa"/>
            <w:tcBorders>
              <w:top w:val="nil"/>
              <w:left w:val="nil"/>
              <w:bottom w:val="single" w:color="auto" w:sz="4" w:space="0"/>
              <w:right w:val="single" w:color="auto" w:sz="4" w:space="0"/>
            </w:tcBorders>
            <w:vAlign w:val="center"/>
          </w:tcPr>
          <w:p>
            <w:pPr>
              <w:widowControl/>
              <w:jc w:val="right"/>
              <w:rPr>
                <w:rFonts w:ascii="Arial" w:hAnsi="Arial" w:cs="Arial"/>
                <w:kern w:val="0"/>
                <w:szCs w:val="21"/>
              </w:rPr>
            </w:pPr>
          </w:p>
        </w:tc>
        <w:tc>
          <w:tcPr>
            <w:tcW w:w="1095" w:type="dxa"/>
            <w:tcBorders>
              <w:top w:val="single" w:color="auto" w:sz="4" w:space="0"/>
              <w:left w:val="nil"/>
              <w:bottom w:val="single" w:color="auto" w:sz="4" w:space="0"/>
              <w:right w:val="single" w:color="auto" w:sz="4" w:space="0"/>
            </w:tcBorders>
          </w:tcPr>
          <w:p>
            <w:pPr>
              <w:widowControl/>
              <w:jc w:val="right"/>
              <w:rPr>
                <w:rFonts w:ascii="Arial" w:hAnsi="Arial" w:cs="Arial"/>
                <w:kern w:val="0"/>
                <w:szCs w:val="21"/>
              </w:rPr>
            </w:pPr>
          </w:p>
        </w:tc>
        <w:tc>
          <w:tcPr>
            <w:tcW w:w="858" w:type="dxa"/>
            <w:tcBorders>
              <w:top w:val="nil"/>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c>
          <w:tcPr>
            <w:tcW w:w="1183"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900" w:hRule="atLeast"/>
        </w:trPr>
        <w:tc>
          <w:tcPr>
            <w:tcW w:w="401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合</w:t>
            </w:r>
            <w:r>
              <w:rPr>
                <w:rFonts w:ascii="Arial" w:hAnsi="Arial" w:cs="Arial"/>
                <w:kern w:val="0"/>
                <w:szCs w:val="21"/>
              </w:rPr>
              <w:t xml:space="preserve">    </w:t>
            </w:r>
            <w:r>
              <w:rPr>
                <w:rFonts w:hint="eastAsia" w:ascii="宋体" w:hAnsi="宋体" w:cs="宋体"/>
                <w:kern w:val="0"/>
                <w:szCs w:val="21"/>
              </w:rPr>
              <w:t>计</w:t>
            </w:r>
          </w:p>
        </w:tc>
        <w:tc>
          <w:tcPr>
            <w:tcW w:w="1272"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c>
          <w:tcPr>
            <w:tcW w:w="1095" w:type="dxa"/>
            <w:tcBorders>
              <w:top w:val="single" w:color="auto" w:sz="4" w:space="0"/>
              <w:left w:val="nil"/>
              <w:bottom w:val="single" w:color="auto" w:sz="4" w:space="0"/>
              <w:right w:val="single" w:color="auto" w:sz="4" w:space="0"/>
            </w:tcBorders>
          </w:tcPr>
          <w:p>
            <w:pPr>
              <w:widowControl/>
              <w:jc w:val="center"/>
              <w:rPr>
                <w:rFonts w:ascii="Arial" w:hAnsi="Arial" w:cs="Arial"/>
                <w:kern w:val="0"/>
                <w:szCs w:val="21"/>
              </w:rPr>
            </w:pPr>
          </w:p>
        </w:tc>
        <w:tc>
          <w:tcPr>
            <w:tcW w:w="858" w:type="dxa"/>
            <w:tcBorders>
              <w:top w:val="nil"/>
              <w:left w:val="single" w:color="auto" w:sz="4" w:space="0"/>
              <w:bottom w:val="single" w:color="auto" w:sz="4" w:space="0"/>
              <w:right w:val="single" w:color="auto" w:sz="4" w:space="0"/>
            </w:tcBorders>
            <w:vAlign w:val="center"/>
          </w:tcPr>
          <w:p>
            <w:pPr>
              <w:widowControl/>
              <w:jc w:val="center"/>
              <w:rPr>
                <w:rFonts w:ascii="Arial" w:hAnsi="Arial" w:cs="Arial"/>
                <w:kern w:val="0"/>
                <w:szCs w:val="21"/>
              </w:rPr>
            </w:pPr>
          </w:p>
        </w:tc>
        <w:tc>
          <w:tcPr>
            <w:tcW w:w="1183" w:type="dxa"/>
            <w:tcBorders>
              <w:top w:val="nil"/>
              <w:left w:val="nil"/>
              <w:bottom w:val="single" w:color="auto" w:sz="4" w:space="0"/>
              <w:right w:val="single" w:color="auto" w:sz="4" w:space="0"/>
            </w:tcBorders>
            <w:vAlign w:val="center"/>
          </w:tcPr>
          <w:p>
            <w:pPr>
              <w:widowControl/>
              <w:jc w:val="center"/>
              <w:rPr>
                <w:rFonts w:ascii="Arial" w:hAnsi="Arial" w:cs="Arial"/>
                <w:kern w:val="0"/>
                <w:szCs w:val="21"/>
              </w:rPr>
            </w:pPr>
          </w:p>
        </w:tc>
      </w:tr>
    </w:tbl>
    <w:p>
      <w:pPr>
        <w:tabs>
          <w:tab w:val="left" w:pos="720"/>
        </w:tabs>
        <w:spacing w:after="120" w:afterLines="50" w:line="300" w:lineRule="auto"/>
        <w:ind w:left="424" w:hanging="424" w:hangingChars="202"/>
        <w:rPr>
          <w:rFonts w:ascii="Arial" w:hAnsi="宋体" w:cs="Arial"/>
        </w:rPr>
      </w:pPr>
      <w:r>
        <w:rPr>
          <w:rFonts w:hint="eastAsia" w:ascii="Arial" w:hAnsi="Arial" w:cs="Arial"/>
          <w:szCs w:val="21"/>
        </w:rPr>
        <w:t>注：此表项目名称、服务内容由招标人填写，编写最高投标限价时，费率及金额由招标人按有关计价规定确定；投标时，费率及金额由投标人自主报价，计入投标总价中。</w:t>
      </w:r>
    </w:p>
    <w:p>
      <w:pPr>
        <w:pStyle w:val="148"/>
        <w:spacing w:before="120" w:after="120"/>
        <w:rPr>
          <w:rFonts w:ascii="宋体"/>
        </w:rPr>
      </w:pPr>
      <w:r>
        <w:rPr>
          <w:rFonts w:hint="eastAsia" w:ascii="宋体"/>
          <w:kern w:val="0"/>
        </w:rPr>
        <w:br w:type="page"/>
      </w:r>
      <w:bookmarkStart w:id="1211" w:name="_Toc483575328"/>
      <w:bookmarkStart w:id="1212" w:name="_Toc23757449"/>
      <w:bookmarkStart w:id="1213" w:name="_Toc241459779"/>
      <w:bookmarkStart w:id="1214" w:name="_Toc342296538"/>
      <w:bookmarkStart w:id="1215" w:name="_Toc480481691"/>
      <w:bookmarkStart w:id="1216" w:name="_Toc10235195"/>
      <w:bookmarkStart w:id="1217" w:name="_Toc497458734"/>
      <w:r>
        <w:rPr>
          <w:rFonts w:hint="eastAsia"/>
        </w:rPr>
        <w:t>税金项目计价表</w:t>
      </w:r>
      <w:bookmarkEnd w:id="1211"/>
      <w:bookmarkEnd w:id="1212"/>
      <w:bookmarkEnd w:id="1213"/>
      <w:bookmarkEnd w:id="1214"/>
      <w:bookmarkEnd w:id="1215"/>
      <w:bookmarkEnd w:id="1216"/>
      <w:bookmarkEnd w:id="1217"/>
    </w:p>
    <w:p>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税金项目计价表</w:t>
      </w:r>
    </w:p>
    <w:p>
      <w:pPr>
        <w:tabs>
          <w:tab w:val="left" w:pos="720"/>
        </w:tabs>
        <w:spacing w:line="300" w:lineRule="auto"/>
        <w:rPr>
          <w:rFonts w:ascii="Arial" w:hAnsi="Arial" w:cs="Arial"/>
        </w:rPr>
      </w:pPr>
    </w:p>
    <w:p>
      <w:pPr>
        <w:tabs>
          <w:tab w:val="left" w:pos="720"/>
        </w:tabs>
        <w:spacing w:after="120" w:afterLines="50" w:line="300" w:lineRule="auto"/>
        <w:rPr>
          <w:rFonts w:ascii="Arial" w:hAnsi="Arial" w:cs="Arial"/>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938"/>
        <w:gridCol w:w="1672"/>
        <w:gridCol w:w="1417"/>
        <w:gridCol w:w="1276"/>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序号</w:t>
            </w:r>
          </w:p>
        </w:tc>
        <w:tc>
          <w:tcPr>
            <w:tcW w:w="1938"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项目名称</w:t>
            </w:r>
          </w:p>
        </w:tc>
        <w:tc>
          <w:tcPr>
            <w:tcW w:w="167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计算基础</w:t>
            </w: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计算基数</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费率（</w:t>
            </w:r>
            <w:r>
              <w:rPr>
                <w:rFonts w:ascii="Arial" w:hAnsi="Arial" w:cs="Arial"/>
              </w:rPr>
              <w:t>%</w:t>
            </w:r>
            <w:r>
              <w:rPr>
                <w:rFonts w:hint="eastAsia" w:ascii="Arial" w:hAnsi="Arial" w:cs="Arial"/>
              </w:rPr>
              <w:t>）</w:t>
            </w:r>
          </w:p>
        </w:tc>
        <w:tc>
          <w:tcPr>
            <w:tcW w:w="13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1</w:t>
            </w:r>
          </w:p>
        </w:tc>
        <w:tc>
          <w:tcPr>
            <w:tcW w:w="1938"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rPr>
                <w:rFonts w:ascii="Arial" w:hAnsi="Arial" w:cs="Arial"/>
              </w:rPr>
            </w:pPr>
            <w:r>
              <w:rPr>
                <w:rFonts w:hint="eastAsia" w:ascii="Arial" w:hAnsi="Arial" w:cs="Arial"/>
              </w:rPr>
              <w:t>税金</w:t>
            </w:r>
          </w:p>
        </w:tc>
        <w:tc>
          <w:tcPr>
            <w:tcW w:w="167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分部分项工程费</w:t>
            </w:r>
            <w:r>
              <w:rPr>
                <w:rFonts w:ascii="Arial" w:hAnsi="Arial" w:cs="Arial"/>
              </w:rPr>
              <w:t>+</w:t>
            </w:r>
            <w:r>
              <w:rPr>
                <w:rFonts w:hint="eastAsia" w:ascii="Arial" w:hAnsi="Arial" w:cs="Arial"/>
              </w:rPr>
              <w:t>措施项目费</w:t>
            </w:r>
            <w:r>
              <w:rPr>
                <w:rFonts w:ascii="Arial" w:hAnsi="Arial" w:cs="Arial"/>
              </w:rPr>
              <w:t>+</w:t>
            </w:r>
            <w:r>
              <w:rPr>
                <w:rFonts w:hint="eastAsia" w:ascii="Arial" w:hAnsi="Arial" w:cs="Arial"/>
              </w:rPr>
              <w:t>其他项目费</w:t>
            </w:r>
            <w:r>
              <w:rPr>
                <w:rFonts w:ascii="Arial" w:hAnsi="Arial" w:cs="Arial"/>
              </w:rPr>
              <w:t>-</w:t>
            </w:r>
            <w:r>
              <w:rPr>
                <w:rFonts w:hint="eastAsia" w:ascii="Arial" w:hAnsi="Arial" w:cs="Arial"/>
              </w:rPr>
              <w:t>按规定不计税的工程设备金额</w:t>
            </w: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3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strike/>
              </w:rPr>
            </w:pPr>
          </w:p>
        </w:tc>
        <w:tc>
          <w:tcPr>
            <w:tcW w:w="1938"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rPr>
                <w:rFonts w:ascii="Arial" w:hAnsi="Arial" w:cs="Arial"/>
                <w:strike/>
              </w:rPr>
            </w:pPr>
          </w:p>
        </w:tc>
        <w:tc>
          <w:tcPr>
            <w:tcW w:w="167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3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strike/>
              </w:rPr>
            </w:pPr>
          </w:p>
        </w:tc>
        <w:tc>
          <w:tcPr>
            <w:tcW w:w="1938"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rPr>
                <w:rFonts w:ascii="Arial" w:hAnsi="Arial" w:cs="Arial"/>
                <w:strike/>
              </w:rPr>
            </w:pPr>
          </w:p>
        </w:tc>
        <w:tc>
          <w:tcPr>
            <w:tcW w:w="167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3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strike/>
              </w:rPr>
            </w:pPr>
          </w:p>
        </w:tc>
        <w:tc>
          <w:tcPr>
            <w:tcW w:w="1938"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rPr>
                <w:rFonts w:ascii="Arial" w:hAnsi="Arial" w:cs="Arial"/>
                <w:strike/>
              </w:rPr>
            </w:pPr>
          </w:p>
        </w:tc>
        <w:tc>
          <w:tcPr>
            <w:tcW w:w="167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3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strike/>
              </w:rPr>
            </w:pPr>
          </w:p>
        </w:tc>
        <w:tc>
          <w:tcPr>
            <w:tcW w:w="1938"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rPr>
                <w:rFonts w:ascii="Arial" w:hAnsi="Arial" w:cs="Arial"/>
                <w:strike/>
              </w:rPr>
            </w:pPr>
          </w:p>
        </w:tc>
        <w:tc>
          <w:tcPr>
            <w:tcW w:w="167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3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strike/>
              </w:rPr>
            </w:pPr>
          </w:p>
        </w:tc>
        <w:tc>
          <w:tcPr>
            <w:tcW w:w="1938"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rPr>
                <w:rFonts w:ascii="Arial" w:hAnsi="Arial" w:cs="Arial"/>
                <w:strike/>
              </w:rPr>
            </w:pPr>
          </w:p>
        </w:tc>
        <w:tc>
          <w:tcPr>
            <w:tcW w:w="167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3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938"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rPr>
                <w:rFonts w:ascii="Arial" w:hAnsi="Arial" w:cs="Arial"/>
              </w:rPr>
            </w:pPr>
          </w:p>
        </w:tc>
        <w:tc>
          <w:tcPr>
            <w:tcW w:w="167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3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85"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938"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rPr>
                <w:rFonts w:ascii="Arial" w:hAnsi="Arial" w:cs="Arial"/>
              </w:rPr>
            </w:pPr>
          </w:p>
        </w:tc>
        <w:tc>
          <w:tcPr>
            <w:tcW w:w="167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41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3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812" w:type="dxa"/>
            <w:gridSpan w:val="4"/>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合计</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3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r>
    </w:tbl>
    <w:p>
      <w:pPr>
        <w:widowControl/>
        <w:spacing w:line="300" w:lineRule="auto"/>
        <w:jc w:val="left"/>
        <w:rPr>
          <w:rFonts w:ascii="黑体" w:hAnsi="宋体" w:eastAsia="黑体" w:cs="Arial"/>
          <w:kern w:val="0"/>
          <w:sz w:val="24"/>
        </w:rPr>
        <w:sectPr>
          <w:pgSz w:w="11906" w:h="16838"/>
          <w:pgMar w:top="1440" w:right="1797" w:bottom="1440" w:left="1797" w:header="851" w:footer="992" w:gutter="0"/>
          <w:cols w:space="720" w:num="1"/>
        </w:sectPr>
      </w:pPr>
    </w:p>
    <w:p>
      <w:pPr>
        <w:pStyle w:val="148"/>
        <w:spacing w:before="120" w:after="120"/>
        <w:rPr>
          <w:rFonts w:ascii="宋体"/>
          <w:kern w:val="0"/>
        </w:rPr>
      </w:pPr>
      <w:bookmarkStart w:id="1218" w:name="_Toc497458735"/>
      <w:bookmarkStart w:id="1219" w:name="_Toc10235196"/>
      <w:bookmarkStart w:id="1220" w:name="_Toc480481692"/>
      <w:bookmarkStart w:id="1221" w:name="_Toc241459780"/>
      <w:bookmarkStart w:id="1222" w:name="_Toc263259772"/>
      <w:bookmarkStart w:id="1223" w:name="_Toc23757450"/>
      <w:bookmarkStart w:id="1224" w:name="_Toc483575329"/>
      <w:r>
        <w:rPr>
          <w:rFonts w:hint="eastAsia"/>
        </w:rPr>
        <w:t>总价措施项目清单组价分析表</w:t>
      </w:r>
      <w:bookmarkEnd w:id="1218"/>
      <w:bookmarkEnd w:id="1219"/>
      <w:bookmarkEnd w:id="1220"/>
      <w:bookmarkEnd w:id="1221"/>
      <w:bookmarkEnd w:id="1222"/>
      <w:bookmarkEnd w:id="1223"/>
      <w:bookmarkEnd w:id="1224"/>
    </w:p>
    <w:tbl>
      <w:tblPr>
        <w:tblStyle w:val="49"/>
        <w:tblW w:w="14640" w:type="dxa"/>
        <w:tblInd w:w="108" w:type="dxa"/>
        <w:tblLayout w:type="fixed"/>
        <w:tblCellMar>
          <w:top w:w="0" w:type="dxa"/>
          <w:left w:w="108" w:type="dxa"/>
          <w:bottom w:w="0" w:type="dxa"/>
          <w:right w:w="108" w:type="dxa"/>
        </w:tblCellMar>
      </w:tblPr>
      <w:tblGrid>
        <w:gridCol w:w="1276"/>
        <w:gridCol w:w="109"/>
        <w:gridCol w:w="1134"/>
        <w:gridCol w:w="317"/>
        <w:gridCol w:w="1842"/>
        <w:gridCol w:w="2835"/>
        <w:gridCol w:w="1169"/>
        <w:gridCol w:w="1381"/>
        <w:gridCol w:w="957"/>
        <w:gridCol w:w="746"/>
        <w:gridCol w:w="1031"/>
        <w:gridCol w:w="709"/>
        <w:gridCol w:w="528"/>
        <w:gridCol w:w="425"/>
        <w:gridCol w:w="181"/>
      </w:tblGrid>
      <w:tr>
        <w:tblPrEx>
          <w:tblCellMar>
            <w:top w:w="0" w:type="dxa"/>
            <w:left w:w="108" w:type="dxa"/>
            <w:bottom w:w="0" w:type="dxa"/>
            <w:right w:w="108" w:type="dxa"/>
          </w:tblCellMar>
        </w:tblPrEx>
        <w:trPr>
          <w:trHeight w:val="616" w:hRule="atLeast"/>
        </w:trPr>
        <w:tc>
          <w:tcPr>
            <w:tcW w:w="1385" w:type="dxa"/>
            <w:gridSpan w:val="2"/>
          </w:tcPr>
          <w:p>
            <w:pPr>
              <w:widowControl/>
              <w:jc w:val="center"/>
              <w:rPr>
                <w:rFonts w:ascii="黑体" w:hAnsi="宋体" w:eastAsia="黑体" w:cs="宋体"/>
                <w:kern w:val="0"/>
                <w:sz w:val="30"/>
                <w:szCs w:val="30"/>
              </w:rPr>
            </w:pPr>
          </w:p>
        </w:tc>
        <w:tc>
          <w:tcPr>
            <w:tcW w:w="12121" w:type="dxa"/>
            <w:gridSpan w:val="10"/>
            <w:noWrap/>
          </w:tcPr>
          <w:p>
            <w:pPr>
              <w:widowControl/>
              <w:jc w:val="center"/>
              <w:rPr>
                <w:rFonts w:ascii="黑体" w:hAnsi="宋体" w:eastAsia="黑体" w:cs="宋体"/>
                <w:kern w:val="0"/>
                <w:sz w:val="30"/>
                <w:szCs w:val="30"/>
              </w:rPr>
            </w:pPr>
            <w:r>
              <w:rPr>
                <w:rFonts w:hint="eastAsia" w:ascii="黑体" w:hAnsi="宋体" w:eastAsia="黑体" w:cs="宋体"/>
                <w:kern w:val="0"/>
                <w:sz w:val="30"/>
                <w:szCs w:val="30"/>
              </w:rPr>
              <w:t>总价措施项目报价组成分析表</w:t>
            </w:r>
          </w:p>
        </w:tc>
        <w:tc>
          <w:tcPr>
            <w:tcW w:w="1134" w:type="dxa"/>
            <w:gridSpan w:val="3"/>
          </w:tcPr>
          <w:p>
            <w:pPr>
              <w:widowControl/>
              <w:jc w:val="center"/>
              <w:rPr>
                <w:rFonts w:ascii="黑体" w:hAnsi="宋体" w:eastAsia="黑体" w:cs="宋体"/>
                <w:kern w:val="0"/>
                <w:sz w:val="30"/>
                <w:szCs w:val="30"/>
              </w:rPr>
            </w:pPr>
          </w:p>
        </w:tc>
      </w:tr>
      <w:tr>
        <w:tblPrEx>
          <w:tblCellMar>
            <w:top w:w="0" w:type="dxa"/>
            <w:left w:w="108" w:type="dxa"/>
            <w:bottom w:w="0" w:type="dxa"/>
            <w:right w:w="108" w:type="dxa"/>
          </w:tblCellMar>
        </w:tblPrEx>
        <w:trPr>
          <w:trHeight w:val="442" w:hRule="atLeast"/>
        </w:trPr>
        <w:tc>
          <w:tcPr>
            <w:tcW w:w="1276" w:type="dxa"/>
            <w:noWrap/>
            <w:vAlign w:val="center"/>
          </w:tcPr>
          <w:p>
            <w:pPr>
              <w:widowControl/>
              <w:jc w:val="left"/>
              <w:rPr>
                <w:rFonts w:ascii="宋体" w:hAnsi="宋体" w:cs="宋体"/>
                <w:kern w:val="0"/>
                <w:szCs w:val="20"/>
              </w:rPr>
            </w:pPr>
            <w:r>
              <w:rPr>
                <w:rFonts w:hint="eastAsia" w:ascii="宋体" w:hAnsi="宋体" w:cs="宋体"/>
                <w:kern w:val="0"/>
                <w:szCs w:val="20"/>
              </w:rPr>
              <w:t>工程名称：</w:t>
            </w:r>
          </w:p>
        </w:tc>
        <w:tc>
          <w:tcPr>
            <w:tcW w:w="1243" w:type="dxa"/>
            <w:gridSpan w:val="2"/>
          </w:tcPr>
          <w:p>
            <w:pPr>
              <w:widowControl/>
              <w:jc w:val="left"/>
              <w:rPr>
                <w:rFonts w:ascii="宋体" w:hAnsi="宋体" w:cs="宋体"/>
                <w:kern w:val="0"/>
                <w:szCs w:val="20"/>
              </w:rPr>
            </w:pPr>
          </w:p>
        </w:tc>
        <w:tc>
          <w:tcPr>
            <w:tcW w:w="10278" w:type="dxa"/>
            <w:gridSpan w:val="8"/>
            <w:noWrap/>
            <w:vAlign w:val="center"/>
          </w:tcPr>
          <w:p>
            <w:pPr>
              <w:widowControl/>
              <w:jc w:val="left"/>
              <w:rPr>
                <w:rFonts w:ascii="宋体" w:hAnsi="宋体" w:cs="宋体"/>
                <w:kern w:val="0"/>
                <w:szCs w:val="20"/>
              </w:rPr>
            </w:pPr>
          </w:p>
        </w:tc>
        <w:tc>
          <w:tcPr>
            <w:tcW w:w="1843" w:type="dxa"/>
            <w:gridSpan w:val="4"/>
          </w:tcPr>
          <w:p>
            <w:pPr>
              <w:widowControl/>
              <w:jc w:val="left"/>
              <w:rPr>
                <w:rFonts w:ascii="宋体" w:hAnsi="宋体" w:cs="宋体"/>
                <w:kern w:val="0"/>
                <w:szCs w:val="20"/>
              </w:rPr>
            </w:pPr>
            <w:r>
              <w:rPr>
                <w:rFonts w:ascii="宋体" w:hAnsi="宋体" w:cs="宋体"/>
                <w:szCs w:val="21"/>
              </w:rPr>
              <w:t>第</w:t>
            </w:r>
            <w:r>
              <w:rPr>
                <w:rFonts w:ascii="宋体" w:hAnsi="宋体" w:cs="宋体"/>
                <w:szCs w:val="21"/>
              </w:rPr>
              <w:tab/>
            </w:r>
            <w:r>
              <w:rPr>
                <w:rFonts w:ascii="宋体" w:hAnsi="宋体" w:cs="宋体"/>
                <w:szCs w:val="21"/>
              </w:rPr>
              <w:t xml:space="preserve">页 </w:t>
            </w:r>
            <w:r>
              <w:rPr>
                <w:rFonts w:hint="eastAsia" w:ascii="宋体" w:hAnsi="宋体" w:cs="宋体"/>
                <w:szCs w:val="21"/>
              </w:rPr>
              <w:t xml:space="preserve"> </w:t>
            </w:r>
            <w:r>
              <w:rPr>
                <w:rFonts w:ascii="宋体" w:hAnsi="宋体" w:cs="宋体"/>
                <w:szCs w:val="21"/>
              </w:rPr>
              <w:t>共</w:t>
            </w:r>
            <w:r>
              <w:rPr>
                <w:rFonts w:ascii="宋体" w:hAnsi="宋体" w:cs="宋体"/>
                <w:szCs w:val="21"/>
              </w:rPr>
              <w:tab/>
            </w:r>
            <w:r>
              <w:rPr>
                <w:rFonts w:ascii="宋体" w:hAnsi="宋体" w:cs="宋体"/>
                <w:szCs w:val="21"/>
              </w:rPr>
              <w:t>页</w:t>
            </w:r>
          </w:p>
        </w:tc>
      </w:tr>
      <w:tr>
        <w:tblPrEx>
          <w:tblCellMar>
            <w:top w:w="0" w:type="dxa"/>
            <w:left w:w="108" w:type="dxa"/>
            <w:bottom w:w="0" w:type="dxa"/>
            <w:right w:w="108" w:type="dxa"/>
          </w:tblCellMar>
        </w:tblPrEx>
        <w:trPr>
          <w:cantSplit/>
          <w:trHeight w:val="402" w:hRule="atLeast"/>
        </w:trPr>
        <w:tc>
          <w:tcPr>
            <w:tcW w:w="127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0"/>
              </w:rPr>
            </w:pPr>
            <w:r>
              <w:rPr>
                <w:rFonts w:hint="eastAsia" w:ascii="宋体" w:hAnsi="宋体" w:cs="宋体"/>
                <w:kern w:val="0"/>
                <w:szCs w:val="20"/>
              </w:rPr>
              <w:t>子目编码</w:t>
            </w:r>
          </w:p>
        </w:tc>
        <w:tc>
          <w:tcPr>
            <w:tcW w:w="156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0"/>
              </w:rPr>
            </w:pPr>
            <w:r>
              <w:rPr>
                <w:rFonts w:hint="eastAsia" w:ascii="宋体" w:hAnsi="宋体" w:cs="宋体"/>
                <w:kern w:val="0"/>
                <w:szCs w:val="20"/>
              </w:rPr>
              <w:t>措施项目名称</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0"/>
              </w:rPr>
            </w:pPr>
            <w:r>
              <w:rPr>
                <w:rFonts w:hint="eastAsia" w:ascii="宋体" w:hAnsi="宋体" w:cs="宋体"/>
                <w:kern w:val="0"/>
                <w:szCs w:val="20"/>
              </w:rPr>
              <w:t>拟采取主要方案或投入资源描述</w:t>
            </w:r>
          </w:p>
        </w:tc>
        <w:tc>
          <w:tcPr>
            <w:tcW w:w="283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0"/>
              </w:rPr>
            </w:pPr>
            <w:r>
              <w:rPr>
                <w:rFonts w:hint="eastAsia" w:ascii="宋体" w:hAnsi="宋体" w:cs="宋体"/>
                <w:kern w:val="0"/>
                <w:szCs w:val="20"/>
              </w:rPr>
              <w:t>实际成本详细计算过程</w:t>
            </w:r>
          </w:p>
        </w:tc>
        <w:tc>
          <w:tcPr>
            <w:tcW w:w="4253"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0"/>
              </w:rPr>
            </w:pPr>
            <w:r>
              <w:rPr>
                <w:rFonts w:hint="eastAsia" w:ascii="宋体" w:hAnsi="宋体" w:cs="宋体"/>
                <w:kern w:val="0"/>
                <w:szCs w:val="20"/>
              </w:rPr>
              <w:t>不含税金额（元）</w:t>
            </w:r>
          </w:p>
        </w:tc>
        <w:tc>
          <w:tcPr>
            <w:tcW w:w="1740"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0"/>
              </w:rPr>
            </w:pPr>
            <w:r>
              <w:rPr>
                <w:rFonts w:hint="eastAsia" w:ascii="宋体" w:hAnsi="宋体" w:cs="宋体"/>
                <w:kern w:val="0"/>
                <w:szCs w:val="20"/>
              </w:rPr>
              <w:t>含税金额</w:t>
            </w:r>
          </w:p>
          <w:p>
            <w:pPr>
              <w:widowControl/>
              <w:jc w:val="center"/>
              <w:rPr>
                <w:rFonts w:ascii="宋体" w:hAnsi="宋体" w:cs="宋体"/>
                <w:kern w:val="0"/>
                <w:szCs w:val="20"/>
              </w:rPr>
            </w:pPr>
            <w:r>
              <w:rPr>
                <w:rFonts w:hint="eastAsia" w:ascii="宋体" w:hAnsi="宋体" w:cs="宋体"/>
                <w:kern w:val="0"/>
                <w:szCs w:val="20"/>
              </w:rPr>
              <w:t>（元）</w:t>
            </w:r>
          </w:p>
        </w:tc>
        <w:tc>
          <w:tcPr>
            <w:tcW w:w="1134" w:type="dxa"/>
            <w:gridSpan w:val="3"/>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Cs w:val="20"/>
              </w:rPr>
            </w:pPr>
            <w:r>
              <w:rPr>
                <w:rFonts w:hint="eastAsia" w:ascii="宋体" w:hAnsi="宋体" w:cs="宋体"/>
                <w:kern w:val="0"/>
                <w:szCs w:val="20"/>
              </w:rPr>
              <w:t>备注</w:t>
            </w:r>
          </w:p>
        </w:tc>
      </w:tr>
      <w:tr>
        <w:tblPrEx>
          <w:tblCellMar>
            <w:top w:w="0" w:type="dxa"/>
            <w:left w:w="108" w:type="dxa"/>
            <w:bottom w:w="0" w:type="dxa"/>
            <w:right w:w="108" w:type="dxa"/>
          </w:tblCellMar>
        </w:tblPrEx>
        <w:trPr>
          <w:cantSplit/>
          <w:trHeight w:val="402"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0"/>
              </w:rPr>
            </w:pPr>
          </w:p>
        </w:tc>
        <w:tc>
          <w:tcPr>
            <w:tcW w:w="15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0"/>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0"/>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0"/>
              </w:rPr>
            </w:pPr>
          </w:p>
        </w:tc>
        <w:tc>
          <w:tcPr>
            <w:tcW w:w="1169" w:type="dxa"/>
            <w:tcBorders>
              <w:top w:val="nil"/>
              <w:left w:val="nil"/>
              <w:bottom w:val="single" w:color="auto" w:sz="4" w:space="0"/>
              <w:right w:val="single" w:color="auto" w:sz="4" w:space="0"/>
            </w:tcBorders>
            <w:vAlign w:val="center"/>
          </w:tcPr>
          <w:p>
            <w:pPr>
              <w:widowControl/>
              <w:jc w:val="center"/>
              <w:rPr>
                <w:rFonts w:ascii="宋体" w:hAnsi="宋体" w:cs="宋体"/>
                <w:kern w:val="0"/>
                <w:szCs w:val="20"/>
              </w:rPr>
            </w:pPr>
            <w:r>
              <w:rPr>
                <w:rFonts w:hint="eastAsia" w:ascii="宋体" w:hAnsi="宋体" w:cs="宋体"/>
                <w:kern w:val="0"/>
                <w:szCs w:val="20"/>
              </w:rPr>
              <w:t>实际成本</w:t>
            </w:r>
          </w:p>
        </w:tc>
        <w:tc>
          <w:tcPr>
            <w:tcW w:w="1381" w:type="dxa"/>
            <w:tcBorders>
              <w:top w:val="nil"/>
              <w:left w:val="nil"/>
              <w:bottom w:val="single" w:color="auto" w:sz="4" w:space="0"/>
              <w:right w:val="single" w:color="auto" w:sz="4" w:space="0"/>
            </w:tcBorders>
            <w:vAlign w:val="center"/>
          </w:tcPr>
          <w:p>
            <w:pPr>
              <w:widowControl/>
              <w:jc w:val="center"/>
              <w:rPr>
                <w:rFonts w:ascii="宋体" w:hAnsi="宋体" w:cs="宋体"/>
                <w:kern w:val="0"/>
                <w:szCs w:val="20"/>
              </w:rPr>
            </w:pPr>
            <w:r>
              <w:rPr>
                <w:rFonts w:hint="eastAsia" w:ascii="宋体" w:hAnsi="宋体" w:cs="宋体"/>
                <w:kern w:val="0"/>
                <w:szCs w:val="20"/>
              </w:rPr>
              <w:t>企业管理费</w:t>
            </w:r>
          </w:p>
        </w:tc>
        <w:tc>
          <w:tcPr>
            <w:tcW w:w="957" w:type="dxa"/>
            <w:tcBorders>
              <w:top w:val="nil"/>
              <w:left w:val="nil"/>
              <w:bottom w:val="single" w:color="auto" w:sz="4" w:space="0"/>
              <w:right w:val="single" w:color="auto" w:sz="4" w:space="0"/>
            </w:tcBorders>
            <w:vAlign w:val="center"/>
          </w:tcPr>
          <w:p>
            <w:pPr>
              <w:widowControl/>
              <w:jc w:val="center"/>
              <w:rPr>
                <w:rFonts w:ascii="宋体" w:hAnsi="宋体" w:cs="宋体"/>
                <w:kern w:val="0"/>
                <w:szCs w:val="20"/>
              </w:rPr>
            </w:pPr>
            <w:r>
              <w:rPr>
                <w:rFonts w:hint="eastAsia" w:ascii="宋体" w:hAnsi="宋体" w:cs="宋体"/>
                <w:kern w:val="0"/>
                <w:szCs w:val="20"/>
              </w:rPr>
              <w:t>利润</w:t>
            </w:r>
          </w:p>
        </w:tc>
        <w:tc>
          <w:tcPr>
            <w:tcW w:w="7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0"/>
              </w:rPr>
            </w:pPr>
            <w:r>
              <w:rPr>
                <w:rFonts w:hint="eastAsia" w:ascii="宋体" w:hAnsi="宋体" w:cs="宋体"/>
                <w:kern w:val="0"/>
                <w:szCs w:val="20"/>
              </w:rPr>
              <w:t>小计</w:t>
            </w:r>
          </w:p>
        </w:tc>
        <w:tc>
          <w:tcPr>
            <w:tcW w:w="17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0"/>
              </w:rPr>
            </w:pPr>
          </w:p>
        </w:tc>
        <w:tc>
          <w:tcPr>
            <w:tcW w:w="1134" w:type="dxa"/>
            <w:gridSpan w:val="3"/>
            <w:vMerge w:val="continue"/>
            <w:tcBorders>
              <w:left w:val="single" w:color="auto" w:sz="4" w:space="0"/>
              <w:bottom w:val="single" w:color="auto" w:sz="4" w:space="0"/>
              <w:right w:val="single" w:color="auto" w:sz="4" w:space="0"/>
            </w:tcBorders>
          </w:tcPr>
          <w:p>
            <w:pPr>
              <w:widowControl/>
              <w:jc w:val="left"/>
              <w:rPr>
                <w:rFonts w:ascii="宋体" w:hAnsi="宋体" w:cs="宋体"/>
                <w:kern w:val="0"/>
                <w:szCs w:val="20"/>
              </w:rPr>
            </w:pPr>
          </w:p>
        </w:tc>
      </w:tr>
      <w:tr>
        <w:tblPrEx>
          <w:tblCellMar>
            <w:top w:w="0" w:type="dxa"/>
            <w:left w:w="108" w:type="dxa"/>
            <w:bottom w:w="0" w:type="dxa"/>
            <w:right w:w="108" w:type="dxa"/>
          </w:tblCellMar>
        </w:tblPrEx>
        <w:trPr>
          <w:trHeight w:val="1002" w:hRule="atLeast"/>
        </w:trPr>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0"/>
              </w:rPr>
            </w:pPr>
          </w:p>
        </w:tc>
        <w:tc>
          <w:tcPr>
            <w:tcW w:w="1560" w:type="dxa"/>
            <w:gridSpan w:val="3"/>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Cs w:val="20"/>
              </w:rPr>
            </w:pPr>
          </w:p>
        </w:tc>
        <w:tc>
          <w:tcPr>
            <w:tcW w:w="1842"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Cs w:val="20"/>
              </w:rPr>
            </w:pPr>
          </w:p>
        </w:tc>
        <w:tc>
          <w:tcPr>
            <w:tcW w:w="2835"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Cs w:val="20"/>
              </w:rPr>
            </w:pPr>
          </w:p>
        </w:tc>
        <w:tc>
          <w:tcPr>
            <w:tcW w:w="116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Cs w:val="20"/>
              </w:rPr>
            </w:pPr>
          </w:p>
        </w:tc>
        <w:tc>
          <w:tcPr>
            <w:tcW w:w="138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Cs w:val="20"/>
              </w:rPr>
            </w:pPr>
          </w:p>
        </w:tc>
        <w:tc>
          <w:tcPr>
            <w:tcW w:w="957"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Cs w:val="20"/>
              </w:rPr>
            </w:pPr>
            <w:r>
              <w:rPr>
                <w:rFonts w:hint="eastAsia" w:ascii="宋体" w:hAnsi="宋体" w:cs="宋体"/>
                <w:kern w:val="0"/>
                <w:szCs w:val="20"/>
              </w:rPr>
              <w:t>　</w:t>
            </w:r>
          </w:p>
        </w:tc>
        <w:tc>
          <w:tcPr>
            <w:tcW w:w="746"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0"/>
              </w:rPr>
            </w:pPr>
          </w:p>
        </w:tc>
        <w:tc>
          <w:tcPr>
            <w:tcW w:w="1740" w:type="dxa"/>
            <w:gridSpan w:val="2"/>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kern w:val="0"/>
                <w:szCs w:val="20"/>
              </w:rPr>
            </w:pPr>
          </w:p>
        </w:tc>
        <w:tc>
          <w:tcPr>
            <w:tcW w:w="1134" w:type="dxa"/>
            <w:gridSpan w:val="3"/>
            <w:tcBorders>
              <w:top w:val="nil"/>
              <w:left w:val="nil"/>
              <w:bottom w:val="nil"/>
              <w:right w:val="single" w:color="auto" w:sz="4" w:space="0"/>
            </w:tcBorders>
          </w:tcPr>
          <w:p>
            <w:pPr>
              <w:widowControl/>
              <w:jc w:val="left"/>
              <w:rPr>
                <w:rFonts w:ascii="宋体" w:hAnsi="宋体" w:cs="宋体"/>
                <w:kern w:val="0"/>
                <w:szCs w:val="20"/>
              </w:rPr>
            </w:pPr>
          </w:p>
        </w:tc>
      </w:tr>
      <w:tr>
        <w:tblPrEx>
          <w:tblCellMar>
            <w:top w:w="0" w:type="dxa"/>
            <w:left w:w="108" w:type="dxa"/>
            <w:bottom w:w="0" w:type="dxa"/>
            <w:right w:w="108" w:type="dxa"/>
          </w:tblCellMar>
        </w:tblPrEx>
        <w:trPr>
          <w:trHeight w:val="1002" w:hRule="atLeast"/>
        </w:trPr>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0"/>
              </w:rPr>
            </w:pPr>
          </w:p>
        </w:tc>
        <w:tc>
          <w:tcPr>
            <w:tcW w:w="1560" w:type="dxa"/>
            <w:gridSpan w:val="3"/>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Cs w:val="20"/>
              </w:rPr>
            </w:pPr>
          </w:p>
        </w:tc>
        <w:tc>
          <w:tcPr>
            <w:tcW w:w="1842"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Cs w:val="20"/>
              </w:rPr>
            </w:pPr>
          </w:p>
        </w:tc>
        <w:tc>
          <w:tcPr>
            <w:tcW w:w="2835"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Cs w:val="20"/>
              </w:rPr>
            </w:pPr>
          </w:p>
        </w:tc>
        <w:tc>
          <w:tcPr>
            <w:tcW w:w="116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Cs w:val="20"/>
              </w:rPr>
            </w:pPr>
          </w:p>
        </w:tc>
        <w:tc>
          <w:tcPr>
            <w:tcW w:w="138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Cs w:val="20"/>
              </w:rPr>
            </w:pPr>
          </w:p>
        </w:tc>
        <w:tc>
          <w:tcPr>
            <w:tcW w:w="957"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Cs w:val="20"/>
              </w:rPr>
            </w:pPr>
            <w:r>
              <w:rPr>
                <w:rFonts w:hint="eastAsia" w:ascii="宋体" w:hAnsi="宋体" w:cs="宋体"/>
                <w:kern w:val="0"/>
                <w:szCs w:val="20"/>
              </w:rPr>
              <w:t>　</w:t>
            </w:r>
          </w:p>
        </w:tc>
        <w:tc>
          <w:tcPr>
            <w:tcW w:w="746"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0"/>
              </w:rPr>
            </w:pPr>
          </w:p>
        </w:tc>
        <w:tc>
          <w:tcPr>
            <w:tcW w:w="1740" w:type="dxa"/>
            <w:gridSpan w:val="2"/>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kern w:val="0"/>
                <w:szCs w:val="20"/>
              </w:rPr>
            </w:pPr>
          </w:p>
        </w:tc>
        <w:tc>
          <w:tcPr>
            <w:tcW w:w="1134" w:type="dxa"/>
            <w:gridSpan w:val="3"/>
            <w:tcBorders>
              <w:top w:val="nil"/>
              <w:left w:val="nil"/>
              <w:bottom w:val="nil"/>
              <w:right w:val="single" w:color="auto" w:sz="4" w:space="0"/>
            </w:tcBorders>
          </w:tcPr>
          <w:p>
            <w:pPr>
              <w:widowControl/>
              <w:jc w:val="left"/>
              <w:rPr>
                <w:rFonts w:ascii="宋体" w:hAnsi="宋体" w:cs="宋体"/>
                <w:kern w:val="0"/>
                <w:szCs w:val="20"/>
              </w:rPr>
            </w:pPr>
          </w:p>
        </w:tc>
      </w:tr>
      <w:tr>
        <w:tblPrEx>
          <w:tblCellMar>
            <w:top w:w="0" w:type="dxa"/>
            <w:left w:w="108" w:type="dxa"/>
            <w:bottom w:w="0" w:type="dxa"/>
            <w:right w:w="108" w:type="dxa"/>
          </w:tblCellMar>
        </w:tblPrEx>
        <w:trPr>
          <w:trHeight w:val="1002" w:hRule="atLeast"/>
        </w:trPr>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0"/>
              </w:rPr>
            </w:pPr>
          </w:p>
        </w:tc>
        <w:tc>
          <w:tcPr>
            <w:tcW w:w="1560" w:type="dxa"/>
            <w:gridSpan w:val="3"/>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Cs w:val="20"/>
              </w:rPr>
            </w:pPr>
          </w:p>
        </w:tc>
        <w:tc>
          <w:tcPr>
            <w:tcW w:w="1842"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Cs w:val="20"/>
              </w:rPr>
            </w:pPr>
          </w:p>
        </w:tc>
        <w:tc>
          <w:tcPr>
            <w:tcW w:w="2835"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Cs w:val="20"/>
              </w:rPr>
            </w:pPr>
          </w:p>
        </w:tc>
        <w:tc>
          <w:tcPr>
            <w:tcW w:w="116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Cs w:val="20"/>
              </w:rPr>
            </w:pPr>
          </w:p>
        </w:tc>
        <w:tc>
          <w:tcPr>
            <w:tcW w:w="138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Cs w:val="20"/>
              </w:rPr>
            </w:pPr>
          </w:p>
        </w:tc>
        <w:tc>
          <w:tcPr>
            <w:tcW w:w="957"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Cs w:val="20"/>
              </w:rPr>
            </w:pPr>
            <w:r>
              <w:rPr>
                <w:rFonts w:hint="eastAsia" w:ascii="宋体" w:hAnsi="宋体" w:cs="宋体"/>
                <w:kern w:val="0"/>
                <w:szCs w:val="20"/>
              </w:rPr>
              <w:t>　</w:t>
            </w:r>
          </w:p>
        </w:tc>
        <w:tc>
          <w:tcPr>
            <w:tcW w:w="746"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0"/>
              </w:rPr>
            </w:pPr>
          </w:p>
        </w:tc>
        <w:tc>
          <w:tcPr>
            <w:tcW w:w="1740" w:type="dxa"/>
            <w:gridSpan w:val="2"/>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kern w:val="0"/>
                <w:szCs w:val="20"/>
              </w:rPr>
            </w:pPr>
          </w:p>
        </w:tc>
        <w:tc>
          <w:tcPr>
            <w:tcW w:w="1134" w:type="dxa"/>
            <w:gridSpan w:val="3"/>
            <w:tcBorders>
              <w:top w:val="nil"/>
              <w:left w:val="nil"/>
              <w:bottom w:val="nil"/>
              <w:right w:val="single" w:color="auto" w:sz="4" w:space="0"/>
            </w:tcBorders>
          </w:tcPr>
          <w:p>
            <w:pPr>
              <w:widowControl/>
              <w:jc w:val="left"/>
              <w:rPr>
                <w:rFonts w:ascii="宋体" w:hAnsi="宋体" w:cs="宋体"/>
                <w:kern w:val="0"/>
                <w:szCs w:val="20"/>
              </w:rPr>
            </w:pPr>
          </w:p>
        </w:tc>
      </w:tr>
      <w:tr>
        <w:tblPrEx>
          <w:tblCellMar>
            <w:top w:w="0" w:type="dxa"/>
            <w:left w:w="108" w:type="dxa"/>
            <w:bottom w:w="0" w:type="dxa"/>
            <w:right w:w="108" w:type="dxa"/>
          </w:tblCellMar>
        </w:tblPrEx>
        <w:trPr>
          <w:trHeight w:val="1002" w:hRule="atLeast"/>
        </w:trPr>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0"/>
              </w:rPr>
            </w:pPr>
          </w:p>
        </w:tc>
        <w:tc>
          <w:tcPr>
            <w:tcW w:w="1560" w:type="dxa"/>
            <w:gridSpan w:val="3"/>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Cs w:val="20"/>
              </w:rPr>
            </w:pPr>
          </w:p>
        </w:tc>
        <w:tc>
          <w:tcPr>
            <w:tcW w:w="1842"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Cs w:val="20"/>
              </w:rPr>
            </w:pPr>
          </w:p>
        </w:tc>
        <w:tc>
          <w:tcPr>
            <w:tcW w:w="2835"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Cs w:val="20"/>
              </w:rPr>
            </w:pPr>
          </w:p>
        </w:tc>
        <w:tc>
          <w:tcPr>
            <w:tcW w:w="116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Cs w:val="20"/>
              </w:rPr>
            </w:pPr>
          </w:p>
        </w:tc>
        <w:tc>
          <w:tcPr>
            <w:tcW w:w="138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Cs w:val="20"/>
              </w:rPr>
            </w:pPr>
          </w:p>
        </w:tc>
        <w:tc>
          <w:tcPr>
            <w:tcW w:w="957"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Cs w:val="20"/>
              </w:rPr>
            </w:pPr>
            <w:r>
              <w:rPr>
                <w:rFonts w:hint="eastAsia" w:ascii="宋体" w:hAnsi="宋体" w:cs="宋体"/>
                <w:kern w:val="0"/>
                <w:szCs w:val="20"/>
              </w:rPr>
              <w:t>　</w:t>
            </w:r>
          </w:p>
        </w:tc>
        <w:tc>
          <w:tcPr>
            <w:tcW w:w="746"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0"/>
              </w:rPr>
            </w:pPr>
          </w:p>
        </w:tc>
        <w:tc>
          <w:tcPr>
            <w:tcW w:w="1740" w:type="dxa"/>
            <w:gridSpan w:val="2"/>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kern w:val="0"/>
                <w:szCs w:val="20"/>
              </w:rPr>
            </w:pPr>
          </w:p>
        </w:tc>
        <w:tc>
          <w:tcPr>
            <w:tcW w:w="1134" w:type="dxa"/>
            <w:gridSpan w:val="3"/>
            <w:tcBorders>
              <w:top w:val="nil"/>
              <w:left w:val="nil"/>
              <w:bottom w:val="nil"/>
              <w:right w:val="single" w:color="auto" w:sz="4" w:space="0"/>
            </w:tcBorders>
          </w:tcPr>
          <w:p>
            <w:pPr>
              <w:widowControl/>
              <w:jc w:val="left"/>
              <w:rPr>
                <w:rFonts w:ascii="宋体" w:hAnsi="宋体" w:cs="宋体"/>
                <w:kern w:val="0"/>
                <w:szCs w:val="20"/>
              </w:rPr>
            </w:pPr>
          </w:p>
        </w:tc>
      </w:tr>
      <w:tr>
        <w:tblPrEx>
          <w:tblCellMar>
            <w:top w:w="0" w:type="dxa"/>
            <w:left w:w="108" w:type="dxa"/>
            <w:bottom w:w="0" w:type="dxa"/>
            <w:right w:w="108" w:type="dxa"/>
          </w:tblCellMar>
        </w:tblPrEx>
        <w:trPr>
          <w:trHeight w:val="1002" w:hRule="atLeast"/>
        </w:trPr>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0"/>
              </w:rPr>
            </w:pPr>
          </w:p>
        </w:tc>
        <w:tc>
          <w:tcPr>
            <w:tcW w:w="1560" w:type="dxa"/>
            <w:gridSpan w:val="3"/>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Cs w:val="20"/>
              </w:rPr>
            </w:pPr>
          </w:p>
        </w:tc>
        <w:tc>
          <w:tcPr>
            <w:tcW w:w="1842"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Cs w:val="20"/>
              </w:rPr>
            </w:pPr>
          </w:p>
        </w:tc>
        <w:tc>
          <w:tcPr>
            <w:tcW w:w="2835"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Cs w:val="20"/>
              </w:rPr>
            </w:pPr>
          </w:p>
        </w:tc>
        <w:tc>
          <w:tcPr>
            <w:tcW w:w="116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Cs w:val="20"/>
              </w:rPr>
            </w:pPr>
          </w:p>
        </w:tc>
        <w:tc>
          <w:tcPr>
            <w:tcW w:w="138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Cs w:val="20"/>
              </w:rPr>
            </w:pPr>
          </w:p>
        </w:tc>
        <w:tc>
          <w:tcPr>
            <w:tcW w:w="957"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Cs w:val="20"/>
              </w:rPr>
            </w:pPr>
            <w:r>
              <w:rPr>
                <w:rFonts w:hint="eastAsia" w:ascii="宋体" w:hAnsi="宋体" w:cs="宋体"/>
                <w:kern w:val="0"/>
                <w:szCs w:val="20"/>
              </w:rPr>
              <w:t>　</w:t>
            </w:r>
          </w:p>
        </w:tc>
        <w:tc>
          <w:tcPr>
            <w:tcW w:w="746"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0"/>
              </w:rPr>
            </w:pPr>
          </w:p>
        </w:tc>
        <w:tc>
          <w:tcPr>
            <w:tcW w:w="1740" w:type="dxa"/>
            <w:gridSpan w:val="2"/>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kern w:val="0"/>
                <w:szCs w:val="20"/>
              </w:rPr>
            </w:pPr>
          </w:p>
        </w:tc>
        <w:tc>
          <w:tcPr>
            <w:tcW w:w="1134" w:type="dxa"/>
            <w:gridSpan w:val="3"/>
            <w:tcBorders>
              <w:top w:val="nil"/>
              <w:left w:val="nil"/>
              <w:bottom w:val="single" w:color="auto" w:sz="4" w:space="0"/>
              <w:right w:val="single" w:color="auto" w:sz="4" w:space="0"/>
            </w:tcBorders>
          </w:tcPr>
          <w:p>
            <w:pPr>
              <w:widowControl/>
              <w:jc w:val="left"/>
              <w:rPr>
                <w:rFonts w:ascii="宋体" w:hAnsi="宋体" w:cs="宋体"/>
                <w:kern w:val="0"/>
                <w:szCs w:val="20"/>
              </w:rPr>
            </w:pPr>
          </w:p>
        </w:tc>
      </w:tr>
      <w:tr>
        <w:tblPrEx>
          <w:tblCellMar>
            <w:top w:w="0" w:type="dxa"/>
            <w:left w:w="108" w:type="dxa"/>
            <w:bottom w:w="0" w:type="dxa"/>
            <w:right w:w="108" w:type="dxa"/>
          </w:tblCellMar>
        </w:tblPrEx>
        <w:trPr>
          <w:gridAfter w:val="1"/>
          <w:wAfter w:w="181" w:type="dxa"/>
          <w:trHeight w:val="616" w:hRule="atLeast"/>
        </w:trPr>
        <w:tc>
          <w:tcPr>
            <w:tcW w:w="14034" w:type="dxa"/>
            <w:gridSpan w:val="13"/>
            <w:noWrap/>
          </w:tcPr>
          <w:p>
            <w:pPr>
              <w:spacing w:line="300" w:lineRule="auto"/>
              <w:ind w:firstLine="420" w:firstLineChars="200"/>
              <w:jc w:val="left"/>
              <w:rPr>
                <w:rFonts w:ascii="宋体" w:hAnsi="宋体" w:cs="宋体"/>
                <w:szCs w:val="21"/>
              </w:rPr>
            </w:pPr>
            <w:r>
              <w:rPr>
                <w:rFonts w:ascii="宋体" w:hAnsi="宋体" w:cs="宋体"/>
                <w:szCs w:val="21"/>
              </w:rPr>
              <w:t>注：</w:t>
            </w:r>
            <w:r>
              <w:rPr>
                <w:rFonts w:hint="eastAsia" w:ascii="宋体" w:hAnsi="宋体" w:cs="宋体"/>
                <w:szCs w:val="21"/>
              </w:rPr>
              <w:t>1</w:t>
            </w:r>
            <w:r>
              <w:rPr>
                <w:rFonts w:ascii="宋体" w:hAnsi="宋体" w:cs="宋体"/>
                <w:szCs w:val="21"/>
              </w:rPr>
              <w:t>.</w:t>
            </w:r>
            <w:r>
              <w:rPr>
                <w:rFonts w:hint="eastAsia" w:ascii="宋体" w:hAnsi="宋体" w:cs="宋体"/>
                <w:szCs w:val="21"/>
              </w:rPr>
              <w:t>对安全文明施工措施进行报价组成分析时，属于常态化疫情防控措施费对应措施的，应在“备注”中注明，以便于汇总至表</w:t>
            </w:r>
            <w:r>
              <w:rPr>
                <w:rFonts w:ascii="宋体" w:hAnsi="宋体" w:cs="宋体"/>
                <w:szCs w:val="21"/>
              </w:rPr>
              <w:t>9</w:t>
            </w:r>
            <w:r>
              <w:rPr>
                <w:rFonts w:hint="eastAsia" w:ascii="宋体" w:hAnsi="宋体" w:cs="宋体"/>
                <w:szCs w:val="21"/>
              </w:rPr>
              <w:t>-</w:t>
            </w:r>
            <w:r>
              <w:rPr>
                <w:rFonts w:ascii="宋体" w:hAnsi="宋体" w:cs="宋体"/>
                <w:szCs w:val="21"/>
              </w:rPr>
              <w:t>1</w:t>
            </w:r>
            <w:r>
              <w:rPr>
                <w:rFonts w:hint="eastAsia" w:ascii="宋体" w:hAnsi="宋体" w:cs="宋体"/>
                <w:szCs w:val="21"/>
              </w:rPr>
              <w:t>对应费用中。</w:t>
            </w:r>
          </w:p>
          <w:p>
            <w:pPr>
              <w:widowControl/>
              <w:ind w:firstLine="840" w:firstLineChars="400"/>
              <w:jc w:val="left"/>
              <w:rPr>
                <w:rFonts w:ascii="黑体" w:hAnsi="宋体" w:eastAsia="黑体" w:cs="宋体"/>
                <w:kern w:val="0"/>
                <w:sz w:val="30"/>
                <w:szCs w:val="30"/>
              </w:rPr>
            </w:pPr>
            <w:r>
              <w:rPr>
                <w:rFonts w:ascii="宋体" w:hAnsi="宋体" w:cs="宋体"/>
                <w:szCs w:val="21"/>
              </w:rPr>
              <w:t>2.计算明细可另附表说明</w:t>
            </w:r>
            <w:r>
              <w:rPr>
                <w:rFonts w:hint="eastAsia" w:ascii="宋体" w:hAnsi="宋体" w:cs="宋体"/>
                <w:szCs w:val="21"/>
              </w:rPr>
              <w:t>。</w:t>
            </w:r>
          </w:p>
        </w:tc>
        <w:tc>
          <w:tcPr>
            <w:tcW w:w="425" w:type="dxa"/>
          </w:tcPr>
          <w:p>
            <w:pPr>
              <w:widowControl/>
              <w:jc w:val="center"/>
              <w:rPr>
                <w:rFonts w:ascii="黑体" w:hAnsi="宋体" w:eastAsia="黑体" w:cs="宋体"/>
                <w:kern w:val="0"/>
                <w:sz w:val="30"/>
                <w:szCs w:val="30"/>
              </w:rPr>
            </w:pPr>
          </w:p>
        </w:tc>
      </w:tr>
    </w:tbl>
    <w:p>
      <w:pPr>
        <w:widowControl/>
        <w:spacing w:line="300" w:lineRule="auto"/>
        <w:jc w:val="left"/>
        <w:rPr>
          <w:rFonts w:ascii="黑体" w:hAnsi="宋体" w:eastAsia="黑体" w:cs="Arial"/>
          <w:kern w:val="0"/>
          <w:sz w:val="24"/>
        </w:rPr>
        <w:sectPr>
          <w:pgSz w:w="16838" w:h="11906" w:orient="landscape"/>
          <w:pgMar w:top="1797" w:right="1440" w:bottom="1560" w:left="1440" w:header="851" w:footer="992" w:gutter="0"/>
          <w:cols w:space="720" w:num="1"/>
        </w:sectPr>
      </w:pPr>
    </w:p>
    <w:p>
      <w:pPr>
        <w:pStyle w:val="148"/>
        <w:spacing w:before="120" w:after="120"/>
        <w:rPr>
          <w:rFonts w:ascii="宋体"/>
          <w:kern w:val="0"/>
        </w:rPr>
      </w:pPr>
      <w:bookmarkStart w:id="1225" w:name="_Toc10235182"/>
      <w:bookmarkStart w:id="1226" w:name="_Toc23757437"/>
      <w:bookmarkStart w:id="1227" w:name="_Toc342296531"/>
      <w:bookmarkStart w:id="1228" w:name="_Toc497458723"/>
      <w:bookmarkStart w:id="1229" w:name="_Toc483575317"/>
      <w:bookmarkStart w:id="1230" w:name="_Toc480481680"/>
      <w:r>
        <w:rPr>
          <w:rFonts w:hint="eastAsia"/>
        </w:rPr>
        <w:t>单项工程分部分项工程和单价措施项目投标报价汇总表</w:t>
      </w:r>
      <w:bookmarkEnd w:id="1225"/>
      <w:bookmarkEnd w:id="1226"/>
    </w:p>
    <w:p>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单项工程分部分项工程和单价措施项目投标报价汇总表</w:t>
      </w:r>
    </w:p>
    <w:p>
      <w:pPr>
        <w:tabs>
          <w:tab w:val="left" w:pos="720"/>
        </w:tabs>
        <w:spacing w:after="120" w:afterLines="50" w:line="300" w:lineRule="auto"/>
        <w:ind w:right="90"/>
        <w:rPr>
          <w:rFonts w:ascii="Arial" w:hAnsi="Arial" w:cs="Arial"/>
        </w:rPr>
      </w:pPr>
      <w:r>
        <w:rPr>
          <w:rFonts w:hint="eastAsia" w:ascii="Arial" w:hAnsi="Arial" w:cs="Arial"/>
        </w:rPr>
        <w:t>工程名称：</w:t>
      </w:r>
      <w:r>
        <w:rPr>
          <w:rFonts w:ascii="Arial" w:hAnsi="Arial" w:cs="Arial"/>
        </w:rPr>
        <w:t xml:space="preserve">   </w:t>
      </w:r>
      <w:r>
        <w:rPr>
          <w:rFonts w:hint="eastAsia" w:ascii="Arial" w:hAnsi="Arial" w:cs="Arial"/>
        </w:rPr>
        <w:t>（</w:t>
      </w:r>
      <w:r>
        <w:rPr>
          <w:rFonts w:hint="eastAsia" w:ascii="宋体" w:hAnsi="宋体" w:cs="宋体"/>
          <w:kern w:val="0"/>
          <w:szCs w:val="21"/>
        </w:rPr>
        <w:t>XXXX单项工程</w:t>
      </w:r>
      <w:r>
        <w:rPr>
          <w:rFonts w:hint="eastAsia" w:ascii="Arial" w:hAnsi="Arial" w:cs="Arial"/>
        </w:rPr>
        <w:t>）</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9"/>
        <w:tblW w:w="8107" w:type="dxa"/>
        <w:tblInd w:w="216" w:type="dxa"/>
        <w:tblLayout w:type="fixed"/>
        <w:tblCellMar>
          <w:top w:w="0" w:type="dxa"/>
          <w:left w:w="108" w:type="dxa"/>
          <w:bottom w:w="0" w:type="dxa"/>
          <w:right w:w="108" w:type="dxa"/>
        </w:tblCellMar>
      </w:tblPr>
      <w:tblGrid>
        <w:gridCol w:w="905"/>
        <w:gridCol w:w="2248"/>
        <w:gridCol w:w="1227"/>
        <w:gridCol w:w="1275"/>
        <w:gridCol w:w="1364"/>
        <w:gridCol w:w="1088"/>
      </w:tblGrid>
      <w:tr>
        <w:tblPrEx>
          <w:tblCellMar>
            <w:top w:w="0" w:type="dxa"/>
            <w:left w:w="108" w:type="dxa"/>
            <w:bottom w:w="0" w:type="dxa"/>
            <w:right w:w="108" w:type="dxa"/>
          </w:tblCellMar>
        </w:tblPrEx>
        <w:trPr>
          <w:trHeight w:val="458" w:hRule="atLeast"/>
        </w:trPr>
        <w:tc>
          <w:tcPr>
            <w:tcW w:w="90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2248"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单位工程名称</w:t>
            </w:r>
          </w:p>
        </w:tc>
        <w:tc>
          <w:tcPr>
            <w:tcW w:w="122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金额（元）</w:t>
            </w:r>
          </w:p>
        </w:tc>
        <w:tc>
          <w:tcPr>
            <w:tcW w:w="3727"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其中：</w:t>
            </w:r>
          </w:p>
        </w:tc>
      </w:tr>
      <w:tr>
        <w:tblPrEx>
          <w:tblCellMar>
            <w:top w:w="0" w:type="dxa"/>
            <w:left w:w="108" w:type="dxa"/>
            <w:bottom w:w="0" w:type="dxa"/>
            <w:right w:w="108" w:type="dxa"/>
          </w:tblCellMar>
        </w:tblPrEx>
        <w:trPr>
          <w:trHeight w:val="780" w:hRule="atLeast"/>
        </w:trPr>
        <w:tc>
          <w:tcPr>
            <w:tcW w:w="9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22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2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暂估价</w:t>
            </w:r>
          </w:p>
          <w:p>
            <w:pPr>
              <w:widowControl/>
              <w:jc w:val="center"/>
              <w:rPr>
                <w:rFonts w:ascii="宋体" w:hAnsi="宋体" w:cs="宋体"/>
                <w:kern w:val="0"/>
                <w:szCs w:val="21"/>
              </w:rPr>
            </w:pPr>
            <w:r>
              <w:rPr>
                <w:rFonts w:hint="eastAsia" w:ascii="宋体" w:hAnsi="宋体" w:cs="宋体"/>
                <w:kern w:val="0"/>
                <w:szCs w:val="21"/>
              </w:rPr>
              <w:t>（元）</w:t>
            </w:r>
            <w:r>
              <w:rPr>
                <w:rFonts w:ascii="Arial" w:hAnsi="Arial" w:cs="Arial"/>
                <w:kern w:val="0"/>
                <w:szCs w:val="21"/>
              </w:rPr>
              <w:t xml:space="preserve">     </w:t>
            </w:r>
          </w:p>
        </w:tc>
        <w:tc>
          <w:tcPr>
            <w:tcW w:w="1364" w:type="dxa"/>
            <w:tcBorders>
              <w:top w:val="nil"/>
              <w:left w:val="nil"/>
              <w:bottom w:val="single" w:color="auto" w:sz="4" w:space="0"/>
              <w:right w:val="single" w:color="auto" w:sz="4" w:space="0"/>
            </w:tcBorders>
            <w:vAlign w:val="center"/>
          </w:tcPr>
          <w:p>
            <w:pPr>
              <w:widowControl/>
              <w:jc w:val="center"/>
              <w:rPr>
                <w:rFonts w:ascii="宋体" w:hAnsi="宋体" w:cs="宋体"/>
                <w:strike/>
                <w:kern w:val="0"/>
                <w:szCs w:val="21"/>
              </w:rPr>
            </w:pPr>
            <w:r>
              <w:rPr>
                <w:rFonts w:hint="eastAsia" w:ascii="Arial" w:hAnsi="Arial" w:cs="Arial"/>
              </w:rPr>
              <w:t>弃土或渣土运输和消纳费</w:t>
            </w:r>
            <w:r>
              <w:rPr>
                <w:rFonts w:hint="eastAsia" w:ascii="宋体" w:hAnsi="宋体" w:cs="宋体"/>
                <w:kern w:val="0"/>
              </w:rPr>
              <w:t>（元）</w:t>
            </w:r>
          </w:p>
        </w:tc>
        <w:tc>
          <w:tcPr>
            <w:tcW w:w="1088" w:type="dxa"/>
            <w:tcBorders>
              <w:top w:val="nil"/>
              <w:left w:val="nil"/>
              <w:bottom w:val="single" w:color="auto" w:sz="4" w:space="0"/>
              <w:right w:val="single" w:color="auto" w:sz="4" w:space="0"/>
            </w:tcBorders>
            <w:vAlign w:val="center"/>
          </w:tcPr>
          <w:p>
            <w:pPr>
              <w:pStyle w:val="280"/>
              <w:ind w:right="43"/>
              <w:jc w:val="center"/>
              <w:rPr>
                <w:rFonts w:ascii="宋体" w:hAnsi="宋体" w:cs="宋体"/>
                <w:sz w:val="21"/>
                <w:szCs w:val="21"/>
                <w:lang w:eastAsia="zh-CN"/>
              </w:rPr>
            </w:pPr>
            <w:r>
              <w:rPr>
                <w:rFonts w:ascii="宋体" w:hAnsi="宋体" w:cs="宋体"/>
                <w:sz w:val="21"/>
                <w:szCs w:val="21"/>
                <w:lang w:eastAsia="zh-CN"/>
              </w:rPr>
              <w:t>规费</w:t>
            </w:r>
          </w:p>
          <w:p>
            <w:pPr>
              <w:widowControl/>
              <w:jc w:val="center"/>
              <w:rPr>
                <w:rFonts w:ascii="Arial" w:hAnsi="Arial" w:cs="Arial"/>
                <w:strike/>
              </w:rPr>
            </w:pPr>
            <w:r>
              <w:rPr>
                <w:rFonts w:ascii="宋体" w:hAnsi="宋体" w:cs="宋体"/>
                <w:szCs w:val="21"/>
              </w:rPr>
              <w:t>（元）</w:t>
            </w: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Arial" w:hAnsi="Arial" w:cs="Arial"/>
                <w:kern w:val="0"/>
                <w:szCs w:val="21"/>
              </w:rPr>
            </w:pPr>
            <w:r>
              <w:rPr>
                <w:rFonts w:ascii="Arial" w:hAnsi="Arial" w:cs="Arial"/>
                <w:kern w:val="0"/>
                <w:szCs w:val="21"/>
              </w:rPr>
              <w:t>1</w:t>
            </w:r>
          </w:p>
        </w:tc>
        <w:tc>
          <w:tcPr>
            <w:tcW w:w="224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分部分项工程</w:t>
            </w: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36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0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Arial" w:hAnsi="Arial" w:cs="Arial"/>
                <w:kern w:val="0"/>
                <w:szCs w:val="21"/>
              </w:rPr>
            </w:pPr>
            <w:r>
              <w:rPr>
                <w:rFonts w:ascii="Arial" w:hAnsi="Arial" w:cs="Arial"/>
                <w:kern w:val="0"/>
                <w:szCs w:val="21"/>
              </w:rPr>
              <w:t>1.1</w:t>
            </w:r>
          </w:p>
        </w:tc>
        <w:tc>
          <w:tcPr>
            <w:tcW w:w="224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（XXXX单位工程）</w:t>
            </w: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36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0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jc w:val="center"/>
              <w:rPr>
                <w:rFonts w:ascii="Arial" w:hAnsi="Arial" w:cs="Arial"/>
                <w:kern w:val="0"/>
                <w:szCs w:val="21"/>
              </w:rPr>
            </w:pPr>
          </w:p>
        </w:tc>
        <w:tc>
          <w:tcPr>
            <w:tcW w:w="2248" w:type="dxa"/>
            <w:tcBorders>
              <w:top w:val="single" w:color="auto" w:sz="4" w:space="0"/>
              <w:left w:val="single" w:color="auto" w:sz="4" w:space="0"/>
              <w:bottom w:val="single" w:color="auto" w:sz="4" w:space="0"/>
              <w:right w:val="single" w:color="auto" w:sz="4" w:space="0"/>
            </w:tcBorders>
            <w:noWrap/>
            <w:vAlign w:val="center"/>
          </w:tcPr>
          <w:p>
            <w:pPr>
              <w:rPr>
                <w:rFonts w:ascii="Arial" w:hAnsi="Arial" w:cs="Arial"/>
                <w:kern w:val="0"/>
                <w:szCs w:val="21"/>
              </w:rPr>
            </w:pPr>
          </w:p>
        </w:tc>
        <w:tc>
          <w:tcPr>
            <w:tcW w:w="1227" w:type="dxa"/>
            <w:tcBorders>
              <w:top w:val="single" w:color="auto" w:sz="4" w:space="0"/>
              <w:left w:val="single" w:color="auto" w:sz="4" w:space="0"/>
              <w:bottom w:val="single" w:color="auto" w:sz="4" w:space="0"/>
              <w:right w:val="single" w:color="auto" w:sz="4" w:space="0"/>
            </w:tcBorders>
            <w:noWrap/>
            <w:vAlign w:val="center"/>
          </w:tcPr>
          <w:p>
            <w:pPr>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36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0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Arial" w:hAnsi="Arial" w:cs="Arial"/>
                <w:kern w:val="0"/>
                <w:szCs w:val="21"/>
              </w:rPr>
            </w:pPr>
            <w:r>
              <w:rPr>
                <w:rFonts w:ascii="Arial" w:hAnsi="Arial" w:cs="Arial"/>
                <w:kern w:val="0"/>
                <w:szCs w:val="21"/>
              </w:rPr>
              <w:t>2</w:t>
            </w:r>
          </w:p>
        </w:tc>
        <w:tc>
          <w:tcPr>
            <w:tcW w:w="224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单价措施项目</w:t>
            </w:r>
          </w:p>
        </w:tc>
        <w:tc>
          <w:tcPr>
            <w:tcW w:w="1227" w:type="dxa"/>
            <w:tcBorders>
              <w:top w:val="single" w:color="auto" w:sz="4" w:space="0"/>
              <w:left w:val="single" w:color="auto" w:sz="4" w:space="0"/>
              <w:bottom w:val="single" w:color="auto" w:sz="4" w:space="0"/>
              <w:right w:val="single" w:color="auto" w:sz="4" w:space="0"/>
            </w:tcBorders>
            <w:noWrap/>
            <w:vAlign w:val="center"/>
          </w:tcPr>
          <w:p>
            <w:pPr>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36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0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Arial" w:hAnsi="Arial" w:cs="Arial"/>
                <w:kern w:val="0"/>
                <w:szCs w:val="21"/>
              </w:rPr>
            </w:pPr>
            <w:r>
              <w:rPr>
                <w:rFonts w:ascii="Arial" w:hAnsi="Arial" w:cs="Arial"/>
                <w:kern w:val="0"/>
                <w:szCs w:val="21"/>
              </w:rPr>
              <w:t>2.1</w:t>
            </w:r>
          </w:p>
        </w:tc>
        <w:tc>
          <w:tcPr>
            <w:tcW w:w="224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Cs w:val="21"/>
              </w:rPr>
            </w:pPr>
            <w:r>
              <w:rPr>
                <w:rFonts w:hint="eastAsia" w:ascii="宋体" w:hAnsi="宋体" w:cs="宋体"/>
                <w:kern w:val="0"/>
                <w:szCs w:val="21"/>
              </w:rPr>
              <w:t>（XXXX单位工程）</w:t>
            </w:r>
          </w:p>
        </w:tc>
        <w:tc>
          <w:tcPr>
            <w:tcW w:w="1227" w:type="dxa"/>
            <w:tcBorders>
              <w:top w:val="single" w:color="auto" w:sz="4" w:space="0"/>
              <w:left w:val="single" w:color="auto" w:sz="4" w:space="0"/>
              <w:bottom w:val="single" w:color="auto" w:sz="4" w:space="0"/>
              <w:right w:val="single" w:color="auto" w:sz="4" w:space="0"/>
            </w:tcBorders>
            <w:noWrap/>
            <w:vAlign w:val="center"/>
          </w:tcPr>
          <w:p>
            <w:pPr>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36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0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w:hAnsi="Arial" w:cs="Arial"/>
                <w:kern w:val="0"/>
                <w:szCs w:val="21"/>
              </w:rPr>
            </w:pPr>
            <w:r>
              <w:rPr>
                <w:rFonts w:ascii="Arial" w:hAnsi="Arial" w:cs="Arial"/>
                <w:kern w:val="0"/>
                <w:szCs w:val="21"/>
              </w:rPr>
              <w:t>2.2</w:t>
            </w:r>
          </w:p>
        </w:tc>
        <w:tc>
          <w:tcPr>
            <w:tcW w:w="22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Cs w:val="21"/>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36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0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Arial" w:hAnsi="Arial" w:cs="Arial"/>
                <w:kern w:val="0"/>
                <w:szCs w:val="21"/>
              </w:rPr>
            </w:pPr>
          </w:p>
        </w:tc>
        <w:tc>
          <w:tcPr>
            <w:tcW w:w="224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Cs w:val="21"/>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36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0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Arial" w:hAnsi="Arial" w:cs="Arial"/>
                <w:kern w:val="0"/>
                <w:szCs w:val="21"/>
              </w:rPr>
            </w:pPr>
          </w:p>
        </w:tc>
        <w:tc>
          <w:tcPr>
            <w:tcW w:w="224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Cs w:val="21"/>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36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0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w:hAnsi="Arial" w:cs="Arial"/>
                <w:kern w:val="0"/>
                <w:szCs w:val="21"/>
              </w:rPr>
            </w:pPr>
          </w:p>
        </w:tc>
        <w:tc>
          <w:tcPr>
            <w:tcW w:w="22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Cs w:val="21"/>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36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0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Arial" w:hAnsi="Arial" w:cs="Arial"/>
                <w:kern w:val="0"/>
                <w:szCs w:val="21"/>
              </w:rPr>
            </w:pPr>
          </w:p>
        </w:tc>
        <w:tc>
          <w:tcPr>
            <w:tcW w:w="224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cs="宋体"/>
                <w:kern w:val="0"/>
                <w:szCs w:val="21"/>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36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0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Arial" w:hAnsi="Arial" w:cs="Arial"/>
                <w:kern w:val="0"/>
                <w:szCs w:val="21"/>
              </w:rPr>
            </w:pPr>
          </w:p>
        </w:tc>
        <w:tc>
          <w:tcPr>
            <w:tcW w:w="22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Cs w:val="21"/>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36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0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22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36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0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r>
      <w:tr>
        <w:tblPrEx>
          <w:tblCellMar>
            <w:top w:w="0" w:type="dxa"/>
            <w:left w:w="108" w:type="dxa"/>
            <w:bottom w:w="0" w:type="dxa"/>
            <w:right w:w="108" w:type="dxa"/>
          </w:tblCellMar>
        </w:tblPrEx>
        <w:trPr>
          <w:trHeight w:val="735" w:hRule="atLeast"/>
        </w:trPr>
        <w:tc>
          <w:tcPr>
            <w:tcW w:w="90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224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36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0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r>
      <w:tr>
        <w:tblPrEx>
          <w:tblCellMar>
            <w:top w:w="0" w:type="dxa"/>
            <w:left w:w="108" w:type="dxa"/>
            <w:bottom w:w="0" w:type="dxa"/>
            <w:right w:w="108" w:type="dxa"/>
          </w:tblCellMar>
        </w:tblPrEx>
        <w:trPr>
          <w:trHeight w:val="735" w:hRule="atLeast"/>
        </w:trPr>
        <w:tc>
          <w:tcPr>
            <w:tcW w:w="315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Cs/>
                <w:kern w:val="0"/>
                <w:szCs w:val="21"/>
              </w:rPr>
            </w:pPr>
            <w:r>
              <w:rPr>
                <w:rFonts w:hint="eastAsia" w:ascii="宋体" w:hAnsi="宋体" w:cs="宋体"/>
                <w:bCs/>
                <w:kern w:val="0"/>
                <w:szCs w:val="21"/>
              </w:rPr>
              <w:t>合  计</w:t>
            </w: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bCs/>
                <w:kern w:val="0"/>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36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c>
          <w:tcPr>
            <w:tcW w:w="10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Arial" w:hAnsi="Arial" w:cs="Arial"/>
                <w:kern w:val="0"/>
                <w:szCs w:val="21"/>
              </w:rPr>
            </w:pPr>
          </w:p>
        </w:tc>
      </w:tr>
      <w:bookmarkEnd w:id="1227"/>
      <w:bookmarkEnd w:id="1228"/>
      <w:bookmarkEnd w:id="1229"/>
      <w:bookmarkEnd w:id="1230"/>
    </w:tbl>
    <w:p>
      <w:pPr>
        <w:widowControl/>
        <w:spacing w:line="360" w:lineRule="auto"/>
        <w:jc w:val="left"/>
        <w:rPr>
          <w:rFonts w:ascii="宋体"/>
          <w:kern w:val="0"/>
          <w:sz w:val="24"/>
          <w:szCs w:val="20"/>
        </w:rPr>
        <w:sectPr>
          <w:pgSz w:w="11906" w:h="16838"/>
          <w:pgMar w:top="1440" w:right="1797" w:bottom="1440" w:left="1797" w:header="851" w:footer="992" w:gutter="0"/>
          <w:cols w:space="720" w:num="1"/>
        </w:sectPr>
      </w:pPr>
    </w:p>
    <w:p>
      <w:pPr>
        <w:pStyle w:val="148"/>
        <w:spacing w:before="120" w:after="120"/>
        <w:rPr>
          <w:rFonts w:ascii="宋体"/>
          <w:kern w:val="0"/>
        </w:rPr>
      </w:pPr>
      <w:bookmarkStart w:id="1231" w:name="_Toc10235183"/>
      <w:bookmarkStart w:id="1232" w:name="_Toc23757438"/>
      <w:bookmarkStart w:id="1233" w:name="_Toc480481681"/>
      <w:bookmarkStart w:id="1234" w:name="_Toc342296532"/>
      <w:bookmarkStart w:id="1235" w:name="_Toc497458724"/>
      <w:bookmarkStart w:id="1236" w:name="_Toc483575318"/>
      <w:r>
        <w:rPr>
          <w:rFonts w:hint="eastAsia"/>
        </w:rPr>
        <w:t>单位工程分部分项工程和单价措施项目投标报价汇总表</w:t>
      </w:r>
      <w:bookmarkEnd w:id="1231"/>
      <w:bookmarkEnd w:id="1232"/>
    </w:p>
    <w:p>
      <w:pPr>
        <w:tabs>
          <w:tab w:val="left" w:pos="720"/>
        </w:tabs>
        <w:spacing w:after="120" w:afterLines="50" w:line="300" w:lineRule="auto"/>
        <w:jc w:val="center"/>
        <w:rPr>
          <w:rFonts w:ascii="Arial" w:hAnsi="Arial" w:cs="Arial"/>
        </w:rPr>
      </w:pPr>
      <w:r>
        <w:rPr>
          <w:rFonts w:hint="eastAsia" w:ascii="Arial" w:hAnsi="Arial" w:eastAsia="黑体" w:cs="Arial"/>
          <w:bCs/>
          <w:sz w:val="30"/>
          <w:szCs w:val="30"/>
        </w:rPr>
        <w:t>单位工程分部分项工程和单价措施项目投标报价汇总表</w:t>
      </w:r>
    </w:p>
    <w:p>
      <w:pPr>
        <w:tabs>
          <w:tab w:val="left" w:pos="720"/>
        </w:tabs>
        <w:spacing w:after="120" w:afterLines="50" w:line="300" w:lineRule="auto"/>
        <w:rPr>
          <w:rFonts w:ascii="Arial" w:hAnsi="Arial" w:cs="Arial"/>
        </w:rPr>
      </w:pPr>
      <w:r>
        <w:rPr>
          <w:rFonts w:hint="eastAsia" w:ascii="Arial" w:hAnsi="Arial" w:cs="Arial"/>
        </w:rPr>
        <w:t>工程名称：</w:t>
      </w:r>
      <w:r>
        <w:rPr>
          <w:rFonts w:ascii="Arial" w:hAnsi="Arial" w:cs="Arial"/>
        </w:rPr>
        <w:t xml:space="preserve">  </w:t>
      </w:r>
      <w:r>
        <w:rPr>
          <w:rFonts w:hint="eastAsia" w:ascii="宋体" w:hAnsi="宋体" w:cs="宋体"/>
          <w:kern w:val="0"/>
          <w:szCs w:val="21"/>
        </w:rPr>
        <w:t>（XXXX单位工程）</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9"/>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587"/>
        <w:gridCol w:w="1732"/>
        <w:gridCol w:w="1978"/>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Merge w:val="restart"/>
            <w:tcBorders>
              <w:top w:val="single" w:color="auto" w:sz="4" w:space="0"/>
              <w:left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序号</w:t>
            </w:r>
          </w:p>
        </w:tc>
        <w:tc>
          <w:tcPr>
            <w:tcW w:w="3587" w:type="dxa"/>
            <w:vMerge w:val="restart"/>
            <w:tcBorders>
              <w:top w:val="single" w:color="auto" w:sz="4" w:space="0"/>
              <w:left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汇总内容</w:t>
            </w:r>
          </w:p>
        </w:tc>
        <w:tc>
          <w:tcPr>
            <w:tcW w:w="1732" w:type="dxa"/>
            <w:vMerge w:val="restart"/>
            <w:tcBorders>
              <w:top w:val="single" w:color="auto" w:sz="4" w:space="0"/>
              <w:left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金额（元）</w:t>
            </w:r>
          </w:p>
        </w:tc>
        <w:tc>
          <w:tcPr>
            <w:tcW w:w="3140" w:type="dxa"/>
            <w:gridSpan w:val="2"/>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ind w:left="-640" w:leftChars="-305" w:firstLine="640" w:firstLineChars="305"/>
              <w:jc w:val="center"/>
              <w:rPr>
                <w:rFonts w:ascii="Arial" w:hAnsi="Arial" w:cs="Arial"/>
              </w:rPr>
            </w:pPr>
            <w:r>
              <w:rPr>
                <w:rFonts w:hint="eastAsia" w:ascii="Arial" w:hAnsi="Arial" w:cs="Arial"/>
              </w:rPr>
              <w:t>其中：</w:t>
            </w:r>
            <w:r>
              <w:rPr>
                <w:rFonts w:ascii="Arial" w:hAnsi="Arial" w:cs="Ari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vMerge w:val="continue"/>
            <w:tcBorders>
              <w:left w:val="single" w:color="auto" w:sz="4" w:space="0"/>
              <w:bottom w:val="single" w:color="auto" w:sz="4" w:space="0"/>
              <w:right w:val="single" w:color="auto" w:sz="4" w:space="0"/>
            </w:tcBorders>
            <w:vAlign w:val="center"/>
          </w:tcPr>
          <w:p>
            <w:pPr>
              <w:tabs>
                <w:tab w:val="left" w:pos="720"/>
              </w:tabs>
              <w:spacing w:line="300" w:lineRule="auto"/>
              <w:rPr>
                <w:rFonts w:ascii="Arial" w:hAnsi="Arial" w:cs="Arial"/>
              </w:rPr>
            </w:pPr>
          </w:p>
        </w:tc>
        <w:tc>
          <w:tcPr>
            <w:tcW w:w="3587" w:type="dxa"/>
            <w:vMerge w:val="continue"/>
            <w:tcBorders>
              <w:left w:val="single" w:color="auto" w:sz="4" w:space="0"/>
              <w:bottom w:val="single" w:color="auto" w:sz="4" w:space="0"/>
              <w:right w:val="single" w:color="auto" w:sz="4" w:space="0"/>
            </w:tcBorders>
            <w:vAlign w:val="center"/>
          </w:tcPr>
          <w:p>
            <w:pPr>
              <w:tabs>
                <w:tab w:val="left" w:pos="720"/>
              </w:tabs>
              <w:spacing w:line="300" w:lineRule="auto"/>
              <w:rPr>
                <w:rFonts w:ascii="Arial" w:hAnsi="Arial" w:cs="Arial"/>
              </w:rPr>
            </w:pPr>
          </w:p>
        </w:tc>
        <w:tc>
          <w:tcPr>
            <w:tcW w:w="1732" w:type="dxa"/>
            <w:vMerge w:val="continue"/>
            <w:tcBorders>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978"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暂估价（元）</w:t>
            </w:r>
          </w:p>
        </w:tc>
        <w:tc>
          <w:tcPr>
            <w:tcW w:w="1162" w:type="dxa"/>
            <w:tcBorders>
              <w:top w:val="single" w:color="auto" w:sz="4" w:space="0"/>
              <w:left w:val="single" w:color="auto" w:sz="4" w:space="0"/>
              <w:bottom w:val="single" w:color="auto" w:sz="4" w:space="0"/>
              <w:right w:val="single" w:color="auto" w:sz="4" w:space="0"/>
            </w:tcBorders>
          </w:tcPr>
          <w:p>
            <w:pPr>
              <w:pStyle w:val="280"/>
              <w:ind w:right="43"/>
              <w:jc w:val="center"/>
              <w:rPr>
                <w:rFonts w:ascii="宋体" w:hAnsi="宋体" w:cs="宋体"/>
                <w:sz w:val="21"/>
                <w:szCs w:val="21"/>
              </w:rPr>
            </w:pPr>
            <w:r>
              <w:rPr>
                <w:rFonts w:ascii="宋体" w:hAnsi="宋体" w:cs="宋体"/>
                <w:sz w:val="21"/>
                <w:szCs w:val="21"/>
              </w:rPr>
              <w:t>规费</w:t>
            </w:r>
          </w:p>
          <w:p>
            <w:pPr>
              <w:tabs>
                <w:tab w:val="left" w:pos="720"/>
              </w:tabs>
              <w:spacing w:line="300" w:lineRule="auto"/>
              <w:ind w:left="-640" w:leftChars="-305" w:firstLine="640" w:firstLineChars="305"/>
              <w:jc w:val="center"/>
              <w:rPr>
                <w:rFonts w:ascii="Arial" w:hAnsi="Arial" w:cs="Arial"/>
              </w:rPr>
            </w:pPr>
            <w:r>
              <w:rPr>
                <w:rFonts w:ascii="宋体" w:hAnsi="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rPr>
                <w:rFonts w:ascii="Arial" w:hAnsi="Arial" w:cs="Arial"/>
              </w:rPr>
            </w:pPr>
            <w:r>
              <w:rPr>
                <w:rFonts w:ascii="Arial" w:hAnsi="Arial" w:cs="Arial"/>
              </w:rPr>
              <w:t>1</w:t>
            </w:r>
          </w:p>
        </w:tc>
        <w:tc>
          <w:tcPr>
            <w:tcW w:w="358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rPr>
                <w:rFonts w:ascii="Arial" w:hAnsi="Arial" w:cs="Arial"/>
              </w:rPr>
            </w:pPr>
            <w:r>
              <w:rPr>
                <w:rFonts w:hint="eastAsia" w:ascii="Arial" w:hAnsi="Arial" w:cs="Arial"/>
              </w:rPr>
              <w:t>分部分项工程</w:t>
            </w:r>
          </w:p>
        </w:tc>
        <w:tc>
          <w:tcPr>
            <w:tcW w:w="17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978"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ind w:left="-640" w:leftChars="-305" w:firstLine="640" w:firstLineChars="305"/>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rPr>
                <w:rFonts w:ascii="Arial" w:hAnsi="Arial" w:cs="Arial"/>
              </w:rPr>
            </w:pPr>
            <w:r>
              <w:rPr>
                <w:rFonts w:ascii="Arial" w:hAnsi="Arial" w:cs="Arial"/>
              </w:rPr>
              <w:t>1.1</w:t>
            </w:r>
          </w:p>
        </w:tc>
        <w:tc>
          <w:tcPr>
            <w:tcW w:w="358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p>
        </w:tc>
        <w:tc>
          <w:tcPr>
            <w:tcW w:w="17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978"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ind w:left="-640" w:leftChars="-305" w:firstLine="640" w:firstLineChars="305"/>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rPr>
                <w:rFonts w:ascii="Arial" w:hAnsi="Arial" w:cs="Arial"/>
              </w:rPr>
            </w:pPr>
            <w:r>
              <w:rPr>
                <w:rFonts w:ascii="Arial" w:hAnsi="Arial" w:cs="Arial"/>
              </w:rPr>
              <w:t>1.1.1</w:t>
            </w:r>
          </w:p>
        </w:tc>
        <w:tc>
          <w:tcPr>
            <w:tcW w:w="358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其中：弃土或渣土运输和消纳费</w:t>
            </w:r>
          </w:p>
        </w:tc>
        <w:tc>
          <w:tcPr>
            <w:tcW w:w="17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978"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ind w:left="-640" w:leftChars="-305" w:firstLine="640" w:firstLineChars="305"/>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rPr>
                <w:rFonts w:ascii="Arial" w:hAnsi="Arial" w:cs="Arial"/>
              </w:rPr>
            </w:pPr>
            <w:r>
              <w:rPr>
                <w:rFonts w:ascii="Arial" w:hAnsi="Arial" w:cs="Arial"/>
              </w:rPr>
              <w:t>1.2</w:t>
            </w:r>
          </w:p>
        </w:tc>
        <w:tc>
          <w:tcPr>
            <w:tcW w:w="358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7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978"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ind w:left="-640" w:leftChars="-305" w:firstLine="640" w:firstLineChars="305"/>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rPr>
                <w:rFonts w:ascii="Arial" w:hAnsi="Arial" w:cs="Arial"/>
              </w:rPr>
            </w:pPr>
            <w:r>
              <w:rPr>
                <w:rFonts w:ascii="Arial" w:hAnsi="Arial" w:cs="Arial"/>
              </w:rPr>
              <w:t>1.2.1</w:t>
            </w:r>
          </w:p>
        </w:tc>
        <w:tc>
          <w:tcPr>
            <w:tcW w:w="358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其中：弃土或渣土运输和消纳费</w:t>
            </w:r>
          </w:p>
        </w:tc>
        <w:tc>
          <w:tcPr>
            <w:tcW w:w="17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978"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ind w:left="-640" w:leftChars="-305" w:firstLine="640" w:firstLineChars="305"/>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rPr>
                <w:rFonts w:ascii="Arial" w:hAnsi="Arial" w:cs="Arial"/>
              </w:rPr>
            </w:pPr>
          </w:p>
        </w:tc>
        <w:tc>
          <w:tcPr>
            <w:tcW w:w="358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7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978"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ind w:left="-640" w:leftChars="-305" w:firstLine="640" w:firstLineChars="305"/>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rPr>
                <w:rFonts w:ascii="Arial" w:hAnsi="Arial" w:cs="Arial"/>
              </w:rPr>
            </w:pPr>
          </w:p>
        </w:tc>
        <w:tc>
          <w:tcPr>
            <w:tcW w:w="358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7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978"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ind w:left="-640" w:leftChars="-305" w:firstLine="640" w:firstLineChars="305"/>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rPr>
                <w:rFonts w:ascii="Arial" w:hAnsi="Arial" w:cs="Arial"/>
              </w:rPr>
            </w:pPr>
            <w:r>
              <w:rPr>
                <w:rFonts w:ascii="Arial" w:hAnsi="Arial" w:cs="Arial"/>
              </w:rPr>
              <w:t>2</w:t>
            </w:r>
          </w:p>
        </w:tc>
        <w:tc>
          <w:tcPr>
            <w:tcW w:w="358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rPr>
                <w:rFonts w:ascii="Arial" w:hAnsi="Arial" w:cs="Arial"/>
              </w:rPr>
            </w:pPr>
            <w:r>
              <w:rPr>
                <w:rFonts w:hint="eastAsia" w:ascii="Arial" w:hAnsi="Arial" w:cs="Arial"/>
              </w:rPr>
              <w:t>单价措施项目</w:t>
            </w:r>
          </w:p>
        </w:tc>
        <w:tc>
          <w:tcPr>
            <w:tcW w:w="17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978"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ind w:left="-640" w:leftChars="-305" w:firstLine="640" w:firstLineChars="305"/>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rPr>
                <w:rFonts w:ascii="Arial" w:hAnsi="Arial" w:cs="Arial"/>
              </w:rPr>
            </w:pPr>
            <w:r>
              <w:rPr>
                <w:rFonts w:ascii="Arial" w:hAnsi="Arial" w:cs="Arial"/>
              </w:rPr>
              <w:t>2.1</w:t>
            </w:r>
          </w:p>
        </w:tc>
        <w:tc>
          <w:tcPr>
            <w:tcW w:w="358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left"/>
              <w:rPr>
                <w:rFonts w:ascii="Arial" w:hAnsi="Arial" w:cs="Arial"/>
              </w:rPr>
            </w:pPr>
          </w:p>
        </w:tc>
        <w:tc>
          <w:tcPr>
            <w:tcW w:w="17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978"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ind w:left="-640" w:leftChars="-305" w:firstLine="640" w:firstLineChars="305"/>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rPr>
                <w:rFonts w:ascii="Arial" w:hAnsi="Arial" w:cs="Arial"/>
              </w:rPr>
            </w:pPr>
          </w:p>
        </w:tc>
        <w:tc>
          <w:tcPr>
            <w:tcW w:w="358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7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978"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ind w:left="-640" w:leftChars="-305" w:firstLine="640" w:firstLineChars="305"/>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rPr>
                <w:rFonts w:ascii="Arial" w:hAnsi="Arial" w:cs="Arial"/>
              </w:rPr>
            </w:pPr>
            <w:r>
              <w:rPr>
                <w:rFonts w:ascii="Arial" w:hAnsi="Arial" w:cs="Arial"/>
              </w:rPr>
              <w:t>2.2</w:t>
            </w:r>
          </w:p>
        </w:tc>
        <w:tc>
          <w:tcPr>
            <w:tcW w:w="358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7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978"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ind w:left="-640" w:leftChars="-305" w:firstLine="640" w:firstLineChars="305"/>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rPr>
                <w:rFonts w:ascii="Arial" w:hAnsi="Arial" w:cs="Arial"/>
              </w:rPr>
            </w:pPr>
          </w:p>
        </w:tc>
        <w:tc>
          <w:tcPr>
            <w:tcW w:w="358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7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978"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ind w:left="-640" w:leftChars="-305" w:firstLine="640" w:firstLineChars="305"/>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rPr>
                <w:rFonts w:ascii="Arial" w:hAnsi="Arial" w:cs="Arial"/>
              </w:rPr>
            </w:pPr>
          </w:p>
        </w:tc>
        <w:tc>
          <w:tcPr>
            <w:tcW w:w="358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7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978"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ind w:left="-640" w:leftChars="-305" w:firstLine="640" w:firstLineChars="305"/>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rPr>
                <w:rFonts w:ascii="Arial" w:hAnsi="Arial" w:cs="Arial"/>
              </w:rPr>
            </w:pPr>
          </w:p>
        </w:tc>
        <w:tc>
          <w:tcPr>
            <w:tcW w:w="358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ind w:firstLine="840" w:firstLineChars="400"/>
              <w:rPr>
                <w:rFonts w:ascii="Arial" w:hAnsi="Arial" w:cs="Arial"/>
              </w:rPr>
            </w:pPr>
          </w:p>
        </w:tc>
        <w:tc>
          <w:tcPr>
            <w:tcW w:w="17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978"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ind w:left="-640" w:leftChars="-305" w:firstLine="640" w:firstLineChars="305"/>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rPr>
                <w:rFonts w:ascii="Arial" w:hAnsi="Arial" w:cs="Arial"/>
              </w:rPr>
            </w:pPr>
          </w:p>
        </w:tc>
        <w:tc>
          <w:tcPr>
            <w:tcW w:w="358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rPr>
                <w:rFonts w:ascii="Arial" w:hAnsi="Arial" w:cs="Arial"/>
              </w:rPr>
            </w:pPr>
          </w:p>
        </w:tc>
        <w:tc>
          <w:tcPr>
            <w:tcW w:w="17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978"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ind w:left="-640" w:leftChars="-305" w:firstLine="640" w:firstLineChars="305"/>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rPr>
                <w:rFonts w:ascii="Arial" w:hAnsi="Arial" w:cs="Arial"/>
              </w:rPr>
            </w:pPr>
          </w:p>
        </w:tc>
        <w:tc>
          <w:tcPr>
            <w:tcW w:w="358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ind w:firstLine="210" w:firstLineChars="100"/>
              <w:rPr>
                <w:rFonts w:ascii="Arial" w:hAnsi="Arial" w:cs="Arial"/>
              </w:rPr>
            </w:pPr>
          </w:p>
        </w:tc>
        <w:tc>
          <w:tcPr>
            <w:tcW w:w="17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978"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ind w:left="-640" w:leftChars="-305" w:firstLine="640" w:firstLineChars="305"/>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rPr>
                <w:rFonts w:ascii="Arial" w:hAnsi="Arial" w:cs="Arial"/>
              </w:rPr>
            </w:pPr>
          </w:p>
        </w:tc>
        <w:tc>
          <w:tcPr>
            <w:tcW w:w="358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ind w:firstLine="210" w:firstLineChars="100"/>
              <w:rPr>
                <w:rFonts w:ascii="Arial" w:hAnsi="Arial" w:cs="Arial"/>
              </w:rPr>
            </w:pPr>
          </w:p>
        </w:tc>
        <w:tc>
          <w:tcPr>
            <w:tcW w:w="17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978"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ind w:left="-640" w:leftChars="-305" w:firstLine="640" w:firstLineChars="305"/>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rPr>
                <w:rFonts w:ascii="Arial" w:hAnsi="Arial" w:cs="Arial"/>
              </w:rPr>
            </w:pPr>
          </w:p>
        </w:tc>
        <w:tc>
          <w:tcPr>
            <w:tcW w:w="358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ind w:firstLine="210" w:firstLineChars="100"/>
              <w:rPr>
                <w:rFonts w:ascii="Arial" w:hAnsi="Arial" w:cs="Arial"/>
              </w:rPr>
            </w:pPr>
          </w:p>
        </w:tc>
        <w:tc>
          <w:tcPr>
            <w:tcW w:w="17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978"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ind w:left="-640" w:leftChars="-305" w:firstLine="640" w:firstLineChars="305"/>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rPr>
                <w:rFonts w:ascii="Arial" w:hAnsi="Arial" w:cs="Arial"/>
              </w:rPr>
            </w:pPr>
          </w:p>
        </w:tc>
        <w:tc>
          <w:tcPr>
            <w:tcW w:w="358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ind w:firstLine="210" w:firstLineChars="100"/>
              <w:rPr>
                <w:rFonts w:ascii="Arial" w:hAnsi="Arial" w:cs="Arial"/>
              </w:rPr>
            </w:pPr>
          </w:p>
        </w:tc>
        <w:tc>
          <w:tcPr>
            <w:tcW w:w="17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978"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ind w:left="-640" w:leftChars="-305" w:firstLine="640" w:firstLineChars="305"/>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rPr>
                <w:rFonts w:ascii="Arial" w:hAnsi="Arial" w:cs="Arial"/>
              </w:rPr>
            </w:pPr>
          </w:p>
        </w:tc>
        <w:tc>
          <w:tcPr>
            <w:tcW w:w="358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rPr>
                <w:rFonts w:ascii="Arial" w:hAnsi="Arial" w:cs="Arial"/>
              </w:rPr>
            </w:pPr>
          </w:p>
        </w:tc>
        <w:tc>
          <w:tcPr>
            <w:tcW w:w="17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978"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ind w:left="-640" w:leftChars="-305" w:firstLine="640" w:firstLineChars="305"/>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rPr>
                <w:rFonts w:ascii="Arial" w:hAnsi="Arial" w:cs="Arial"/>
              </w:rPr>
            </w:pPr>
          </w:p>
        </w:tc>
        <w:tc>
          <w:tcPr>
            <w:tcW w:w="358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rPr>
                <w:rFonts w:ascii="Arial" w:hAnsi="Arial" w:cs="Arial"/>
              </w:rPr>
            </w:pPr>
          </w:p>
        </w:tc>
        <w:tc>
          <w:tcPr>
            <w:tcW w:w="17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978"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ind w:left="-640" w:leftChars="-305" w:firstLine="640" w:firstLineChars="305"/>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rPr>
                <w:rFonts w:ascii="Arial" w:hAnsi="Arial" w:cs="Arial"/>
              </w:rPr>
            </w:pPr>
          </w:p>
        </w:tc>
        <w:tc>
          <w:tcPr>
            <w:tcW w:w="358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rPr>
                <w:rFonts w:ascii="Arial" w:hAnsi="Arial" w:cs="Arial"/>
              </w:rPr>
            </w:pPr>
          </w:p>
        </w:tc>
        <w:tc>
          <w:tcPr>
            <w:tcW w:w="17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978"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ind w:left="-640" w:leftChars="-305" w:firstLine="640" w:firstLineChars="305"/>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4" w:type="dxa"/>
            <w:gridSpan w:val="2"/>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合</w:t>
            </w:r>
            <w:r>
              <w:rPr>
                <w:rFonts w:ascii="Arial" w:hAnsi="Arial" w:cs="Arial"/>
              </w:rPr>
              <w:t xml:space="preserve">  </w:t>
            </w:r>
            <w:r>
              <w:rPr>
                <w:rFonts w:hint="eastAsia" w:ascii="Arial" w:hAnsi="Arial" w:cs="Arial"/>
              </w:rPr>
              <w:t>计</w:t>
            </w:r>
          </w:p>
        </w:tc>
        <w:tc>
          <w:tcPr>
            <w:tcW w:w="17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978"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162" w:type="dxa"/>
            <w:tcBorders>
              <w:top w:val="single" w:color="auto" w:sz="4" w:space="0"/>
              <w:left w:val="single" w:color="auto" w:sz="4" w:space="0"/>
              <w:bottom w:val="single" w:color="auto" w:sz="4" w:space="0"/>
              <w:right w:val="single" w:color="auto" w:sz="4" w:space="0"/>
            </w:tcBorders>
          </w:tcPr>
          <w:p>
            <w:pPr>
              <w:tabs>
                <w:tab w:val="left" w:pos="720"/>
              </w:tabs>
              <w:spacing w:line="300" w:lineRule="auto"/>
              <w:ind w:left="-640" w:leftChars="-305" w:firstLine="640" w:firstLineChars="305"/>
              <w:jc w:val="center"/>
              <w:rPr>
                <w:rFonts w:ascii="Arial" w:hAnsi="Arial" w:cs="Arial"/>
              </w:rPr>
            </w:pPr>
          </w:p>
        </w:tc>
      </w:tr>
      <w:bookmarkEnd w:id="1233"/>
      <w:bookmarkEnd w:id="1234"/>
      <w:bookmarkEnd w:id="1235"/>
      <w:bookmarkEnd w:id="1236"/>
    </w:tbl>
    <w:p>
      <w:pPr>
        <w:tabs>
          <w:tab w:val="left" w:pos="720"/>
        </w:tabs>
        <w:spacing w:after="120" w:afterLines="50" w:line="300" w:lineRule="auto"/>
        <w:rPr>
          <w:rFonts w:ascii="Arial" w:hAnsi="Arial" w:cs="Arial"/>
        </w:rPr>
      </w:pPr>
    </w:p>
    <w:p>
      <w:pPr>
        <w:pStyle w:val="148"/>
        <w:spacing w:before="120" w:after="120"/>
        <w:rPr>
          <w:rFonts w:ascii="宋体"/>
        </w:rPr>
      </w:pPr>
      <w:bookmarkStart w:id="1237" w:name="_Toc483575319"/>
      <w:bookmarkStart w:id="1238" w:name="_Toc23757439"/>
      <w:bookmarkStart w:id="1239" w:name="_Toc480481682"/>
      <w:bookmarkStart w:id="1240" w:name="_Toc497458725"/>
      <w:bookmarkStart w:id="1241" w:name="_Toc342296533"/>
      <w:bookmarkStart w:id="1242" w:name="_Toc241459769"/>
      <w:bookmarkStart w:id="1243" w:name="_Toc10235184"/>
      <w:r>
        <w:rPr>
          <w:rFonts w:hint="eastAsia"/>
        </w:rPr>
        <w:t>分部分项工程和单价措施项目清单与计价表</w:t>
      </w:r>
      <w:bookmarkEnd w:id="1237"/>
      <w:bookmarkEnd w:id="1238"/>
      <w:bookmarkEnd w:id="1239"/>
      <w:bookmarkEnd w:id="1240"/>
      <w:bookmarkEnd w:id="1241"/>
      <w:bookmarkEnd w:id="1242"/>
      <w:bookmarkEnd w:id="1243"/>
    </w:p>
    <w:p>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分部分项工程和单价措施项目清单与计价表</w:t>
      </w:r>
    </w:p>
    <w:p>
      <w:pPr>
        <w:tabs>
          <w:tab w:val="left" w:pos="720"/>
        </w:tabs>
        <w:spacing w:after="120" w:afterLines="50" w:line="300" w:lineRule="auto"/>
        <w:rPr>
          <w:rFonts w:ascii="Arial" w:hAnsi="Arial" w:cs="Arial"/>
        </w:rPr>
      </w:pPr>
      <w:r>
        <w:rPr>
          <w:rFonts w:hint="eastAsia" w:ascii="Arial" w:hAnsi="Arial" w:cs="Arial"/>
        </w:rPr>
        <w:t>工程名称：</w:t>
      </w: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9"/>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1260"/>
        <w:gridCol w:w="1253"/>
        <w:gridCol w:w="1134"/>
        <w:gridCol w:w="993"/>
        <w:gridCol w:w="733"/>
        <w:gridCol w:w="709"/>
        <w:gridCol w:w="992"/>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0" w:type="dxa"/>
            <w:vMerge w:val="restart"/>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序号</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子目编码</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子目名称</w:t>
            </w:r>
          </w:p>
        </w:tc>
        <w:tc>
          <w:tcPr>
            <w:tcW w:w="1253" w:type="dxa"/>
            <w:vMerge w:val="restart"/>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子目特征描述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计量单位</w:t>
            </w:r>
          </w:p>
        </w:tc>
        <w:tc>
          <w:tcPr>
            <w:tcW w:w="993" w:type="dxa"/>
            <w:vMerge w:val="restart"/>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工程量</w:t>
            </w:r>
          </w:p>
        </w:tc>
        <w:tc>
          <w:tcPr>
            <w:tcW w:w="3460" w:type="dxa"/>
            <w:gridSpan w:val="4"/>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rPr>
            </w:pPr>
          </w:p>
        </w:tc>
        <w:tc>
          <w:tcPr>
            <w:tcW w:w="12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rPr>
            </w:pPr>
          </w:p>
        </w:tc>
        <w:tc>
          <w:tcPr>
            <w:tcW w:w="733" w:type="dxa"/>
            <w:vMerge w:val="restart"/>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综合单价</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合价</w:t>
            </w:r>
          </w:p>
        </w:tc>
        <w:tc>
          <w:tcPr>
            <w:tcW w:w="2018" w:type="dxa"/>
            <w:gridSpan w:val="2"/>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rPr>
            </w:pPr>
          </w:p>
        </w:tc>
        <w:tc>
          <w:tcPr>
            <w:tcW w:w="12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暂估价</w:t>
            </w:r>
          </w:p>
        </w:tc>
        <w:tc>
          <w:tcPr>
            <w:tcW w:w="102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ascii="宋体" w:hAnsi="宋体" w:cs="宋体"/>
                <w:szCs w:val="21"/>
              </w:rPr>
              <w:t>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53"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3"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33"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026"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53"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3"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33"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026"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53"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3"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33"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026"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53"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3"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33"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026"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53"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3"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33"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026"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53"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3"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33"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026"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53"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3"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33"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026"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53"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3"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33"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026"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53"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3"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33"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026"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53"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3"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33"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026"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53"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3"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33"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026"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53"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3"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33"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026"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53"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3"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33"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026"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53"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3"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33"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026"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53"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3"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33"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026"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60"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253"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3"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33"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026"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73" w:type="dxa"/>
            <w:gridSpan w:val="7"/>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本页小计</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026"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73" w:type="dxa"/>
            <w:gridSpan w:val="7"/>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r>
              <w:rPr>
                <w:rFonts w:hint="eastAsia" w:ascii="Arial" w:hAnsi="Arial" w:cs="Arial"/>
              </w:rPr>
              <w:t>合</w:t>
            </w:r>
            <w:r>
              <w:rPr>
                <w:rFonts w:ascii="Arial" w:hAnsi="Arial" w:cs="Arial"/>
              </w:rPr>
              <w:t xml:space="preserve">    </w:t>
            </w:r>
            <w:r>
              <w:rPr>
                <w:rFonts w:hint="eastAsia" w:ascii="Arial" w:hAnsi="Arial" w:cs="Arial"/>
              </w:rPr>
              <w:t>计</w:t>
            </w:r>
          </w:p>
        </w:tc>
        <w:tc>
          <w:tcPr>
            <w:tcW w:w="709"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00" w:lineRule="auto"/>
              <w:jc w:val="center"/>
              <w:rPr>
                <w:rFonts w:ascii="Arial" w:hAnsi="Arial" w:cs="Arial"/>
              </w:rPr>
            </w:pPr>
          </w:p>
        </w:tc>
        <w:tc>
          <w:tcPr>
            <w:tcW w:w="1026" w:type="dxa"/>
            <w:tcBorders>
              <w:top w:val="single" w:color="auto" w:sz="4" w:space="0"/>
              <w:left w:val="single" w:color="auto" w:sz="4" w:space="0"/>
              <w:bottom w:val="single" w:color="auto" w:sz="4" w:space="0"/>
              <w:right w:val="single" w:color="auto" w:sz="4" w:space="0"/>
            </w:tcBorders>
          </w:tcPr>
          <w:p>
            <w:pPr>
              <w:tabs>
                <w:tab w:val="left" w:pos="720"/>
              </w:tabs>
              <w:spacing w:line="300" w:lineRule="auto"/>
              <w:jc w:val="center"/>
              <w:rPr>
                <w:rFonts w:ascii="Arial" w:hAnsi="Arial" w:cs="Arial"/>
              </w:rPr>
            </w:pPr>
          </w:p>
        </w:tc>
      </w:tr>
    </w:tbl>
    <w:p>
      <w:pPr>
        <w:widowControl/>
        <w:spacing w:line="412" w:lineRule="auto"/>
        <w:jc w:val="left"/>
        <w:rPr>
          <w:rFonts w:ascii="Arial" w:hAnsi="Arial" w:cs="Arial"/>
          <w:szCs w:val="21"/>
        </w:rPr>
        <w:sectPr>
          <w:pgSz w:w="11906" w:h="16838"/>
          <w:pgMar w:top="1440" w:right="1797" w:bottom="1440" w:left="1797" w:header="851" w:footer="992" w:gutter="0"/>
          <w:cols w:space="720" w:num="1"/>
        </w:sectPr>
      </w:pPr>
    </w:p>
    <w:p>
      <w:pPr>
        <w:pStyle w:val="148"/>
        <w:spacing w:before="120" w:after="120"/>
        <w:rPr>
          <w:rFonts w:ascii="宋体"/>
        </w:rPr>
      </w:pPr>
      <w:bookmarkStart w:id="1244" w:name="_Toc480481687"/>
      <w:bookmarkStart w:id="1245" w:name="_Toc23757445"/>
      <w:bookmarkStart w:id="1246" w:name="_Toc483575324"/>
      <w:bookmarkStart w:id="1247" w:name="_Toc497458730"/>
      <w:bookmarkStart w:id="1248" w:name="_Toc361603560"/>
      <w:bookmarkStart w:id="1249" w:name="_Toc10235191"/>
      <w:bookmarkStart w:id="1250" w:name="_Toc241459775"/>
      <w:bookmarkStart w:id="1251" w:name="_Toc480481683"/>
      <w:bookmarkStart w:id="1252" w:name="_Toc23757440"/>
      <w:bookmarkStart w:id="1253" w:name="_Toc10235185"/>
      <w:bookmarkStart w:id="1254" w:name="_Toc241459770"/>
      <w:bookmarkStart w:id="1255" w:name="_Toc483575320"/>
      <w:bookmarkStart w:id="1256" w:name="_Toc497458726"/>
      <w:bookmarkStart w:id="1257" w:name="_Toc342296534"/>
      <w:r>
        <w:rPr>
          <w:rFonts w:hint="eastAsia"/>
        </w:rPr>
        <w:t>材料和工程设备暂估价表</w:t>
      </w:r>
      <w:bookmarkEnd w:id="1244"/>
      <w:bookmarkEnd w:id="1245"/>
      <w:bookmarkEnd w:id="1246"/>
      <w:bookmarkEnd w:id="1247"/>
      <w:bookmarkEnd w:id="1248"/>
      <w:bookmarkEnd w:id="1249"/>
    </w:p>
    <w:p>
      <w:pPr>
        <w:widowControl/>
        <w:shd w:val="clear" w:color="auto" w:fill="FFFFFF"/>
        <w:spacing w:line="301" w:lineRule="atLeast"/>
        <w:jc w:val="center"/>
        <w:rPr>
          <w:rFonts w:ascii="Arial" w:hAnsi="Arial" w:eastAsia="黑体" w:cs="Arial"/>
          <w:bCs/>
          <w:sz w:val="30"/>
          <w:szCs w:val="30"/>
        </w:rPr>
      </w:pPr>
      <w:r>
        <w:rPr>
          <w:rFonts w:hint="eastAsia" w:ascii="Arial" w:hAnsi="Arial" w:eastAsia="黑体" w:cs="Arial"/>
          <w:bCs/>
          <w:sz w:val="30"/>
          <w:szCs w:val="30"/>
        </w:rPr>
        <w:t>材料和工程设备暂估价表</w:t>
      </w:r>
    </w:p>
    <w:p>
      <w:pPr>
        <w:spacing w:line="360" w:lineRule="auto"/>
        <w:rPr>
          <w:rFonts w:ascii="宋体" w:hAnsi="宋体" w:cs="Arial"/>
          <w:iCs/>
          <w:szCs w:val="28"/>
        </w:rPr>
      </w:pPr>
      <w:r>
        <w:rPr>
          <w:rFonts w:hint="eastAsia"/>
        </w:rPr>
        <w:t>工程名称：</w:t>
      </w:r>
      <w:r>
        <w:t xml:space="preserve">                                                       </w:t>
      </w:r>
      <w:r>
        <w:rPr>
          <w:rFonts w:hint="eastAsia"/>
        </w:rPr>
        <w:t>第</w:t>
      </w:r>
      <w:r>
        <w:t xml:space="preserve">   </w:t>
      </w:r>
      <w:r>
        <w:rPr>
          <w:rFonts w:hint="eastAsia"/>
        </w:rPr>
        <w:t>页</w:t>
      </w:r>
      <w:r>
        <w:t xml:space="preserve">   </w:t>
      </w:r>
      <w:r>
        <w:rPr>
          <w:rFonts w:hint="eastAsia"/>
        </w:rPr>
        <w:t>共</w:t>
      </w:r>
      <w:r>
        <w:t xml:space="preserve">   </w:t>
      </w:r>
      <w:r>
        <w:rPr>
          <w:rFonts w:hint="eastAsia"/>
        </w:rPr>
        <w:t>页</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533"/>
        <w:gridCol w:w="3215"/>
        <w:gridCol w:w="1417"/>
        <w:gridCol w:w="1134"/>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atLeast"/>
        </w:trPr>
        <w:tc>
          <w:tcPr>
            <w:tcW w:w="53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jc w:val="center"/>
            </w:pPr>
            <w:r>
              <w:rPr>
                <w:rFonts w:hint="eastAsia"/>
              </w:rPr>
              <w:t>序</w:t>
            </w:r>
          </w:p>
          <w:p>
            <w:pPr>
              <w:jc w:val="center"/>
            </w:pPr>
            <w:r>
              <w:rPr>
                <w:rFonts w:hint="eastAsia"/>
              </w:rPr>
              <w:t>号</w:t>
            </w:r>
          </w:p>
        </w:tc>
        <w:tc>
          <w:tcPr>
            <w:tcW w:w="321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jc w:val="center"/>
            </w:pPr>
            <w:r>
              <w:rPr>
                <w:rFonts w:hint="eastAsia"/>
              </w:rPr>
              <w:t>材料和工程设备名称、</w:t>
            </w:r>
          </w:p>
          <w:p>
            <w:pPr>
              <w:jc w:val="center"/>
            </w:pPr>
            <w:r>
              <w:rPr>
                <w:rFonts w:hint="eastAsia"/>
              </w:rPr>
              <w:t>规格、型号</w:t>
            </w: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jc w:val="center"/>
            </w:pPr>
            <w:r>
              <w:rPr>
                <w:rFonts w:hint="eastAsia"/>
              </w:rPr>
              <w:t>计量</w:t>
            </w:r>
          </w:p>
          <w:p>
            <w:pPr>
              <w:jc w:val="center"/>
            </w:pPr>
            <w:r>
              <w:rPr>
                <w:rFonts w:hint="eastAsia"/>
              </w:rPr>
              <w:t>单位</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pPr>
            <w:r>
              <w:rPr>
                <w:rFonts w:hint="eastAsia"/>
              </w:rPr>
              <w:t>暂估单价</w:t>
            </w:r>
          </w:p>
          <w:p>
            <w:pPr>
              <w:jc w:val="center"/>
            </w:pPr>
            <w:r>
              <w:rPr>
                <w:rFonts w:hint="eastAsia"/>
              </w:rPr>
              <w:t>（元）</w:t>
            </w:r>
          </w:p>
        </w:tc>
        <w:tc>
          <w:tcPr>
            <w:tcW w:w="269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53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rFonts w:ascii="宋体" w:hAnsi="宋体" w:cs="宋体"/>
                <w:kern w:val="0"/>
                <w:sz w:val="24"/>
              </w:rPr>
            </w:pPr>
          </w:p>
        </w:tc>
        <w:tc>
          <w:tcPr>
            <w:tcW w:w="321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rFonts w:ascii="宋体" w:hAnsi="宋体" w:cs="宋体"/>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c>
          <w:tcPr>
            <w:tcW w:w="269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exact"/>
        </w:trPr>
        <w:tc>
          <w:tcPr>
            <w:tcW w:w="53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c>
          <w:tcPr>
            <w:tcW w:w="321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c>
          <w:tcPr>
            <w:tcW w:w="269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exact"/>
        </w:trPr>
        <w:tc>
          <w:tcPr>
            <w:tcW w:w="53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rFonts w:ascii="宋体" w:hAnsi="宋体" w:cs="宋体"/>
                <w:kern w:val="0"/>
                <w:sz w:val="24"/>
              </w:rPr>
            </w:pPr>
          </w:p>
        </w:tc>
        <w:tc>
          <w:tcPr>
            <w:tcW w:w="321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rFonts w:ascii="宋体" w:hAnsi="宋体" w:cs="宋体"/>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rFonts w:ascii="宋体" w:hAnsi="宋体" w:cs="宋体"/>
                <w:kern w:val="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c>
          <w:tcPr>
            <w:tcW w:w="269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exact"/>
        </w:trPr>
        <w:tc>
          <w:tcPr>
            <w:tcW w:w="53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c>
          <w:tcPr>
            <w:tcW w:w="321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c>
          <w:tcPr>
            <w:tcW w:w="269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exact"/>
        </w:trPr>
        <w:tc>
          <w:tcPr>
            <w:tcW w:w="53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c>
          <w:tcPr>
            <w:tcW w:w="321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c>
          <w:tcPr>
            <w:tcW w:w="269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exact"/>
        </w:trPr>
        <w:tc>
          <w:tcPr>
            <w:tcW w:w="53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c>
          <w:tcPr>
            <w:tcW w:w="321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c>
          <w:tcPr>
            <w:tcW w:w="269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exact"/>
        </w:trPr>
        <w:tc>
          <w:tcPr>
            <w:tcW w:w="53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c>
          <w:tcPr>
            <w:tcW w:w="321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c>
          <w:tcPr>
            <w:tcW w:w="269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exact"/>
        </w:trPr>
        <w:tc>
          <w:tcPr>
            <w:tcW w:w="53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c>
          <w:tcPr>
            <w:tcW w:w="321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c>
          <w:tcPr>
            <w:tcW w:w="269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exact"/>
        </w:trPr>
        <w:tc>
          <w:tcPr>
            <w:tcW w:w="53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c>
          <w:tcPr>
            <w:tcW w:w="321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c>
          <w:tcPr>
            <w:tcW w:w="269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exact"/>
        </w:trPr>
        <w:tc>
          <w:tcPr>
            <w:tcW w:w="53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c>
          <w:tcPr>
            <w:tcW w:w="321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c>
          <w:tcPr>
            <w:tcW w:w="269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exact"/>
        </w:trPr>
        <w:tc>
          <w:tcPr>
            <w:tcW w:w="53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c>
          <w:tcPr>
            <w:tcW w:w="321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c>
          <w:tcPr>
            <w:tcW w:w="269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exact"/>
        </w:trPr>
        <w:tc>
          <w:tcPr>
            <w:tcW w:w="53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c>
          <w:tcPr>
            <w:tcW w:w="321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c>
          <w:tcPr>
            <w:tcW w:w="269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exact"/>
        </w:trPr>
        <w:tc>
          <w:tcPr>
            <w:tcW w:w="53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c>
          <w:tcPr>
            <w:tcW w:w="321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c>
          <w:tcPr>
            <w:tcW w:w="269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exact"/>
        </w:trPr>
        <w:tc>
          <w:tcPr>
            <w:tcW w:w="53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c>
          <w:tcPr>
            <w:tcW w:w="321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c>
          <w:tcPr>
            <w:tcW w:w="269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exact"/>
        </w:trPr>
        <w:tc>
          <w:tcPr>
            <w:tcW w:w="53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c>
          <w:tcPr>
            <w:tcW w:w="321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c>
          <w:tcPr>
            <w:tcW w:w="269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exact"/>
        </w:trPr>
        <w:tc>
          <w:tcPr>
            <w:tcW w:w="53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c>
          <w:tcPr>
            <w:tcW w:w="321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c>
          <w:tcPr>
            <w:tcW w:w="269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widowControl/>
              <w:spacing w:line="301" w:lineRule="atLeast"/>
              <w:jc w:val="center"/>
              <w:rPr>
                <w:kern w:val="0"/>
                <w:sz w:val="24"/>
              </w:rPr>
            </w:pPr>
          </w:p>
        </w:tc>
      </w:tr>
    </w:tbl>
    <w:p>
      <w:pPr>
        <w:tabs>
          <w:tab w:val="left" w:pos="720"/>
        </w:tabs>
        <w:spacing w:line="300" w:lineRule="auto"/>
        <w:ind w:left="708" w:hanging="707" w:hangingChars="337"/>
        <w:rPr>
          <w:rFonts w:ascii="黑体" w:hAnsi="Arial" w:eastAsia="黑体" w:cs="Arial"/>
          <w:szCs w:val="21"/>
        </w:rPr>
      </w:pPr>
    </w:p>
    <w:bookmarkEnd w:id="1250"/>
    <w:p>
      <w:pPr>
        <w:tabs>
          <w:tab w:val="left" w:pos="720"/>
        </w:tabs>
        <w:spacing w:line="300" w:lineRule="auto"/>
        <w:ind w:left="708" w:hanging="707" w:hangingChars="337"/>
        <w:rPr>
          <w:rFonts w:ascii="Arial" w:hAnsi="Arial" w:cs="Arial"/>
        </w:rPr>
      </w:pPr>
      <w:r>
        <w:rPr>
          <w:rFonts w:hint="eastAsia" w:ascii="Arial" w:hAnsi="Arial" w:cs="Arial"/>
        </w:rPr>
        <w:t>注：投标人应将上述材料、工程设备暂估单价计入工程量清单综合单价报价中。</w:t>
      </w:r>
    </w:p>
    <w:p>
      <w:pPr>
        <w:tabs>
          <w:tab w:val="left" w:pos="720"/>
        </w:tabs>
        <w:ind w:firstLine="420" w:firstLineChars="200"/>
        <w:rPr>
          <w:rFonts w:ascii="Arial" w:hAnsi="Arial" w:cs="Arial"/>
          <w:szCs w:val="21"/>
        </w:rPr>
      </w:pPr>
    </w:p>
    <w:p>
      <w:pPr>
        <w:widowControl/>
        <w:jc w:val="left"/>
        <w:rPr>
          <w:rFonts w:ascii="Arial" w:hAnsi="Arial" w:cs="Arial"/>
          <w:kern w:val="0"/>
        </w:rPr>
        <w:sectPr>
          <w:pgSz w:w="11906" w:h="16838"/>
          <w:pgMar w:top="1440" w:right="1700" w:bottom="1440" w:left="1797" w:header="851" w:footer="992" w:gutter="0"/>
          <w:cols w:space="720" w:num="1"/>
        </w:sectPr>
      </w:pPr>
    </w:p>
    <w:p>
      <w:pPr>
        <w:pStyle w:val="148"/>
        <w:spacing w:before="120" w:after="120"/>
        <w:rPr>
          <w:rFonts w:ascii="宋体"/>
        </w:rPr>
      </w:pPr>
      <w:r>
        <w:rPr>
          <w:rFonts w:hint="eastAsia"/>
        </w:rPr>
        <w:t>综合单价分析表</w:t>
      </w:r>
      <w:bookmarkEnd w:id="1251"/>
      <w:bookmarkEnd w:id="1252"/>
      <w:bookmarkEnd w:id="1253"/>
      <w:bookmarkEnd w:id="1254"/>
      <w:bookmarkEnd w:id="1255"/>
      <w:bookmarkEnd w:id="1256"/>
      <w:bookmarkEnd w:id="1257"/>
    </w:p>
    <w:p>
      <w:pPr>
        <w:tabs>
          <w:tab w:val="left" w:pos="720"/>
        </w:tabs>
        <w:spacing w:after="120" w:afterLines="50" w:line="300" w:lineRule="auto"/>
        <w:jc w:val="center"/>
        <w:rPr>
          <w:rFonts w:ascii="Arial" w:hAnsi="Arial" w:eastAsia="黑体" w:cs="Arial"/>
          <w:bCs/>
          <w:sz w:val="30"/>
          <w:szCs w:val="30"/>
        </w:rPr>
      </w:pPr>
      <w:r>
        <w:rPr>
          <w:rFonts w:hint="eastAsia" w:ascii="Arial" w:hAnsi="Arial" w:eastAsia="黑体" w:cs="Arial"/>
          <w:bCs/>
          <w:sz w:val="30"/>
          <w:szCs w:val="30"/>
        </w:rPr>
        <w:t>综合单价分析表</w:t>
      </w:r>
    </w:p>
    <w:p>
      <w:pPr>
        <w:tabs>
          <w:tab w:val="left" w:pos="720"/>
        </w:tabs>
        <w:spacing w:after="120" w:afterLines="50" w:line="300" w:lineRule="auto"/>
        <w:rPr>
          <w:rFonts w:ascii="Arial" w:hAnsi="Arial" w:cs="Arial"/>
        </w:rPr>
      </w:pPr>
      <w:r>
        <w:rPr>
          <w:rFonts w:hint="eastAsia" w:ascii="Arial" w:hAnsi="Arial" w:cs="Arial"/>
        </w:rPr>
        <w:t>工程名称：                                                                                                            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tbl>
      <w:tblPr>
        <w:tblStyle w:val="49"/>
        <w:tblW w:w="13795" w:type="dxa"/>
        <w:tblInd w:w="102" w:type="dxa"/>
        <w:tblLayout w:type="fixed"/>
        <w:tblCellMar>
          <w:top w:w="0" w:type="dxa"/>
          <w:left w:w="0" w:type="dxa"/>
          <w:bottom w:w="0" w:type="dxa"/>
          <w:right w:w="0" w:type="dxa"/>
        </w:tblCellMar>
      </w:tblPr>
      <w:tblGrid>
        <w:gridCol w:w="755"/>
        <w:gridCol w:w="549"/>
        <w:gridCol w:w="300"/>
        <w:gridCol w:w="833"/>
        <w:gridCol w:w="137"/>
        <w:gridCol w:w="13"/>
        <w:gridCol w:w="846"/>
        <w:gridCol w:w="564"/>
        <w:gridCol w:w="149"/>
        <w:gridCol w:w="560"/>
        <w:gridCol w:w="149"/>
        <w:gridCol w:w="850"/>
        <w:gridCol w:w="719"/>
        <w:gridCol w:w="709"/>
        <w:gridCol w:w="557"/>
        <w:gridCol w:w="571"/>
        <w:gridCol w:w="562"/>
        <w:gridCol w:w="152"/>
        <w:gridCol w:w="142"/>
        <w:gridCol w:w="709"/>
        <w:gridCol w:w="850"/>
        <w:gridCol w:w="709"/>
        <w:gridCol w:w="709"/>
        <w:gridCol w:w="709"/>
        <w:gridCol w:w="992"/>
      </w:tblGrid>
      <w:tr>
        <w:tblPrEx>
          <w:tblCellMar>
            <w:top w:w="0" w:type="dxa"/>
            <w:left w:w="0" w:type="dxa"/>
            <w:bottom w:w="0" w:type="dxa"/>
            <w:right w:w="0" w:type="dxa"/>
          </w:tblCellMar>
        </w:tblPrEx>
        <w:trPr>
          <w:trHeight w:val="473" w:hRule="exact"/>
        </w:trPr>
        <w:tc>
          <w:tcPr>
            <w:tcW w:w="1304" w:type="dxa"/>
            <w:gridSpan w:val="2"/>
            <w:tcBorders>
              <w:top w:val="single" w:color="000000" w:sz="4" w:space="0"/>
              <w:left w:val="single" w:color="000000" w:sz="4" w:space="0"/>
              <w:bottom w:val="single" w:color="000000" w:sz="4" w:space="0"/>
              <w:right w:val="single" w:color="000000" w:sz="4" w:space="0"/>
            </w:tcBorders>
            <w:vAlign w:val="center"/>
          </w:tcPr>
          <w:p>
            <w:pPr>
              <w:pStyle w:val="280"/>
              <w:ind w:right="43"/>
              <w:jc w:val="center"/>
              <w:rPr>
                <w:rFonts w:ascii="宋体" w:hAnsi="宋体" w:cs="宋体"/>
                <w:sz w:val="21"/>
                <w:szCs w:val="21"/>
              </w:rPr>
            </w:pPr>
            <w:r>
              <w:rPr>
                <w:rFonts w:ascii="Arial"/>
                <w:sz w:val="21"/>
              </w:rPr>
              <w:t>子目编码</w:t>
            </w:r>
          </w:p>
        </w:tc>
        <w:tc>
          <w:tcPr>
            <w:tcW w:w="1133" w:type="dxa"/>
            <w:gridSpan w:val="2"/>
            <w:tcBorders>
              <w:top w:val="single" w:color="000000" w:sz="4" w:space="0"/>
              <w:left w:val="single" w:color="000000" w:sz="4" w:space="0"/>
              <w:bottom w:val="single" w:color="000000" w:sz="4" w:space="0"/>
              <w:right w:val="single" w:color="000000" w:sz="4" w:space="0"/>
            </w:tcBorders>
            <w:vAlign w:val="center"/>
          </w:tcPr>
          <w:p>
            <w:pPr>
              <w:jc w:val="center"/>
              <w:rPr>
                <w:sz w:val="22"/>
              </w:rPr>
            </w:pPr>
          </w:p>
        </w:tc>
        <w:tc>
          <w:tcPr>
            <w:tcW w:w="1560" w:type="dxa"/>
            <w:gridSpan w:val="4"/>
            <w:tcBorders>
              <w:top w:val="single" w:color="000000" w:sz="4" w:space="0"/>
              <w:left w:val="single" w:color="000000" w:sz="4" w:space="0"/>
              <w:bottom w:val="single" w:color="000000" w:sz="4" w:space="0"/>
              <w:right w:val="single" w:color="000000" w:sz="4" w:space="0"/>
            </w:tcBorders>
            <w:vAlign w:val="center"/>
          </w:tcPr>
          <w:p>
            <w:pPr>
              <w:pStyle w:val="280"/>
              <w:ind w:right="43"/>
              <w:jc w:val="center"/>
              <w:rPr>
                <w:rFonts w:ascii="宋体" w:hAnsi="宋体" w:cs="宋体"/>
                <w:sz w:val="21"/>
                <w:szCs w:val="21"/>
              </w:rPr>
            </w:pPr>
            <w:r>
              <w:rPr>
                <w:rFonts w:ascii="Arial"/>
                <w:sz w:val="21"/>
              </w:rPr>
              <w:t>子目名称</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sz w:val="22"/>
              </w:rPr>
            </w:pPr>
          </w:p>
        </w:tc>
        <w:tc>
          <w:tcPr>
            <w:tcW w:w="1718" w:type="dxa"/>
            <w:gridSpan w:val="3"/>
            <w:tcBorders>
              <w:top w:val="single" w:color="000000" w:sz="4" w:space="0"/>
              <w:left w:val="single" w:color="000000" w:sz="4" w:space="0"/>
              <w:bottom w:val="single" w:color="000000" w:sz="4" w:space="0"/>
              <w:right w:val="single" w:color="000000" w:sz="4" w:space="0"/>
            </w:tcBorders>
            <w:vAlign w:val="center"/>
          </w:tcPr>
          <w:p>
            <w:pPr>
              <w:pStyle w:val="280"/>
              <w:ind w:right="43"/>
              <w:jc w:val="center"/>
              <w:rPr>
                <w:rFonts w:ascii="宋体" w:hAnsi="宋体" w:cs="宋体"/>
                <w:sz w:val="21"/>
                <w:szCs w:val="21"/>
              </w:rPr>
            </w:pPr>
            <w:r>
              <w:rPr>
                <w:rFonts w:ascii="Arial"/>
                <w:sz w:val="21"/>
              </w:rPr>
              <w:t>计量单位</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sz w:val="22"/>
              </w:rPr>
            </w:pPr>
          </w:p>
        </w:tc>
        <w:tc>
          <w:tcPr>
            <w:tcW w:w="1690" w:type="dxa"/>
            <w:gridSpan w:val="3"/>
            <w:tcBorders>
              <w:top w:val="single" w:color="000000" w:sz="4" w:space="0"/>
              <w:left w:val="single" w:color="000000" w:sz="4" w:space="0"/>
              <w:bottom w:val="single" w:color="000000" w:sz="4" w:space="0"/>
              <w:right w:val="single" w:color="000000" w:sz="4" w:space="0"/>
            </w:tcBorders>
            <w:vAlign w:val="center"/>
          </w:tcPr>
          <w:p>
            <w:pPr>
              <w:pStyle w:val="280"/>
              <w:ind w:right="43"/>
              <w:jc w:val="center"/>
              <w:rPr>
                <w:rFonts w:ascii="宋体" w:hAnsi="宋体" w:cs="宋体"/>
                <w:sz w:val="21"/>
                <w:szCs w:val="21"/>
              </w:rPr>
            </w:pPr>
            <w:r>
              <w:rPr>
                <w:rFonts w:ascii="Arial"/>
                <w:sz w:val="21"/>
              </w:rPr>
              <w:t>工程量</w:t>
            </w:r>
          </w:p>
        </w:tc>
        <w:tc>
          <w:tcPr>
            <w:tcW w:w="4972" w:type="dxa"/>
            <w:gridSpan w:val="8"/>
            <w:tcBorders>
              <w:top w:val="single" w:color="000000" w:sz="4" w:space="0"/>
              <w:left w:val="single" w:color="000000" w:sz="4" w:space="0"/>
              <w:bottom w:val="single" w:color="000000" w:sz="4" w:space="0"/>
              <w:right w:val="single" w:color="000000" w:sz="4" w:space="0"/>
            </w:tcBorders>
            <w:vAlign w:val="center"/>
          </w:tcPr>
          <w:p>
            <w:pPr>
              <w:jc w:val="center"/>
              <w:rPr>
                <w:sz w:val="22"/>
              </w:rPr>
            </w:pPr>
          </w:p>
        </w:tc>
      </w:tr>
      <w:tr>
        <w:tblPrEx>
          <w:tblCellMar>
            <w:top w:w="0" w:type="dxa"/>
            <w:left w:w="0" w:type="dxa"/>
            <w:bottom w:w="0" w:type="dxa"/>
            <w:right w:w="0" w:type="dxa"/>
          </w:tblCellMar>
        </w:tblPrEx>
        <w:trPr>
          <w:trHeight w:val="438" w:hRule="exact"/>
        </w:trPr>
        <w:tc>
          <w:tcPr>
            <w:tcW w:w="13795" w:type="dxa"/>
            <w:gridSpan w:val="25"/>
            <w:tcBorders>
              <w:top w:val="single" w:color="000000" w:sz="4" w:space="0"/>
              <w:left w:val="single" w:color="000000" w:sz="4" w:space="0"/>
              <w:bottom w:val="single" w:color="000000" w:sz="4" w:space="0"/>
              <w:right w:val="single" w:color="000000" w:sz="4" w:space="0"/>
            </w:tcBorders>
            <w:vAlign w:val="center"/>
          </w:tcPr>
          <w:p>
            <w:pPr>
              <w:pStyle w:val="280"/>
              <w:ind w:right="43"/>
              <w:jc w:val="center"/>
              <w:rPr>
                <w:rFonts w:ascii="宋体" w:hAnsi="宋体" w:cs="宋体"/>
                <w:sz w:val="21"/>
                <w:szCs w:val="21"/>
                <w:lang w:eastAsia="zh-CN"/>
              </w:rPr>
            </w:pPr>
            <w:r>
              <w:rPr>
                <w:rFonts w:hint="eastAsia" w:ascii="宋体" w:hAnsi="宋体" w:cs="宋体"/>
                <w:sz w:val="21"/>
                <w:szCs w:val="21"/>
                <w:lang w:eastAsia="zh-CN"/>
              </w:rPr>
              <w:t>清单</w:t>
            </w:r>
            <w:r>
              <w:rPr>
                <w:rFonts w:ascii="Arial"/>
                <w:sz w:val="21"/>
                <w:lang w:eastAsia="zh-CN"/>
              </w:rPr>
              <w:t>综合</w:t>
            </w:r>
            <w:r>
              <w:rPr>
                <w:rFonts w:ascii="宋体" w:hAnsi="宋体" w:cs="宋体"/>
                <w:sz w:val="21"/>
                <w:szCs w:val="21"/>
                <w:lang w:eastAsia="zh-CN"/>
              </w:rPr>
              <w:t>单价组成明细</w:t>
            </w:r>
          </w:p>
        </w:tc>
      </w:tr>
      <w:tr>
        <w:tblPrEx>
          <w:tblCellMar>
            <w:top w:w="0" w:type="dxa"/>
            <w:left w:w="0" w:type="dxa"/>
            <w:bottom w:w="0" w:type="dxa"/>
            <w:right w:w="0" w:type="dxa"/>
          </w:tblCellMar>
        </w:tblPrEx>
        <w:trPr>
          <w:trHeight w:val="287" w:hRule="exact"/>
        </w:trPr>
        <w:tc>
          <w:tcPr>
            <w:tcW w:w="3433" w:type="dxa"/>
            <w:gridSpan w:val="7"/>
            <w:tcBorders>
              <w:top w:val="single" w:color="auto" w:sz="4" w:space="0"/>
              <w:left w:val="single" w:color="auto" w:sz="4" w:space="0"/>
              <w:bottom w:val="single" w:color="auto" w:sz="4" w:space="0"/>
              <w:right w:val="single" w:color="auto" w:sz="4" w:space="0"/>
            </w:tcBorders>
            <w:vAlign w:val="center"/>
          </w:tcPr>
          <w:p>
            <w:pPr>
              <w:pStyle w:val="280"/>
              <w:ind w:right="43"/>
              <w:jc w:val="center"/>
              <w:rPr>
                <w:rFonts w:ascii="宋体" w:hAnsi="宋体" w:cs="宋体"/>
                <w:sz w:val="21"/>
                <w:szCs w:val="21"/>
                <w:lang w:eastAsia="zh-CN"/>
              </w:rPr>
            </w:pPr>
            <w:r>
              <w:rPr>
                <w:rFonts w:hint="eastAsia" w:ascii="宋体" w:hAnsi="宋体" w:cs="宋体"/>
                <w:sz w:val="21"/>
                <w:szCs w:val="21"/>
                <w:lang w:eastAsia="zh-CN"/>
              </w:rPr>
              <w:t>计价依据</w:t>
            </w:r>
          </w:p>
        </w:tc>
        <w:tc>
          <w:tcPr>
            <w:tcW w:w="4828" w:type="dxa"/>
            <w:gridSpan w:val="9"/>
            <w:tcBorders>
              <w:top w:val="single" w:color="000000" w:sz="4" w:space="0"/>
              <w:left w:val="single" w:color="auto" w:sz="4" w:space="0"/>
              <w:bottom w:val="single" w:color="000000" w:sz="4" w:space="0"/>
              <w:right w:val="single" w:color="000000" w:sz="4" w:space="0"/>
            </w:tcBorders>
            <w:vAlign w:val="center"/>
          </w:tcPr>
          <w:p>
            <w:pPr>
              <w:pStyle w:val="280"/>
              <w:ind w:right="43"/>
              <w:jc w:val="center"/>
              <w:rPr>
                <w:rFonts w:ascii="宋体" w:hAnsi="宋体" w:cs="宋体"/>
                <w:sz w:val="21"/>
                <w:szCs w:val="21"/>
              </w:rPr>
            </w:pPr>
            <w:r>
              <w:rPr>
                <w:rFonts w:ascii="Arial"/>
                <w:sz w:val="21"/>
              </w:rPr>
              <w:t>单价</w:t>
            </w:r>
            <w:r>
              <w:rPr>
                <w:rFonts w:ascii="宋体" w:hAnsi="宋体" w:cs="宋体"/>
                <w:sz w:val="21"/>
                <w:szCs w:val="21"/>
              </w:rPr>
              <w:t>（元）</w:t>
            </w:r>
          </w:p>
        </w:tc>
        <w:tc>
          <w:tcPr>
            <w:tcW w:w="5534" w:type="dxa"/>
            <w:gridSpan w:val="9"/>
            <w:tcBorders>
              <w:top w:val="single" w:color="000000" w:sz="4" w:space="0"/>
              <w:left w:val="single" w:color="000000" w:sz="4" w:space="0"/>
              <w:bottom w:val="single" w:color="000000" w:sz="4" w:space="0"/>
              <w:right w:val="single" w:color="000000" w:sz="4" w:space="0"/>
            </w:tcBorders>
            <w:vAlign w:val="center"/>
          </w:tcPr>
          <w:p>
            <w:pPr>
              <w:pStyle w:val="280"/>
              <w:ind w:right="43"/>
              <w:jc w:val="center"/>
              <w:rPr>
                <w:rFonts w:ascii="宋体" w:hAnsi="宋体" w:cs="宋体"/>
                <w:sz w:val="21"/>
                <w:szCs w:val="21"/>
              </w:rPr>
            </w:pPr>
            <w:r>
              <w:rPr>
                <w:rFonts w:ascii="宋体" w:hAnsi="宋体" w:cs="宋体"/>
                <w:sz w:val="21"/>
                <w:szCs w:val="21"/>
              </w:rPr>
              <w:t>合价（元）</w:t>
            </w:r>
          </w:p>
        </w:tc>
      </w:tr>
      <w:tr>
        <w:tblPrEx>
          <w:tblCellMar>
            <w:top w:w="0" w:type="dxa"/>
            <w:left w:w="0" w:type="dxa"/>
            <w:bottom w:w="0" w:type="dxa"/>
            <w:right w:w="0" w:type="dxa"/>
          </w:tblCellMar>
        </w:tblPrEx>
        <w:trPr>
          <w:trHeight w:val="306" w:hRule="exact"/>
        </w:trPr>
        <w:tc>
          <w:tcPr>
            <w:tcW w:w="755" w:type="dxa"/>
            <w:vMerge w:val="restart"/>
            <w:tcBorders>
              <w:top w:val="single" w:color="auto" w:sz="4" w:space="0"/>
              <w:left w:val="single" w:color="auto" w:sz="4" w:space="0"/>
              <w:right w:val="single" w:color="auto" w:sz="4" w:space="0"/>
            </w:tcBorders>
            <w:vAlign w:val="center"/>
          </w:tcPr>
          <w:p>
            <w:pPr>
              <w:pStyle w:val="280"/>
              <w:ind w:right="43"/>
              <w:jc w:val="center"/>
            </w:pPr>
            <w:r>
              <w:rPr>
                <w:rFonts w:hint="eastAsia" w:ascii="Arial"/>
                <w:sz w:val="21"/>
              </w:rPr>
              <w:t>子目</w:t>
            </w:r>
          </w:p>
          <w:p>
            <w:pPr>
              <w:pStyle w:val="280"/>
              <w:ind w:right="43"/>
              <w:jc w:val="center"/>
            </w:pPr>
            <w:r>
              <w:rPr>
                <w:rFonts w:hint="eastAsia" w:ascii="Arial"/>
                <w:sz w:val="21"/>
              </w:rPr>
              <w:t>编号</w:t>
            </w:r>
          </w:p>
        </w:tc>
        <w:tc>
          <w:tcPr>
            <w:tcW w:w="849" w:type="dxa"/>
            <w:gridSpan w:val="2"/>
            <w:vMerge w:val="restart"/>
            <w:tcBorders>
              <w:top w:val="single" w:color="auto" w:sz="4" w:space="0"/>
              <w:left w:val="single" w:color="auto" w:sz="4" w:space="0"/>
              <w:right w:val="single" w:color="auto" w:sz="4" w:space="0"/>
            </w:tcBorders>
            <w:vAlign w:val="center"/>
          </w:tcPr>
          <w:p>
            <w:pPr>
              <w:pStyle w:val="280"/>
              <w:ind w:right="43"/>
              <w:jc w:val="center"/>
            </w:pPr>
            <w:r>
              <w:rPr>
                <w:rFonts w:hint="eastAsia"/>
              </w:rPr>
              <w:t>子目</w:t>
            </w:r>
          </w:p>
          <w:p>
            <w:pPr>
              <w:pStyle w:val="280"/>
              <w:ind w:right="43"/>
              <w:jc w:val="center"/>
            </w:pPr>
            <w:r>
              <w:rPr>
                <w:rFonts w:hint="eastAsia"/>
              </w:rPr>
              <w:t>名称</w:t>
            </w:r>
          </w:p>
        </w:tc>
        <w:tc>
          <w:tcPr>
            <w:tcW w:w="970" w:type="dxa"/>
            <w:gridSpan w:val="2"/>
            <w:vMerge w:val="restart"/>
            <w:tcBorders>
              <w:top w:val="single" w:color="auto" w:sz="4" w:space="0"/>
              <w:left w:val="single" w:color="auto" w:sz="4" w:space="0"/>
              <w:right w:val="single" w:color="auto" w:sz="4" w:space="0"/>
            </w:tcBorders>
            <w:vAlign w:val="center"/>
          </w:tcPr>
          <w:p>
            <w:pPr>
              <w:pStyle w:val="280"/>
              <w:ind w:right="43"/>
              <w:jc w:val="center"/>
            </w:pPr>
            <w:r>
              <w:rPr>
                <w:rFonts w:hint="eastAsia"/>
              </w:rPr>
              <w:t>单位</w:t>
            </w:r>
          </w:p>
        </w:tc>
        <w:tc>
          <w:tcPr>
            <w:tcW w:w="859" w:type="dxa"/>
            <w:gridSpan w:val="2"/>
            <w:vMerge w:val="restart"/>
            <w:tcBorders>
              <w:top w:val="single" w:color="auto" w:sz="4" w:space="0"/>
              <w:left w:val="single" w:color="auto" w:sz="4" w:space="0"/>
              <w:right w:val="single" w:color="auto" w:sz="4" w:space="0"/>
            </w:tcBorders>
            <w:vAlign w:val="center"/>
          </w:tcPr>
          <w:p>
            <w:pPr>
              <w:pStyle w:val="280"/>
              <w:ind w:right="43"/>
              <w:jc w:val="center"/>
            </w:pPr>
            <w:r>
              <w:rPr>
                <w:rFonts w:hint="eastAsia"/>
              </w:rPr>
              <w:t>数量</w:t>
            </w:r>
          </w:p>
        </w:tc>
        <w:tc>
          <w:tcPr>
            <w:tcW w:w="713" w:type="dxa"/>
            <w:gridSpan w:val="2"/>
            <w:vMerge w:val="restart"/>
            <w:tcBorders>
              <w:top w:val="single" w:color="000000" w:sz="4" w:space="0"/>
              <w:left w:val="single" w:color="auto" w:sz="4" w:space="0"/>
              <w:right w:val="single" w:color="000000" w:sz="4" w:space="0"/>
            </w:tcBorders>
            <w:vAlign w:val="center"/>
          </w:tcPr>
          <w:p>
            <w:pPr>
              <w:pStyle w:val="280"/>
              <w:ind w:right="43"/>
              <w:jc w:val="center"/>
              <w:rPr>
                <w:rFonts w:ascii="宋体" w:hAnsi="宋体" w:cs="宋体"/>
                <w:sz w:val="21"/>
                <w:szCs w:val="21"/>
              </w:rPr>
            </w:pPr>
            <w:r>
              <w:rPr>
                <w:rFonts w:ascii="宋体" w:hAnsi="宋体" w:cs="宋体"/>
                <w:sz w:val="21"/>
                <w:szCs w:val="21"/>
              </w:rPr>
              <w:t>人工</w:t>
            </w:r>
            <w:r>
              <w:rPr>
                <w:rFonts w:ascii="宋体" w:hAnsi="宋体" w:cs="宋体"/>
                <w:spacing w:val="-103"/>
                <w:sz w:val="21"/>
                <w:szCs w:val="21"/>
              </w:rPr>
              <w:t xml:space="preserve"> </w:t>
            </w:r>
            <w:r>
              <w:rPr>
                <w:rFonts w:ascii="宋体" w:hAnsi="宋体" w:cs="宋体"/>
                <w:sz w:val="21"/>
                <w:szCs w:val="21"/>
              </w:rPr>
              <w:t>费</w:t>
            </w:r>
          </w:p>
        </w:tc>
        <w:tc>
          <w:tcPr>
            <w:tcW w:w="1559" w:type="dxa"/>
            <w:gridSpan w:val="3"/>
            <w:tcBorders>
              <w:top w:val="single" w:color="000000" w:sz="4" w:space="0"/>
              <w:left w:val="single" w:color="000000" w:sz="4" w:space="0"/>
              <w:bottom w:val="single" w:color="auto" w:sz="4" w:space="0"/>
              <w:right w:val="single" w:color="auto" w:sz="4" w:space="0"/>
            </w:tcBorders>
            <w:vAlign w:val="center"/>
          </w:tcPr>
          <w:p>
            <w:pPr>
              <w:pStyle w:val="280"/>
              <w:ind w:right="43"/>
              <w:jc w:val="center"/>
              <w:rPr>
                <w:rFonts w:ascii="宋体" w:hAnsi="宋体" w:cs="宋体"/>
                <w:sz w:val="21"/>
                <w:szCs w:val="21"/>
                <w:lang w:eastAsia="zh-CN"/>
              </w:rPr>
            </w:pPr>
            <w:r>
              <w:rPr>
                <w:rFonts w:hint="eastAsia" w:ascii="宋体" w:hAnsi="宋体" w:cs="宋体"/>
                <w:sz w:val="21"/>
                <w:szCs w:val="21"/>
                <w:lang w:eastAsia="zh-CN"/>
              </w:rPr>
              <w:t>材料费</w:t>
            </w:r>
          </w:p>
          <w:p>
            <w:pPr>
              <w:pStyle w:val="280"/>
              <w:spacing w:before="10"/>
              <w:jc w:val="center"/>
              <w:rPr>
                <w:rFonts w:ascii="宋体" w:hAnsi="宋体" w:cs="宋体"/>
                <w:sz w:val="21"/>
                <w:szCs w:val="21"/>
                <w:lang w:eastAsia="zh-CN"/>
              </w:rPr>
            </w:pPr>
            <w:r>
              <w:rPr>
                <w:rFonts w:ascii="宋体" w:hAnsi="宋体" w:cs="宋体"/>
                <w:sz w:val="21"/>
                <w:szCs w:val="21"/>
                <w:lang w:eastAsia="zh-CN"/>
              </w:rPr>
              <w:t>材料费</w:t>
            </w:r>
          </w:p>
        </w:tc>
        <w:tc>
          <w:tcPr>
            <w:tcW w:w="719" w:type="dxa"/>
            <w:vMerge w:val="restart"/>
            <w:tcBorders>
              <w:top w:val="single" w:color="000000" w:sz="4" w:space="0"/>
              <w:left w:val="single" w:color="auto" w:sz="4" w:space="0"/>
              <w:right w:val="single" w:color="000000" w:sz="4" w:space="0"/>
            </w:tcBorders>
            <w:vAlign w:val="center"/>
          </w:tcPr>
          <w:p>
            <w:pPr>
              <w:pStyle w:val="280"/>
              <w:ind w:right="43"/>
              <w:jc w:val="center"/>
              <w:rPr>
                <w:rFonts w:ascii="宋体" w:hAnsi="宋体" w:cs="宋体"/>
                <w:sz w:val="21"/>
                <w:szCs w:val="21"/>
              </w:rPr>
            </w:pPr>
            <w:r>
              <w:rPr>
                <w:rFonts w:ascii="Arial"/>
                <w:sz w:val="21"/>
              </w:rPr>
              <w:t>机械费</w:t>
            </w:r>
          </w:p>
        </w:tc>
        <w:tc>
          <w:tcPr>
            <w:tcW w:w="709" w:type="dxa"/>
            <w:vMerge w:val="restart"/>
            <w:tcBorders>
              <w:top w:val="single" w:color="000000" w:sz="4" w:space="0"/>
              <w:left w:val="single" w:color="000000" w:sz="4" w:space="0"/>
              <w:right w:val="single" w:color="000000" w:sz="4" w:space="0"/>
            </w:tcBorders>
            <w:vAlign w:val="center"/>
          </w:tcPr>
          <w:p>
            <w:pPr>
              <w:pStyle w:val="280"/>
              <w:ind w:right="43"/>
              <w:jc w:val="center"/>
              <w:rPr>
                <w:rFonts w:ascii="宋体" w:hAnsi="宋体" w:cs="宋体"/>
                <w:sz w:val="21"/>
                <w:szCs w:val="21"/>
              </w:rPr>
            </w:pPr>
            <w:r>
              <w:rPr>
                <w:rFonts w:ascii="Arial"/>
                <w:sz w:val="21"/>
              </w:rPr>
              <w:t>企业管</w:t>
            </w:r>
            <w:r>
              <w:rPr>
                <w:rFonts w:ascii="宋体" w:hAnsi="宋体" w:cs="宋体"/>
                <w:spacing w:val="-102"/>
                <w:sz w:val="21"/>
                <w:szCs w:val="21"/>
              </w:rPr>
              <w:t xml:space="preserve"> </w:t>
            </w:r>
            <w:r>
              <w:rPr>
                <w:rFonts w:ascii="宋体" w:hAnsi="宋体" w:cs="宋体"/>
                <w:sz w:val="21"/>
                <w:szCs w:val="21"/>
              </w:rPr>
              <w:t>理费</w:t>
            </w:r>
          </w:p>
        </w:tc>
        <w:tc>
          <w:tcPr>
            <w:tcW w:w="557" w:type="dxa"/>
            <w:vMerge w:val="restart"/>
            <w:tcBorders>
              <w:top w:val="single" w:color="000000" w:sz="4" w:space="0"/>
              <w:left w:val="single" w:color="000000" w:sz="4" w:space="0"/>
              <w:right w:val="single" w:color="000000" w:sz="4" w:space="0"/>
            </w:tcBorders>
            <w:vAlign w:val="center"/>
          </w:tcPr>
          <w:p>
            <w:pPr>
              <w:pStyle w:val="280"/>
              <w:ind w:right="43"/>
              <w:jc w:val="center"/>
              <w:rPr>
                <w:rFonts w:ascii="宋体" w:hAnsi="宋体" w:cs="宋体"/>
                <w:sz w:val="21"/>
                <w:szCs w:val="21"/>
              </w:rPr>
            </w:pPr>
            <w:r>
              <w:rPr>
                <w:rFonts w:ascii="Arial"/>
                <w:sz w:val="21"/>
              </w:rPr>
              <w:t>利润</w:t>
            </w:r>
          </w:p>
        </w:tc>
        <w:tc>
          <w:tcPr>
            <w:tcW w:w="571" w:type="dxa"/>
            <w:vMerge w:val="restart"/>
            <w:tcBorders>
              <w:top w:val="single" w:color="000000" w:sz="4" w:space="0"/>
              <w:left w:val="single" w:color="000000" w:sz="4" w:space="0"/>
              <w:right w:val="single" w:color="000000" w:sz="4" w:space="0"/>
            </w:tcBorders>
            <w:vAlign w:val="center"/>
          </w:tcPr>
          <w:p>
            <w:pPr>
              <w:pStyle w:val="280"/>
              <w:ind w:right="43"/>
              <w:jc w:val="center"/>
              <w:rPr>
                <w:rFonts w:ascii="宋体" w:hAnsi="宋体" w:cs="宋体"/>
                <w:sz w:val="21"/>
                <w:szCs w:val="21"/>
              </w:rPr>
            </w:pPr>
            <w:r>
              <w:rPr>
                <w:rFonts w:ascii="Arial"/>
                <w:sz w:val="21"/>
              </w:rPr>
              <w:t>规费</w:t>
            </w:r>
          </w:p>
        </w:tc>
        <w:tc>
          <w:tcPr>
            <w:tcW w:w="856" w:type="dxa"/>
            <w:gridSpan w:val="3"/>
            <w:vMerge w:val="restart"/>
            <w:tcBorders>
              <w:top w:val="single" w:color="000000" w:sz="4" w:space="0"/>
              <w:left w:val="single" w:color="000000" w:sz="4" w:space="0"/>
              <w:right w:val="single" w:color="000000" w:sz="4" w:space="0"/>
            </w:tcBorders>
            <w:vAlign w:val="center"/>
          </w:tcPr>
          <w:p>
            <w:pPr>
              <w:pStyle w:val="280"/>
              <w:ind w:right="43"/>
              <w:jc w:val="center"/>
              <w:rPr>
                <w:rFonts w:ascii="宋体" w:hAnsi="宋体" w:cs="宋体"/>
                <w:sz w:val="21"/>
                <w:szCs w:val="21"/>
              </w:rPr>
            </w:pPr>
            <w:r>
              <w:rPr>
                <w:rFonts w:ascii="Arial"/>
                <w:sz w:val="21"/>
              </w:rPr>
              <w:t>人工费</w:t>
            </w:r>
          </w:p>
        </w:tc>
        <w:tc>
          <w:tcPr>
            <w:tcW w:w="1559" w:type="dxa"/>
            <w:gridSpan w:val="2"/>
            <w:tcBorders>
              <w:top w:val="single" w:color="000000" w:sz="4" w:space="0"/>
              <w:left w:val="single" w:color="000000" w:sz="4" w:space="0"/>
              <w:bottom w:val="single" w:color="auto" w:sz="4" w:space="0"/>
              <w:right w:val="single" w:color="auto" w:sz="4" w:space="0"/>
            </w:tcBorders>
            <w:vAlign w:val="center"/>
          </w:tcPr>
          <w:p>
            <w:pPr>
              <w:pStyle w:val="280"/>
              <w:ind w:right="43"/>
              <w:jc w:val="center"/>
              <w:rPr>
                <w:rFonts w:ascii="宋体" w:hAnsi="宋体" w:cs="宋体"/>
                <w:sz w:val="21"/>
                <w:szCs w:val="21"/>
                <w:lang w:eastAsia="zh-CN"/>
              </w:rPr>
            </w:pPr>
            <w:r>
              <w:rPr>
                <w:rFonts w:hint="eastAsia" w:ascii="Arial"/>
                <w:sz w:val="21"/>
              </w:rPr>
              <w:t>材料</w:t>
            </w:r>
            <w:r>
              <w:rPr>
                <w:rFonts w:hint="eastAsia" w:ascii="宋体" w:hAnsi="宋体" w:cs="宋体"/>
                <w:sz w:val="21"/>
                <w:szCs w:val="21"/>
                <w:lang w:eastAsia="zh-CN"/>
              </w:rPr>
              <w:t>费</w:t>
            </w:r>
          </w:p>
          <w:p>
            <w:pPr>
              <w:pStyle w:val="280"/>
              <w:ind w:left="103"/>
              <w:jc w:val="center"/>
              <w:rPr>
                <w:rFonts w:ascii="宋体" w:hAnsi="宋体" w:cs="宋体"/>
                <w:sz w:val="21"/>
                <w:szCs w:val="21"/>
                <w:lang w:eastAsia="zh-CN"/>
              </w:rPr>
            </w:pPr>
            <w:r>
              <w:rPr>
                <w:rFonts w:ascii="宋体" w:hAnsi="宋体" w:cs="宋体"/>
                <w:sz w:val="21"/>
                <w:szCs w:val="21"/>
                <w:lang w:eastAsia="zh-CN"/>
              </w:rPr>
              <w:t>材料费</w:t>
            </w:r>
          </w:p>
        </w:tc>
        <w:tc>
          <w:tcPr>
            <w:tcW w:w="709" w:type="dxa"/>
            <w:vMerge w:val="restart"/>
            <w:tcBorders>
              <w:top w:val="single" w:color="000000" w:sz="4" w:space="0"/>
              <w:left w:val="single" w:color="auto" w:sz="4" w:space="0"/>
              <w:right w:val="single" w:color="000000" w:sz="4" w:space="0"/>
            </w:tcBorders>
            <w:vAlign w:val="center"/>
          </w:tcPr>
          <w:p>
            <w:pPr>
              <w:pStyle w:val="280"/>
              <w:spacing w:before="10"/>
              <w:rPr>
                <w:rFonts w:ascii="宋体" w:hAnsi="宋体" w:cs="宋体"/>
                <w:sz w:val="21"/>
                <w:szCs w:val="21"/>
              </w:rPr>
            </w:pPr>
          </w:p>
          <w:p>
            <w:pPr>
              <w:pStyle w:val="280"/>
              <w:ind w:right="43"/>
              <w:jc w:val="center"/>
              <w:rPr>
                <w:rFonts w:ascii="宋体" w:hAnsi="宋体" w:cs="宋体"/>
                <w:sz w:val="21"/>
                <w:szCs w:val="21"/>
              </w:rPr>
            </w:pPr>
            <w:r>
              <w:rPr>
                <w:rFonts w:ascii="Arial"/>
                <w:sz w:val="21"/>
              </w:rPr>
              <w:t>机械费</w:t>
            </w:r>
          </w:p>
        </w:tc>
        <w:tc>
          <w:tcPr>
            <w:tcW w:w="709" w:type="dxa"/>
            <w:vMerge w:val="restart"/>
            <w:tcBorders>
              <w:top w:val="single" w:color="000000" w:sz="4" w:space="0"/>
              <w:left w:val="single" w:color="000000" w:sz="4" w:space="0"/>
              <w:right w:val="single" w:color="000000" w:sz="4" w:space="0"/>
            </w:tcBorders>
            <w:vAlign w:val="center"/>
          </w:tcPr>
          <w:p>
            <w:pPr>
              <w:pStyle w:val="280"/>
              <w:ind w:right="43"/>
              <w:jc w:val="center"/>
              <w:rPr>
                <w:rFonts w:ascii="宋体" w:hAnsi="宋体" w:cs="宋体"/>
                <w:sz w:val="21"/>
                <w:szCs w:val="21"/>
              </w:rPr>
            </w:pPr>
            <w:r>
              <w:rPr>
                <w:rFonts w:ascii="Arial"/>
                <w:sz w:val="21"/>
              </w:rPr>
              <w:t>企业管</w:t>
            </w:r>
            <w:r>
              <w:rPr>
                <w:rFonts w:ascii="宋体" w:hAnsi="宋体" w:cs="宋体"/>
                <w:spacing w:val="-102"/>
                <w:sz w:val="21"/>
                <w:szCs w:val="21"/>
              </w:rPr>
              <w:t xml:space="preserve"> </w:t>
            </w:r>
            <w:r>
              <w:rPr>
                <w:rFonts w:ascii="宋体" w:hAnsi="宋体" w:cs="宋体"/>
                <w:sz w:val="21"/>
                <w:szCs w:val="21"/>
              </w:rPr>
              <w:t>理费</w:t>
            </w:r>
          </w:p>
        </w:tc>
        <w:tc>
          <w:tcPr>
            <w:tcW w:w="709" w:type="dxa"/>
            <w:vMerge w:val="restart"/>
            <w:tcBorders>
              <w:top w:val="single" w:color="000000" w:sz="4" w:space="0"/>
              <w:left w:val="single" w:color="000000" w:sz="4" w:space="0"/>
              <w:right w:val="single" w:color="000000" w:sz="4" w:space="0"/>
            </w:tcBorders>
            <w:vAlign w:val="center"/>
          </w:tcPr>
          <w:p>
            <w:pPr>
              <w:pStyle w:val="280"/>
              <w:ind w:right="43"/>
              <w:jc w:val="center"/>
              <w:rPr>
                <w:rFonts w:ascii="宋体" w:hAnsi="宋体" w:cs="宋体"/>
                <w:sz w:val="21"/>
                <w:szCs w:val="21"/>
              </w:rPr>
            </w:pPr>
            <w:r>
              <w:rPr>
                <w:rFonts w:ascii="Arial"/>
                <w:sz w:val="21"/>
              </w:rPr>
              <w:t>利润</w:t>
            </w:r>
          </w:p>
        </w:tc>
        <w:tc>
          <w:tcPr>
            <w:tcW w:w="992" w:type="dxa"/>
            <w:vMerge w:val="restart"/>
            <w:tcBorders>
              <w:top w:val="single" w:color="000000" w:sz="4" w:space="0"/>
              <w:left w:val="single" w:color="000000" w:sz="4" w:space="0"/>
              <w:right w:val="single" w:color="000000" w:sz="4" w:space="0"/>
            </w:tcBorders>
            <w:vAlign w:val="center"/>
          </w:tcPr>
          <w:p>
            <w:pPr>
              <w:pStyle w:val="280"/>
              <w:ind w:right="43"/>
              <w:jc w:val="center"/>
              <w:rPr>
                <w:rFonts w:ascii="宋体" w:hAnsi="宋体" w:cs="宋体"/>
                <w:sz w:val="21"/>
                <w:szCs w:val="21"/>
              </w:rPr>
            </w:pPr>
            <w:r>
              <w:rPr>
                <w:rFonts w:ascii="Arial"/>
                <w:sz w:val="21"/>
              </w:rPr>
              <w:t>规费</w:t>
            </w:r>
          </w:p>
        </w:tc>
      </w:tr>
      <w:tr>
        <w:tblPrEx>
          <w:tblCellMar>
            <w:top w:w="0" w:type="dxa"/>
            <w:left w:w="0" w:type="dxa"/>
            <w:bottom w:w="0" w:type="dxa"/>
            <w:right w:w="0" w:type="dxa"/>
          </w:tblCellMar>
        </w:tblPrEx>
        <w:trPr>
          <w:trHeight w:val="978" w:hRule="exact"/>
        </w:trPr>
        <w:tc>
          <w:tcPr>
            <w:tcW w:w="755" w:type="dxa"/>
            <w:vMerge w:val="continue"/>
            <w:tcBorders>
              <w:left w:val="single" w:color="auto" w:sz="4" w:space="0"/>
              <w:bottom w:val="single" w:color="auto" w:sz="4" w:space="0"/>
              <w:right w:val="single" w:color="auto" w:sz="4" w:space="0"/>
            </w:tcBorders>
            <w:vAlign w:val="center"/>
          </w:tcPr>
          <w:p>
            <w:pPr>
              <w:jc w:val="center"/>
              <w:rPr>
                <w:sz w:val="22"/>
              </w:rPr>
            </w:pPr>
          </w:p>
        </w:tc>
        <w:tc>
          <w:tcPr>
            <w:tcW w:w="849" w:type="dxa"/>
            <w:gridSpan w:val="2"/>
            <w:vMerge w:val="continue"/>
            <w:tcBorders>
              <w:left w:val="single" w:color="auto" w:sz="4" w:space="0"/>
              <w:bottom w:val="single" w:color="auto" w:sz="4" w:space="0"/>
              <w:right w:val="single" w:color="auto" w:sz="4" w:space="0"/>
            </w:tcBorders>
            <w:vAlign w:val="center"/>
          </w:tcPr>
          <w:p>
            <w:pPr>
              <w:jc w:val="center"/>
              <w:rPr>
                <w:sz w:val="22"/>
              </w:rPr>
            </w:pPr>
          </w:p>
        </w:tc>
        <w:tc>
          <w:tcPr>
            <w:tcW w:w="970" w:type="dxa"/>
            <w:gridSpan w:val="2"/>
            <w:vMerge w:val="continue"/>
            <w:tcBorders>
              <w:left w:val="single" w:color="auto" w:sz="4" w:space="0"/>
              <w:bottom w:val="single" w:color="auto" w:sz="4" w:space="0"/>
              <w:right w:val="single" w:color="auto" w:sz="4" w:space="0"/>
            </w:tcBorders>
            <w:vAlign w:val="center"/>
          </w:tcPr>
          <w:p>
            <w:pPr>
              <w:jc w:val="center"/>
              <w:rPr>
                <w:sz w:val="22"/>
              </w:rPr>
            </w:pPr>
          </w:p>
        </w:tc>
        <w:tc>
          <w:tcPr>
            <w:tcW w:w="859" w:type="dxa"/>
            <w:gridSpan w:val="2"/>
            <w:vMerge w:val="continue"/>
            <w:tcBorders>
              <w:left w:val="single" w:color="auto" w:sz="4" w:space="0"/>
              <w:bottom w:val="single" w:color="auto" w:sz="4" w:space="0"/>
              <w:right w:val="single" w:color="auto" w:sz="4" w:space="0"/>
            </w:tcBorders>
            <w:vAlign w:val="center"/>
          </w:tcPr>
          <w:p>
            <w:pPr>
              <w:jc w:val="center"/>
              <w:rPr>
                <w:sz w:val="22"/>
              </w:rPr>
            </w:pPr>
          </w:p>
        </w:tc>
        <w:tc>
          <w:tcPr>
            <w:tcW w:w="713" w:type="dxa"/>
            <w:gridSpan w:val="2"/>
            <w:vMerge w:val="continue"/>
            <w:tcBorders>
              <w:left w:val="single" w:color="auto" w:sz="4" w:space="0"/>
              <w:bottom w:val="single" w:color="000000" w:sz="4" w:space="0"/>
              <w:right w:val="single" w:color="000000" w:sz="4" w:space="0"/>
            </w:tcBorders>
            <w:vAlign w:val="center"/>
          </w:tcPr>
          <w:p>
            <w:pPr>
              <w:pStyle w:val="280"/>
              <w:spacing w:before="148"/>
              <w:ind w:left="239" w:right="137" w:hanging="104"/>
              <w:rPr>
                <w:rFonts w:ascii="宋体" w:hAnsi="宋体" w:cs="宋体"/>
                <w:sz w:val="21"/>
                <w:szCs w:val="21"/>
              </w:rPr>
            </w:pPr>
          </w:p>
        </w:tc>
        <w:tc>
          <w:tcPr>
            <w:tcW w:w="709" w:type="dxa"/>
            <w:gridSpan w:val="2"/>
            <w:tcBorders>
              <w:top w:val="single" w:color="auto" w:sz="4" w:space="0"/>
              <w:left w:val="single" w:color="000000" w:sz="4" w:space="0"/>
              <w:bottom w:val="single" w:color="000000" w:sz="4" w:space="0"/>
              <w:right w:val="single" w:color="000000" w:sz="4" w:space="0"/>
            </w:tcBorders>
            <w:vAlign w:val="center"/>
          </w:tcPr>
          <w:p>
            <w:pPr>
              <w:pStyle w:val="280"/>
              <w:ind w:right="43"/>
              <w:jc w:val="center"/>
              <w:rPr>
                <w:rFonts w:ascii="宋体" w:hAnsi="宋体" w:cs="宋体"/>
                <w:sz w:val="21"/>
                <w:szCs w:val="21"/>
                <w:lang w:eastAsia="zh-CN"/>
              </w:rPr>
            </w:pPr>
            <w:r>
              <w:rPr>
                <w:rFonts w:hint="eastAsia" w:ascii="宋体" w:hAnsi="宋体" w:cs="宋体"/>
                <w:sz w:val="21"/>
                <w:szCs w:val="21"/>
                <w:lang w:eastAsia="zh-CN"/>
              </w:rPr>
              <w:t>材料费</w:t>
            </w:r>
          </w:p>
        </w:tc>
        <w:tc>
          <w:tcPr>
            <w:tcW w:w="850" w:type="dxa"/>
            <w:tcBorders>
              <w:top w:val="single" w:color="auto" w:sz="4" w:space="0"/>
              <w:left w:val="single" w:color="000000" w:sz="4" w:space="0"/>
              <w:bottom w:val="single" w:color="000000" w:sz="4" w:space="0"/>
              <w:right w:val="single" w:color="auto" w:sz="4" w:space="0"/>
            </w:tcBorders>
            <w:vAlign w:val="center"/>
          </w:tcPr>
          <w:p>
            <w:pPr>
              <w:pStyle w:val="280"/>
              <w:ind w:right="43"/>
              <w:jc w:val="center"/>
              <w:rPr>
                <w:rFonts w:ascii="宋体" w:hAnsi="宋体" w:cs="宋体"/>
                <w:sz w:val="21"/>
                <w:szCs w:val="21"/>
                <w:lang w:eastAsia="zh-CN"/>
              </w:rPr>
            </w:pPr>
            <w:r>
              <w:rPr>
                <w:rFonts w:hint="eastAsia" w:ascii="宋体" w:hAnsi="宋体" w:cs="宋体"/>
                <w:sz w:val="21"/>
                <w:szCs w:val="21"/>
                <w:lang w:eastAsia="zh-CN"/>
              </w:rPr>
              <w:t>其中：工程设备费</w:t>
            </w:r>
          </w:p>
        </w:tc>
        <w:tc>
          <w:tcPr>
            <w:tcW w:w="719" w:type="dxa"/>
            <w:vMerge w:val="continue"/>
            <w:tcBorders>
              <w:left w:val="single" w:color="auto" w:sz="4" w:space="0"/>
              <w:bottom w:val="single" w:color="000000" w:sz="4" w:space="0"/>
              <w:right w:val="single" w:color="000000" w:sz="4" w:space="0"/>
            </w:tcBorders>
            <w:vAlign w:val="center"/>
          </w:tcPr>
          <w:p>
            <w:pPr>
              <w:pStyle w:val="280"/>
              <w:spacing w:before="10"/>
              <w:rPr>
                <w:rFonts w:ascii="宋体" w:hAnsi="宋体" w:cs="宋体"/>
                <w:sz w:val="21"/>
                <w:szCs w:val="21"/>
              </w:rPr>
            </w:pPr>
          </w:p>
        </w:tc>
        <w:tc>
          <w:tcPr>
            <w:tcW w:w="709" w:type="dxa"/>
            <w:vMerge w:val="continue"/>
            <w:tcBorders>
              <w:left w:val="single" w:color="000000" w:sz="4" w:space="0"/>
              <w:bottom w:val="single" w:color="000000" w:sz="4" w:space="0"/>
              <w:right w:val="single" w:color="000000" w:sz="4" w:space="0"/>
            </w:tcBorders>
            <w:vAlign w:val="center"/>
          </w:tcPr>
          <w:p>
            <w:pPr>
              <w:pStyle w:val="280"/>
              <w:spacing w:before="148"/>
              <w:ind w:left="280" w:right="170" w:hanging="106"/>
              <w:rPr>
                <w:rFonts w:ascii="宋体" w:hAnsi="宋体" w:cs="宋体"/>
                <w:sz w:val="21"/>
                <w:szCs w:val="21"/>
              </w:rPr>
            </w:pPr>
          </w:p>
        </w:tc>
        <w:tc>
          <w:tcPr>
            <w:tcW w:w="557" w:type="dxa"/>
            <w:vMerge w:val="continue"/>
            <w:tcBorders>
              <w:left w:val="single" w:color="000000" w:sz="4" w:space="0"/>
              <w:bottom w:val="single" w:color="000000" w:sz="4" w:space="0"/>
              <w:right w:val="single" w:color="000000" w:sz="4" w:space="0"/>
            </w:tcBorders>
            <w:vAlign w:val="center"/>
          </w:tcPr>
          <w:p>
            <w:pPr>
              <w:pStyle w:val="280"/>
              <w:spacing w:before="10"/>
              <w:rPr>
                <w:rFonts w:ascii="宋体" w:hAnsi="宋体" w:cs="宋体"/>
                <w:sz w:val="21"/>
                <w:szCs w:val="21"/>
              </w:rPr>
            </w:pPr>
          </w:p>
        </w:tc>
        <w:tc>
          <w:tcPr>
            <w:tcW w:w="571" w:type="dxa"/>
            <w:vMerge w:val="continue"/>
            <w:tcBorders>
              <w:left w:val="single" w:color="000000" w:sz="4" w:space="0"/>
              <w:bottom w:val="single" w:color="000000" w:sz="4" w:space="0"/>
              <w:right w:val="single" w:color="000000" w:sz="4" w:space="0"/>
            </w:tcBorders>
            <w:vAlign w:val="center"/>
          </w:tcPr>
          <w:p>
            <w:pPr>
              <w:pStyle w:val="280"/>
              <w:spacing w:before="10"/>
              <w:rPr>
                <w:rFonts w:ascii="宋体" w:hAnsi="宋体" w:cs="宋体"/>
                <w:sz w:val="21"/>
                <w:szCs w:val="21"/>
              </w:rPr>
            </w:pPr>
          </w:p>
        </w:tc>
        <w:tc>
          <w:tcPr>
            <w:tcW w:w="856" w:type="dxa"/>
            <w:gridSpan w:val="3"/>
            <w:vMerge w:val="continue"/>
            <w:tcBorders>
              <w:left w:val="single" w:color="000000" w:sz="4" w:space="0"/>
              <w:bottom w:val="single" w:color="000000" w:sz="4" w:space="0"/>
              <w:right w:val="single" w:color="000000" w:sz="4" w:space="0"/>
            </w:tcBorders>
            <w:vAlign w:val="center"/>
          </w:tcPr>
          <w:p>
            <w:pPr>
              <w:pStyle w:val="280"/>
              <w:spacing w:before="10"/>
              <w:rPr>
                <w:rFonts w:ascii="宋体" w:hAnsi="宋体" w:cs="宋体"/>
                <w:sz w:val="21"/>
                <w:szCs w:val="21"/>
              </w:rPr>
            </w:pPr>
          </w:p>
        </w:tc>
        <w:tc>
          <w:tcPr>
            <w:tcW w:w="709" w:type="dxa"/>
            <w:tcBorders>
              <w:top w:val="single" w:color="auto" w:sz="4" w:space="0"/>
              <w:left w:val="single" w:color="000000" w:sz="4" w:space="0"/>
              <w:bottom w:val="single" w:color="000000" w:sz="4" w:space="0"/>
              <w:right w:val="single" w:color="000000" w:sz="4" w:space="0"/>
            </w:tcBorders>
            <w:vAlign w:val="center"/>
          </w:tcPr>
          <w:p>
            <w:pPr>
              <w:pStyle w:val="280"/>
              <w:ind w:right="43"/>
              <w:jc w:val="center"/>
              <w:rPr>
                <w:rFonts w:ascii="宋体" w:hAnsi="宋体" w:cs="宋体"/>
                <w:sz w:val="21"/>
                <w:szCs w:val="21"/>
                <w:lang w:eastAsia="zh-CN"/>
              </w:rPr>
            </w:pPr>
            <w:r>
              <w:rPr>
                <w:rFonts w:hint="eastAsia" w:ascii="宋体" w:hAnsi="宋体" w:cs="宋体"/>
                <w:sz w:val="21"/>
                <w:szCs w:val="21"/>
                <w:lang w:eastAsia="zh-CN"/>
              </w:rPr>
              <w:t>材料费</w:t>
            </w:r>
          </w:p>
        </w:tc>
        <w:tc>
          <w:tcPr>
            <w:tcW w:w="850" w:type="dxa"/>
            <w:tcBorders>
              <w:top w:val="single" w:color="auto" w:sz="4" w:space="0"/>
              <w:left w:val="single" w:color="000000" w:sz="4" w:space="0"/>
              <w:bottom w:val="single" w:color="000000" w:sz="4" w:space="0"/>
              <w:right w:val="single" w:color="auto" w:sz="4" w:space="0"/>
            </w:tcBorders>
            <w:vAlign w:val="center"/>
          </w:tcPr>
          <w:p>
            <w:pPr>
              <w:pStyle w:val="280"/>
              <w:ind w:right="43"/>
              <w:jc w:val="center"/>
              <w:rPr>
                <w:rFonts w:ascii="宋体" w:hAnsi="宋体" w:cs="宋体"/>
                <w:sz w:val="21"/>
                <w:szCs w:val="21"/>
                <w:lang w:eastAsia="zh-CN"/>
              </w:rPr>
            </w:pPr>
            <w:r>
              <w:rPr>
                <w:rFonts w:hint="eastAsia" w:ascii="宋体" w:hAnsi="宋体" w:cs="宋体"/>
                <w:sz w:val="21"/>
                <w:szCs w:val="21"/>
                <w:lang w:eastAsia="zh-CN"/>
              </w:rPr>
              <w:t>其中：工程设备费</w:t>
            </w:r>
          </w:p>
        </w:tc>
        <w:tc>
          <w:tcPr>
            <w:tcW w:w="709" w:type="dxa"/>
            <w:vMerge w:val="continue"/>
            <w:tcBorders>
              <w:left w:val="single" w:color="auto" w:sz="4" w:space="0"/>
              <w:bottom w:val="single" w:color="000000" w:sz="4" w:space="0"/>
              <w:right w:val="single" w:color="000000" w:sz="4" w:space="0"/>
            </w:tcBorders>
            <w:vAlign w:val="center"/>
          </w:tcPr>
          <w:p>
            <w:pPr>
              <w:pStyle w:val="280"/>
              <w:spacing w:before="10"/>
              <w:rPr>
                <w:rFonts w:ascii="宋体" w:hAnsi="宋体" w:cs="宋体"/>
                <w:sz w:val="21"/>
                <w:szCs w:val="21"/>
              </w:rPr>
            </w:pPr>
          </w:p>
        </w:tc>
        <w:tc>
          <w:tcPr>
            <w:tcW w:w="709" w:type="dxa"/>
            <w:vMerge w:val="continue"/>
            <w:tcBorders>
              <w:left w:val="single" w:color="000000" w:sz="4" w:space="0"/>
              <w:bottom w:val="single" w:color="000000" w:sz="4" w:space="0"/>
              <w:right w:val="single" w:color="000000" w:sz="4" w:space="0"/>
            </w:tcBorders>
            <w:vAlign w:val="center"/>
          </w:tcPr>
          <w:p>
            <w:pPr>
              <w:pStyle w:val="280"/>
              <w:spacing w:before="148"/>
              <w:ind w:left="280" w:right="171" w:hanging="106"/>
              <w:rPr>
                <w:rFonts w:ascii="宋体" w:hAnsi="宋体" w:cs="宋体"/>
                <w:sz w:val="21"/>
                <w:szCs w:val="21"/>
              </w:rPr>
            </w:pPr>
          </w:p>
        </w:tc>
        <w:tc>
          <w:tcPr>
            <w:tcW w:w="709" w:type="dxa"/>
            <w:vMerge w:val="continue"/>
            <w:tcBorders>
              <w:left w:val="single" w:color="000000" w:sz="4" w:space="0"/>
              <w:bottom w:val="single" w:color="000000" w:sz="4" w:space="0"/>
              <w:right w:val="single" w:color="000000" w:sz="4" w:space="0"/>
            </w:tcBorders>
            <w:vAlign w:val="center"/>
          </w:tcPr>
          <w:p>
            <w:pPr>
              <w:pStyle w:val="280"/>
              <w:spacing w:before="10"/>
              <w:rPr>
                <w:rFonts w:ascii="宋体" w:hAnsi="宋体" w:cs="宋体"/>
                <w:sz w:val="21"/>
                <w:szCs w:val="21"/>
              </w:rPr>
            </w:pPr>
          </w:p>
        </w:tc>
        <w:tc>
          <w:tcPr>
            <w:tcW w:w="992" w:type="dxa"/>
            <w:vMerge w:val="continue"/>
            <w:tcBorders>
              <w:left w:val="single" w:color="000000" w:sz="4" w:space="0"/>
              <w:bottom w:val="single" w:color="000000" w:sz="4" w:space="0"/>
              <w:right w:val="single" w:color="000000" w:sz="4" w:space="0"/>
            </w:tcBorders>
            <w:vAlign w:val="center"/>
          </w:tcPr>
          <w:p>
            <w:pPr>
              <w:pStyle w:val="280"/>
              <w:spacing w:before="10"/>
              <w:rPr>
                <w:rFonts w:ascii="宋体" w:hAnsi="宋体" w:cs="宋体"/>
                <w:sz w:val="21"/>
                <w:szCs w:val="21"/>
              </w:rPr>
            </w:pPr>
          </w:p>
        </w:tc>
      </w:tr>
      <w:tr>
        <w:tblPrEx>
          <w:tblCellMar>
            <w:top w:w="0" w:type="dxa"/>
            <w:left w:w="0" w:type="dxa"/>
            <w:bottom w:w="0" w:type="dxa"/>
            <w:right w:w="0" w:type="dxa"/>
          </w:tblCellMar>
        </w:tblPrEx>
        <w:trPr>
          <w:trHeight w:val="295" w:hRule="exact"/>
        </w:trPr>
        <w:tc>
          <w:tcPr>
            <w:tcW w:w="755" w:type="dxa"/>
            <w:tcBorders>
              <w:top w:val="single" w:color="auto" w:sz="4" w:space="0"/>
              <w:left w:val="single" w:color="000000" w:sz="4" w:space="0"/>
              <w:bottom w:val="single" w:color="000000" w:sz="4" w:space="0"/>
              <w:right w:val="single" w:color="000000" w:sz="4" w:space="0"/>
            </w:tcBorders>
          </w:tcPr>
          <w:p>
            <w:pPr>
              <w:rPr>
                <w:sz w:val="22"/>
              </w:rPr>
            </w:pPr>
          </w:p>
        </w:tc>
        <w:tc>
          <w:tcPr>
            <w:tcW w:w="849" w:type="dxa"/>
            <w:gridSpan w:val="2"/>
            <w:tcBorders>
              <w:top w:val="single" w:color="auto" w:sz="4" w:space="0"/>
              <w:left w:val="single" w:color="000000" w:sz="4" w:space="0"/>
              <w:bottom w:val="single" w:color="000000" w:sz="4" w:space="0"/>
              <w:right w:val="single" w:color="000000" w:sz="4" w:space="0"/>
            </w:tcBorders>
          </w:tcPr>
          <w:p>
            <w:pPr>
              <w:rPr>
                <w:sz w:val="22"/>
              </w:rPr>
            </w:pPr>
          </w:p>
        </w:tc>
        <w:tc>
          <w:tcPr>
            <w:tcW w:w="983" w:type="dxa"/>
            <w:gridSpan w:val="3"/>
            <w:tcBorders>
              <w:top w:val="single" w:color="auto" w:sz="4" w:space="0"/>
              <w:left w:val="single" w:color="000000" w:sz="4" w:space="0"/>
              <w:bottom w:val="single" w:color="000000" w:sz="4" w:space="0"/>
              <w:right w:val="single" w:color="000000" w:sz="4" w:space="0"/>
            </w:tcBorders>
          </w:tcPr>
          <w:p>
            <w:pPr>
              <w:rPr>
                <w:sz w:val="22"/>
              </w:rPr>
            </w:pPr>
          </w:p>
        </w:tc>
        <w:tc>
          <w:tcPr>
            <w:tcW w:w="846" w:type="dxa"/>
            <w:tcBorders>
              <w:top w:val="single" w:color="auto" w:sz="4" w:space="0"/>
              <w:left w:val="single" w:color="000000" w:sz="4" w:space="0"/>
              <w:bottom w:val="single" w:color="000000" w:sz="4" w:space="0"/>
              <w:right w:val="single" w:color="000000" w:sz="4" w:space="0"/>
            </w:tcBorders>
          </w:tcPr>
          <w:p>
            <w:pPr>
              <w:rPr>
                <w:sz w:val="22"/>
              </w:rPr>
            </w:pPr>
          </w:p>
        </w:tc>
        <w:tc>
          <w:tcPr>
            <w:tcW w:w="713" w:type="dxa"/>
            <w:gridSpan w:val="2"/>
            <w:tcBorders>
              <w:top w:val="single" w:color="000000" w:sz="4" w:space="0"/>
              <w:left w:val="single" w:color="000000" w:sz="4" w:space="0"/>
              <w:bottom w:val="single" w:color="000000" w:sz="4" w:space="0"/>
              <w:right w:val="single" w:color="000000" w:sz="4" w:space="0"/>
            </w:tcBorders>
          </w:tcPr>
          <w:p>
            <w:pPr>
              <w:rPr>
                <w:sz w:val="22"/>
              </w:rPr>
            </w:pPr>
          </w:p>
        </w:tc>
        <w:tc>
          <w:tcPr>
            <w:tcW w:w="709" w:type="dxa"/>
            <w:gridSpan w:val="2"/>
            <w:tcBorders>
              <w:top w:val="single" w:color="000000" w:sz="4" w:space="0"/>
              <w:left w:val="single" w:color="000000" w:sz="4" w:space="0"/>
              <w:bottom w:val="single" w:color="000000" w:sz="4" w:space="0"/>
              <w:right w:val="single" w:color="000000" w:sz="4" w:space="0"/>
            </w:tcBorders>
          </w:tcPr>
          <w:p>
            <w:pPr>
              <w:rPr>
                <w:sz w:val="22"/>
              </w:rPr>
            </w:pPr>
          </w:p>
        </w:tc>
        <w:tc>
          <w:tcPr>
            <w:tcW w:w="850" w:type="dxa"/>
            <w:tcBorders>
              <w:top w:val="single" w:color="000000" w:sz="4" w:space="0"/>
              <w:left w:val="single" w:color="000000" w:sz="4" w:space="0"/>
              <w:bottom w:val="single" w:color="000000" w:sz="4" w:space="0"/>
              <w:right w:val="single" w:color="auto" w:sz="4" w:space="0"/>
            </w:tcBorders>
          </w:tcPr>
          <w:p>
            <w:pPr>
              <w:rPr>
                <w:sz w:val="22"/>
              </w:rPr>
            </w:pPr>
          </w:p>
        </w:tc>
        <w:tc>
          <w:tcPr>
            <w:tcW w:w="719" w:type="dxa"/>
            <w:tcBorders>
              <w:top w:val="single" w:color="000000" w:sz="4" w:space="0"/>
              <w:left w:val="single" w:color="auto" w:sz="4" w:space="0"/>
              <w:bottom w:val="single" w:color="000000" w:sz="4" w:space="0"/>
              <w:right w:val="single" w:color="000000" w:sz="4" w:space="0"/>
            </w:tcBorders>
          </w:tcPr>
          <w:p>
            <w:pPr>
              <w:rPr>
                <w:sz w:val="22"/>
              </w:rPr>
            </w:pPr>
          </w:p>
        </w:tc>
        <w:tc>
          <w:tcPr>
            <w:tcW w:w="709" w:type="dxa"/>
            <w:tcBorders>
              <w:top w:val="single" w:color="000000" w:sz="4" w:space="0"/>
              <w:left w:val="single" w:color="000000" w:sz="4" w:space="0"/>
              <w:bottom w:val="single" w:color="000000" w:sz="4" w:space="0"/>
              <w:right w:val="single" w:color="000000" w:sz="4" w:space="0"/>
            </w:tcBorders>
          </w:tcPr>
          <w:p>
            <w:pPr>
              <w:rPr>
                <w:sz w:val="22"/>
              </w:rPr>
            </w:pPr>
          </w:p>
        </w:tc>
        <w:tc>
          <w:tcPr>
            <w:tcW w:w="557" w:type="dxa"/>
            <w:tcBorders>
              <w:top w:val="single" w:color="000000" w:sz="4" w:space="0"/>
              <w:left w:val="single" w:color="000000" w:sz="4" w:space="0"/>
              <w:bottom w:val="single" w:color="000000" w:sz="4" w:space="0"/>
              <w:right w:val="single" w:color="000000" w:sz="4" w:space="0"/>
            </w:tcBorders>
          </w:tcPr>
          <w:p>
            <w:pPr>
              <w:rPr>
                <w:sz w:val="22"/>
              </w:rPr>
            </w:pPr>
          </w:p>
        </w:tc>
        <w:tc>
          <w:tcPr>
            <w:tcW w:w="571" w:type="dxa"/>
            <w:tcBorders>
              <w:top w:val="single" w:color="000000" w:sz="4" w:space="0"/>
              <w:left w:val="single" w:color="000000" w:sz="4" w:space="0"/>
              <w:bottom w:val="single" w:color="000000" w:sz="4" w:space="0"/>
              <w:right w:val="single" w:color="000000" w:sz="4" w:space="0"/>
            </w:tcBorders>
          </w:tcPr>
          <w:p>
            <w:pPr>
              <w:rPr>
                <w:sz w:val="22"/>
              </w:rPr>
            </w:pPr>
          </w:p>
        </w:tc>
        <w:tc>
          <w:tcPr>
            <w:tcW w:w="856" w:type="dxa"/>
            <w:gridSpan w:val="3"/>
            <w:tcBorders>
              <w:top w:val="single" w:color="000000" w:sz="4" w:space="0"/>
              <w:left w:val="single" w:color="000000" w:sz="4" w:space="0"/>
              <w:bottom w:val="single" w:color="000000" w:sz="4" w:space="0"/>
              <w:right w:val="single" w:color="000000" w:sz="4" w:space="0"/>
            </w:tcBorders>
          </w:tcPr>
          <w:p>
            <w:pPr>
              <w:rPr>
                <w:sz w:val="22"/>
              </w:rPr>
            </w:pPr>
          </w:p>
        </w:tc>
        <w:tc>
          <w:tcPr>
            <w:tcW w:w="709" w:type="dxa"/>
            <w:tcBorders>
              <w:top w:val="single" w:color="000000" w:sz="4" w:space="0"/>
              <w:left w:val="single" w:color="000000" w:sz="4" w:space="0"/>
              <w:bottom w:val="single" w:color="000000" w:sz="4" w:space="0"/>
              <w:right w:val="single" w:color="000000" w:sz="4" w:space="0"/>
            </w:tcBorders>
          </w:tcPr>
          <w:p>
            <w:pPr>
              <w:rPr>
                <w:sz w:val="22"/>
              </w:rPr>
            </w:pPr>
          </w:p>
        </w:tc>
        <w:tc>
          <w:tcPr>
            <w:tcW w:w="850" w:type="dxa"/>
            <w:tcBorders>
              <w:top w:val="single" w:color="000000" w:sz="4" w:space="0"/>
              <w:left w:val="single" w:color="000000" w:sz="4" w:space="0"/>
              <w:bottom w:val="single" w:color="000000" w:sz="4" w:space="0"/>
              <w:right w:val="single" w:color="auto" w:sz="4" w:space="0"/>
            </w:tcBorders>
          </w:tcPr>
          <w:p>
            <w:pPr>
              <w:rPr>
                <w:sz w:val="22"/>
              </w:rPr>
            </w:pPr>
          </w:p>
        </w:tc>
        <w:tc>
          <w:tcPr>
            <w:tcW w:w="709" w:type="dxa"/>
            <w:tcBorders>
              <w:top w:val="single" w:color="000000" w:sz="4" w:space="0"/>
              <w:left w:val="single" w:color="auto" w:sz="4" w:space="0"/>
              <w:bottom w:val="single" w:color="000000" w:sz="4" w:space="0"/>
              <w:right w:val="single" w:color="000000" w:sz="4" w:space="0"/>
            </w:tcBorders>
          </w:tcPr>
          <w:p>
            <w:pPr>
              <w:rPr>
                <w:sz w:val="22"/>
              </w:rPr>
            </w:pPr>
          </w:p>
        </w:tc>
        <w:tc>
          <w:tcPr>
            <w:tcW w:w="709" w:type="dxa"/>
            <w:tcBorders>
              <w:top w:val="single" w:color="000000" w:sz="4" w:space="0"/>
              <w:left w:val="single" w:color="000000" w:sz="4" w:space="0"/>
              <w:bottom w:val="single" w:color="000000" w:sz="4" w:space="0"/>
              <w:right w:val="single" w:color="000000" w:sz="4" w:space="0"/>
            </w:tcBorders>
          </w:tcPr>
          <w:p>
            <w:pPr>
              <w:rPr>
                <w:sz w:val="22"/>
              </w:rPr>
            </w:pPr>
          </w:p>
        </w:tc>
        <w:tc>
          <w:tcPr>
            <w:tcW w:w="709" w:type="dxa"/>
            <w:tcBorders>
              <w:top w:val="single" w:color="000000" w:sz="4" w:space="0"/>
              <w:left w:val="single" w:color="000000" w:sz="4" w:space="0"/>
              <w:bottom w:val="single" w:color="000000" w:sz="4" w:space="0"/>
              <w:right w:val="single" w:color="000000" w:sz="4" w:space="0"/>
            </w:tcBorders>
          </w:tcPr>
          <w:p>
            <w:pPr>
              <w:rPr>
                <w:sz w:val="22"/>
              </w:rPr>
            </w:pPr>
          </w:p>
        </w:tc>
        <w:tc>
          <w:tcPr>
            <w:tcW w:w="992" w:type="dxa"/>
            <w:tcBorders>
              <w:top w:val="single" w:color="000000" w:sz="4" w:space="0"/>
              <w:left w:val="single" w:color="000000" w:sz="4" w:space="0"/>
              <w:bottom w:val="single" w:color="000000" w:sz="4" w:space="0"/>
              <w:right w:val="single" w:color="000000" w:sz="4" w:space="0"/>
            </w:tcBorders>
          </w:tcPr>
          <w:p>
            <w:pPr>
              <w:rPr>
                <w:sz w:val="22"/>
              </w:rPr>
            </w:pPr>
          </w:p>
        </w:tc>
      </w:tr>
      <w:tr>
        <w:tblPrEx>
          <w:tblCellMar>
            <w:top w:w="0" w:type="dxa"/>
            <w:left w:w="0" w:type="dxa"/>
            <w:bottom w:w="0" w:type="dxa"/>
            <w:right w:w="0" w:type="dxa"/>
          </w:tblCellMar>
        </w:tblPrEx>
        <w:trPr>
          <w:trHeight w:val="293" w:hRule="exact"/>
        </w:trPr>
        <w:tc>
          <w:tcPr>
            <w:tcW w:w="755" w:type="dxa"/>
            <w:tcBorders>
              <w:top w:val="single" w:color="000000" w:sz="4" w:space="0"/>
              <w:left w:val="single" w:color="000000" w:sz="4" w:space="0"/>
              <w:bottom w:val="single" w:color="000000" w:sz="4" w:space="0"/>
              <w:right w:val="single" w:color="000000" w:sz="4" w:space="0"/>
            </w:tcBorders>
          </w:tcPr>
          <w:p>
            <w:pPr>
              <w:rPr>
                <w:sz w:val="22"/>
              </w:rPr>
            </w:pPr>
          </w:p>
        </w:tc>
        <w:tc>
          <w:tcPr>
            <w:tcW w:w="849" w:type="dxa"/>
            <w:gridSpan w:val="2"/>
            <w:tcBorders>
              <w:top w:val="single" w:color="000000" w:sz="4" w:space="0"/>
              <w:left w:val="single" w:color="000000" w:sz="4" w:space="0"/>
              <w:bottom w:val="single" w:color="000000" w:sz="4" w:space="0"/>
              <w:right w:val="single" w:color="000000" w:sz="4" w:space="0"/>
            </w:tcBorders>
          </w:tcPr>
          <w:p>
            <w:pPr>
              <w:rPr>
                <w:sz w:val="22"/>
              </w:rPr>
            </w:pPr>
          </w:p>
        </w:tc>
        <w:tc>
          <w:tcPr>
            <w:tcW w:w="983" w:type="dxa"/>
            <w:gridSpan w:val="3"/>
            <w:tcBorders>
              <w:top w:val="single" w:color="000000" w:sz="4" w:space="0"/>
              <w:left w:val="single" w:color="000000" w:sz="4" w:space="0"/>
              <w:bottom w:val="single" w:color="000000" w:sz="4" w:space="0"/>
              <w:right w:val="single" w:color="000000" w:sz="4" w:space="0"/>
            </w:tcBorders>
          </w:tcPr>
          <w:p>
            <w:pPr>
              <w:rPr>
                <w:sz w:val="22"/>
              </w:rPr>
            </w:pPr>
          </w:p>
        </w:tc>
        <w:tc>
          <w:tcPr>
            <w:tcW w:w="846" w:type="dxa"/>
            <w:tcBorders>
              <w:top w:val="single" w:color="000000" w:sz="4" w:space="0"/>
              <w:left w:val="single" w:color="000000" w:sz="4" w:space="0"/>
              <w:bottom w:val="single" w:color="000000" w:sz="4" w:space="0"/>
              <w:right w:val="single" w:color="000000" w:sz="4" w:space="0"/>
            </w:tcBorders>
          </w:tcPr>
          <w:p>
            <w:pPr>
              <w:rPr>
                <w:sz w:val="22"/>
              </w:rPr>
            </w:pPr>
          </w:p>
        </w:tc>
        <w:tc>
          <w:tcPr>
            <w:tcW w:w="713" w:type="dxa"/>
            <w:gridSpan w:val="2"/>
            <w:tcBorders>
              <w:top w:val="single" w:color="000000" w:sz="4" w:space="0"/>
              <w:left w:val="single" w:color="000000" w:sz="4" w:space="0"/>
              <w:bottom w:val="single" w:color="000000" w:sz="4" w:space="0"/>
              <w:right w:val="single" w:color="000000" w:sz="4" w:space="0"/>
            </w:tcBorders>
          </w:tcPr>
          <w:p>
            <w:pPr>
              <w:rPr>
                <w:sz w:val="22"/>
              </w:rPr>
            </w:pPr>
          </w:p>
        </w:tc>
        <w:tc>
          <w:tcPr>
            <w:tcW w:w="709" w:type="dxa"/>
            <w:gridSpan w:val="2"/>
            <w:tcBorders>
              <w:top w:val="single" w:color="000000" w:sz="4" w:space="0"/>
              <w:left w:val="single" w:color="000000" w:sz="4" w:space="0"/>
              <w:bottom w:val="single" w:color="000000" w:sz="4" w:space="0"/>
              <w:right w:val="single" w:color="000000" w:sz="4" w:space="0"/>
            </w:tcBorders>
          </w:tcPr>
          <w:p>
            <w:pPr>
              <w:rPr>
                <w:sz w:val="22"/>
              </w:rPr>
            </w:pPr>
          </w:p>
        </w:tc>
        <w:tc>
          <w:tcPr>
            <w:tcW w:w="850" w:type="dxa"/>
            <w:tcBorders>
              <w:top w:val="single" w:color="000000" w:sz="4" w:space="0"/>
              <w:left w:val="single" w:color="000000" w:sz="4" w:space="0"/>
              <w:bottom w:val="single" w:color="000000" w:sz="4" w:space="0"/>
              <w:right w:val="single" w:color="auto" w:sz="4" w:space="0"/>
            </w:tcBorders>
          </w:tcPr>
          <w:p>
            <w:pPr>
              <w:rPr>
                <w:sz w:val="22"/>
              </w:rPr>
            </w:pPr>
          </w:p>
        </w:tc>
        <w:tc>
          <w:tcPr>
            <w:tcW w:w="719" w:type="dxa"/>
            <w:tcBorders>
              <w:top w:val="single" w:color="000000" w:sz="4" w:space="0"/>
              <w:left w:val="single" w:color="auto" w:sz="4" w:space="0"/>
              <w:bottom w:val="single" w:color="000000" w:sz="4" w:space="0"/>
              <w:right w:val="single" w:color="000000" w:sz="4" w:space="0"/>
            </w:tcBorders>
          </w:tcPr>
          <w:p>
            <w:pPr>
              <w:rPr>
                <w:sz w:val="22"/>
              </w:rPr>
            </w:pPr>
          </w:p>
        </w:tc>
        <w:tc>
          <w:tcPr>
            <w:tcW w:w="709" w:type="dxa"/>
            <w:tcBorders>
              <w:top w:val="single" w:color="000000" w:sz="4" w:space="0"/>
              <w:left w:val="single" w:color="000000" w:sz="4" w:space="0"/>
              <w:bottom w:val="single" w:color="000000" w:sz="4" w:space="0"/>
              <w:right w:val="single" w:color="000000" w:sz="4" w:space="0"/>
            </w:tcBorders>
          </w:tcPr>
          <w:p>
            <w:pPr>
              <w:rPr>
                <w:sz w:val="22"/>
              </w:rPr>
            </w:pPr>
          </w:p>
        </w:tc>
        <w:tc>
          <w:tcPr>
            <w:tcW w:w="557" w:type="dxa"/>
            <w:tcBorders>
              <w:top w:val="single" w:color="000000" w:sz="4" w:space="0"/>
              <w:left w:val="single" w:color="000000" w:sz="4" w:space="0"/>
              <w:bottom w:val="single" w:color="000000" w:sz="4" w:space="0"/>
              <w:right w:val="single" w:color="000000" w:sz="4" w:space="0"/>
            </w:tcBorders>
          </w:tcPr>
          <w:p>
            <w:pPr>
              <w:rPr>
                <w:sz w:val="22"/>
              </w:rPr>
            </w:pPr>
          </w:p>
        </w:tc>
        <w:tc>
          <w:tcPr>
            <w:tcW w:w="571" w:type="dxa"/>
            <w:tcBorders>
              <w:top w:val="single" w:color="000000" w:sz="4" w:space="0"/>
              <w:left w:val="single" w:color="000000" w:sz="4" w:space="0"/>
              <w:bottom w:val="single" w:color="000000" w:sz="4" w:space="0"/>
              <w:right w:val="single" w:color="000000" w:sz="4" w:space="0"/>
            </w:tcBorders>
          </w:tcPr>
          <w:p>
            <w:pPr>
              <w:rPr>
                <w:sz w:val="22"/>
              </w:rPr>
            </w:pPr>
          </w:p>
        </w:tc>
        <w:tc>
          <w:tcPr>
            <w:tcW w:w="856" w:type="dxa"/>
            <w:gridSpan w:val="3"/>
            <w:tcBorders>
              <w:top w:val="single" w:color="000000" w:sz="4" w:space="0"/>
              <w:left w:val="single" w:color="000000" w:sz="4" w:space="0"/>
              <w:bottom w:val="single" w:color="000000" w:sz="4" w:space="0"/>
              <w:right w:val="single" w:color="000000" w:sz="4" w:space="0"/>
            </w:tcBorders>
          </w:tcPr>
          <w:p>
            <w:pPr>
              <w:rPr>
                <w:sz w:val="22"/>
              </w:rPr>
            </w:pPr>
          </w:p>
        </w:tc>
        <w:tc>
          <w:tcPr>
            <w:tcW w:w="709" w:type="dxa"/>
            <w:tcBorders>
              <w:top w:val="single" w:color="000000" w:sz="4" w:space="0"/>
              <w:left w:val="single" w:color="000000" w:sz="4" w:space="0"/>
              <w:bottom w:val="single" w:color="000000" w:sz="4" w:space="0"/>
              <w:right w:val="single" w:color="000000" w:sz="4" w:space="0"/>
            </w:tcBorders>
          </w:tcPr>
          <w:p>
            <w:pPr>
              <w:rPr>
                <w:sz w:val="22"/>
              </w:rPr>
            </w:pPr>
          </w:p>
        </w:tc>
        <w:tc>
          <w:tcPr>
            <w:tcW w:w="850" w:type="dxa"/>
            <w:tcBorders>
              <w:top w:val="single" w:color="000000" w:sz="4" w:space="0"/>
              <w:left w:val="single" w:color="000000" w:sz="4" w:space="0"/>
              <w:bottom w:val="single" w:color="000000" w:sz="4" w:space="0"/>
              <w:right w:val="single" w:color="auto" w:sz="4" w:space="0"/>
            </w:tcBorders>
          </w:tcPr>
          <w:p>
            <w:pPr>
              <w:rPr>
                <w:sz w:val="22"/>
              </w:rPr>
            </w:pPr>
          </w:p>
        </w:tc>
        <w:tc>
          <w:tcPr>
            <w:tcW w:w="709" w:type="dxa"/>
            <w:tcBorders>
              <w:top w:val="single" w:color="000000" w:sz="4" w:space="0"/>
              <w:left w:val="single" w:color="auto" w:sz="4" w:space="0"/>
              <w:bottom w:val="single" w:color="000000" w:sz="4" w:space="0"/>
              <w:right w:val="single" w:color="000000" w:sz="4" w:space="0"/>
            </w:tcBorders>
          </w:tcPr>
          <w:p>
            <w:pPr>
              <w:rPr>
                <w:sz w:val="22"/>
              </w:rPr>
            </w:pPr>
          </w:p>
        </w:tc>
        <w:tc>
          <w:tcPr>
            <w:tcW w:w="709" w:type="dxa"/>
            <w:tcBorders>
              <w:top w:val="single" w:color="000000" w:sz="4" w:space="0"/>
              <w:left w:val="single" w:color="000000" w:sz="4" w:space="0"/>
              <w:bottom w:val="single" w:color="000000" w:sz="4" w:space="0"/>
              <w:right w:val="single" w:color="000000" w:sz="4" w:space="0"/>
            </w:tcBorders>
          </w:tcPr>
          <w:p>
            <w:pPr>
              <w:rPr>
                <w:sz w:val="22"/>
              </w:rPr>
            </w:pPr>
          </w:p>
        </w:tc>
        <w:tc>
          <w:tcPr>
            <w:tcW w:w="709" w:type="dxa"/>
            <w:tcBorders>
              <w:top w:val="single" w:color="000000" w:sz="4" w:space="0"/>
              <w:left w:val="single" w:color="000000" w:sz="4" w:space="0"/>
              <w:bottom w:val="single" w:color="000000" w:sz="4" w:space="0"/>
              <w:right w:val="single" w:color="000000" w:sz="4" w:space="0"/>
            </w:tcBorders>
          </w:tcPr>
          <w:p>
            <w:pPr>
              <w:rPr>
                <w:sz w:val="22"/>
              </w:rPr>
            </w:pPr>
          </w:p>
        </w:tc>
        <w:tc>
          <w:tcPr>
            <w:tcW w:w="992" w:type="dxa"/>
            <w:tcBorders>
              <w:top w:val="single" w:color="000000" w:sz="4" w:space="0"/>
              <w:left w:val="single" w:color="000000" w:sz="4" w:space="0"/>
              <w:bottom w:val="single" w:color="000000" w:sz="4" w:space="0"/>
              <w:right w:val="single" w:color="000000" w:sz="4" w:space="0"/>
            </w:tcBorders>
          </w:tcPr>
          <w:p>
            <w:pPr>
              <w:rPr>
                <w:sz w:val="22"/>
              </w:rPr>
            </w:pPr>
          </w:p>
        </w:tc>
      </w:tr>
      <w:tr>
        <w:tblPrEx>
          <w:tblCellMar>
            <w:top w:w="0" w:type="dxa"/>
            <w:left w:w="0" w:type="dxa"/>
            <w:bottom w:w="0" w:type="dxa"/>
            <w:right w:w="0" w:type="dxa"/>
          </w:tblCellMar>
        </w:tblPrEx>
        <w:trPr>
          <w:trHeight w:val="293" w:hRule="exact"/>
        </w:trPr>
        <w:tc>
          <w:tcPr>
            <w:tcW w:w="755" w:type="dxa"/>
            <w:tcBorders>
              <w:top w:val="single" w:color="000000" w:sz="4" w:space="0"/>
              <w:left w:val="single" w:color="000000" w:sz="4" w:space="0"/>
              <w:bottom w:val="single" w:color="000000" w:sz="4" w:space="0"/>
              <w:right w:val="single" w:color="000000" w:sz="4" w:space="0"/>
            </w:tcBorders>
          </w:tcPr>
          <w:p>
            <w:pPr>
              <w:rPr>
                <w:sz w:val="22"/>
              </w:rPr>
            </w:pPr>
          </w:p>
        </w:tc>
        <w:tc>
          <w:tcPr>
            <w:tcW w:w="849" w:type="dxa"/>
            <w:gridSpan w:val="2"/>
            <w:tcBorders>
              <w:top w:val="single" w:color="000000" w:sz="4" w:space="0"/>
              <w:left w:val="single" w:color="000000" w:sz="4" w:space="0"/>
              <w:bottom w:val="single" w:color="000000" w:sz="4" w:space="0"/>
              <w:right w:val="single" w:color="000000" w:sz="4" w:space="0"/>
            </w:tcBorders>
          </w:tcPr>
          <w:p>
            <w:pPr>
              <w:rPr>
                <w:sz w:val="22"/>
              </w:rPr>
            </w:pPr>
          </w:p>
        </w:tc>
        <w:tc>
          <w:tcPr>
            <w:tcW w:w="983" w:type="dxa"/>
            <w:gridSpan w:val="3"/>
            <w:tcBorders>
              <w:top w:val="single" w:color="000000" w:sz="4" w:space="0"/>
              <w:left w:val="single" w:color="000000" w:sz="4" w:space="0"/>
              <w:bottom w:val="single" w:color="000000" w:sz="4" w:space="0"/>
              <w:right w:val="single" w:color="000000" w:sz="4" w:space="0"/>
            </w:tcBorders>
          </w:tcPr>
          <w:p>
            <w:pPr>
              <w:rPr>
                <w:sz w:val="22"/>
              </w:rPr>
            </w:pPr>
          </w:p>
        </w:tc>
        <w:tc>
          <w:tcPr>
            <w:tcW w:w="846" w:type="dxa"/>
            <w:tcBorders>
              <w:top w:val="single" w:color="000000" w:sz="4" w:space="0"/>
              <w:left w:val="single" w:color="000000" w:sz="4" w:space="0"/>
              <w:bottom w:val="single" w:color="000000" w:sz="4" w:space="0"/>
              <w:right w:val="single" w:color="000000" w:sz="4" w:space="0"/>
            </w:tcBorders>
          </w:tcPr>
          <w:p>
            <w:pPr>
              <w:rPr>
                <w:sz w:val="22"/>
              </w:rPr>
            </w:pPr>
          </w:p>
        </w:tc>
        <w:tc>
          <w:tcPr>
            <w:tcW w:w="713" w:type="dxa"/>
            <w:gridSpan w:val="2"/>
            <w:tcBorders>
              <w:top w:val="single" w:color="000000" w:sz="4" w:space="0"/>
              <w:left w:val="single" w:color="000000" w:sz="4" w:space="0"/>
              <w:bottom w:val="single" w:color="000000" w:sz="4" w:space="0"/>
              <w:right w:val="single" w:color="000000" w:sz="4" w:space="0"/>
            </w:tcBorders>
          </w:tcPr>
          <w:p>
            <w:pPr>
              <w:rPr>
                <w:sz w:val="22"/>
              </w:rPr>
            </w:pPr>
          </w:p>
        </w:tc>
        <w:tc>
          <w:tcPr>
            <w:tcW w:w="709" w:type="dxa"/>
            <w:gridSpan w:val="2"/>
            <w:tcBorders>
              <w:top w:val="single" w:color="000000" w:sz="4" w:space="0"/>
              <w:left w:val="single" w:color="000000" w:sz="4" w:space="0"/>
              <w:bottom w:val="single" w:color="000000" w:sz="4" w:space="0"/>
              <w:right w:val="single" w:color="000000" w:sz="4" w:space="0"/>
            </w:tcBorders>
          </w:tcPr>
          <w:p>
            <w:pPr>
              <w:rPr>
                <w:sz w:val="22"/>
              </w:rPr>
            </w:pPr>
          </w:p>
        </w:tc>
        <w:tc>
          <w:tcPr>
            <w:tcW w:w="850" w:type="dxa"/>
            <w:tcBorders>
              <w:top w:val="single" w:color="000000" w:sz="4" w:space="0"/>
              <w:left w:val="single" w:color="000000" w:sz="4" w:space="0"/>
              <w:bottom w:val="single" w:color="000000" w:sz="4" w:space="0"/>
              <w:right w:val="single" w:color="auto" w:sz="4" w:space="0"/>
            </w:tcBorders>
          </w:tcPr>
          <w:p>
            <w:pPr>
              <w:rPr>
                <w:sz w:val="22"/>
              </w:rPr>
            </w:pPr>
          </w:p>
        </w:tc>
        <w:tc>
          <w:tcPr>
            <w:tcW w:w="719" w:type="dxa"/>
            <w:tcBorders>
              <w:top w:val="single" w:color="000000" w:sz="4" w:space="0"/>
              <w:left w:val="single" w:color="auto" w:sz="4" w:space="0"/>
              <w:bottom w:val="single" w:color="000000" w:sz="4" w:space="0"/>
              <w:right w:val="single" w:color="000000" w:sz="4" w:space="0"/>
            </w:tcBorders>
          </w:tcPr>
          <w:p>
            <w:pPr>
              <w:rPr>
                <w:sz w:val="22"/>
              </w:rPr>
            </w:pPr>
          </w:p>
        </w:tc>
        <w:tc>
          <w:tcPr>
            <w:tcW w:w="709" w:type="dxa"/>
            <w:tcBorders>
              <w:top w:val="single" w:color="000000" w:sz="4" w:space="0"/>
              <w:left w:val="single" w:color="000000" w:sz="4" w:space="0"/>
              <w:bottom w:val="single" w:color="000000" w:sz="4" w:space="0"/>
              <w:right w:val="single" w:color="000000" w:sz="4" w:space="0"/>
            </w:tcBorders>
          </w:tcPr>
          <w:p>
            <w:pPr>
              <w:rPr>
                <w:sz w:val="22"/>
              </w:rPr>
            </w:pPr>
          </w:p>
        </w:tc>
        <w:tc>
          <w:tcPr>
            <w:tcW w:w="557" w:type="dxa"/>
            <w:tcBorders>
              <w:top w:val="single" w:color="000000" w:sz="4" w:space="0"/>
              <w:left w:val="single" w:color="000000" w:sz="4" w:space="0"/>
              <w:bottom w:val="single" w:color="000000" w:sz="4" w:space="0"/>
              <w:right w:val="single" w:color="000000" w:sz="4" w:space="0"/>
            </w:tcBorders>
          </w:tcPr>
          <w:p>
            <w:pPr>
              <w:rPr>
                <w:sz w:val="22"/>
              </w:rPr>
            </w:pPr>
          </w:p>
        </w:tc>
        <w:tc>
          <w:tcPr>
            <w:tcW w:w="571" w:type="dxa"/>
            <w:tcBorders>
              <w:top w:val="single" w:color="000000" w:sz="4" w:space="0"/>
              <w:left w:val="single" w:color="000000" w:sz="4" w:space="0"/>
              <w:bottom w:val="single" w:color="000000" w:sz="4" w:space="0"/>
              <w:right w:val="single" w:color="000000" w:sz="4" w:space="0"/>
            </w:tcBorders>
          </w:tcPr>
          <w:p>
            <w:pPr>
              <w:rPr>
                <w:sz w:val="22"/>
              </w:rPr>
            </w:pPr>
          </w:p>
        </w:tc>
        <w:tc>
          <w:tcPr>
            <w:tcW w:w="856" w:type="dxa"/>
            <w:gridSpan w:val="3"/>
            <w:tcBorders>
              <w:top w:val="single" w:color="000000" w:sz="4" w:space="0"/>
              <w:left w:val="single" w:color="000000" w:sz="4" w:space="0"/>
              <w:bottom w:val="single" w:color="000000" w:sz="4" w:space="0"/>
              <w:right w:val="single" w:color="000000" w:sz="4" w:space="0"/>
            </w:tcBorders>
          </w:tcPr>
          <w:p>
            <w:pPr>
              <w:rPr>
                <w:sz w:val="22"/>
              </w:rPr>
            </w:pPr>
          </w:p>
        </w:tc>
        <w:tc>
          <w:tcPr>
            <w:tcW w:w="709" w:type="dxa"/>
            <w:tcBorders>
              <w:top w:val="single" w:color="000000" w:sz="4" w:space="0"/>
              <w:left w:val="single" w:color="000000" w:sz="4" w:space="0"/>
              <w:bottom w:val="single" w:color="000000" w:sz="4" w:space="0"/>
              <w:right w:val="single" w:color="000000" w:sz="4" w:space="0"/>
            </w:tcBorders>
          </w:tcPr>
          <w:p>
            <w:pPr>
              <w:rPr>
                <w:sz w:val="22"/>
              </w:rPr>
            </w:pPr>
          </w:p>
        </w:tc>
        <w:tc>
          <w:tcPr>
            <w:tcW w:w="850" w:type="dxa"/>
            <w:tcBorders>
              <w:top w:val="single" w:color="000000" w:sz="4" w:space="0"/>
              <w:left w:val="single" w:color="000000" w:sz="4" w:space="0"/>
              <w:bottom w:val="single" w:color="000000" w:sz="4" w:space="0"/>
              <w:right w:val="single" w:color="auto" w:sz="4" w:space="0"/>
            </w:tcBorders>
          </w:tcPr>
          <w:p>
            <w:pPr>
              <w:rPr>
                <w:sz w:val="22"/>
              </w:rPr>
            </w:pPr>
          </w:p>
        </w:tc>
        <w:tc>
          <w:tcPr>
            <w:tcW w:w="709" w:type="dxa"/>
            <w:tcBorders>
              <w:top w:val="single" w:color="000000" w:sz="4" w:space="0"/>
              <w:left w:val="single" w:color="auto" w:sz="4" w:space="0"/>
              <w:bottom w:val="single" w:color="000000" w:sz="4" w:space="0"/>
              <w:right w:val="single" w:color="000000" w:sz="4" w:space="0"/>
            </w:tcBorders>
          </w:tcPr>
          <w:p>
            <w:pPr>
              <w:rPr>
                <w:sz w:val="22"/>
              </w:rPr>
            </w:pPr>
          </w:p>
        </w:tc>
        <w:tc>
          <w:tcPr>
            <w:tcW w:w="709" w:type="dxa"/>
            <w:tcBorders>
              <w:top w:val="single" w:color="000000" w:sz="4" w:space="0"/>
              <w:left w:val="single" w:color="000000" w:sz="4" w:space="0"/>
              <w:bottom w:val="single" w:color="000000" w:sz="4" w:space="0"/>
              <w:right w:val="single" w:color="000000" w:sz="4" w:space="0"/>
            </w:tcBorders>
          </w:tcPr>
          <w:p>
            <w:pPr>
              <w:rPr>
                <w:sz w:val="22"/>
              </w:rPr>
            </w:pPr>
          </w:p>
        </w:tc>
        <w:tc>
          <w:tcPr>
            <w:tcW w:w="709" w:type="dxa"/>
            <w:tcBorders>
              <w:top w:val="single" w:color="000000" w:sz="4" w:space="0"/>
              <w:left w:val="single" w:color="000000" w:sz="4" w:space="0"/>
              <w:bottom w:val="single" w:color="000000" w:sz="4" w:space="0"/>
              <w:right w:val="single" w:color="000000" w:sz="4" w:space="0"/>
            </w:tcBorders>
          </w:tcPr>
          <w:p>
            <w:pPr>
              <w:rPr>
                <w:sz w:val="22"/>
              </w:rPr>
            </w:pPr>
          </w:p>
        </w:tc>
        <w:tc>
          <w:tcPr>
            <w:tcW w:w="992" w:type="dxa"/>
            <w:tcBorders>
              <w:top w:val="single" w:color="000000" w:sz="4" w:space="0"/>
              <w:left w:val="single" w:color="000000" w:sz="4" w:space="0"/>
              <w:bottom w:val="single" w:color="000000" w:sz="4" w:space="0"/>
              <w:right w:val="single" w:color="000000" w:sz="4" w:space="0"/>
            </w:tcBorders>
          </w:tcPr>
          <w:p>
            <w:pPr>
              <w:rPr>
                <w:sz w:val="22"/>
              </w:rPr>
            </w:pPr>
          </w:p>
        </w:tc>
      </w:tr>
      <w:tr>
        <w:tblPrEx>
          <w:tblCellMar>
            <w:top w:w="0" w:type="dxa"/>
            <w:left w:w="0" w:type="dxa"/>
            <w:bottom w:w="0" w:type="dxa"/>
            <w:right w:w="0" w:type="dxa"/>
          </w:tblCellMar>
        </w:tblPrEx>
        <w:trPr>
          <w:trHeight w:val="295" w:hRule="exact"/>
        </w:trPr>
        <w:tc>
          <w:tcPr>
            <w:tcW w:w="755" w:type="dxa"/>
            <w:tcBorders>
              <w:top w:val="single" w:color="000000" w:sz="4" w:space="0"/>
              <w:left w:val="single" w:color="000000" w:sz="4" w:space="0"/>
              <w:bottom w:val="single" w:color="000000" w:sz="4" w:space="0"/>
              <w:right w:val="single" w:color="000000" w:sz="4" w:space="0"/>
            </w:tcBorders>
          </w:tcPr>
          <w:p>
            <w:pPr>
              <w:rPr>
                <w:sz w:val="22"/>
              </w:rPr>
            </w:pPr>
          </w:p>
        </w:tc>
        <w:tc>
          <w:tcPr>
            <w:tcW w:w="849" w:type="dxa"/>
            <w:gridSpan w:val="2"/>
            <w:tcBorders>
              <w:top w:val="single" w:color="000000" w:sz="4" w:space="0"/>
              <w:left w:val="single" w:color="000000" w:sz="4" w:space="0"/>
              <w:bottom w:val="single" w:color="000000" w:sz="4" w:space="0"/>
              <w:right w:val="single" w:color="000000" w:sz="4" w:space="0"/>
            </w:tcBorders>
          </w:tcPr>
          <w:p>
            <w:pPr>
              <w:rPr>
                <w:sz w:val="22"/>
              </w:rPr>
            </w:pPr>
          </w:p>
        </w:tc>
        <w:tc>
          <w:tcPr>
            <w:tcW w:w="983" w:type="dxa"/>
            <w:gridSpan w:val="3"/>
            <w:tcBorders>
              <w:top w:val="single" w:color="000000" w:sz="4" w:space="0"/>
              <w:left w:val="single" w:color="000000" w:sz="4" w:space="0"/>
              <w:bottom w:val="single" w:color="000000" w:sz="4" w:space="0"/>
              <w:right w:val="single" w:color="000000" w:sz="4" w:space="0"/>
            </w:tcBorders>
          </w:tcPr>
          <w:p>
            <w:pPr>
              <w:rPr>
                <w:sz w:val="22"/>
              </w:rPr>
            </w:pPr>
          </w:p>
        </w:tc>
        <w:tc>
          <w:tcPr>
            <w:tcW w:w="846" w:type="dxa"/>
            <w:tcBorders>
              <w:top w:val="single" w:color="000000" w:sz="4" w:space="0"/>
              <w:left w:val="single" w:color="000000" w:sz="4" w:space="0"/>
              <w:bottom w:val="single" w:color="000000" w:sz="4" w:space="0"/>
              <w:right w:val="single" w:color="000000" w:sz="4" w:space="0"/>
            </w:tcBorders>
          </w:tcPr>
          <w:p>
            <w:pPr>
              <w:rPr>
                <w:sz w:val="22"/>
              </w:rPr>
            </w:pPr>
          </w:p>
        </w:tc>
        <w:tc>
          <w:tcPr>
            <w:tcW w:w="713" w:type="dxa"/>
            <w:gridSpan w:val="2"/>
            <w:tcBorders>
              <w:top w:val="single" w:color="000000" w:sz="4" w:space="0"/>
              <w:left w:val="single" w:color="000000" w:sz="4" w:space="0"/>
              <w:bottom w:val="single" w:color="000000" w:sz="4" w:space="0"/>
              <w:right w:val="single" w:color="000000" w:sz="4" w:space="0"/>
            </w:tcBorders>
          </w:tcPr>
          <w:p>
            <w:pPr>
              <w:rPr>
                <w:sz w:val="22"/>
              </w:rPr>
            </w:pPr>
          </w:p>
        </w:tc>
        <w:tc>
          <w:tcPr>
            <w:tcW w:w="709" w:type="dxa"/>
            <w:gridSpan w:val="2"/>
            <w:tcBorders>
              <w:top w:val="single" w:color="000000" w:sz="4" w:space="0"/>
              <w:left w:val="single" w:color="000000" w:sz="4" w:space="0"/>
              <w:bottom w:val="single" w:color="000000" w:sz="4" w:space="0"/>
              <w:right w:val="single" w:color="000000" w:sz="4" w:space="0"/>
            </w:tcBorders>
          </w:tcPr>
          <w:p>
            <w:pPr>
              <w:rPr>
                <w:sz w:val="22"/>
              </w:rPr>
            </w:pPr>
          </w:p>
        </w:tc>
        <w:tc>
          <w:tcPr>
            <w:tcW w:w="850" w:type="dxa"/>
            <w:tcBorders>
              <w:top w:val="single" w:color="000000" w:sz="4" w:space="0"/>
              <w:left w:val="single" w:color="000000" w:sz="4" w:space="0"/>
              <w:bottom w:val="single" w:color="000000" w:sz="4" w:space="0"/>
              <w:right w:val="single" w:color="auto" w:sz="4" w:space="0"/>
            </w:tcBorders>
          </w:tcPr>
          <w:p>
            <w:pPr>
              <w:rPr>
                <w:sz w:val="22"/>
              </w:rPr>
            </w:pPr>
          </w:p>
        </w:tc>
        <w:tc>
          <w:tcPr>
            <w:tcW w:w="719" w:type="dxa"/>
            <w:tcBorders>
              <w:top w:val="single" w:color="000000" w:sz="4" w:space="0"/>
              <w:left w:val="single" w:color="auto" w:sz="4" w:space="0"/>
              <w:bottom w:val="single" w:color="000000" w:sz="4" w:space="0"/>
              <w:right w:val="single" w:color="000000" w:sz="4" w:space="0"/>
            </w:tcBorders>
          </w:tcPr>
          <w:p>
            <w:pPr>
              <w:rPr>
                <w:sz w:val="22"/>
              </w:rPr>
            </w:pPr>
          </w:p>
        </w:tc>
        <w:tc>
          <w:tcPr>
            <w:tcW w:w="709" w:type="dxa"/>
            <w:tcBorders>
              <w:top w:val="single" w:color="000000" w:sz="4" w:space="0"/>
              <w:left w:val="single" w:color="000000" w:sz="4" w:space="0"/>
              <w:bottom w:val="single" w:color="000000" w:sz="4" w:space="0"/>
              <w:right w:val="single" w:color="000000" w:sz="4" w:space="0"/>
            </w:tcBorders>
          </w:tcPr>
          <w:p>
            <w:pPr>
              <w:rPr>
                <w:sz w:val="22"/>
              </w:rPr>
            </w:pPr>
          </w:p>
        </w:tc>
        <w:tc>
          <w:tcPr>
            <w:tcW w:w="557" w:type="dxa"/>
            <w:tcBorders>
              <w:top w:val="single" w:color="000000" w:sz="4" w:space="0"/>
              <w:left w:val="single" w:color="000000" w:sz="4" w:space="0"/>
              <w:bottom w:val="single" w:color="000000" w:sz="4" w:space="0"/>
              <w:right w:val="single" w:color="000000" w:sz="4" w:space="0"/>
            </w:tcBorders>
          </w:tcPr>
          <w:p>
            <w:pPr>
              <w:rPr>
                <w:sz w:val="22"/>
              </w:rPr>
            </w:pPr>
          </w:p>
        </w:tc>
        <w:tc>
          <w:tcPr>
            <w:tcW w:w="571" w:type="dxa"/>
            <w:tcBorders>
              <w:top w:val="single" w:color="000000" w:sz="4" w:space="0"/>
              <w:left w:val="single" w:color="000000" w:sz="4" w:space="0"/>
              <w:bottom w:val="single" w:color="000000" w:sz="4" w:space="0"/>
              <w:right w:val="single" w:color="000000" w:sz="4" w:space="0"/>
            </w:tcBorders>
          </w:tcPr>
          <w:p>
            <w:pPr>
              <w:rPr>
                <w:sz w:val="22"/>
              </w:rPr>
            </w:pPr>
          </w:p>
        </w:tc>
        <w:tc>
          <w:tcPr>
            <w:tcW w:w="856" w:type="dxa"/>
            <w:gridSpan w:val="3"/>
            <w:tcBorders>
              <w:top w:val="single" w:color="000000" w:sz="4" w:space="0"/>
              <w:left w:val="single" w:color="000000" w:sz="4" w:space="0"/>
              <w:bottom w:val="single" w:color="000000" w:sz="4" w:space="0"/>
              <w:right w:val="single" w:color="000000" w:sz="4" w:space="0"/>
            </w:tcBorders>
          </w:tcPr>
          <w:p>
            <w:pPr>
              <w:rPr>
                <w:sz w:val="22"/>
              </w:rPr>
            </w:pPr>
          </w:p>
        </w:tc>
        <w:tc>
          <w:tcPr>
            <w:tcW w:w="709" w:type="dxa"/>
            <w:tcBorders>
              <w:top w:val="single" w:color="000000" w:sz="4" w:space="0"/>
              <w:left w:val="single" w:color="000000" w:sz="4" w:space="0"/>
              <w:bottom w:val="single" w:color="000000" w:sz="4" w:space="0"/>
              <w:right w:val="single" w:color="000000" w:sz="4" w:space="0"/>
            </w:tcBorders>
          </w:tcPr>
          <w:p>
            <w:pPr>
              <w:rPr>
                <w:sz w:val="22"/>
              </w:rPr>
            </w:pPr>
          </w:p>
        </w:tc>
        <w:tc>
          <w:tcPr>
            <w:tcW w:w="850" w:type="dxa"/>
            <w:tcBorders>
              <w:top w:val="single" w:color="000000" w:sz="4" w:space="0"/>
              <w:left w:val="single" w:color="000000" w:sz="4" w:space="0"/>
              <w:bottom w:val="single" w:color="000000" w:sz="4" w:space="0"/>
              <w:right w:val="single" w:color="auto" w:sz="4" w:space="0"/>
            </w:tcBorders>
          </w:tcPr>
          <w:p>
            <w:pPr>
              <w:rPr>
                <w:sz w:val="22"/>
              </w:rPr>
            </w:pPr>
          </w:p>
        </w:tc>
        <w:tc>
          <w:tcPr>
            <w:tcW w:w="709" w:type="dxa"/>
            <w:tcBorders>
              <w:top w:val="single" w:color="000000" w:sz="4" w:space="0"/>
              <w:left w:val="single" w:color="auto" w:sz="4" w:space="0"/>
              <w:bottom w:val="single" w:color="000000" w:sz="4" w:space="0"/>
              <w:right w:val="single" w:color="000000" w:sz="4" w:space="0"/>
            </w:tcBorders>
          </w:tcPr>
          <w:p>
            <w:pPr>
              <w:rPr>
                <w:sz w:val="22"/>
              </w:rPr>
            </w:pPr>
          </w:p>
        </w:tc>
        <w:tc>
          <w:tcPr>
            <w:tcW w:w="709" w:type="dxa"/>
            <w:tcBorders>
              <w:top w:val="single" w:color="000000" w:sz="4" w:space="0"/>
              <w:left w:val="single" w:color="000000" w:sz="4" w:space="0"/>
              <w:bottom w:val="single" w:color="000000" w:sz="4" w:space="0"/>
              <w:right w:val="single" w:color="000000" w:sz="4" w:space="0"/>
            </w:tcBorders>
          </w:tcPr>
          <w:p>
            <w:pPr>
              <w:rPr>
                <w:sz w:val="22"/>
              </w:rPr>
            </w:pPr>
          </w:p>
        </w:tc>
        <w:tc>
          <w:tcPr>
            <w:tcW w:w="709" w:type="dxa"/>
            <w:tcBorders>
              <w:top w:val="single" w:color="000000" w:sz="4" w:space="0"/>
              <w:left w:val="single" w:color="000000" w:sz="4" w:space="0"/>
              <w:bottom w:val="single" w:color="000000" w:sz="4" w:space="0"/>
              <w:right w:val="single" w:color="000000" w:sz="4" w:space="0"/>
            </w:tcBorders>
          </w:tcPr>
          <w:p>
            <w:pPr>
              <w:rPr>
                <w:sz w:val="22"/>
              </w:rPr>
            </w:pPr>
          </w:p>
        </w:tc>
        <w:tc>
          <w:tcPr>
            <w:tcW w:w="992" w:type="dxa"/>
            <w:tcBorders>
              <w:top w:val="single" w:color="000000" w:sz="4" w:space="0"/>
              <w:left w:val="single" w:color="000000" w:sz="4" w:space="0"/>
              <w:bottom w:val="single" w:color="000000" w:sz="4" w:space="0"/>
              <w:right w:val="single" w:color="000000" w:sz="4" w:space="0"/>
            </w:tcBorders>
          </w:tcPr>
          <w:p>
            <w:pPr>
              <w:rPr>
                <w:sz w:val="22"/>
              </w:rPr>
            </w:pPr>
          </w:p>
        </w:tc>
      </w:tr>
      <w:tr>
        <w:tblPrEx>
          <w:tblCellMar>
            <w:top w:w="0" w:type="dxa"/>
            <w:left w:w="0" w:type="dxa"/>
            <w:bottom w:w="0" w:type="dxa"/>
            <w:right w:w="0" w:type="dxa"/>
          </w:tblCellMar>
        </w:tblPrEx>
        <w:trPr>
          <w:trHeight w:val="370" w:hRule="exact"/>
        </w:trPr>
        <w:tc>
          <w:tcPr>
            <w:tcW w:w="1604" w:type="dxa"/>
            <w:gridSpan w:val="3"/>
            <w:tcBorders>
              <w:top w:val="single" w:color="000000" w:sz="4" w:space="0"/>
              <w:left w:val="single" w:color="000000" w:sz="4" w:space="0"/>
              <w:bottom w:val="single" w:color="000000" w:sz="4" w:space="0"/>
              <w:right w:val="single" w:color="000000" w:sz="4" w:space="0"/>
            </w:tcBorders>
            <w:vAlign w:val="center"/>
          </w:tcPr>
          <w:p>
            <w:pPr>
              <w:pStyle w:val="280"/>
              <w:ind w:right="43"/>
              <w:jc w:val="center"/>
              <w:rPr>
                <w:rFonts w:ascii="宋体" w:hAnsi="宋体" w:cs="宋体"/>
                <w:sz w:val="21"/>
                <w:szCs w:val="21"/>
              </w:rPr>
            </w:pPr>
            <w:r>
              <w:rPr>
                <w:rFonts w:ascii="Arial"/>
                <w:sz w:val="21"/>
              </w:rPr>
              <w:t>人工单价</w:t>
            </w:r>
          </w:p>
        </w:tc>
        <w:tc>
          <w:tcPr>
            <w:tcW w:w="6657" w:type="dxa"/>
            <w:gridSpan w:val="13"/>
            <w:tcBorders>
              <w:top w:val="single" w:color="000000" w:sz="4" w:space="0"/>
              <w:left w:val="single" w:color="000000" w:sz="4" w:space="0"/>
              <w:bottom w:val="single" w:color="000000" w:sz="4" w:space="0"/>
              <w:right w:val="single" w:color="000000" w:sz="4" w:space="0"/>
            </w:tcBorders>
            <w:vAlign w:val="center"/>
          </w:tcPr>
          <w:p>
            <w:pPr>
              <w:pStyle w:val="280"/>
              <w:ind w:right="43"/>
              <w:jc w:val="center"/>
              <w:rPr>
                <w:rFonts w:ascii="宋体" w:hAnsi="宋体" w:cs="宋体"/>
                <w:sz w:val="21"/>
                <w:szCs w:val="21"/>
              </w:rPr>
            </w:pPr>
            <w:r>
              <w:rPr>
                <w:rFonts w:ascii="宋体" w:hAnsi="宋体" w:cs="宋体"/>
                <w:sz w:val="21"/>
                <w:szCs w:val="21"/>
              </w:rPr>
              <w:t>小</w:t>
            </w:r>
            <w:r>
              <w:rPr>
                <w:rFonts w:ascii="宋体" w:hAnsi="宋体" w:cs="宋体"/>
                <w:sz w:val="21"/>
                <w:szCs w:val="21"/>
              </w:rPr>
              <w:tab/>
            </w:r>
            <w:r>
              <w:rPr>
                <w:rFonts w:ascii="宋体" w:hAnsi="宋体" w:cs="宋体"/>
                <w:sz w:val="21"/>
                <w:szCs w:val="21"/>
              </w:rPr>
              <w:t>计</w:t>
            </w:r>
          </w:p>
        </w:tc>
        <w:tc>
          <w:tcPr>
            <w:tcW w:w="856" w:type="dxa"/>
            <w:gridSpan w:val="3"/>
            <w:tcBorders>
              <w:top w:val="single" w:color="000000" w:sz="4" w:space="0"/>
              <w:left w:val="single" w:color="000000" w:sz="4" w:space="0"/>
              <w:bottom w:val="single" w:color="000000" w:sz="4" w:space="0"/>
              <w:right w:val="single" w:color="000000" w:sz="4" w:space="0"/>
            </w:tcBorders>
          </w:tcPr>
          <w:p>
            <w:pPr>
              <w:rPr>
                <w:sz w:val="22"/>
              </w:rPr>
            </w:pPr>
          </w:p>
        </w:tc>
        <w:tc>
          <w:tcPr>
            <w:tcW w:w="709" w:type="dxa"/>
            <w:tcBorders>
              <w:top w:val="single" w:color="000000" w:sz="4" w:space="0"/>
              <w:left w:val="single" w:color="000000" w:sz="4" w:space="0"/>
              <w:bottom w:val="single" w:color="000000" w:sz="4" w:space="0"/>
              <w:right w:val="single" w:color="000000" w:sz="4" w:space="0"/>
            </w:tcBorders>
          </w:tcPr>
          <w:p>
            <w:pPr>
              <w:rPr>
                <w:sz w:val="22"/>
              </w:rPr>
            </w:pPr>
          </w:p>
        </w:tc>
        <w:tc>
          <w:tcPr>
            <w:tcW w:w="850" w:type="dxa"/>
            <w:tcBorders>
              <w:top w:val="single" w:color="000000" w:sz="4" w:space="0"/>
              <w:left w:val="single" w:color="000000" w:sz="4" w:space="0"/>
              <w:bottom w:val="single" w:color="000000" w:sz="4" w:space="0"/>
              <w:right w:val="single" w:color="auto" w:sz="4" w:space="0"/>
            </w:tcBorders>
          </w:tcPr>
          <w:p>
            <w:pPr>
              <w:rPr>
                <w:sz w:val="22"/>
              </w:rPr>
            </w:pPr>
          </w:p>
        </w:tc>
        <w:tc>
          <w:tcPr>
            <w:tcW w:w="709" w:type="dxa"/>
            <w:tcBorders>
              <w:top w:val="single" w:color="000000" w:sz="4" w:space="0"/>
              <w:left w:val="single" w:color="auto" w:sz="4" w:space="0"/>
              <w:bottom w:val="single" w:color="000000" w:sz="4" w:space="0"/>
              <w:right w:val="single" w:color="000000" w:sz="4" w:space="0"/>
            </w:tcBorders>
          </w:tcPr>
          <w:p>
            <w:pPr>
              <w:rPr>
                <w:sz w:val="22"/>
              </w:rPr>
            </w:pPr>
          </w:p>
        </w:tc>
        <w:tc>
          <w:tcPr>
            <w:tcW w:w="709" w:type="dxa"/>
            <w:tcBorders>
              <w:top w:val="single" w:color="000000" w:sz="4" w:space="0"/>
              <w:left w:val="single" w:color="000000" w:sz="4" w:space="0"/>
              <w:bottom w:val="single" w:color="000000" w:sz="4" w:space="0"/>
              <w:right w:val="single" w:color="000000" w:sz="4" w:space="0"/>
            </w:tcBorders>
          </w:tcPr>
          <w:p>
            <w:pPr>
              <w:rPr>
                <w:sz w:val="22"/>
              </w:rPr>
            </w:pPr>
          </w:p>
        </w:tc>
        <w:tc>
          <w:tcPr>
            <w:tcW w:w="709" w:type="dxa"/>
            <w:tcBorders>
              <w:top w:val="single" w:color="000000" w:sz="4" w:space="0"/>
              <w:left w:val="single" w:color="000000" w:sz="4" w:space="0"/>
              <w:bottom w:val="single" w:color="000000" w:sz="4" w:space="0"/>
              <w:right w:val="single" w:color="000000" w:sz="4" w:space="0"/>
            </w:tcBorders>
          </w:tcPr>
          <w:p>
            <w:pPr>
              <w:rPr>
                <w:sz w:val="22"/>
              </w:rPr>
            </w:pPr>
          </w:p>
        </w:tc>
        <w:tc>
          <w:tcPr>
            <w:tcW w:w="992" w:type="dxa"/>
            <w:tcBorders>
              <w:top w:val="single" w:color="000000" w:sz="4" w:space="0"/>
              <w:left w:val="single" w:color="000000" w:sz="4" w:space="0"/>
              <w:bottom w:val="single" w:color="000000" w:sz="4" w:space="0"/>
              <w:right w:val="single" w:color="000000" w:sz="4" w:space="0"/>
            </w:tcBorders>
          </w:tcPr>
          <w:p>
            <w:pPr>
              <w:rPr>
                <w:sz w:val="22"/>
              </w:rPr>
            </w:pPr>
          </w:p>
        </w:tc>
      </w:tr>
      <w:tr>
        <w:tblPrEx>
          <w:tblCellMar>
            <w:top w:w="0" w:type="dxa"/>
            <w:left w:w="0" w:type="dxa"/>
            <w:bottom w:w="0" w:type="dxa"/>
            <w:right w:w="0" w:type="dxa"/>
          </w:tblCellMar>
        </w:tblPrEx>
        <w:trPr>
          <w:trHeight w:val="412" w:hRule="exact"/>
        </w:trPr>
        <w:tc>
          <w:tcPr>
            <w:tcW w:w="1604" w:type="dxa"/>
            <w:gridSpan w:val="3"/>
            <w:tcBorders>
              <w:top w:val="single" w:color="000000" w:sz="4" w:space="0"/>
              <w:left w:val="single" w:color="000000" w:sz="4" w:space="0"/>
              <w:bottom w:val="single" w:color="000000" w:sz="4" w:space="0"/>
              <w:right w:val="single" w:color="000000" w:sz="4" w:space="0"/>
            </w:tcBorders>
            <w:vAlign w:val="center"/>
          </w:tcPr>
          <w:p>
            <w:pPr>
              <w:pStyle w:val="280"/>
              <w:ind w:right="43"/>
              <w:jc w:val="center"/>
              <w:rPr>
                <w:rFonts w:ascii="宋体" w:hAnsi="宋体" w:cs="宋体"/>
                <w:sz w:val="21"/>
                <w:szCs w:val="21"/>
              </w:rPr>
            </w:pPr>
            <w:r>
              <w:rPr>
                <w:rFonts w:ascii="宋体" w:hAnsi="宋体" w:cs="宋体"/>
                <w:sz w:val="21"/>
                <w:szCs w:val="21"/>
              </w:rPr>
              <w:t>元</w:t>
            </w:r>
            <w:r>
              <w:rPr>
                <w:rFonts w:ascii="Arial" w:hAnsi="Arial" w:eastAsia="Arial" w:cs="Arial"/>
                <w:sz w:val="21"/>
                <w:szCs w:val="21"/>
              </w:rPr>
              <w:t>/</w:t>
            </w:r>
            <w:r>
              <w:rPr>
                <w:rFonts w:ascii="宋体" w:hAnsi="宋体" w:cs="宋体"/>
                <w:sz w:val="21"/>
                <w:szCs w:val="21"/>
              </w:rPr>
              <w:t>工日</w:t>
            </w:r>
          </w:p>
        </w:tc>
        <w:tc>
          <w:tcPr>
            <w:tcW w:w="6657" w:type="dxa"/>
            <w:gridSpan w:val="13"/>
            <w:tcBorders>
              <w:top w:val="single" w:color="000000" w:sz="4" w:space="0"/>
              <w:left w:val="single" w:color="000000" w:sz="4" w:space="0"/>
              <w:bottom w:val="single" w:color="000000" w:sz="4" w:space="0"/>
              <w:right w:val="single" w:color="000000" w:sz="4" w:space="0"/>
            </w:tcBorders>
            <w:vAlign w:val="center"/>
          </w:tcPr>
          <w:p>
            <w:pPr>
              <w:pStyle w:val="280"/>
              <w:ind w:right="43"/>
              <w:jc w:val="center"/>
              <w:rPr>
                <w:rFonts w:ascii="宋体" w:hAnsi="宋体" w:cs="宋体"/>
                <w:sz w:val="21"/>
                <w:szCs w:val="21"/>
              </w:rPr>
            </w:pPr>
            <w:r>
              <w:rPr>
                <w:rFonts w:ascii="Arial"/>
                <w:sz w:val="21"/>
              </w:rPr>
              <w:t>未计价材料费</w:t>
            </w:r>
          </w:p>
        </w:tc>
        <w:tc>
          <w:tcPr>
            <w:tcW w:w="5534" w:type="dxa"/>
            <w:gridSpan w:val="9"/>
            <w:tcBorders>
              <w:top w:val="single" w:color="000000" w:sz="4" w:space="0"/>
              <w:left w:val="single" w:color="000000" w:sz="4" w:space="0"/>
              <w:bottom w:val="single" w:color="000000" w:sz="4" w:space="0"/>
              <w:right w:val="single" w:color="000000" w:sz="4" w:space="0"/>
            </w:tcBorders>
          </w:tcPr>
          <w:p>
            <w:pPr>
              <w:rPr>
                <w:sz w:val="22"/>
              </w:rPr>
            </w:pPr>
          </w:p>
        </w:tc>
      </w:tr>
      <w:tr>
        <w:tblPrEx>
          <w:tblCellMar>
            <w:top w:w="0" w:type="dxa"/>
            <w:left w:w="0" w:type="dxa"/>
            <w:bottom w:w="0" w:type="dxa"/>
            <w:right w:w="0" w:type="dxa"/>
          </w:tblCellMar>
        </w:tblPrEx>
        <w:trPr>
          <w:trHeight w:val="431" w:hRule="exact"/>
        </w:trPr>
        <w:tc>
          <w:tcPr>
            <w:tcW w:w="8261" w:type="dxa"/>
            <w:gridSpan w:val="16"/>
            <w:tcBorders>
              <w:top w:val="single" w:color="000000" w:sz="4" w:space="0"/>
              <w:left w:val="single" w:color="000000" w:sz="4" w:space="0"/>
              <w:bottom w:val="single" w:color="000000" w:sz="4" w:space="0"/>
              <w:right w:val="single" w:color="000000" w:sz="4" w:space="0"/>
            </w:tcBorders>
            <w:vAlign w:val="center"/>
          </w:tcPr>
          <w:p>
            <w:pPr>
              <w:pStyle w:val="280"/>
              <w:ind w:right="43"/>
              <w:jc w:val="center"/>
              <w:rPr>
                <w:rFonts w:ascii="宋体" w:hAnsi="宋体" w:cs="宋体"/>
                <w:sz w:val="21"/>
                <w:szCs w:val="21"/>
              </w:rPr>
            </w:pPr>
            <w:r>
              <w:rPr>
                <w:rFonts w:ascii="Arial"/>
                <w:sz w:val="21"/>
              </w:rPr>
              <w:t>清单子目综合单价</w:t>
            </w:r>
          </w:p>
        </w:tc>
        <w:tc>
          <w:tcPr>
            <w:tcW w:w="5534" w:type="dxa"/>
            <w:gridSpan w:val="9"/>
            <w:tcBorders>
              <w:top w:val="single" w:color="000000" w:sz="4" w:space="0"/>
              <w:left w:val="single" w:color="000000" w:sz="4" w:space="0"/>
              <w:bottom w:val="single" w:color="000000" w:sz="4" w:space="0"/>
              <w:right w:val="single" w:color="000000" w:sz="4" w:space="0"/>
            </w:tcBorders>
          </w:tcPr>
          <w:p>
            <w:pPr>
              <w:rPr>
                <w:sz w:val="22"/>
              </w:rPr>
            </w:pPr>
          </w:p>
        </w:tc>
      </w:tr>
      <w:tr>
        <w:tblPrEx>
          <w:tblCellMar>
            <w:top w:w="0" w:type="dxa"/>
            <w:left w:w="0" w:type="dxa"/>
            <w:bottom w:w="0" w:type="dxa"/>
            <w:right w:w="0" w:type="dxa"/>
          </w:tblCellMar>
        </w:tblPrEx>
        <w:trPr>
          <w:trHeight w:val="281" w:hRule="exact"/>
        </w:trPr>
        <w:tc>
          <w:tcPr>
            <w:tcW w:w="755" w:type="dxa"/>
            <w:vMerge w:val="restart"/>
            <w:tcBorders>
              <w:top w:val="single" w:color="000000" w:sz="4" w:space="0"/>
              <w:left w:val="single" w:color="000000" w:sz="4" w:space="0"/>
              <w:right w:val="single" w:color="000000" w:sz="4" w:space="0"/>
            </w:tcBorders>
            <w:vAlign w:val="center"/>
          </w:tcPr>
          <w:p>
            <w:pPr>
              <w:pStyle w:val="280"/>
              <w:ind w:right="43"/>
              <w:jc w:val="center"/>
              <w:rPr>
                <w:rFonts w:ascii="宋体" w:hAnsi="宋体" w:cs="宋体"/>
                <w:sz w:val="21"/>
                <w:szCs w:val="21"/>
              </w:rPr>
            </w:pPr>
            <w:r>
              <w:rPr>
                <w:rFonts w:ascii="宋体" w:hAnsi="宋体" w:cs="宋体"/>
                <w:sz w:val="21"/>
                <w:szCs w:val="21"/>
              </w:rPr>
              <w:t xml:space="preserve">材 </w:t>
            </w:r>
          </w:p>
          <w:p>
            <w:pPr>
              <w:pStyle w:val="280"/>
              <w:ind w:right="43"/>
              <w:jc w:val="center"/>
              <w:rPr>
                <w:rFonts w:ascii="宋体" w:hAnsi="宋体" w:cs="宋体"/>
                <w:sz w:val="21"/>
                <w:szCs w:val="21"/>
              </w:rPr>
            </w:pPr>
            <w:r>
              <w:rPr>
                <w:rFonts w:ascii="宋体" w:hAnsi="宋体" w:cs="宋体"/>
                <w:sz w:val="21"/>
                <w:szCs w:val="21"/>
              </w:rPr>
              <w:t xml:space="preserve">料 </w:t>
            </w:r>
          </w:p>
          <w:p>
            <w:pPr>
              <w:pStyle w:val="280"/>
              <w:ind w:right="43"/>
              <w:jc w:val="center"/>
              <w:rPr>
                <w:rFonts w:ascii="宋体" w:hAnsi="宋体" w:cs="宋体"/>
                <w:sz w:val="21"/>
                <w:szCs w:val="21"/>
              </w:rPr>
            </w:pPr>
            <w:r>
              <w:rPr>
                <w:rFonts w:ascii="宋体" w:hAnsi="宋体" w:cs="宋体"/>
                <w:sz w:val="21"/>
                <w:szCs w:val="21"/>
              </w:rPr>
              <w:t xml:space="preserve">费 </w:t>
            </w:r>
          </w:p>
          <w:p>
            <w:pPr>
              <w:pStyle w:val="280"/>
              <w:ind w:right="43"/>
              <w:jc w:val="center"/>
              <w:rPr>
                <w:rFonts w:ascii="宋体" w:hAnsi="宋体" w:cs="宋体"/>
                <w:sz w:val="21"/>
                <w:szCs w:val="21"/>
              </w:rPr>
            </w:pPr>
            <w:r>
              <w:rPr>
                <w:rFonts w:ascii="宋体" w:hAnsi="宋体" w:cs="宋体"/>
                <w:sz w:val="21"/>
                <w:szCs w:val="21"/>
              </w:rPr>
              <w:t xml:space="preserve">明 </w:t>
            </w:r>
          </w:p>
          <w:p>
            <w:pPr>
              <w:pStyle w:val="280"/>
              <w:ind w:right="43"/>
              <w:jc w:val="center"/>
              <w:rPr>
                <w:rFonts w:ascii="宋体" w:hAnsi="宋体" w:cs="宋体"/>
                <w:sz w:val="21"/>
                <w:szCs w:val="21"/>
              </w:rPr>
            </w:pPr>
            <w:r>
              <w:rPr>
                <w:rFonts w:ascii="宋体" w:hAnsi="宋体" w:cs="宋体"/>
                <w:sz w:val="21"/>
                <w:szCs w:val="21"/>
              </w:rPr>
              <w:t>细</w:t>
            </w:r>
          </w:p>
        </w:tc>
        <w:tc>
          <w:tcPr>
            <w:tcW w:w="3242" w:type="dxa"/>
            <w:gridSpan w:val="7"/>
            <w:tcBorders>
              <w:top w:val="single" w:color="000000" w:sz="4" w:space="0"/>
              <w:left w:val="single" w:color="000000" w:sz="4" w:space="0"/>
              <w:bottom w:val="single" w:color="000000" w:sz="4" w:space="0"/>
              <w:right w:val="single" w:color="000000" w:sz="4" w:space="0"/>
            </w:tcBorders>
            <w:vAlign w:val="center"/>
          </w:tcPr>
          <w:p>
            <w:pPr>
              <w:pStyle w:val="280"/>
              <w:ind w:right="43"/>
              <w:jc w:val="center"/>
              <w:rPr>
                <w:rFonts w:ascii="宋体" w:hAnsi="宋体" w:cs="宋体"/>
                <w:sz w:val="21"/>
                <w:szCs w:val="21"/>
                <w:lang w:eastAsia="zh-CN"/>
              </w:rPr>
            </w:pPr>
            <w:r>
              <w:rPr>
                <w:rFonts w:ascii="宋体" w:hAnsi="宋体" w:cs="宋体"/>
                <w:sz w:val="21"/>
                <w:szCs w:val="21"/>
                <w:lang w:eastAsia="zh-CN"/>
              </w:rPr>
              <w:t>主要材料名称、规格、型号</w:t>
            </w:r>
          </w:p>
        </w:tc>
        <w:tc>
          <w:tcPr>
            <w:tcW w:w="3136" w:type="dxa"/>
            <w:gridSpan w:val="6"/>
            <w:tcBorders>
              <w:top w:val="single" w:color="000000" w:sz="4" w:space="0"/>
              <w:left w:val="single" w:color="000000" w:sz="4" w:space="0"/>
              <w:bottom w:val="single" w:color="000000" w:sz="4" w:space="0"/>
              <w:right w:val="single" w:color="000000" w:sz="4" w:space="0"/>
            </w:tcBorders>
            <w:vAlign w:val="center"/>
          </w:tcPr>
          <w:p>
            <w:pPr>
              <w:pStyle w:val="280"/>
              <w:ind w:right="43"/>
              <w:jc w:val="center"/>
              <w:rPr>
                <w:rFonts w:ascii="Arial"/>
                <w:sz w:val="21"/>
              </w:rPr>
            </w:pPr>
            <w:r>
              <w:rPr>
                <w:rFonts w:ascii="Arial"/>
                <w:sz w:val="21"/>
              </w:rPr>
              <w:t>单位</w:t>
            </w:r>
          </w:p>
        </w:tc>
        <w:tc>
          <w:tcPr>
            <w:tcW w:w="1128" w:type="dxa"/>
            <w:gridSpan w:val="2"/>
            <w:tcBorders>
              <w:top w:val="single" w:color="000000" w:sz="4" w:space="0"/>
              <w:left w:val="single" w:color="000000" w:sz="4" w:space="0"/>
              <w:bottom w:val="single" w:color="000000" w:sz="4" w:space="0"/>
              <w:right w:val="single" w:color="000000" w:sz="4" w:space="0"/>
            </w:tcBorders>
            <w:vAlign w:val="center"/>
          </w:tcPr>
          <w:p>
            <w:pPr>
              <w:pStyle w:val="280"/>
              <w:ind w:right="43"/>
              <w:jc w:val="center"/>
              <w:rPr>
                <w:rFonts w:ascii="宋体" w:hAnsi="宋体" w:cs="宋体"/>
                <w:sz w:val="21"/>
                <w:szCs w:val="21"/>
              </w:rPr>
            </w:pPr>
            <w:r>
              <w:rPr>
                <w:rFonts w:hint="eastAsia" w:ascii="宋体" w:hAnsi="宋体" w:cs="宋体"/>
                <w:sz w:val="21"/>
                <w:szCs w:val="21"/>
                <w:lang w:eastAsia="zh-CN"/>
              </w:rPr>
              <w:t>数量</w:t>
            </w:r>
          </w:p>
        </w:tc>
        <w:tc>
          <w:tcPr>
            <w:tcW w:w="714" w:type="dxa"/>
            <w:gridSpan w:val="2"/>
            <w:tcBorders>
              <w:top w:val="single" w:color="000000" w:sz="4" w:space="0"/>
              <w:left w:val="single" w:color="000000" w:sz="4" w:space="0"/>
              <w:bottom w:val="single" w:color="000000" w:sz="4" w:space="0"/>
              <w:right w:val="single" w:color="000000" w:sz="4" w:space="0"/>
            </w:tcBorders>
            <w:vAlign w:val="center"/>
          </w:tcPr>
          <w:p>
            <w:pPr>
              <w:pStyle w:val="280"/>
              <w:ind w:right="43"/>
              <w:jc w:val="center"/>
              <w:rPr>
                <w:rFonts w:ascii="宋体" w:hAnsi="宋体" w:cs="宋体"/>
                <w:sz w:val="21"/>
                <w:szCs w:val="21"/>
              </w:rPr>
            </w:pPr>
            <w:r>
              <w:rPr>
                <w:rFonts w:ascii="宋体" w:hAnsi="宋体" w:cs="宋体"/>
                <w:sz w:val="21"/>
                <w:szCs w:val="21"/>
              </w:rPr>
              <w:t>单价</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pStyle w:val="280"/>
              <w:ind w:right="43"/>
              <w:jc w:val="center"/>
              <w:rPr>
                <w:rFonts w:ascii="宋体" w:hAnsi="宋体" w:cs="宋体"/>
                <w:sz w:val="21"/>
                <w:szCs w:val="21"/>
              </w:rPr>
            </w:pPr>
            <w:r>
              <w:rPr>
                <w:rFonts w:ascii="宋体" w:hAnsi="宋体" w:cs="宋体"/>
                <w:sz w:val="21"/>
                <w:szCs w:val="21"/>
              </w:rPr>
              <w:t>合价</w:t>
            </w:r>
          </w:p>
        </w:tc>
        <w:tc>
          <w:tcPr>
            <w:tcW w:w="1559" w:type="dxa"/>
            <w:gridSpan w:val="2"/>
            <w:tcBorders>
              <w:top w:val="single" w:color="000000" w:sz="4" w:space="0"/>
              <w:left w:val="single" w:color="000000" w:sz="4" w:space="0"/>
              <w:bottom w:val="single" w:color="000000" w:sz="4" w:space="0"/>
              <w:right w:val="single" w:color="000000" w:sz="4" w:space="0"/>
            </w:tcBorders>
            <w:vAlign w:val="center"/>
          </w:tcPr>
          <w:p>
            <w:pPr>
              <w:pStyle w:val="280"/>
              <w:ind w:right="43"/>
              <w:jc w:val="center"/>
              <w:rPr>
                <w:rFonts w:ascii="Arial" w:hAnsi="Arial" w:eastAsia="Arial" w:cs="Arial"/>
                <w:sz w:val="21"/>
                <w:szCs w:val="21"/>
              </w:rPr>
            </w:pPr>
            <w:r>
              <w:rPr>
                <w:rFonts w:ascii="Arial"/>
                <w:sz w:val="21"/>
              </w:rPr>
              <w:t>暂估单价</w:t>
            </w:r>
            <w:r>
              <w:rPr>
                <w:rFonts w:ascii="Arial" w:hAnsi="Arial" w:eastAsia="Arial" w:cs="Arial"/>
                <w:sz w:val="21"/>
                <w:szCs w:val="21"/>
              </w:rPr>
              <w:t>(</w:t>
            </w:r>
            <w:r>
              <w:rPr>
                <w:rFonts w:ascii="宋体" w:hAnsi="宋体" w:cs="宋体"/>
                <w:sz w:val="21"/>
                <w:szCs w:val="21"/>
              </w:rPr>
              <w:t>元</w:t>
            </w:r>
            <w:r>
              <w:rPr>
                <w:rFonts w:ascii="Arial" w:hAnsi="Arial" w:eastAsia="Arial" w:cs="Arial"/>
                <w:sz w:val="21"/>
                <w:szCs w:val="21"/>
              </w:rPr>
              <w:t>)</w:t>
            </w:r>
          </w:p>
        </w:tc>
        <w:tc>
          <w:tcPr>
            <w:tcW w:w="2410" w:type="dxa"/>
            <w:gridSpan w:val="3"/>
            <w:tcBorders>
              <w:top w:val="single" w:color="000000" w:sz="4" w:space="0"/>
              <w:left w:val="single" w:color="000000" w:sz="4" w:space="0"/>
              <w:bottom w:val="single" w:color="000000" w:sz="4" w:space="0"/>
              <w:right w:val="single" w:color="000000" w:sz="4" w:space="0"/>
            </w:tcBorders>
            <w:vAlign w:val="center"/>
          </w:tcPr>
          <w:p>
            <w:pPr>
              <w:pStyle w:val="280"/>
              <w:ind w:right="43"/>
              <w:jc w:val="center"/>
              <w:rPr>
                <w:rFonts w:ascii="Arial" w:hAnsi="Arial" w:eastAsia="Arial" w:cs="Arial"/>
                <w:sz w:val="21"/>
                <w:szCs w:val="21"/>
              </w:rPr>
            </w:pPr>
            <w:r>
              <w:rPr>
                <w:rFonts w:ascii="Arial"/>
                <w:sz w:val="21"/>
              </w:rPr>
              <w:t>暂估合价</w:t>
            </w:r>
            <w:r>
              <w:rPr>
                <w:rFonts w:ascii="Arial" w:hAnsi="Arial" w:eastAsia="Arial" w:cs="Arial"/>
                <w:sz w:val="21"/>
                <w:szCs w:val="21"/>
              </w:rPr>
              <w:t>(</w:t>
            </w:r>
            <w:r>
              <w:rPr>
                <w:rFonts w:ascii="宋体" w:hAnsi="宋体" w:cs="宋体"/>
                <w:sz w:val="21"/>
                <w:szCs w:val="21"/>
              </w:rPr>
              <w:t>元</w:t>
            </w:r>
            <w:r>
              <w:rPr>
                <w:rFonts w:ascii="Arial" w:hAnsi="Arial" w:eastAsia="Arial" w:cs="Arial"/>
                <w:sz w:val="21"/>
                <w:szCs w:val="21"/>
              </w:rPr>
              <w:t>)</w:t>
            </w:r>
          </w:p>
        </w:tc>
      </w:tr>
      <w:tr>
        <w:tblPrEx>
          <w:tblCellMar>
            <w:top w:w="0" w:type="dxa"/>
            <w:left w:w="0" w:type="dxa"/>
            <w:bottom w:w="0" w:type="dxa"/>
            <w:right w:w="0" w:type="dxa"/>
          </w:tblCellMar>
        </w:tblPrEx>
        <w:trPr>
          <w:trHeight w:val="266" w:hRule="exact"/>
        </w:trPr>
        <w:tc>
          <w:tcPr>
            <w:tcW w:w="755" w:type="dxa"/>
            <w:vMerge w:val="continue"/>
            <w:tcBorders>
              <w:left w:val="single" w:color="000000" w:sz="4" w:space="0"/>
              <w:right w:val="single" w:color="000000" w:sz="4" w:space="0"/>
            </w:tcBorders>
          </w:tcPr>
          <w:p>
            <w:pPr>
              <w:rPr>
                <w:sz w:val="22"/>
              </w:rPr>
            </w:pPr>
          </w:p>
        </w:tc>
        <w:tc>
          <w:tcPr>
            <w:tcW w:w="3242" w:type="dxa"/>
            <w:gridSpan w:val="7"/>
            <w:tcBorders>
              <w:top w:val="single" w:color="000000" w:sz="4" w:space="0"/>
              <w:left w:val="single" w:color="000000" w:sz="4" w:space="0"/>
              <w:bottom w:val="single" w:color="000000" w:sz="4" w:space="0"/>
              <w:right w:val="single" w:color="000000" w:sz="4" w:space="0"/>
            </w:tcBorders>
          </w:tcPr>
          <w:p>
            <w:pPr>
              <w:rPr>
                <w:sz w:val="22"/>
              </w:rPr>
            </w:pPr>
          </w:p>
        </w:tc>
        <w:tc>
          <w:tcPr>
            <w:tcW w:w="3136" w:type="dxa"/>
            <w:gridSpan w:val="6"/>
            <w:tcBorders>
              <w:top w:val="single" w:color="000000" w:sz="4" w:space="0"/>
              <w:left w:val="single" w:color="000000" w:sz="4" w:space="0"/>
              <w:bottom w:val="single" w:color="000000" w:sz="4" w:space="0"/>
              <w:right w:val="single" w:color="000000" w:sz="4" w:space="0"/>
            </w:tcBorders>
          </w:tcPr>
          <w:p>
            <w:pPr>
              <w:rPr>
                <w:sz w:val="22"/>
              </w:rPr>
            </w:pPr>
          </w:p>
        </w:tc>
        <w:tc>
          <w:tcPr>
            <w:tcW w:w="1128" w:type="dxa"/>
            <w:gridSpan w:val="2"/>
            <w:tcBorders>
              <w:top w:val="single" w:color="000000" w:sz="4" w:space="0"/>
              <w:left w:val="single" w:color="000000" w:sz="4" w:space="0"/>
              <w:bottom w:val="single" w:color="000000" w:sz="4" w:space="0"/>
              <w:right w:val="single" w:color="000000" w:sz="4" w:space="0"/>
            </w:tcBorders>
          </w:tcPr>
          <w:p>
            <w:pPr>
              <w:rPr>
                <w:sz w:val="22"/>
              </w:rPr>
            </w:pPr>
          </w:p>
        </w:tc>
        <w:tc>
          <w:tcPr>
            <w:tcW w:w="714" w:type="dxa"/>
            <w:gridSpan w:val="2"/>
            <w:tcBorders>
              <w:top w:val="single" w:color="000000" w:sz="4" w:space="0"/>
              <w:left w:val="single" w:color="000000" w:sz="4" w:space="0"/>
              <w:bottom w:val="single" w:color="000000" w:sz="4" w:space="0"/>
              <w:right w:val="single" w:color="000000" w:sz="4" w:space="0"/>
            </w:tcBorders>
          </w:tcPr>
          <w:p>
            <w:pPr>
              <w:rPr>
                <w:sz w:val="22"/>
              </w:rPr>
            </w:pPr>
          </w:p>
        </w:tc>
        <w:tc>
          <w:tcPr>
            <w:tcW w:w="851" w:type="dxa"/>
            <w:gridSpan w:val="2"/>
            <w:tcBorders>
              <w:top w:val="single" w:color="000000" w:sz="4" w:space="0"/>
              <w:left w:val="single" w:color="000000" w:sz="4" w:space="0"/>
              <w:bottom w:val="single" w:color="000000" w:sz="4" w:space="0"/>
              <w:right w:val="single" w:color="000000" w:sz="4" w:space="0"/>
            </w:tcBorders>
          </w:tcPr>
          <w:p>
            <w:pPr>
              <w:rPr>
                <w:sz w:val="22"/>
              </w:rPr>
            </w:pPr>
          </w:p>
        </w:tc>
        <w:tc>
          <w:tcPr>
            <w:tcW w:w="1559" w:type="dxa"/>
            <w:gridSpan w:val="2"/>
            <w:tcBorders>
              <w:top w:val="single" w:color="000000" w:sz="4" w:space="0"/>
              <w:left w:val="single" w:color="000000" w:sz="4" w:space="0"/>
              <w:bottom w:val="single" w:color="000000" w:sz="4" w:space="0"/>
              <w:right w:val="single" w:color="000000" w:sz="4" w:space="0"/>
            </w:tcBorders>
          </w:tcPr>
          <w:p>
            <w:pPr>
              <w:rPr>
                <w:sz w:val="22"/>
              </w:rPr>
            </w:pPr>
          </w:p>
        </w:tc>
        <w:tc>
          <w:tcPr>
            <w:tcW w:w="2410" w:type="dxa"/>
            <w:gridSpan w:val="3"/>
            <w:tcBorders>
              <w:top w:val="single" w:color="000000" w:sz="4" w:space="0"/>
              <w:left w:val="single" w:color="000000" w:sz="4" w:space="0"/>
              <w:bottom w:val="single" w:color="000000" w:sz="4" w:space="0"/>
              <w:right w:val="single" w:color="000000" w:sz="4" w:space="0"/>
            </w:tcBorders>
          </w:tcPr>
          <w:p>
            <w:pPr>
              <w:rPr>
                <w:sz w:val="22"/>
              </w:rPr>
            </w:pPr>
          </w:p>
        </w:tc>
      </w:tr>
      <w:tr>
        <w:tblPrEx>
          <w:tblCellMar>
            <w:top w:w="0" w:type="dxa"/>
            <w:left w:w="0" w:type="dxa"/>
            <w:bottom w:w="0" w:type="dxa"/>
            <w:right w:w="0" w:type="dxa"/>
          </w:tblCellMar>
        </w:tblPrEx>
        <w:trPr>
          <w:trHeight w:val="302" w:hRule="exact"/>
        </w:trPr>
        <w:tc>
          <w:tcPr>
            <w:tcW w:w="755" w:type="dxa"/>
            <w:vMerge w:val="continue"/>
            <w:tcBorders>
              <w:left w:val="single" w:color="000000" w:sz="4" w:space="0"/>
              <w:right w:val="single" w:color="000000" w:sz="4" w:space="0"/>
            </w:tcBorders>
          </w:tcPr>
          <w:p>
            <w:pPr>
              <w:rPr>
                <w:sz w:val="22"/>
              </w:rPr>
            </w:pPr>
          </w:p>
        </w:tc>
        <w:tc>
          <w:tcPr>
            <w:tcW w:w="3242" w:type="dxa"/>
            <w:gridSpan w:val="7"/>
            <w:tcBorders>
              <w:top w:val="single" w:color="000000" w:sz="4" w:space="0"/>
              <w:left w:val="single" w:color="000000" w:sz="4" w:space="0"/>
              <w:bottom w:val="single" w:color="000000" w:sz="4" w:space="0"/>
              <w:right w:val="single" w:color="000000" w:sz="4" w:space="0"/>
            </w:tcBorders>
          </w:tcPr>
          <w:p>
            <w:pPr>
              <w:rPr>
                <w:sz w:val="22"/>
              </w:rPr>
            </w:pPr>
          </w:p>
        </w:tc>
        <w:tc>
          <w:tcPr>
            <w:tcW w:w="3136" w:type="dxa"/>
            <w:gridSpan w:val="6"/>
            <w:tcBorders>
              <w:top w:val="single" w:color="000000" w:sz="4" w:space="0"/>
              <w:left w:val="single" w:color="000000" w:sz="4" w:space="0"/>
              <w:bottom w:val="single" w:color="000000" w:sz="4" w:space="0"/>
              <w:right w:val="single" w:color="000000" w:sz="4" w:space="0"/>
            </w:tcBorders>
          </w:tcPr>
          <w:p>
            <w:pPr>
              <w:rPr>
                <w:sz w:val="22"/>
              </w:rPr>
            </w:pPr>
          </w:p>
        </w:tc>
        <w:tc>
          <w:tcPr>
            <w:tcW w:w="1128" w:type="dxa"/>
            <w:gridSpan w:val="2"/>
            <w:tcBorders>
              <w:top w:val="single" w:color="000000" w:sz="4" w:space="0"/>
              <w:left w:val="single" w:color="000000" w:sz="4" w:space="0"/>
              <w:bottom w:val="single" w:color="000000" w:sz="4" w:space="0"/>
              <w:right w:val="single" w:color="000000" w:sz="4" w:space="0"/>
            </w:tcBorders>
          </w:tcPr>
          <w:p>
            <w:pPr>
              <w:rPr>
                <w:sz w:val="22"/>
              </w:rPr>
            </w:pPr>
          </w:p>
        </w:tc>
        <w:tc>
          <w:tcPr>
            <w:tcW w:w="714" w:type="dxa"/>
            <w:gridSpan w:val="2"/>
            <w:tcBorders>
              <w:top w:val="single" w:color="000000" w:sz="4" w:space="0"/>
              <w:left w:val="single" w:color="000000" w:sz="4" w:space="0"/>
              <w:bottom w:val="single" w:color="000000" w:sz="4" w:space="0"/>
              <w:right w:val="single" w:color="000000" w:sz="4" w:space="0"/>
            </w:tcBorders>
          </w:tcPr>
          <w:p>
            <w:pPr>
              <w:rPr>
                <w:sz w:val="22"/>
              </w:rPr>
            </w:pPr>
          </w:p>
        </w:tc>
        <w:tc>
          <w:tcPr>
            <w:tcW w:w="851" w:type="dxa"/>
            <w:gridSpan w:val="2"/>
            <w:tcBorders>
              <w:top w:val="single" w:color="000000" w:sz="4" w:space="0"/>
              <w:left w:val="single" w:color="000000" w:sz="4" w:space="0"/>
              <w:bottom w:val="single" w:color="000000" w:sz="4" w:space="0"/>
              <w:right w:val="single" w:color="000000" w:sz="4" w:space="0"/>
            </w:tcBorders>
          </w:tcPr>
          <w:p>
            <w:pPr>
              <w:rPr>
                <w:sz w:val="22"/>
              </w:rPr>
            </w:pPr>
          </w:p>
        </w:tc>
        <w:tc>
          <w:tcPr>
            <w:tcW w:w="1559" w:type="dxa"/>
            <w:gridSpan w:val="2"/>
            <w:tcBorders>
              <w:top w:val="single" w:color="000000" w:sz="4" w:space="0"/>
              <w:left w:val="single" w:color="000000" w:sz="4" w:space="0"/>
              <w:bottom w:val="single" w:color="000000" w:sz="4" w:space="0"/>
              <w:right w:val="single" w:color="000000" w:sz="4" w:space="0"/>
            </w:tcBorders>
          </w:tcPr>
          <w:p>
            <w:pPr>
              <w:rPr>
                <w:sz w:val="22"/>
              </w:rPr>
            </w:pPr>
          </w:p>
        </w:tc>
        <w:tc>
          <w:tcPr>
            <w:tcW w:w="2410" w:type="dxa"/>
            <w:gridSpan w:val="3"/>
            <w:tcBorders>
              <w:top w:val="single" w:color="000000" w:sz="4" w:space="0"/>
              <w:left w:val="single" w:color="000000" w:sz="4" w:space="0"/>
              <w:bottom w:val="single" w:color="000000" w:sz="4" w:space="0"/>
              <w:right w:val="single" w:color="000000" w:sz="4" w:space="0"/>
            </w:tcBorders>
          </w:tcPr>
          <w:p>
            <w:pPr>
              <w:rPr>
                <w:sz w:val="22"/>
              </w:rPr>
            </w:pPr>
          </w:p>
        </w:tc>
      </w:tr>
      <w:tr>
        <w:tblPrEx>
          <w:tblCellMar>
            <w:top w:w="0" w:type="dxa"/>
            <w:left w:w="0" w:type="dxa"/>
            <w:bottom w:w="0" w:type="dxa"/>
            <w:right w:w="0" w:type="dxa"/>
          </w:tblCellMar>
        </w:tblPrEx>
        <w:trPr>
          <w:trHeight w:val="293" w:hRule="exact"/>
        </w:trPr>
        <w:tc>
          <w:tcPr>
            <w:tcW w:w="755" w:type="dxa"/>
            <w:vMerge w:val="continue"/>
            <w:tcBorders>
              <w:left w:val="single" w:color="000000" w:sz="4" w:space="0"/>
              <w:right w:val="single" w:color="000000" w:sz="4" w:space="0"/>
            </w:tcBorders>
          </w:tcPr>
          <w:p>
            <w:pPr>
              <w:rPr>
                <w:sz w:val="22"/>
              </w:rPr>
            </w:pPr>
          </w:p>
        </w:tc>
        <w:tc>
          <w:tcPr>
            <w:tcW w:w="7506" w:type="dxa"/>
            <w:gridSpan w:val="15"/>
            <w:tcBorders>
              <w:top w:val="single" w:color="000000" w:sz="4" w:space="0"/>
              <w:left w:val="single" w:color="000000" w:sz="4" w:space="0"/>
              <w:bottom w:val="single" w:color="000000" w:sz="4" w:space="0"/>
              <w:right w:val="single" w:color="000000" w:sz="4" w:space="0"/>
            </w:tcBorders>
            <w:vAlign w:val="center"/>
          </w:tcPr>
          <w:p>
            <w:pPr>
              <w:pStyle w:val="280"/>
              <w:ind w:right="43"/>
              <w:jc w:val="center"/>
              <w:rPr>
                <w:rFonts w:ascii="宋体" w:hAnsi="宋体" w:cs="宋体"/>
                <w:sz w:val="21"/>
                <w:szCs w:val="21"/>
              </w:rPr>
            </w:pPr>
            <w:r>
              <w:rPr>
                <w:rFonts w:ascii="宋体" w:hAnsi="宋体" w:cs="宋体"/>
                <w:sz w:val="21"/>
                <w:szCs w:val="21"/>
                <w:lang w:eastAsia="zh-CN"/>
              </w:rPr>
              <w:t>其他材料费</w:t>
            </w:r>
          </w:p>
        </w:tc>
        <w:tc>
          <w:tcPr>
            <w:tcW w:w="714" w:type="dxa"/>
            <w:gridSpan w:val="2"/>
            <w:tcBorders>
              <w:top w:val="single" w:color="000000" w:sz="4" w:space="0"/>
              <w:left w:val="single" w:color="000000" w:sz="4" w:space="0"/>
              <w:bottom w:val="single" w:color="000000" w:sz="4" w:space="0"/>
              <w:right w:val="single" w:color="000000" w:sz="4" w:space="0"/>
            </w:tcBorders>
          </w:tcPr>
          <w:p>
            <w:pPr>
              <w:rPr>
                <w:sz w:val="22"/>
              </w:rPr>
            </w:pPr>
          </w:p>
        </w:tc>
        <w:tc>
          <w:tcPr>
            <w:tcW w:w="851" w:type="dxa"/>
            <w:gridSpan w:val="2"/>
            <w:tcBorders>
              <w:top w:val="single" w:color="000000" w:sz="4" w:space="0"/>
              <w:left w:val="single" w:color="000000" w:sz="4" w:space="0"/>
              <w:bottom w:val="single" w:color="000000" w:sz="4" w:space="0"/>
              <w:right w:val="single" w:color="000000" w:sz="4" w:space="0"/>
            </w:tcBorders>
          </w:tcPr>
          <w:p>
            <w:pPr>
              <w:rPr>
                <w:sz w:val="22"/>
              </w:rPr>
            </w:pPr>
          </w:p>
        </w:tc>
        <w:tc>
          <w:tcPr>
            <w:tcW w:w="1559" w:type="dxa"/>
            <w:gridSpan w:val="2"/>
            <w:tcBorders>
              <w:top w:val="single" w:color="000000" w:sz="4" w:space="0"/>
              <w:left w:val="single" w:color="000000" w:sz="4" w:space="0"/>
              <w:bottom w:val="single" w:color="000000" w:sz="4" w:space="0"/>
              <w:right w:val="single" w:color="000000" w:sz="4" w:space="0"/>
            </w:tcBorders>
          </w:tcPr>
          <w:p>
            <w:pPr>
              <w:rPr>
                <w:sz w:val="22"/>
              </w:rPr>
            </w:pPr>
          </w:p>
        </w:tc>
        <w:tc>
          <w:tcPr>
            <w:tcW w:w="2410" w:type="dxa"/>
            <w:gridSpan w:val="3"/>
            <w:tcBorders>
              <w:top w:val="single" w:color="000000" w:sz="4" w:space="0"/>
              <w:left w:val="single" w:color="000000" w:sz="4" w:space="0"/>
              <w:bottom w:val="single" w:color="000000" w:sz="4" w:space="0"/>
              <w:right w:val="single" w:color="000000" w:sz="4" w:space="0"/>
            </w:tcBorders>
          </w:tcPr>
          <w:p>
            <w:pPr>
              <w:rPr>
                <w:sz w:val="22"/>
              </w:rPr>
            </w:pPr>
          </w:p>
        </w:tc>
      </w:tr>
      <w:tr>
        <w:tblPrEx>
          <w:tblCellMar>
            <w:top w:w="0" w:type="dxa"/>
            <w:left w:w="0" w:type="dxa"/>
            <w:bottom w:w="0" w:type="dxa"/>
            <w:right w:w="0" w:type="dxa"/>
          </w:tblCellMar>
        </w:tblPrEx>
        <w:trPr>
          <w:trHeight w:val="406" w:hRule="exact"/>
        </w:trPr>
        <w:tc>
          <w:tcPr>
            <w:tcW w:w="755" w:type="dxa"/>
            <w:vMerge w:val="continue"/>
            <w:tcBorders>
              <w:left w:val="single" w:color="000000" w:sz="4" w:space="0"/>
              <w:right w:val="single" w:color="000000" w:sz="4" w:space="0"/>
            </w:tcBorders>
          </w:tcPr>
          <w:p>
            <w:pPr>
              <w:rPr>
                <w:sz w:val="22"/>
              </w:rPr>
            </w:pPr>
          </w:p>
        </w:tc>
        <w:tc>
          <w:tcPr>
            <w:tcW w:w="7506" w:type="dxa"/>
            <w:gridSpan w:val="15"/>
            <w:tcBorders>
              <w:top w:val="single" w:color="000000" w:sz="4" w:space="0"/>
              <w:left w:val="single" w:color="000000" w:sz="4" w:space="0"/>
              <w:bottom w:val="single" w:color="000000" w:sz="4" w:space="0"/>
              <w:right w:val="single" w:color="000000" w:sz="4" w:space="0"/>
            </w:tcBorders>
            <w:vAlign w:val="center"/>
          </w:tcPr>
          <w:p>
            <w:pPr>
              <w:pStyle w:val="280"/>
              <w:ind w:right="43"/>
              <w:jc w:val="center"/>
              <w:rPr>
                <w:rFonts w:ascii="宋体" w:hAnsi="宋体" w:cs="宋体"/>
                <w:sz w:val="21"/>
                <w:szCs w:val="21"/>
              </w:rPr>
            </w:pPr>
            <w:r>
              <w:rPr>
                <w:rFonts w:ascii="宋体" w:hAnsi="宋体" w:cs="宋体"/>
                <w:sz w:val="21"/>
                <w:szCs w:val="21"/>
              </w:rPr>
              <w:t>材料费小计</w:t>
            </w:r>
          </w:p>
        </w:tc>
        <w:tc>
          <w:tcPr>
            <w:tcW w:w="714" w:type="dxa"/>
            <w:gridSpan w:val="2"/>
            <w:tcBorders>
              <w:top w:val="single" w:color="000000" w:sz="4" w:space="0"/>
              <w:left w:val="single" w:color="000000" w:sz="4" w:space="0"/>
              <w:bottom w:val="single" w:color="000000" w:sz="4" w:space="0"/>
              <w:right w:val="single" w:color="000000" w:sz="4" w:space="0"/>
            </w:tcBorders>
          </w:tcPr>
          <w:p>
            <w:pPr>
              <w:rPr>
                <w:sz w:val="22"/>
              </w:rPr>
            </w:pPr>
          </w:p>
        </w:tc>
        <w:tc>
          <w:tcPr>
            <w:tcW w:w="851" w:type="dxa"/>
            <w:gridSpan w:val="2"/>
            <w:tcBorders>
              <w:top w:val="single" w:color="000000" w:sz="4" w:space="0"/>
              <w:left w:val="single" w:color="000000" w:sz="4" w:space="0"/>
              <w:bottom w:val="single" w:color="000000" w:sz="4" w:space="0"/>
              <w:right w:val="single" w:color="000000" w:sz="4" w:space="0"/>
            </w:tcBorders>
          </w:tcPr>
          <w:p>
            <w:pPr>
              <w:rPr>
                <w:sz w:val="22"/>
              </w:rPr>
            </w:pPr>
          </w:p>
        </w:tc>
        <w:tc>
          <w:tcPr>
            <w:tcW w:w="1559" w:type="dxa"/>
            <w:gridSpan w:val="2"/>
            <w:tcBorders>
              <w:top w:val="single" w:color="000000" w:sz="4" w:space="0"/>
              <w:left w:val="single" w:color="000000" w:sz="4" w:space="0"/>
              <w:bottom w:val="single" w:color="000000" w:sz="4" w:space="0"/>
              <w:right w:val="single" w:color="000000" w:sz="4" w:space="0"/>
            </w:tcBorders>
          </w:tcPr>
          <w:p>
            <w:pPr>
              <w:rPr>
                <w:sz w:val="22"/>
              </w:rPr>
            </w:pPr>
          </w:p>
        </w:tc>
        <w:tc>
          <w:tcPr>
            <w:tcW w:w="2410" w:type="dxa"/>
            <w:gridSpan w:val="3"/>
            <w:tcBorders>
              <w:top w:val="single" w:color="000000" w:sz="4" w:space="0"/>
              <w:left w:val="single" w:color="000000" w:sz="4" w:space="0"/>
              <w:bottom w:val="single" w:color="000000" w:sz="4" w:space="0"/>
              <w:right w:val="single" w:color="000000" w:sz="4" w:space="0"/>
            </w:tcBorders>
          </w:tcPr>
          <w:p>
            <w:pPr>
              <w:rPr>
                <w:sz w:val="22"/>
              </w:rPr>
            </w:pPr>
          </w:p>
        </w:tc>
      </w:tr>
      <w:tr>
        <w:tblPrEx>
          <w:tblCellMar>
            <w:top w:w="0" w:type="dxa"/>
            <w:left w:w="0" w:type="dxa"/>
            <w:bottom w:w="0" w:type="dxa"/>
            <w:right w:w="0" w:type="dxa"/>
          </w:tblCellMar>
        </w:tblPrEx>
        <w:trPr>
          <w:trHeight w:val="441" w:hRule="exact"/>
        </w:trPr>
        <w:tc>
          <w:tcPr>
            <w:tcW w:w="755" w:type="dxa"/>
            <w:vMerge w:val="continue"/>
            <w:tcBorders>
              <w:left w:val="single" w:color="000000" w:sz="4" w:space="0"/>
              <w:bottom w:val="single" w:color="000000" w:sz="4" w:space="0"/>
              <w:right w:val="single" w:color="000000" w:sz="4" w:space="0"/>
            </w:tcBorders>
          </w:tcPr>
          <w:p>
            <w:pPr>
              <w:rPr>
                <w:sz w:val="22"/>
              </w:rPr>
            </w:pPr>
          </w:p>
        </w:tc>
        <w:tc>
          <w:tcPr>
            <w:tcW w:w="7506" w:type="dxa"/>
            <w:gridSpan w:val="15"/>
            <w:tcBorders>
              <w:top w:val="single" w:color="000000" w:sz="4" w:space="0"/>
              <w:left w:val="single" w:color="000000" w:sz="4" w:space="0"/>
              <w:bottom w:val="single" w:color="000000" w:sz="4" w:space="0"/>
              <w:right w:val="single" w:color="000000" w:sz="4" w:space="0"/>
            </w:tcBorders>
            <w:vAlign w:val="center"/>
          </w:tcPr>
          <w:p>
            <w:pPr>
              <w:pStyle w:val="280"/>
              <w:ind w:right="43"/>
              <w:jc w:val="center"/>
              <w:rPr>
                <w:rFonts w:ascii="宋体" w:hAnsi="宋体" w:cs="宋体"/>
                <w:sz w:val="21"/>
                <w:szCs w:val="21"/>
                <w:lang w:eastAsia="zh-CN"/>
              </w:rPr>
            </w:pPr>
            <w:r>
              <w:rPr>
                <w:rFonts w:hint="eastAsia" w:ascii="宋体" w:hAnsi="宋体" w:cs="宋体"/>
                <w:sz w:val="21"/>
                <w:szCs w:val="21"/>
                <w:lang w:eastAsia="zh-CN"/>
              </w:rPr>
              <w:t>其中：工程设备费小计</w:t>
            </w:r>
          </w:p>
        </w:tc>
        <w:tc>
          <w:tcPr>
            <w:tcW w:w="714" w:type="dxa"/>
            <w:gridSpan w:val="2"/>
            <w:tcBorders>
              <w:top w:val="single" w:color="000000" w:sz="4" w:space="0"/>
              <w:left w:val="single" w:color="000000" w:sz="4" w:space="0"/>
              <w:bottom w:val="single" w:color="000000" w:sz="4" w:space="0"/>
              <w:right w:val="single" w:color="000000" w:sz="4" w:space="0"/>
            </w:tcBorders>
          </w:tcPr>
          <w:p>
            <w:pPr>
              <w:rPr>
                <w:sz w:val="22"/>
              </w:rPr>
            </w:pPr>
          </w:p>
        </w:tc>
        <w:tc>
          <w:tcPr>
            <w:tcW w:w="851" w:type="dxa"/>
            <w:gridSpan w:val="2"/>
            <w:tcBorders>
              <w:top w:val="single" w:color="000000" w:sz="4" w:space="0"/>
              <w:left w:val="single" w:color="000000" w:sz="4" w:space="0"/>
              <w:bottom w:val="single" w:color="000000" w:sz="4" w:space="0"/>
              <w:right w:val="single" w:color="000000" w:sz="4" w:space="0"/>
            </w:tcBorders>
          </w:tcPr>
          <w:p>
            <w:pPr>
              <w:rPr>
                <w:sz w:val="22"/>
              </w:rPr>
            </w:pPr>
          </w:p>
        </w:tc>
        <w:tc>
          <w:tcPr>
            <w:tcW w:w="1559" w:type="dxa"/>
            <w:gridSpan w:val="2"/>
            <w:tcBorders>
              <w:top w:val="single" w:color="000000" w:sz="4" w:space="0"/>
              <w:left w:val="single" w:color="000000" w:sz="4" w:space="0"/>
              <w:bottom w:val="single" w:color="000000" w:sz="4" w:space="0"/>
              <w:right w:val="single" w:color="000000" w:sz="4" w:space="0"/>
            </w:tcBorders>
          </w:tcPr>
          <w:p>
            <w:pPr>
              <w:rPr>
                <w:sz w:val="22"/>
              </w:rPr>
            </w:pPr>
          </w:p>
        </w:tc>
        <w:tc>
          <w:tcPr>
            <w:tcW w:w="2410" w:type="dxa"/>
            <w:gridSpan w:val="3"/>
            <w:tcBorders>
              <w:top w:val="single" w:color="000000" w:sz="4" w:space="0"/>
              <w:left w:val="single" w:color="000000" w:sz="4" w:space="0"/>
              <w:bottom w:val="single" w:color="000000" w:sz="4" w:space="0"/>
              <w:right w:val="single" w:color="000000" w:sz="4" w:space="0"/>
            </w:tcBorders>
          </w:tcPr>
          <w:p>
            <w:pPr>
              <w:rPr>
                <w:sz w:val="22"/>
              </w:rPr>
            </w:pPr>
          </w:p>
        </w:tc>
      </w:tr>
    </w:tbl>
    <w:p>
      <w:pPr>
        <w:tabs>
          <w:tab w:val="left" w:pos="720"/>
        </w:tabs>
        <w:spacing w:after="120" w:afterLines="50" w:line="300" w:lineRule="auto"/>
        <w:rPr>
          <w:rFonts w:ascii="Arial" w:hAnsi="Arial" w:cs="Arial"/>
        </w:rPr>
      </w:pPr>
      <w:r>
        <w:rPr>
          <w:rFonts w:ascii="Arial" w:hAnsi="Arial" w:cs="Arial"/>
        </w:rPr>
        <w:t xml:space="preserve">                                                                                                    </w:t>
      </w:r>
      <w:r>
        <w:rPr>
          <w:rFonts w:hint="eastAsia" w:ascii="Arial" w:hAnsi="Arial" w:cs="Arial"/>
        </w:rPr>
        <w:t>第</w:t>
      </w:r>
      <w:r>
        <w:rPr>
          <w:rFonts w:ascii="Arial" w:hAnsi="Arial" w:cs="Arial"/>
        </w:rPr>
        <w:t xml:space="preserve">  </w:t>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t xml:space="preserve">  </w:t>
      </w:r>
      <w:r>
        <w:rPr>
          <w:rFonts w:hint="eastAsia" w:ascii="Arial" w:hAnsi="Arial" w:cs="Arial"/>
        </w:rPr>
        <w:t>页</w:t>
      </w:r>
    </w:p>
    <w:p>
      <w:pPr>
        <w:widowControl/>
        <w:spacing w:line="412" w:lineRule="auto"/>
        <w:jc w:val="left"/>
        <w:rPr>
          <w:rFonts w:ascii="Arial" w:hAnsi="Arial" w:cs="Arial"/>
          <w:bCs/>
          <w:kern w:val="0"/>
          <w:sz w:val="32"/>
          <w:szCs w:val="44"/>
        </w:rPr>
        <w:sectPr>
          <w:pgSz w:w="16838" w:h="11906" w:orient="landscape"/>
          <w:pgMar w:top="1418" w:right="1440" w:bottom="426" w:left="1440" w:header="851" w:footer="992" w:gutter="0"/>
          <w:cols w:space="720" w:num="1"/>
        </w:sectPr>
      </w:pPr>
    </w:p>
    <w:bookmarkEnd w:id="1160"/>
    <w:bookmarkEnd w:id="1161"/>
    <w:bookmarkEnd w:id="1162"/>
    <w:bookmarkEnd w:id="1163"/>
    <w:bookmarkEnd w:id="1164"/>
    <w:bookmarkEnd w:id="1165"/>
    <w:bookmarkEnd w:id="1166"/>
    <w:p>
      <w:pPr>
        <w:pStyle w:val="148"/>
        <w:spacing w:before="120" w:after="120"/>
        <w:rPr>
          <w:rFonts w:ascii="宋体"/>
          <w:kern w:val="0"/>
        </w:rPr>
      </w:pPr>
      <w:bookmarkStart w:id="1258" w:name="_Toc10235197"/>
      <w:bookmarkStart w:id="1259" w:name="_Toc497458736"/>
      <w:bookmarkStart w:id="1260" w:name="_Toc483575330"/>
      <w:bookmarkStart w:id="1261" w:name="_Toc480481693"/>
      <w:bookmarkStart w:id="1262" w:name="_Toc342296540"/>
      <w:bookmarkStart w:id="1263" w:name="_Toc23757451"/>
      <w:bookmarkStart w:id="1264" w:name="_Toc241459781"/>
      <w:r>
        <w:rPr>
          <w:rFonts w:hint="eastAsia"/>
        </w:rPr>
        <w:t>费率报价表</w:t>
      </w:r>
      <w:bookmarkEnd w:id="1258"/>
      <w:bookmarkEnd w:id="1259"/>
      <w:bookmarkEnd w:id="1260"/>
      <w:bookmarkEnd w:id="1261"/>
      <w:bookmarkEnd w:id="1262"/>
      <w:bookmarkEnd w:id="1263"/>
      <w:bookmarkEnd w:id="1264"/>
    </w:p>
    <w:tbl>
      <w:tblPr>
        <w:tblStyle w:val="49"/>
        <w:tblW w:w="0" w:type="auto"/>
        <w:tblInd w:w="108" w:type="dxa"/>
        <w:tblLayout w:type="fixed"/>
        <w:tblCellMar>
          <w:top w:w="0" w:type="dxa"/>
          <w:left w:w="108" w:type="dxa"/>
          <w:bottom w:w="0" w:type="dxa"/>
          <w:right w:w="108" w:type="dxa"/>
        </w:tblCellMar>
      </w:tblPr>
      <w:tblGrid>
        <w:gridCol w:w="1260"/>
        <w:gridCol w:w="2520"/>
        <w:gridCol w:w="2340"/>
        <w:gridCol w:w="2160"/>
      </w:tblGrid>
      <w:tr>
        <w:tblPrEx>
          <w:tblCellMar>
            <w:top w:w="0" w:type="dxa"/>
            <w:left w:w="108" w:type="dxa"/>
            <w:bottom w:w="0" w:type="dxa"/>
            <w:right w:w="108" w:type="dxa"/>
          </w:tblCellMar>
        </w:tblPrEx>
        <w:trPr>
          <w:trHeight w:val="799" w:hRule="atLeast"/>
        </w:trPr>
        <w:tc>
          <w:tcPr>
            <w:tcW w:w="8280" w:type="dxa"/>
            <w:gridSpan w:val="4"/>
            <w:noWrap/>
          </w:tcPr>
          <w:p>
            <w:pPr>
              <w:widowControl/>
              <w:jc w:val="center"/>
              <w:rPr>
                <w:rFonts w:ascii="黑体" w:hAnsi="宋体" w:eastAsia="黑体" w:cs="宋体"/>
                <w:kern w:val="0"/>
                <w:sz w:val="30"/>
                <w:szCs w:val="30"/>
              </w:rPr>
            </w:pPr>
            <w:bookmarkStart w:id="1265" w:name="RANGE!A1:D23"/>
            <w:r>
              <w:rPr>
                <w:rFonts w:hint="eastAsia" w:ascii="黑体" w:hAnsi="宋体" w:eastAsia="黑体" w:cs="宋体"/>
                <w:kern w:val="0"/>
                <w:sz w:val="30"/>
                <w:szCs w:val="30"/>
              </w:rPr>
              <w:t>费率报价表</w:t>
            </w:r>
            <w:bookmarkEnd w:id="1265"/>
          </w:p>
        </w:tc>
      </w:tr>
      <w:tr>
        <w:tblPrEx>
          <w:tblCellMar>
            <w:top w:w="0" w:type="dxa"/>
            <w:left w:w="108" w:type="dxa"/>
            <w:bottom w:w="0" w:type="dxa"/>
            <w:right w:w="108" w:type="dxa"/>
          </w:tblCellMar>
        </w:tblPrEx>
        <w:trPr>
          <w:trHeight w:val="600" w:hRule="atLeast"/>
        </w:trPr>
        <w:tc>
          <w:tcPr>
            <w:tcW w:w="1260" w:type="dxa"/>
            <w:tcBorders>
              <w:top w:val="nil"/>
              <w:left w:val="nil"/>
              <w:bottom w:val="single" w:color="auto" w:sz="4" w:space="0"/>
              <w:right w:val="nil"/>
            </w:tcBorders>
            <w:noWrap/>
            <w:vAlign w:val="center"/>
          </w:tcPr>
          <w:p>
            <w:pPr>
              <w:widowControl/>
              <w:jc w:val="left"/>
              <w:rPr>
                <w:rFonts w:ascii="宋体" w:hAnsi="宋体" w:cs="宋体"/>
                <w:kern w:val="0"/>
                <w:szCs w:val="20"/>
              </w:rPr>
            </w:pPr>
            <w:r>
              <w:rPr>
                <w:rFonts w:hint="eastAsia" w:ascii="宋体" w:hAnsi="宋体" w:cs="宋体"/>
                <w:kern w:val="0"/>
                <w:szCs w:val="20"/>
              </w:rPr>
              <w:t>工程名称：</w:t>
            </w:r>
            <w:r>
              <w:rPr>
                <w:rFonts w:ascii="Arial" w:hAnsi="Arial" w:cs="Arial"/>
                <w:kern w:val="0"/>
                <w:szCs w:val="20"/>
              </w:rPr>
              <w:t xml:space="preserve">                                                               </w:t>
            </w:r>
          </w:p>
        </w:tc>
        <w:tc>
          <w:tcPr>
            <w:tcW w:w="7020" w:type="dxa"/>
            <w:gridSpan w:val="3"/>
            <w:tcBorders>
              <w:top w:val="nil"/>
              <w:left w:val="nil"/>
              <w:bottom w:val="single" w:color="auto" w:sz="4" w:space="0"/>
              <w:right w:val="nil"/>
            </w:tcBorders>
            <w:noWrap/>
            <w:vAlign w:val="center"/>
          </w:tcPr>
          <w:p>
            <w:pPr>
              <w:widowControl/>
              <w:jc w:val="left"/>
              <w:rPr>
                <w:rFonts w:ascii="Arial" w:hAnsi="Arial" w:cs="Arial"/>
                <w:kern w:val="0"/>
                <w:szCs w:val="20"/>
              </w:rPr>
            </w:pP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0"/>
              </w:rPr>
            </w:pPr>
            <w:r>
              <w:rPr>
                <w:rFonts w:hint="eastAsia" w:ascii="宋体" w:hAnsi="宋体" w:cs="宋体"/>
                <w:kern w:val="0"/>
                <w:szCs w:val="20"/>
              </w:rPr>
              <w:t>序号</w:t>
            </w:r>
          </w:p>
        </w:tc>
        <w:tc>
          <w:tcPr>
            <w:tcW w:w="2520" w:type="dxa"/>
            <w:tcBorders>
              <w:top w:val="nil"/>
              <w:left w:val="nil"/>
              <w:bottom w:val="single" w:color="auto" w:sz="4" w:space="0"/>
              <w:right w:val="nil"/>
            </w:tcBorders>
            <w:noWrap/>
            <w:vAlign w:val="center"/>
          </w:tcPr>
          <w:p>
            <w:pPr>
              <w:widowControl/>
              <w:jc w:val="center"/>
              <w:rPr>
                <w:rFonts w:ascii="宋体" w:hAnsi="宋体" w:cs="宋体"/>
                <w:kern w:val="0"/>
                <w:szCs w:val="20"/>
              </w:rPr>
            </w:pPr>
            <w:r>
              <w:rPr>
                <w:rFonts w:hint="eastAsia" w:ascii="宋体" w:hAnsi="宋体" w:cs="宋体"/>
                <w:kern w:val="0"/>
                <w:szCs w:val="20"/>
              </w:rPr>
              <w:t>费用名称</w:t>
            </w:r>
          </w:p>
        </w:tc>
        <w:tc>
          <w:tcPr>
            <w:tcW w:w="234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0"/>
              </w:rPr>
            </w:pPr>
            <w:r>
              <w:rPr>
                <w:rFonts w:hint="eastAsia" w:ascii="宋体" w:hAnsi="宋体" w:cs="宋体"/>
                <w:kern w:val="0"/>
                <w:szCs w:val="20"/>
              </w:rPr>
              <w:t>取费基数</w:t>
            </w:r>
          </w:p>
        </w:tc>
        <w:tc>
          <w:tcPr>
            <w:tcW w:w="2160"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0"/>
              </w:rPr>
            </w:pPr>
            <w:r>
              <w:rPr>
                <w:rFonts w:hint="eastAsia" w:ascii="宋体" w:hAnsi="宋体" w:cs="宋体"/>
                <w:kern w:val="0"/>
                <w:szCs w:val="20"/>
              </w:rPr>
              <w:t>报价费率（</w:t>
            </w:r>
            <w:r>
              <w:rPr>
                <w:rFonts w:ascii="Arial" w:hAnsi="Arial" w:cs="Arial"/>
                <w:kern w:val="0"/>
                <w:szCs w:val="20"/>
              </w:rPr>
              <w:t>%</w:t>
            </w:r>
            <w:r>
              <w:rPr>
                <w:rFonts w:hint="eastAsia" w:ascii="宋体" w:hAnsi="宋体" w:cs="宋体"/>
                <w:kern w:val="0"/>
                <w:szCs w:val="20"/>
              </w:rPr>
              <w:t>）</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tcPr>
          <w:p>
            <w:r>
              <w:t>A</w:t>
            </w:r>
          </w:p>
        </w:tc>
        <w:tc>
          <w:tcPr>
            <w:tcW w:w="2520" w:type="dxa"/>
            <w:tcBorders>
              <w:top w:val="nil"/>
              <w:left w:val="nil"/>
              <w:bottom w:val="nil"/>
              <w:right w:val="single" w:color="auto" w:sz="4" w:space="0"/>
            </w:tcBorders>
            <w:noWrap/>
          </w:tcPr>
          <w:p>
            <w:r>
              <w:rPr>
                <w:rFonts w:hint="eastAsia"/>
              </w:rPr>
              <w:t>建筑与装饰工程</w:t>
            </w: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tcPr>
          <w:p>
            <w:r>
              <w:t>A.1</w:t>
            </w:r>
          </w:p>
        </w:tc>
        <w:tc>
          <w:tcPr>
            <w:tcW w:w="2520" w:type="dxa"/>
            <w:tcBorders>
              <w:top w:val="nil"/>
              <w:left w:val="nil"/>
              <w:bottom w:val="nil"/>
              <w:right w:val="single" w:color="auto" w:sz="4" w:space="0"/>
            </w:tcBorders>
            <w:noWrap/>
          </w:tcPr>
          <w:p>
            <w:r>
              <w:rPr>
                <w:rFonts w:hint="eastAsia"/>
              </w:rPr>
              <w:t>企业管理费</w:t>
            </w: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tcPr>
          <w:p>
            <w:r>
              <w:t>A.2</w:t>
            </w:r>
          </w:p>
        </w:tc>
        <w:tc>
          <w:tcPr>
            <w:tcW w:w="2520" w:type="dxa"/>
            <w:tcBorders>
              <w:top w:val="nil"/>
              <w:left w:val="nil"/>
              <w:bottom w:val="nil"/>
              <w:right w:val="single" w:color="auto" w:sz="4" w:space="0"/>
            </w:tcBorders>
            <w:noWrap/>
          </w:tcPr>
          <w:p>
            <w:r>
              <w:rPr>
                <w:rFonts w:hint="eastAsia"/>
              </w:rPr>
              <w:t>利润</w:t>
            </w: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tcPr>
          <w:p>
            <w:r>
              <w:t>A.3</w:t>
            </w:r>
          </w:p>
        </w:tc>
        <w:tc>
          <w:tcPr>
            <w:tcW w:w="2520" w:type="dxa"/>
            <w:tcBorders>
              <w:top w:val="nil"/>
              <w:left w:val="nil"/>
              <w:bottom w:val="nil"/>
              <w:right w:val="single" w:color="auto" w:sz="4" w:space="0"/>
            </w:tcBorders>
            <w:noWrap/>
          </w:tcPr>
          <w:p>
            <w:r>
              <w:rPr>
                <w:rFonts w:hint="eastAsia"/>
              </w:rPr>
              <w:t>规费</w:t>
            </w: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tcPr>
          <w:p/>
        </w:tc>
        <w:tc>
          <w:tcPr>
            <w:tcW w:w="2520" w:type="dxa"/>
            <w:tcBorders>
              <w:top w:val="nil"/>
              <w:left w:val="nil"/>
              <w:bottom w:val="nil"/>
              <w:right w:val="single" w:color="auto" w:sz="4" w:space="0"/>
            </w:tcBorders>
            <w:noWrap/>
          </w:tcP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tcPr>
          <w:p>
            <w:r>
              <w:t>B</w:t>
            </w:r>
          </w:p>
        </w:tc>
        <w:tc>
          <w:tcPr>
            <w:tcW w:w="2520" w:type="dxa"/>
            <w:tcBorders>
              <w:top w:val="nil"/>
              <w:left w:val="nil"/>
              <w:bottom w:val="nil"/>
              <w:right w:val="single" w:color="auto" w:sz="4" w:space="0"/>
            </w:tcBorders>
            <w:noWrap/>
          </w:tcPr>
          <w:p>
            <w:r>
              <w:rPr>
                <w:rFonts w:hint="eastAsia"/>
              </w:rPr>
              <w:t>……</w:t>
            </w: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tcPr>
          <w:p>
            <w:r>
              <w:t>B.1</w:t>
            </w:r>
          </w:p>
        </w:tc>
        <w:tc>
          <w:tcPr>
            <w:tcW w:w="2520" w:type="dxa"/>
            <w:tcBorders>
              <w:top w:val="nil"/>
              <w:left w:val="nil"/>
              <w:bottom w:val="nil"/>
              <w:right w:val="single" w:color="auto" w:sz="4" w:space="0"/>
            </w:tcBorders>
            <w:noWrap/>
          </w:tcPr>
          <w:p>
            <w:r>
              <w:rPr>
                <w:rFonts w:hint="eastAsia"/>
              </w:rPr>
              <w:t>企业管理费</w:t>
            </w: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tcPr>
          <w:p>
            <w:r>
              <w:t>B.2</w:t>
            </w:r>
          </w:p>
        </w:tc>
        <w:tc>
          <w:tcPr>
            <w:tcW w:w="2520" w:type="dxa"/>
            <w:tcBorders>
              <w:top w:val="nil"/>
              <w:left w:val="nil"/>
              <w:bottom w:val="nil"/>
              <w:right w:val="single" w:color="auto" w:sz="4" w:space="0"/>
            </w:tcBorders>
            <w:noWrap/>
          </w:tcPr>
          <w:p>
            <w:r>
              <w:rPr>
                <w:rFonts w:hint="eastAsia"/>
              </w:rPr>
              <w:t>利润</w:t>
            </w: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tcPr>
          <w:p>
            <w:r>
              <w:t>A.3</w:t>
            </w:r>
          </w:p>
        </w:tc>
        <w:tc>
          <w:tcPr>
            <w:tcW w:w="2520" w:type="dxa"/>
            <w:tcBorders>
              <w:top w:val="nil"/>
              <w:left w:val="nil"/>
              <w:bottom w:val="nil"/>
              <w:right w:val="single" w:color="auto" w:sz="4" w:space="0"/>
            </w:tcBorders>
            <w:noWrap/>
          </w:tcPr>
          <w:p>
            <w:r>
              <w:rPr>
                <w:rFonts w:hint="eastAsia"/>
              </w:rPr>
              <w:t>规费</w:t>
            </w: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tcPr>
          <w:p/>
        </w:tc>
        <w:tc>
          <w:tcPr>
            <w:tcW w:w="2520" w:type="dxa"/>
            <w:tcBorders>
              <w:top w:val="nil"/>
              <w:left w:val="nil"/>
              <w:bottom w:val="nil"/>
              <w:right w:val="single" w:color="auto" w:sz="4" w:space="0"/>
            </w:tcBorders>
            <w:noWrap/>
          </w:tcP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tcPr>
          <w:p>
            <w:r>
              <w:t>C</w:t>
            </w:r>
          </w:p>
        </w:tc>
        <w:tc>
          <w:tcPr>
            <w:tcW w:w="2520" w:type="dxa"/>
            <w:tcBorders>
              <w:top w:val="nil"/>
              <w:left w:val="nil"/>
              <w:bottom w:val="nil"/>
              <w:right w:val="single" w:color="auto" w:sz="4" w:space="0"/>
            </w:tcBorders>
            <w:noWrap/>
          </w:tcPr>
          <w:p>
            <w:r>
              <w:rPr>
                <w:rFonts w:hint="eastAsia"/>
              </w:rPr>
              <w:t>总价措施项目</w:t>
            </w: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tcPr>
          <w:p>
            <w:r>
              <w:t>C.1</w:t>
            </w:r>
          </w:p>
        </w:tc>
        <w:tc>
          <w:tcPr>
            <w:tcW w:w="2520" w:type="dxa"/>
            <w:tcBorders>
              <w:top w:val="nil"/>
              <w:left w:val="nil"/>
              <w:bottom w:val="nil"/>
              <w:right w:val="single" w:color="auto" w:sz="4" w:space="0"/>
            </w:tcBorders>
            <w:noWrap/>
          </w:tcPr>
          <w:p>
            <w:r>
              <w:rPr>
                <w:rFonts w:hint="eastAsia"/>
              </w:rPr>
              <w:t>企业管理费</w:t>
            </w: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tcPr>
          <w:p>
            <w:r>
              <w:t>C.2</w:t>
            </w:r>
          </w:p>
        </w:tc>
        <w:tc>
          <w:tcPr>
            <w:tcW w:w="2520" w:type="dxa"/>
            <w:tcBorders>
              <w:top w:val="nil"/>
              <w:left w:val="nil"/>
              <w:bottom w:val="nil"/>
              <w:right w:val="single" w:color="auto" w:sz="4" w:space="0"/>
            </w:tcBorders>
            <w:noWrap/>
          </w:tcPr>
          <w:p>
            <w:r>
              <w:rPr>
                <w:rFonts w:hint="eastAsia"/>
              </w:rPr>
              <w:t>利润</w:t>
            </w: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kern w:val="0"/>
                <w:szCs w:val="20"/>
              </w:rPr>
            </w:pPr>
          </w:p>
          <w:p>
            <w:pPr>
              <w:widowControl/>
              <w:jc w:val="left"/>
              <w:rPr>
                <w:rFonts w:ascii="Arial" w:hAnsi="Arial" w:cs="Arial"/>
                <w:kern w:val="0"/>
                <w:szCs w:val="20"/>
              </w:rPr>
            </w:pPr>
          </w:p>
          <w:p>
            <w:pPr>
              <w:widowControl/>
              <w:jc w:val="left"/>
              <w:rPr>
                <w:rFonts w:ascii="Arial" w:hAnsi="Arial" w:cs="Arial"/>
                <w:kern w:val="0"/>
                <w:szCs w:val="20"/>
              </w:rPr>
            </w:pPr>
          </w:p>
          <w:p>
            <w:pPr>
              <w:widowControl/>
              <w:jc w:val="left"/>
              <w:rPr>
                <w:rFonts w:ascii="Arial" w:hAnsi="Arial" w:cs="Arial"/>
                <w:kern w:val="0"/>
                <w:szCs w:val="20"/>
              </w:rPr>
            </w:pPr>
          </w:p>
          <w:p>
            <w:pPr>
              <w:widowControl/>
              <w:jc w:val="left"/>
              <w:rPr>
                <w:rFonts w:ascii="Arial" w:hAnsi="Arial" w:cs="Arial"/>
                <w:kern w:val="0"/>
                <w:szCs w:val="20"/>
              </w:rPr>
            </w:pPr>
          </w:p>
          <w:p>
            <w:pPr>
              <w:widowControl/>
              <w:jc w:val="left"/>
              <w:rPr>
                <w:rFonts w:ascii="Arial" w:hAnsi="Arial" w:cs="Arial"/>
                <w:kern w:val="0"/>
                <w:szCs w:val="20"/>
              </w:rPr>
            </w:pPr>
          </w:p>
          <w:p>
            <w:pPr>
              <w:widowControl/>
              <w:jc w:val="left"/>
              <w:rPr>
                <w:rFonts w:ascii="Arial" w:hAnsi="Arial" w:cs="Arial"/>
                <w:kern w:val="0"/>
                <w:szCs w:val="20"/>
              </w:rPr>
            </w:pPr>
          </w:p>
          <w:p>
            <w:pPr>
              <w:widowControl/>
              <w:jc w:val="left"/>
              <w:rPr>
                <w:rFonts w:ascii="Arial" w:hAnsi="Arial" w:cs="Arial"/>
                <w:kern w:val="0"/>
                <w:szCs w:val="20"/>
              </w:rPr>
            </w:pPr>
          </w:p>
        </w:tc>
        <w:tc>
          <w:tcPr>
            <w:tcW w:w="2520" w:type="dxa"/>
            <w:tcBorders>
              <w:top w:val="nil"/>
              <w:left w:val="nil"/>
              <w:bottom w:val="nil"/>
              <w:right w:val="single" w:color="auto" w:sz="4" w:space="0"/>
            </w:tcBorders>
            <w:noWrap/>
            <w:vAlign w:val="center"/>
          </w:tcPr>
          <w:p>
            <w:pPr>
              <w:widowControl/>
              <w:jc w:val="left"/>
              <w:rPr>
                <w:rFonts w:ascii="Arial" w:hAnsi="Arial" w:cs="Arial"/>
                <w:kern w:val="0"/>
                <w:szCs w:val="20"/>
              </w:rPr>
            </w:pP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nil"/>
              <w:right w:val="single" w:color="auto" w:sz="4" w:space="0"/>
            </w:tcBorders>
            <w:noWrap/>
            <w:vAlign w:val="center"/>
          </w:tcPr>
          <w:p>
            <w:pPr>
              <w:widowControl/>
              <w:jc w:val="left"/>
              <w:rPr>
                <w:rFonts w:ascii="Arial" w:hAnsi="Arial" w:cs="Arial"/>
                <w:kern w:val="0"/>
                <w:szCs w:val="20"/>
              </w:rPr>
            </w:pPr>
          </w:p>
        </w:tc>
        <w:tc>
          <w:tcPr>
            <w:tcW w:w="2520" w:type="dxa"/>
            <w:tcBorders>
              <w:top w:val="nil"/>
              <w:left w:val="nil"/>
              <w:bottom w:val="nil"/>
              <w:right w:val="single" w:color="auto" w:sz="4" w:space="0"/>
            </w:tcBorders>
            <w:noWrap/>
            <w:vAlign w:val="center"/>
          </w:tcPr>
          <w:p>
            <w:pPr>
              <w:widowControl/>
              <w:jc w:val="left"/>
              <w:rPr>
                <w:rFonts w:ascii="Arial" w:hAnsi="Arial" w:cs="Arial"/>
                <w:kern w:val="0"/>
                <w:szCs w:val="20"/>
              </w:rPr>
            </w:pPr>
          </w:p>
        </w:tc>
        <w:tc>
          <w:tcPr>
            <w:tcW w:w="234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160" w:type="dxa"/>
            <w:tcBorders>
              <w:top w:val="nil"/>
              <w:left w:val="nil"/>
              <w:bottom w:val="nil"/>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single" w:color="auto" w:sz="4" w:space="0"/>
              <w:right w:val="single" w:color="auto" w:sz="4" w:space="0"/>
            </w:tcBorders>
            <w:noWrap/>
            <w:vAlign w:val="center"/>
          </w:tcPr>
          <w:p>
            <w:pPr>
              <w:widowControl/>
              <w:jc w:val="left"/>
              <w:rPr>
                <w:rFonts w:ascii="Arial" w:hAnsi="Arial" w:cs="Arial"/>
                <w:kern w:val="0"/>
                <w:szCs w:val="20"/>
              </w:rPr>
            </w:pPr>
            <w:r>
              <w:rPr>
                <w:rFonts w:hint="eastAsia" w:ascii="Arial" w:hAnsi="Arial" w:cs="Arial"/>
                <w:kern w:val="0"/>
                <w:szCs w:val="20"/>
              </w:rPr>
              <w:t>　</w:t>
            </w:r>
          </w:p>
        </w:tc>
        <w:tc>
          <w:tcPr>
            <w:tcW w:w="2520" w:type="dxa"/>
            <w:tcBorders>
              <w:top w:val="nil"/>
              <w:left w:val="nil"/>
              <w:bottom w:val="single" w:color="auto" w:sz="4" w:space="0"/>
              <w:right w:val="single" w:color="auto" w:sz="4" w:space="0"/>
            </w:tcBorders>
            <w:noWrap/>
            <w:vAlign w:val="center"/>
          </w:tcPr>
          <w:p>
            <w:pPr>
              <w:widowControl/>
              <w:jc w:val="center"/>
              <w:rPr>
                <w:rFonts w:ascii="Arial" w:hAnsi="Arial" w:cs="Arial"/>
                <w:bCs/>
                <w:kern w:val="0"/>
                <w:szCs w:val="20"/>
              </w:rPr>
            </w:pPr>
            <w:r>
              <w:rPr>
                <w:rFonts w:hint="eastAsia" w:ascii="Arial" w:hAnsi="Arial" w:cs="Arial"/>
                <w:bCs/>
                <w:kern w:val="0"/>
                <w:szCs w:val="20"/>
              </w:rPr>
              <w:t>　</w:t>
            </w:r>
          </w:p>
        </w:tc>
        <w:tc>
          <w:tcPr>
            <w:tcW w:w="2340" w:type="dxa"/>
            <w:tcBorders>
              <w:top w:val="nil"/>
              <w:left w:val="nil"/>
              <w:bottom w:val="single" w:color="auto" w:sz="4" w:space="0"/>
              <w:right w:val="single" w:color="auto" w:sz="4" w:space="0"/>
            </w:tcBorders>
            <w:noWrap/>
            <w:vAlign w:val="center"/>
          </w:tcPr>
          <w:p>
            <w:pPr>
              <w:widowControl/>
              <w:jc w:val="center"/>
              <w:rPr>
                <w:rFonts w:ascii="Arial" w:hAnsi="Arial" w:cs="Arial"/>
                <w:bCs/>
                <w:kern w:val="0"/>
                <w:szCs w:val="20"/>
              </w:rPr>
            </w:pPr>
            <w:r>
              <w:rPr>
                <w:rFonts w:hint="eastAsia" w:ascii="Arial" w:hAnsi="Arial" w:cs="Arial"/>
                <w:bCs/>
                <w:kern w:val="0"/>
                <w:szCs w:val="20"/>
              </w:rPr>
              <w:t>　</w:t>
            </w:r>
          </w:p>
        </w:tc>
        <w:tc>
          <w:tcPr>
            <w:tcW w:w="2160" w:type="dxa"/>
            <w:tcBorders>
              <w:top w:val="nil"/>
              <w:left w:val="nil"/>
              <w:bottom w:val="single" w:color="auto" w:sz="4" w:space="0"/>
              <w:right w:val="single" w:color="auto" w:sz="4" w:space="0"/>
            </w:tcBorders>
            <w:noWrap/>
            <w:vAlign w:val="center"/>
          </w:tcPr>
          <w:p>
            <w:pPr>
              <w:widowControl/>
              <w:jc w:val="center"/>
              <w:rPr>
                <w:rFonts w:ascii="Arial" w:hAnsi="Arial" w:cs="Arial"/>
                <w:bCs/>
                <w:kern w:val="0"/>
                <w:szCs w:val="20"/>
              </w:rPr>
            </w:pPr>
            <w:r>
              <w:rPr>
                <w:rFonts w:hint="eastAsia" w:ascii="Arial" w:hAnsi="Arial" w:cs="Arial"/>
                <w:bCs/>
                <w:kern w:val="0"/>
                <w:szCs w:val="20"/>
              </w:rPr>
              <w:t>　</w:t>
            </w:r>
          </w:p>
        </w:tc>
      </w:tr>
    </w:tbl>
    <w:p>
      <w:pPr>
        <w:widowControl/>
        <w:spacing w:line="300" w:lineRule="auto"/>
        <w:jc w:val="left"/>
        <w:rPr>
          <w:rFonts w:ascii="Arial" w:hAnsi="宋体" w:cs="Arial"/>
          <w:kern w:val="0"/>
        </w:rPr>
        <w:sectPr>
          <w:pgSz w:w="11906" w:h="16838"/>
          <w:pgMar w:top="1440" w:right="1797" w:bottom="1440" w:left="1797" w:header="851" w:footer="992" w:gutter="0"/>
          <w:cols w:space="720" w:num="1"/>
        </w:sectPr>
      </w:pPr>
    </w:p>
    <w:p>
      <w:pPr>
        <w:widowControl/>
        <w:spacing w:line="360" w:lineRule="auto"/>
        <w:jc w:val="left"/>
        <w:rPr>
          <w:rFonts w:ascii="宋体" w:hAnsi="宋体"/>
          <w:kern w:val="0"/>
          <w:sz w:val="24"/>
        </w:rPr>
        <w:sectPr>
          <w:type w:val="continuous"/>
          <w:pgSz w:w="11906" w:h="16838"/>
          <w:pgMar w:top="1440" w:right="1797" w:bottom="1440" w:left="1797" w:header="851" w:footer="992" w:gutter="0"/>
          <w:cols w:space="720" w:num="1"/>
          <w:docGrid w:type="lines" w:linePitch="312" w:charSpace="0"/>
        </w:sectPr>
      </w:pPr>
    </w:p>
    <w:p>
      <w:pPr>
        <w:pStyle w:val="148"/>
        <w:spacing w:before="120" w:after="120"/>
        <w:rPr>
          <w:rFonts w:ascii="宋体"/>
          <w:kern w:val="0"/>
        </w:rPr>
      </w:pPr>
      <w:bookmarkStart w:id="1266" w:name="_Toc10235198"/>
      <w:bookmarkStart w:id="1267" w:name="_Toc497458737"/>
      <w:bookmarkStart w:id="1268" w:name="_Toc483575331"/>
      <w:bookmarkStart w:id="1269" w:name="_Toc480481694"/>
      <w:bookmarkStart w:id="1270" w:name="_Toc23757452"/>
      <w:r>
        <w:rPr>
          <w:rFonts w:hint="eastAsia"/>
        </w:rPr>
        <w:t>主要材料和工程设备选用表</w:t>
      </w:r>
      <w:bookmarkEnd w:id="1266"/>
      <w:bookmarkEnd w:id="1267"/>
      <w:bookmarkEnd w:id="1268"/>
      <w:bookmarkEnd w:id="1269"/>
      <w:bookmarkEnd w:id="1270"/>
    </w:p>
    <w:tbl>
      <w:tblPr>
        <w:tblStyle w:val="49"/>
        <w:tblW w:w="0" w:type="auto"/>
        <w:tblInd w:w="108" w:type="dxa"/>
        <w:tblLayout w:type="fixed"/>
        <w:tblCellMar>
          <w:top w:w="0" w:type="dxa"/>
          <w:left w:w="108" w:type="dxa"/>
          <w:bottom w:w="0" w:type="dxa"/>
          <w:right w:w="108" w:type="dxa"/>
        </w:tblCellMar>
      </w:tblPr>
      <w:tblGrid>
        <w:gridCol w:w="1080"/>
        <w:gridCol w:w="2340"/>
        <w:gridCol w:w="975"/>
        <w:gridCol w:w="1725"/>
        <w:gridCol w:w="1297"/>
        <w:gridCol w:w="2134"/>
        <w:gridCol w:w="2505"/>
        <w:gridCol w:w="1984"/>
      </w:tblGrid>
      <w:tr>
        <w:tblPrEx>
          <w:tblCellMar>
            <w:top w:w="0" w:type="dxa"/>
            <w:left w:w="108" w:type="dxa"/>
            <w:bottom w:w="0" w:type="dxa"/>
            <w:right w:w="108" w:type="dxa"/>
          </w:tblCellMar>
        </w:tblPrEx>
        <w:trPr>
          <w:trHeight w:val="552" w:hRule="atLeast"/>
        </w:trPr>
        <w:tc>
          <w:tcPr>
            <w:tcW w:w="14040" w:type="dxa"/>
            <w:gridSpan w:val="8"/>
            <w:noWrap/>
          </w:tcPr>
          <w:p>
            <w:pPr>
              <w:widowControl/>
              <w:jc w:val="center"/>
              <w:rPr>
                <w:rFonts w:ascii="黑体" w:hAnsi="宋体" w:eastAsia="黑体" w:cs="宋体"/>
                <w:kern w:val="0"/>
                <w:sz w:val="30"/>
                <w:szCs w:val="30"/>
              </w:rPr>
            </w:pPr>
            <w:bookmarkStart w:id="1271" w:name="RANGE!A1:H18"/>
            <w:r>
              <w:rPr>
                <w:rFonts w:hint="eastAsia" w:ascii="黑体" w:hAnsi="宋体" w:eastAsia="黑体" w:cs="宋体"/>
                <w:kern w:val="0"/>
                <w:sz w:val="30"/>
                <w:szCs w:val="30"/>
              </w:rPr>
              <w:t>主要材料和工程设备选用表</w:t>
            </w:r>
            <w:bookmarkEnd w:id="1271"/>
          </w:p>
        </w:tc>
      </w:tr>
      <w:tr>
        <w:tblPrEx>
          <w:tblCellMar>
            <w:top w:w="0" w:type="dxa"/>
            <w:left w:w="108" w:type="dxa"/>
            <w:bottom w:w="0" w:type="dxa"/>
            <w:right w:w="108" w:type="dxa"/>
          </w:tblCellMar>
        </w:tblPrEx>
        <w:trPr>
          <w:trHeight w:val="390" w:hRule="atLeast"/>
        </w:trPr>
        <w:tc>
          <w:tcPr>
            <w:tcW w:w="14040" w:type="dxa"/>
            <w:gridSpan w:val="8"/>
            <w:noWrap/>
            <w:vAlign w:val="center"/>
          </w:tcPr>
          <w:p>
            <w:pPr>
              <w:widowControl/>
              <w:jc w:val="left"/>
              <w:rPr>
                <w:rFonts w:ascii="宋体" w:hAnsi="宋体" w:cs="宋体"/>
                <w:kern w:val="0"/>
              </w:rPr>
            </w:pPr>
            <w:r>
              <w:rPr>
                <w:rFonts w:hint="eastAsia" w:ascii="宋体" w:hAnsi="宋体" w:cs="宋体"/>
                <w:kern w:val="0"/>
              </w:rPr>
              <w:t>工程名称：</w:t>
            </w:r>
          </w:p>
        </w:tc>
      </w:tr>
      <w:tr>
        <w:tblPrEx>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序号</w:t>
            </w:r>
          </w:p>
        </w:tc>
        <w:tc>
          <w:tcPr>
            <w:tcW w:w="23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材料和工程设备名称</w:t>
            </w:r>
          </w:p>
        </w:tc>
        <w:tc>
          <w:tcPr>
            <w:tcW w:w="9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单位</w:t>
            </w:r>
          </w:p>
        </w:tc>
        <w:tc>
          <w:tcPr>
            <w:tcW w:w="17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单价</w:t>
            </w:r>
          </w:p>
        </w:tc>
        <w:tc>
          <w:tcPr>
            <w:tcW w:w="129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数量</w:t>
            </w:r>
          </w:p>
        </w:tc>
        <w:tc>
          <w:tcPr>
            <w:tcW w:w="2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品牌</w:t>
            </w:r>
            <w:r>
              <w:rPr>
                <w:rFonts w:ascii="Arial" w:hAnsi="Arial" w:cs="Arial"/>
                <w:kern w:val="0"/>
              </w:rPr>
              <w:t>/</w:t>
            </w:r>
            <w:r>
              <w:rPr>
                <w:rFonts w:hint="eastAsia" w:ascii="宋体" w:hAnsi="宋体" w:cs="宋体"/>
                <w:kern w:val="0"/>
              </w:rPr>
              <w:t>厂家</w:t>
            </w:r>
          </w:p>
        </w:tc>
        <w:tc>
          <w:tcPr>
            <w:tcW w:w="25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规格型号</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备注</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340" w:type="dxa"/>
            <w:tcBorders>
              <w:top w:val="nil"/>
              <w:left w:val="nil"/>
              <w:bottom w:val="nil"/>
              <w:right w:val="single" w:color="auto" w:sz="4" w:space="0"/>
            </w:tcBorders>
            <w:vAlign w:val="center"/>
          </w:tcPr>
          <w:p>
            <w:pPr>
              <w:widowControl/>
              <w:rPr>
                <w:rFonts w:ascii="Arial" w:hAnsi="Arial" w:cs="Arial"/>
                <w:kern w:val="0"/>
              </w:rPr>
            </w:pPr>
            <w:r>
              <w:rPr>
                <w:rFonts w:hint="eastAsia" w:ascii="Arial" w:hAnsi="Arial" w:cs="Arial"/>
                <w:kern w:val="0"/>
              </w:rPr>
              <w:t>　</w:t>
            </w:r>
          </w:p>
        </w:tc>
        <w:tc>
          <w:tcPr>
            <w:tcW w:w="97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72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297"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134"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50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984"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340" w:type="dxa"/>
            <w:tcBorders>
              <w:top w:val="nil"/>
              <w:left w:val="nil"/>
              <w:bottom w:val="nil"/>
              <w:right w:val="single" w:color="auto" w:sz="4" w:space="0"/>
            </w:tcBorders>
            <w:vAlign w:val="center"/>
          </w:tcPr>
          <w:p>
            <w:pPr>
              <w:widowControl/>
              <w:rPr>
                <w:rFonts w:ascii="Arial" w:hAnsi="Arial" w:cs="Arial"/>
                <w:kern w:val="0"/>
              </w:rPr>
            </w:pPr>
            <w:r>
              <w:rPr>
                <w:rFonts w:hint="eastAsia" w:ascii="Arial" w:hAnsi="Arial" w:cs="Arial"/>
                <w:kern w:val="0"/>
              </w:rPr>
              <w:t>　</w:t>
            </w:r>
          </w:p>
        </w:tc>
        <w:tc>
          <w:tcPr>
            <w:tcW w:w="97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72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297"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134"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50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984"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340" w:type="dxa"/>
            <w:tcBorders>
              <w:top w:val="nil"/>
              <w:left w:val="nil"/>
              <w:bottom w:val="nil"/>
              <w:right w:val="single" w:color="auto" w:sz="4" w:space="0"/>
            </w:tcBorders>
            <w:vAlign w:val="center"/>
          </w:tcPr>
          <w:p>
            <w:pPr>
              <w:widowControl/>
              <w:rPr>
                <w:rFonts w:ascii="Arial" w:hAnsi="Arial" w:cs="Arial"/>
                <w:kern w:val="0"/>
              </w:rPr>
            </w:pPr>
            <w:r>
              <w:rPr>
                <w:rFonts w:hint="eastAsia" w:ascii="Arial" w:hAnsi="Arial" w:cs="Arial"/>
                <w:kern w:val="0"/>
              </w:rPr>
              <w:t>　</w:t>
            </w:r>
          </w:p>
        </w:tc>
        <w:tc>
          <w:tcPr>
            <w:tcW w:w="97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72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297"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134"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50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984"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340" w:type="dxa"/>
            <w:tcBorders>
              <w:top w:val="nil"/>
              <w:left w:val="nil"/>
              <w:bottom w:val="nil"/>
              <w:right w:val="single" w:color="auto" w:sz="4" w:space="0"/>
            </w:tcBorders>
            <w:vAlign w:val="center"/>
          </w:tcPr>
          <w:p>
            <w:pPr>
              <w:widowControl/>
              <w:rPr>
                <w:rFonts w:ascii="Arial" w:hAnsi="Arial" w:cs="Arial"/>
                <w:kern w:val="0"/>
              </w:rPr>
            </w:pPr>
            <w:r>
              <w:rPr>
                <w:rFonts w:hint="eastAsia" w:ascii="Arial" w:hAnsi="Arial" w:cs="Arial"/>
                <w:kern w:val="0"/>
              </w:rPr>
              <w:t>　</w:t>
            </w:r>
          </w:p>
        </w:tc>
        <w:tc>
          <w:tcPr>
            <w:tcW w:w="97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72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297"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134"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50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984"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340" w:type="dxa"/>
            <w:tcBorders>
              <w:top w:val="nil"/>
              <w:left w:val="nil"/>
              <w:bottom w:val="nil"/>
              <w:right w:val="single" w:color="auto" w:sz="4" w:space="0"/>
            </w:tcBorders>
            <w:vAlign w:val="center"/>
          </w:tcPr>
          <w:p>
            <w:pPr>
              <w:widowControl/>
              <w:rPr>
                <w:rFonts w:ascii="Arial" w:hAnsi="Arial" w:cs="Arial"/>
                <w:kern w:val="0"/>
              </w:rPr>
            </w:pPr>
            <w:r>
              <w:rPr>
                <w:rFonts w:hint="eastAsia" w:ascii="Arial" w:hAnsi="Arial" w:cs="Arial"/>
                <w:kern w:val="0"/>
              </w:rPr>
              <w:t>　</w:t>
            </w:r>
          </w:p>
        </w:tc>
        <w:tc>
          <w:tcPr>
            <w:tcW w:w="97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72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297"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134"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50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984"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340" w:type="dxa"/>
            <w:tcBorders>
              <w:top w:val="nil"/>
              <w:left w:val="nil"/>
              <w:bottom w:val="nil"/>
              <w:right w:val="single" w:color="auto" w:sz="4" w:space="0"/>
            </w:tcBorders>
            <w:vAlign w:val="center"/>
          </w:tcPr>
          <w:p>
            <w:pPr>
              <w:widowControl/>
              <w:rPr>
                <w:rFonts w:ascii="Arial" w:hAnsi="Arial" w:cs="Arial"/>
                <w:kern w:val="0"/>
              </w:rPr>
            </w:pPr>
            <w:r>
              <w:rPr>
                <w:rFonts w:hint="eastAsia" w:ascii="Arial" w:hAnsi="Arial" w:cs="Arial"/>
                <w:kern w:val="0"/>
              </w:rPr>
              <w:t>　</w:t>
            </w:r>
          </w:p>
        </w:tc>
        <w:tc>
          <w:tcPr>
            <w:tcW w:w="97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72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297"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134"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50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984"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340" w:type="dxa"/>
            <w:tcBorders>
              <w:top w:val="nil"/>
              <w:left w:val="nil"/>
              <w:bottom w:val="nil"/>
              <w:right w:val="single" w:color="auto" w:sz="4" w:space="0"/>
            </w:tcBorders>
            <w:vAlign w:val="center"/>
          </w:tcPr>
          <w:p>
            <w:pPr>
              <w:widowControl/>
              <w:rPr>
                <w:rFonts w:ascii="Arial" w:hAnsi="Arial" w:cs="Arial"/>
                <w:kern w:val="0"/>
              </w:rPr>
            </w:pPr>
            <w:r>
              <w:rPr>
                <w:rFonts w:hint="eastAsia" w:ascii="Arial" w:hAnsi="Arial" w:cs="Arial"/>
                <w:kern w:val="0"/>
              </w:rPr>
              <w:t>　</w:t>
            </w:r>
          </w:p>
        </w:tc>
        <w:tc>
          <w:tcPr>
            <w:tcW w:w="97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72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297"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134"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2505"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c>
          <w:tcPr>
            <w:tcW w:w="1984" w:type="dxa"/>
            <w:tcBorders>
              <w:top w:val="nil"/>
              <w:left w:val="nil"/>
              <w:bottom w:val="nil"/>
              <w:right w:val="single" w:color="auto" w:sz="4" w:space="0"/>
            </w:tcBorders>
            <w:vAlign w:val="center"/>
          </w:tcPr>
          <w:p>
            <w:pPr>
              <w:widowControl/>
              <w:jc w:val="left"/>
              <w:rPr>
                <w:rFonts w:ascii="Arial" w:hAnsi="Arial" w:cs="Arial"/>
                <w:kern w:val="0"/>
              </w:rPr>
            </w:pPr>
            <w:r>
              <w:rPr>
                <w:rFonts w:hint="eastAsia" w:ascii="Arial" w:hAnsi="Arial" w:cs="Arial"/>
                <w:kern w:val="0"/>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noWrap/>
            <w:vAlign w:val="center"/>
          </w:tcPr>
          <w:p>
            <w:pPr>
              <w:widowControl/>
              <w:jc w:val="left"/>
              <w:rPr>
                <w:rFonts w:ascii="宋体" w:hAnsi="宋体" w:cs="宋体"/>
                <w:kern w:val="0"/>
              </w:rPr>
            </w:pPr>
            <w:r>
              <w:rPr>
                <w:rFonts w:hint="eastAsia" w:ascii="宋体" w:hAnsi="宋体" w:cs="宋体"/>
                <w:kern w:val="0"/>
              </w:rPr>
              <w:t>　</w:t>
            </w:r>
          </w:p>
        </w:tc>
        <w:tc>
          <w:tcPr>
            <w:tcW w:w="2340" w:type="dxa"/>
            <w:tcBorders>
              <w:top w:val="nil"/>
              <w:left w:val="nil"/>
              <w:bottom w:val="nil"/>
              <w:right w:val="single" w:color="auto" w:sz="4" w:space="0"/>
            </w:tcBorders>
            <w:noWrap/>
            <w:vAlign w:val="center"/>
          </w:tcPr>
          <w:p>
            <w:pPr>
              <w:widowControl/>
              <w:jc w:val="left"/>
              <w:rPr>
                <w:rFonts w:ascii="宋体" w:hAnsi="宋体" w:cs="宋体"/>
                <w:kern w:val="0"/>
              </w:rPr>
            </w:pPr>
            <w:r>
              <w:rPr>
                <w:rFonts w:hint="eastAsia" w:ascii="宋体" w:hAnsi="宋体" w:cs="宋体"/>
                <w:kern w:val="0"/>
              </w:rPr>
              <w:t>　</w:t>
            </w:r>
          </w:p>
        </w:tc>
        <w:tc>
          <w:tcPr>
            <w:tcW w:w="975" w:type="dxa"/>
            <w:tcBorders>
              <w:top w:val="nil"/>
              <w:left w:val="nil"/>
              <w:bottom w:val="nil"/>
              <w:right w:val="single" w:color="auto" w:sz="4" w:space="0"/>
            </w:tcBorders>
            <w:noWrap/>
            <w:vAlign w:val="center"/>
          </w:tcPr>
          <w:p>
            <w:pPr>
              <w:widowControl/>
              <w:jc w:val="left"/>
              <w:rPr>
                <w:rFonts w:ascii="宋体" w:hAnsi="宋体" w:cs="宋体"/>
                <w:kern w:val="0"/>
              </w:rPr>
            </w:pPr>
            <w:r>
              <w:rPr>
                <w:rFonts w:hint="eastAsia" w:ascii="宋体" w:hAnsi="宋体" w:cs="宋体"/>
                <w:kern w:val="0"/>
              </w:rPr>
              <w:t>　</w:t>
            </w:r>
          </w:p>
        </w:tc>
        <w:tc>
          <w:tcPr>
            <w:tcW w:w="1725" w:type="dxa"/>
            <w:tcBorders>
              <w:top w:val="nil"/>
              <w:left w:val="nil"/>
              <w:bottom w:val="nil"/>
              <w:right w:val="single" w:color="auto" w:sz="4" w:space="0"/>
            </w:tcBorders>
            <w:noWrap/>
            <w:vAlign w:val="center"/>
          </w:tcPr>
          <w:p>
            <w:pPr>
              <w:widowControl/>
              <w:jc w:val="left"/>
              <w:rPr>
                <w:rFonts w:ascii="宋体" w:hAnsi="宋体" w:cs="宋体"/>
                <w:kern w:val="0"/>
              </w:rPr>
            </w:pPr>
            <w:r>
              <w:rPr>
                <w:rFonts w:hint="eastAsia" w:ascii="宋体" w:hAnsi="宋体" w:cs="宋体"/>
                <w:kern w:val="0"/>
              </w:rPr>
              <w:t>　</w:t>
            </w:r>
          </w:p>
        </w:tc>
        <w:tc>
          <w:tcPr>
            <w:tcW w:w="1297" w:type="dxa"/>
            <w:tcBorders>
              <w:top w:val="nil"/>
              <w:left w:val="nil"/>
              <w:bottom w:val="nil"/>
              <w:right w:val="single" w:color="auto" w:sz="4" w:space="0"/>
            </w:tcBorders>
            <w:noWrap/>
            <w:vAlign w:val="center"/>
          </w:tcPr>
          <w:p>
            <w:pPr>
              <w:widowControl/>
              <w:jc w:val="left"/>
              <w:rPr>
                <w:rFonts w:ascii="宋体" w:hAnsi="宋体" w:cs="宋体"/>
                <w:kern w:val="0"/>
              </w:rPr>
            </w:pPr>
            <w:r>
              <w:rPr>
                <w:rFonts w:hint="eastAsia" w:ascii="宋体" w:hAnsi="宋体" w:cs="宋体"/>
                <w:kern w:val="0"/>
              </w:rPr>
              <w:t>　</w:t>
            </w:r>
          </w:p>
        </w:tc>
        <w:tc>
          <w:tcPr>
            <w:tcW w:w="2134" w:type="dxa"/>
            <w:tcBorders>
              <w:top w:val="nil"/>
              <w:left w:val="nil"/>
              <w:bottom w:val="nil"/>
              <w:right w:val="single" w:color="auto" w:sz="4" w:space="0"/>
            </w:tcBorders>
            <w:noWrap/>
            <w:vAlign w:val="center"/>
          </w:tcPr>
          <w:p>
            <w:pPr>
              <w:widowControl/>
              <w:jc w:val="left"/>
              <w:rPr>
                <w:rFonts w:ascii="宋体" w:hAnsi="宋体" w:cs="宋体"/>
                <w:kern w:val="0"/>
              </w:rPr>
            </w:pPr>
            <w:r>
              <w:rPr>
                <w:rFonts w:hint="eastAsia" w:ascii="宋体" w:hAnsi="宋体" w:cs="宋体"/>
                <w:kern w:val="0"/>
              </w:rPr>
              <w:t>　</w:t>
            </w:r>
          </w:p>
        </w:tc>
        <w:tc>
          <w:tcPr>
            <w:tcW w:w="2505" w:type="dxa"/>
            <w:tcBorders>
              <w:top w:val="nil"/>
              <w:left w:val="nil"/>
              <w:bottom w:val="nil"/>
              <w:right w:val="single" w:color="auto" w:sz="4" w:space="0"/>
            </w:tcBorders>
            <w:noWrap/>
            <w:vAlign w:val="center"/>
          </w:tcPr>
          <w:p>
            <w:pPr>
              <w:widowControl/>
              <w:jc w:val="left"/>
              <w:rPr>
                <w:rFonts w:ascii="宋体" w:hAnsi="宋体" w:cs="宋体"/>
                <w:kern w:val="0"/>
              </w:rPr>
            </w:pPr>
            <w:r>
              <w:rPr>
                <w:rFonts w:hint="eastAsia" w:ascii="宋体" w:hAnsi="宋体" w:cs="宋体"/>
                <w:kern w:val="0"/>
              </w:rPr>
              <w:t>　</w:t>
            </w:r>
          </w:p>
        </w:tc>
        <w:tc>
          <w:tcPr>
            <w:tcW w:w="1984" w:type="dxa"/>
            <w:tcBorders>
              <w:top w:val="nil"/>
              <w:left w:val="nil"/>
              <w:bottom w:val="nil"/>
              <w:right w:val="single" w:color="auto" w:sz="4" w:space="0"/>
            </w:tcBorders>
            <w:noWrap/>
            <w:vAlign w:val="center"/>
          </w:tcPr>
          <w:p>
            <w:pPr>
              <w:widowControl/>
              <w:jc w:val="left"/>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nil"/>
              <w:right w:val="single" w:color="auto" w:sz="4" w:space="0"/>
            </w:tcBorders>
            <w:noWrap/>
            <w:vAlign w:val="center"/>
          </w:tcPr>
          <w:p>
            <w:pPr>
              <w:widowControl/>
              <w:jc w:val="left"/>
              <w:rPr>
                <w:rFonts w:ascii="宋体" w:hAnsi="宋体" w:cs="宋体"/>
                <w:kern w:val="0"/>
              </w:rPr>
            </w:pPr>
            <w:r>
              <w:rPr>
                <w:rFonts w:hint="eastAsia" w:ascii="宋体" w:hAnsi="宋体" w:cs="宋体"/>
                <w:kern w:val="0"/>
              </w:rPr>
              <w:t>　</w:t>
            </w:r>
          </w:p>
        </w:tc>
        <w:tc>
          <w:tcPr>
            <w:tcW w:w="2340" w:type="dxa"/>
            <w:tcBorders>
              <w:top w:val="nil"/>
              <w:left w:val="nil"/>
              <w:bottom w:val="nil"/>
              <w:right w:val="single" w:color="auto" w:sz="4" w:space="0"/>
            </w:tcBorders>
            <w:noWrap/>
            <w:vAlign w:val="center"/>
          </w:tcPr>
          <w:p>
            <w:pPr>
              <w:widowControl/>
              <w:jc w:val="left"/>
              <w:rPr>
                <w:rFonts w:ascii="宋体" w:hAnsi="宋体" w:cs="宋体"/>
                <w:kern w:val="0"/>
              </w:rPr>
            </w:pPr>
            <w:r>
              <w:rPr>
                <w:rFonts w:hint="eastAsia" w:ascii="宋体" w:hAnsi="宋体" w:cs="宋体"/>
                <w:kern w:val="0"/>
              </w:rPr>
              <w:t>　</w:t>
            </w:r>
          </w:p>
        </w:tc>
        <w:tc>
          <w:tcPr>
            <w:tcW w:w="975" w:type="dxa"/>
            <w:tcBorders>
              <w:top w:val="nil"/>
              <w:left w:val="nil"/>
              <w:bottom w:val="nil"/>
              <w:right w:val="single" w:color="auto" w:sz="4" w:space="0"/>
            </w:tcBorders>
            <w:noWrap/>
            <w:vAlign w:val="center"/>
          </w:tcPr>
          <w:p>
            <w:pPr>
              <w:widowControl/>
              <w:jc w:val="left"/>
              <w:rPr>
                <w:rFonts w:ascii="宋体" w:hAnsi="宋体" w:cs="宋体"/>
                <w:kern w:val="0"/>
              </w:rPr>
            </w:pPr>
            <w:r>
              <w:rPr>
                <w:rFonts w:hint="eastAsia" w:ascii="宋体" w:hAnsi="宋体" w:cs="宋体"/>
                <w:kern w:val="0"/>
              </w:rPr>
              <w:t>　</w:t>
            </w:r>
          </w:p>
        </w:tc>
        <w:tc>
          <w:tcPr>
            <w:tcW w:w="1725" w:type="dxa"/>
            <w:tcBorders>
              <w:top w:val="nil"/>
              <w:left w:val="nil"/>
              <w:bottom w:val="nil"/>
              <w:right w:val="single" w:color="auto" w:sz="4" w:space="0"/>
            </w:tcBorders>
            <w:noWrap/>
            <w:vAlign w:val="center"/>
          </w:tcPr>
          <w:p>
            <w:pPr>
              <w:widowControl/>
              <w:jc w:val="left"/>
              <w:rPr>
                <w:rFonts w:ascii="宋体" w:hAnsi="宋体" w:cs="宋体"/>
                <w:kern w:val="0"/>
              </w:rPr>
            </w:pPr>
            <w:r>
              <w:rPr>
                <w:rFonts w:hint="eastAsia" w:ascii="宋体" w:hAnsi="宋体" w:cs="宋体"/>
                <w:kern w:val="0"/>
              </w:rPr>
              <w:t>　</w:t>
            </w:r>
          </w:p>
        </w:tc>
        <w:tc>
          <w:tcPr>
            <w:tcW w:w="1297" w:type="dxa"/>
            <w:tcBorders>
              <w:top w:val="nil"/>
              <w:left w:val="nil"/>
              <w:bottom w:val="nil"/>
              <w:right w:val="single" w:color="auto" w:sz="4" w:space="0"/>
            </w:tcBorders>
            <w:noWrap/>
            <w:vAlign w:val="center"/>
          </w:tcPr>
          <w:p>
            <w:pPr>
              <w:widowControl/>
              <w:jc w:val="left"/>
              <w:rPr>
                <w:rFonts w:ascii="宋体" w:hAnsi="宋体" w:cs="宋体"/>
                <w:kern w:val="0"/>
              </w:rPr>
            </w:pPr>
            <w:r>
              <w:rPr>
                <w:rFonts w:hint="eastAsia" w:ascii="宋体" w:hAnsi="宋体" w:cs="宋体"/>
                <w:kern w:val="0"/>
              </w:rPr>
              <w:t>　</w:t>
            </w:r>
          </w:p>
        </w:tc>
        <w:tc>
          <w:tcPr>
            <w:tcW w:w="2134" w:type="dxa"/>
            <w:tcBorders>
              <w:top w:val="nil"/>
              <w:left w:val="nil"/>
              <w:bottom w:val="nil"/>
              <w:right w:val="single" w:color="auto" w:sz="4" w:space="0"/>
            </w:tcBorders>
            <w:noWrap/>
            <w:vAlign w:val="center"/>
          </w:tcPr>
          <w:p>
            <w:pPr>
              <w:widowControl/>
              <w:jc w:val="left"/>
              <w:rPr>
                <w:rFonts w:ascii="宋体" w:hAnsi="宋体" w:cs="宋体"/>
                <w:kern w:val="0"/>
              </w:rPr>
            </w:pPr>
            <w:r>
              <w:rPr>
                <w:rFonts w:hint="eastAsia" w:ascii="宋体" w:hAnsi="宋体" w:cs="宋体"/>
                <w:kern w:val="0"/>
              </w:rPr>
              <w:t>　</w:t>
            </w:r>
          </w:p>
        </w:tc>
        <w:tc>
          <w:tcPr>
            <w:tcW w:w="2505" w:type="dxa"/>
            <w:tcBorders>
              <w:top w:val="nil"/>
              <w:left w:val="nil"/>
              <w:bottom w:val="nil"/>
              <w:right w:val="single" w:color="auto" w:sz="4" w:space="0"/>
            </w:tcBorders>
            <w:noWrap/>
            <w:vAlign w:val="center"/>
          </w:tcPr>
          <w:p>
            <w:pPr>
              <w:widowControl/>
              <w:jc w:val="left"/>
              <w:rPr>
                <w:rFonts w:ascii="宋体" w:hAnsi="宋体" w:cs="宋体"/>
                <w:kern w:val="0"/>
              </w:rPr>
            </w:pPr>
            <w:r>
              <w:rPr>
                <w:rFonts w:hint="eastAsia" w:ascii="宋体" w:hAnsi="宋体" w:cs="宋体"/>
                <w:kern w:val="0"/>
              </w:rPr>
              <w:t>　</w:t>
            </w:r>
          </w:p>
        </w:tc>
        <w:tc>
          <w:tcPr>
            <w:tcW w:w="1984" w:type="dxa"/>
            <w:tcBorders>
              <w:top w:val="nil"/>
              <w:left w:val="nil"/>
              <w:bottom w:val="nil"/>
              <w:right w:val="single" w:color="auto" w:sz="4" w:space="0"/>
            </w:tcBorders>
            <w:noWrap/>
            <w:vAlign w:val="center"/>
          </w:tcPr>
          <w:p>
            <w:pPr>
              <w:widowControl/>
              <w:jc w:val="left"/>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rPr>
            </w:pPr>
            <w:r>
              <w:rPr>
                <w:rFonts w:hint="eastAsia" w:ascii="宋体" w:hAnsi="宋体" w:cs="宋体"/>
                <w:kern w:val="0"/>
              </w:rPr>
              <w:t>　</w:t>
            </w:r>
          </w:p>
        </w:tc>
        <w:tc>
          <w:tcPr>
            <w:tcW w:w="2340" w:type="dxa"/>
            <w:tcBorders>
              <w:top w:val="nil"/>
              <w:left w:val="nil"/>
              <w:bottom w:val="single" w:color="auto" w:sz="4" w:space="0"/>
              <w:right w:val="single" w:color="auto" w:sz="4" w:space="0"/>
            </w:tcBorders>
            <w:noWrap/>
            <w:vAlign w:val="center"/>
          </w:tcPr>
          <w:p>
            <w:pPr>
              <w:widowControl/>
              <w:jc w:val="left"/>
              <w:rPr>
                <w:rFonts w:ascii="宋体" w:hAnsi="宋体" w:cs="宋体"/>
                <w:kern w:val="0"/>
              </w:rPr>
            </w:pPr>
            <w:r>
              <w:rPr>
                <w:rFonts w:hint="eastAsia" w:ascii="宋体" w:hAnsi="宋体" w:cs="宋体"/>
                <w:kern w:val="0"/>
              </w:rPr>
              <w:t>　</w:t>
            </w:r>
          </w:p>
        </w:tc>
        <w:tc>
          <w:tcPr>
            <w:tcW w:w="975" w:type="dxa"/>
            <w:tcBorders>
              <w:top w:val="nil"/>
              <w:left w:val="nil"/>
              <w:bottom w:val="single" w:color="auto" w:sz="4" w:space="0"/>
              <w:right w:val="single" w:color="auto" w:sz="4" w:space="0"/>
            </w:tcBorders>
            <w:noWrap/>
            <w:vAlign w:val="center"/>
          </w:tcPr>
          <w:p>
            <w:pPr>
              <w:widowControl/>
              <w:jc w:val="left"/>
              <w:rPr>
                <w:rFonts w:ascii="宋体" w:hAnsi="宋体" w:cs="宋体"/>
                <w:kern w:val="0"/>
              </w:rPr>
            </w:pPr>
            <w:r>
              <w:rPr>
                <w:rFonts w:hint="eastAsia" w:ascii="宋体" w:hAnsi="宋体" w:cs="宋体"/>
                <w:kern w:val="0"/>
              </w:rPr>
              <w:t>　</w:t>
            </w:r>
          </w:p>
        </w:tc>
        <w:tc>
          <w:tcPr>
            <w:tcW w:w="1725" w:type="dxa"/>
            <w:tcBorders>
              <w:top w:val="nil"/>
              <w:left w:val="nil"/>
              <w:bottom w:val="single" w:color="auto" w:sz="4" w:space="0"/>
              <w:right w:val="single" w:color="auto" w:sz="4" w:space="0"/>
            </w:tcBorders>
            <w:noWrap/>
            <w:vAlign w:val="center"/>
          </w:tcPr>
          <w:p>
            <w:pPr>
              <w:widowControl/>
              <w:jc w:val="left"/>
              <w:rPr>
                <w:rFonts w:ascii="宋体" w:hAnsi="宋体" w:cs="宋体"/>
                <w:kern w:val="0"/>
              </w:rPr>
            </w:pPr>
            <w:r>
              <w:rPr>
                <w:rFonts w:hint="eastAsia" w:ascii="宋体" w:hAnsi="宋体" w:cs="宋体"/>
                <w:kern w:val="0"/>
              </w:rPr>
              <w:t>　</w:t>
            </w:r>
          </w:p>
        </w:tc>
        <w:tc>
          <w:tcPr>
            <w:tcW w:w="1297" w:type="dxa"/>
            <w:tcBorders>
              <w:top w:val="nil"/>
              <w:left w:val="nil"/>
              <w:bottom w:val="single" w:color="auto" w:sz="4" w:space="0"/>
              <w:right w:val="single" w:color="auto" w:sz="4" w:space="0"/>
            </w:tcBorders>
            <w:noWrap/>
            <w:vAlign w:val="center"/>
          </w:tcPr>
          <w:p>
            <w:pPr>
              <w:widowControl/>
              <w:jc w:val="left"/>
              <w:rPr>
                <w:rFonts w:ascii="宋体" w:hAnsi="宋体" w:cs="宋体"/>
                <w:kern w:val="0"/>
              </w:rPr>
            </w:pPr>
            <w:r>
              <w:rPr>
                <w:rFonts w:hint="eastAsia" w:ascii="宋体" w:hAnsi="宋体" w:cs="宋体"/>
                <w:kern w:val="0"/>
              </w:rPr>
              <w:t>　</w:t>
            </w:r>
          </w:p>
        </w:tc>
        <w:tc>
          <w:tcPr>
            <w:tcW w:w="2134" w:type="dxa"/>
            <w:tcBorders>
              <w:top w:val="nil"/>
              <w:left w:val="nil"/>
              <w:bottom w:val="single" w:color="auto" w:sz="4" w:space="0"/>
              <w:right w:val="single" w:color="auto" w:sz="4" w:space="0"/>
            </w:tcBorders>
            <w:noWrap/>
            <w:vAlign w:val="center"/>
          </w:tcPr>
          <w:p>
            <w:pPr>
              <w:widowControl/>
              <w:jc w:val="left"/>
              <w:rPr>
                <w:rFonts w:ascii="宋体" w:hAnsi="宋体" w:cs="宋体"/>
                <w:kern w:val="0"/>
              </w:rPr>
            </w:pPr>
            <w:r>
              <w:rPr>
                <w:rFonts w:hint="eastAsia" w:ascii="宋体" w:hAnsi="宋体" w:cs="宋体"/>
                <w:kern w:val="0"/>
              </w:rPr>
              <w:t>　</w:t>
            </w:r>
          </w:p>
        </w:tc>
        <w:tc>
          <w:tcPr>
            <w:tcW w:w="2505" w:type="dxa"/>
            <w:tcBorders>
              <w:top w:val="nil"/>
              <w:left w:val="nil"/>
              <w:bottom w:val="single" w:color="auto" w:sz="4" w:space="0"/>
              <w:right w:val="single" w:color="auto" w:sz="4" w:space="0"/>
            </w:tcBorders>
            <w:noWrap/>
            <w:vAlign w:val="center"/>
          </w:tcPr>
          <w:p>
            <w:pPr>
              <w:widowControl/>
              <w:jc w:val="left"/>
              <w:rPr>
                <w:rFonts w:ascii="宋体" w:hAnsi="宋体" w:cs="宋体"/>
                <w:kern w:val="0"/>
              </w:rPr>
            </w:pPr>
            <w:r>
              <w:rPr>
                <w:rFonts w:hint="eastAsia" w:ascii="宋体" w:hAnsi="宋体" w:cs="宋体"/>
                <w:kern w:val="0"/>
              </w:rPr>
              <w:t>　</w:t>
            </w:r>
          </w:p>
        </w:tc>
        <w:tc>
          <w:tcPr>
            <w:tcW w:w="1984" w:type="dxa"/>
            <w:tcBorders>
              <w:top w:val="nil"/>
              <w:left w:val="nil"/>
              <w:bottom w:val="single" w:color="auto" w:sz="4" w:space="0"/>
              <w:right w:val="single" w:color="auto" w:sz="4" w:space="0"/>
            </w:tcBorders>
            <w:noWrap/>
            <w:vAlign w:val="center"/>
          </w:tcPr>
          <w:p>
            <w:pPr>
              <w:widowControl/>
              <w:jc w:val="left"/>
              <w:rPr>
                <w:rFonts w:ascii="宋体" w:hAnsi="宋体" w:cs="宋体"/>
                <w:kern w:val="0"/>
              </w:rPr>
            </w:pPr>
            <w:r>
              <w:rPr>
                <w:rFonts w:hint="eastAsia" w:ascii="宋体" w:hAnsi="宋体" w:cs="宋体"/>
                <w:kern w:val="0"/>
              </w:rPr>
              <w:t>　</w:t>
            </w:r>
          </w:p>
        </w:tc>
      </w:tr>
    </w:tbl>
    <w:p>
      <w:pPr>
        <w:widowControl/>
        <w:jc w:val="left"/>
        <w:rPr>
          <w:rFonts w:ascii="宋体" w:hAnsi="宋体" w:cs="宋体"/>
          <w:kern w:val="0"/>
          <w:szCs w:val="21"/>
        </w:rPr>
      </w:pPr>
    </w:p>
    <w:p>
      <w:pPr>
        <w:widowControl/>
        <w:rPr>
          <w:rFonts w:ascii="宋体" w:hAnsi="宋体" w:cs="宋体"/>
          <w:kern w:val="0"/>
          <w:szCs w:val="21"/>
        </w:rPr>
      </w:pPr>
      <w:r>
        <w:rPr>
          <w:rFonts w:hint="eastAsia" w:ascii="宋体" w:hAnsi="宋体" w:cs="宋体"/>
          <w:kern w:val="0"/>
          <w:szCs w:val="21"/>
        </w:rPr>
        <w:t>注：本表中所列材料设备应仅限于承包人自行采购范围内的材料设备。本表格可以按照同样的格式扩展。</w:t>
      </w:r>
    </w:p>
    <w:p>
      <w:pPr>
        <w:pStyle w:val="148"/>
        <w:spacing w:before="120" w:after="120"/>
        <w:sectPr>
          <w:headerReference r:id="rId25" w:type="default"/>
          <w:pgSz w:w="16838" w:h="11906" w:orient="landscape"/>
          <w:pgMar w:top="1644" w:right="1191" w:bottom="1644" w:left="1361" w:header="504" w:footer="792" w:gutter="0"/>
          <w:cols w:space="425" w:num="1"/>
          <w:docGrid w:linePitch="312" w:charSpace="0"/>
        </w:sectPr>
      </w:pPr>
    </w:p>
    <w:p/>
    <w:p>
      <w:pPr>
        <w:pStyle w:val="2"/>
        <w:rPr>
          <w:rFonts w:ascii="宋体" w:hAnsi="宋体" w:eastAsia="宋体"/>
          <w:b/>
          <w:sz w:val="48"/>
          <w:szCs w:val="48"/>
        </w:rPr>
      </w:pPr>
      <w:bookmarkStart w:id="1272" w:name="_Toc470011330"/>
      <w:r>
        <w:rPr>
          <w:rFonts w:hint="eastAsia" w:ascii="宋体" w:hAnsi="宋体" w:eastAsia="宋体"/>
          <w:b/>
          <w:sz w:val="48"/>
          <w:szCs w:val="48"/>
        </w:rPr>
        <w:t>第六章</w:t>
      </w:r>
      <w:r>
        <w:rPr>
          <w:rFonts w:ascii="宋体" w:hAnsi="宋体" w:eastAsia="宋体"/>
          <w:b/>
          <w:sz w:val="48"/>
          <w:szCs w:val="48"/>
        </w:rPr>
        <w:t xml:space="preserve"> </w:t>
      </w:r>
      <w:r>
        <w:rPr>
          <w:rFonts w:hint="eastAsia" w:ascii="宋体" w:hAnsi="宋体" w:eastAsia="宋体"/>
          <w:b/>
          <w:sz w:val="48"/>
          <w:szCs w:val="48"/>
        </w:rPr>
        <w:t>图纸</w:t>
      </w:r>
      <w:bookmarkEnd w:id="1272"/>
    </w:p>
    <w:p>
      <w:pPr>
        <w:jc w:val="center"/>
        <w:rPr>
          <w:rFonts w:ascii="宋体"/>
          <w:b/>
          <w:kern w:val="0"/>
          <w:sz w:val="48"/>
          <w:szCs w:val="48"/>
        </w:rPr>
      </w:pPr>
      <w:r>
        <w:rPr>
          <w:rFonts w:ascii="宋体" w:hAnsi="宋体"/>
          <w:b/>
          <w:kern w:val="0"/>
          <w:sz w:val="48"/>
          <w:szCs w:val="48"/>
        </w:rPr>
        <w:t>(</w:t>
      </w:r>
      <w:r>
        <w:rPr>
          <w:rFonts w:hint="eastAsia" w:ascii="宋体" w:hAnsi="宋体"/>
          <w:b/>
          <w:kern w:val="0"/>
          <w:sz w:val="48"/>
          <w:szCs w:val="48"/>
        </w:rPr>
        <w:t>另册</w:t>
      </w:r>
      <w:r>
        <w:rPr>
          <w:rFonts w:ascii="宋体" w:hAnsi="宋体"/>
          <w:b/>
          <w:kern w:val="0"/>
          <w:sz w:val="48"/>
          <w:szCs w:val="48"/>
        </w:rPr>
        <w:t>)</w:t>
      </w:r>
    </w:p>
    <w:p>
      <w:pPr>
        <w:pStyle w:val="83"/>
        <w:ind w:right="46" w:rightChars="22"/>
        <w:rPr>
          <w:b/>
          <w:sz w:val="48"/>
          <w:szCs w:val="48"/>
        </w:rPr>
      </w:pPr>
    </w:p>
    <w:p>
      <w:pPr>
        <w:pStyle w:val="83"/>
        <w:ind w:right="46" w:rightChars="22"/>
        <w:rPr>
          <w:b/>
          <w:sz w:val="48"/>
          <w:szCs w:val="48"/>
        </w:rPr>
      </w:pPr>
    </w:p>
    <w:p>
      <w:pPr>
        <w:pStyle w:val="83"/>
        <w:ind w:right="46" w:rightChars="22"/>
        <w:rPr>
          <w:b/>
          <w:sz w:val="48"/>
          <w:szCs w:val="48"/>
        </w:rPr>
      </w:pPr>
    </w:p>
    <w:p>
      <w:pPr>
        <w:pStyle w:val="83"/>
        <w:ind w:right="46" w:rightChars="22"/>
        <w:rPr>
          <w:b/>
          <w:sz w:val="48"/>
          <w:szCs w:val="48"/>
        </w:rPr>
      </w:pPr>
    </w:p>
    <w:p>
      <w:pPr>
        <w:pStyle w:val="83"/>
        <w:ind w:right="46" w:rightChars="22"/>
        <w:rPr>
          <w:b/>
          <w:sz w:val="48"/>
          <w:szCs w:val="48"/>
        </w:rPr>
      </w:pPr>
    </w:p>
    <w:p>
      <w:pPr>
        <w:pStyle w:val="83"/>
        <w:ind w:right="46" w:rightChars="22"/>
        <w:rPr>
          <w:b/>
          <w:sz w:val="48"/>
          <w:szCs w:val="48"/>
        </w:rPr>
      </w:pPr>
    </w:p>
    <w:p>
      <w:pPr>
        <w:pStyle w:val="83"/>
        <w:ind w:right="46" w:rightChars="22"/>
        <w:rPr>
          <w:b/>
          <w:sz w:val="48"/>
          <w:szCs w:val="48"/>
        </w:rPr>
      </w:pPr>
    </w:p>
    <w:p>
      <w:pPr>
        <w:pStyle w:val="83"/>
        <w:ind w:right="46" w:rightChars="22"/>
        <w:rPr>
          <w:b/>
          <w:sz w:val="48"/>
          <w:szCs w:val="48"/>
        </w:rPr>
      </w:pPr>
    </w:p>
    <w:p>
      <w:pPr>
        <w:pStyle w:val="83"/>
        <w:ind w:right="46" w:rightChars="22"/>
        <w:rPr>
          <w:b/>
          <w:sz w:val="48"/>
          <w:szCs w:val="48"/>
        </w:rPr>
      </w:pPr>
    </w:p>
    <w:p>
      <w:pPr>
        <w:pStyle w:val="83"/>
        <w:ind w:right="46" w:rightChars="22"/>
        <w:rPr>
          <w:rFonts w:ascii="Times New Roman" w:hAnsi="Times New Roman"/>
          <w:b/>
          <w:sz w:val="30"/>
          <w:szCs w:val="30"/>
        </w:rPr>
      </w:pPr>
    </w:p>
    <w:p>
      <w:pPr>
        <w:pStyle w:val="83"/>
        <w:ind w:right="46" w:rightChars="22"/>
        <w:rPr>
          <w:rFonts w:ascii="Times New Roman" w:hAnsi="Times New Roman"/>
          <w:b/>
          <w:sz w:val="30"/>
          <w:szCs w:val="30"/>
        </w:rPr>
      </w:pPr>
    </w:p>
    <w:p>
      <w:pPr>
        <w:pStyle w:val="144"/>
        <w:spacing w:before="120" w:after="60"/>
        <w:rPr>
          <w:b/>
        </w:rPr>
      </w:pPr>
      <w:bookmarkStart w:id="1273" w:name="_Toc497458739"/>
      <w:bookmarkStart w:id="1274" w:name="_Toc489692691"/>
      <w:r>
        <w:rPr>
          <w:b/>
        </w:rPr>
        <w:t>1.</w:t>
      </w:r>
      <w:r>
        <w:rPr>
          <w:rFonts w:hint="eastAsia"/>
          <w:b/>
        </w:rPr>
        <w:t>图纸目录</w:t>
      </w:r>
      <w:bookmarkEnd w:id="1273"/>
      <w:bookmarkEnd w:id="1274"/>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4"/>
        <w:gridCol w:w="1304"/>
        <w:gridCol w:w="1304"/>
        <w:gridCol w:w="1304"/>
        <w:gridCol w:w="1304"/>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jc w:val="center"/>
              <w:rPr>
                <w:sz w:val="20"/>
                <w:szCs w:val="20"/>
              </w:rPr>
            </w:pPr>
            <w:r>
              <w:rPr>
                <w:rFonts w:hint="eastAsia"/>
                <w:sz w:val="20"/>
                <w:szCs w:val="20"/>
              </w:rPr>
              <w:t>序号</w:t>
            </w:r>
          </w:p>
        </w:tc>
        <w:tc>
          <w:tcPr>
            <w:tcW w:w="1304" w:type="dxa"/>
          </w:tcPr>
          <w:p>
            <w:pPr>
              <w:spacing w:line="440" w:lineRule="exact"/>
              <w:jc w:val="center"/>
              <w:rPr>
                <w:sz w:val="20"/>
                <w:szCs w:val="20"/>
              </w:rPr>
            </w:pPr>
            <w:r>
              <w:rPr>
                <w:rFonts w:hint="eastAsia"/>
                <w:sz w:val="20"/>
                <w:szCs w:val="20"/>
              </w:rPr>
              <w:t>图名</w:t>
            </w:r>
          </w:p>
        </w:tc>
        <w:tc>
          <w:tcPr>
            <w:tcW w:w="1304" w:type="dxa"/>
          </w:tcPr>
          <w:p>
            <w:pPr>
              <w:spacing w:line="440" w:lineRule="exact"/>
              <w:jc w:val="center"/>
              <w:rPr>
                <w:sz w:val="20"/>
                <w:szCs w:val="20"/>
              </w:rPr>
            </w:pPr>
            <w:r>
              <w:rPr>
                <w:rFonts w:hint="eastAsia"/>
                <w:sz w:val="20"/>
                <w:szCs w:val="20"/>
              </w:rPr>
              <w:t>图号</w:t>
            </w:r>
          </w:p>
        </w:tc>
        <w:tc>
          <w:tcPr>
            <w:tcW w:w="1304" w:type="dxa"/>
          </w:tcPr>
          <w:p>
            <w:pPr>
              <w:spacing w:line="440" w:lineRule="exact"/>
              <w:jc w:val="center"/>
              <w:rPr>
                <w:sz w:val="20"/>
                <w:szCs w:val="20"/>
              </w:rPr>
            </w:pPr>
            <w:r>
              <w:rPr>
                <w:rFonts w:hint="eastAsia"/>
                <w:sz w:val="20"/>
                <w:szCs w:val="20"/>
              </w:rPr>
              <w:t>版本</w:t>
            </w:r>
          </w:p>
        </w:tc>
        <w:tc>
          <w:tcPr>
            <w:tcW w:w="1304" w:type="dxa"/>
          </w:tcPr>
          <w:p>
            <w:pPr>
              <w:spacing w:line="440" w:lineRule="exact"/>
              <w:jc w:val="center"/>
              <w:rPr>
                <w:sz w:val="20"/>
                <w:szCs w:val="20"/>
              </w:rPr>
            </w:pPr>
            <w:r>
              <w:rPr>
                <w:rFonts w:hint="eastAsia"/>
                <w:sz w:val="20"/>
                <w:szCs w:val="20"/>
              </w:rPr>
              <w:t>出图日期</w:t>
            </w:r>
          </w:p>
        </w:tc>
        <w:tc>
          <w:tcPr>
            <w:tcW w:w="1868" w:type="dxa"/>
          </w:tcPr>
          <w:p>
            <w:pPr>
              <w:spacing w:line="440" w:lineRule="exact"/>
              <w:jc w:val="center"/>
              <w:rPr>
                <w:sz w:val="20"/>
                <w:szCs w:val="20"/>
              </w:rPr>
            </w:pPr>
            <w:r>
              <w:rPr>
                <w:rFonts w:hint="eastAsia"/>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304" w:type="dxa"/>
          </w:tcPr>
          <w:p>
            <w:pPr>
              <w:spacing w:line="440" w:lineRule="exact"/>
              <w:rPr>
                <w:rFonts w:eastAsia="黑体"/>
                <w:sz w:val="27"/>
                <w:szCs w:val="27"/>
              </w:rPr>
            </w:pPr>
          </w:p>
        </w:tc>
        <w:tc>
          <w:tcPr>
            <w:tcW w:w="1868" w:type="dxa"/>
          </w:tcPr>
          <w:p>
            <w:pPr>
              <w:spacing w:line="440" w:lineRule="exact"/>
              <w:rPr>
                <w:rFonts w:eastAsia="黑体"/>
                <w:sz w:val="27"/>
                <w:szCs w:val="27"/>
              </w:rPr>
            </w:pPr>
          </w:p>
        </w:tc>
      </w:tr>
    </w:tbl>
    <w:p>
      <w:pPr>
        <w:pStyle w:val="144"/>
        <w:spacing w:before="120" w:after="60"/>
        <w:rPr>
          <w:b/>
        </w:rPr>
      </w:pPr>
      <w:bookmarkStart w:id="1275" w:name="_Toc497458740"/>
      <w:bookmarkStart w:id="1276" w:name="_Toc144974853"/>
      <w:bookmarkStart w:id="1277" w:name="_Toc152042573"/>
      <w:bookmarkStart w:id="1278" w:name="_Toc179632802"/>
      <w:bookmarkStart w:id="1279" w:name="_Toc152045784"/>
      <w:bookmarkStart w:id="1280" w:name="_Toc489692692"/>
      <w:bookmarkStart w:id="1281" w:name="_Toc241459786"/>
      <w:bookmarkStart w:id="1282" w:name="_Toc342296544"/>
      <w:bookmarkStart w:id="1283" w:name="_Toc429569596"/>
      <w:r>
        <w:rPr>
          <w:b/>
        </w:rPr>
        <w:t>2.</w:t>
      </w:r>
      <w:r>
        <w:rPr>
          <w:rFonts w:hint="eastAsia"/>
          <w:b/>
        </w:rPr>
        <w:t>图</w:t>
      </w:r>
      <w:r>
        <w:rPr>
          <w:b/>
        </w:rPr>
        <w:t xml:space="preserve">  </w:t>
      </w:r>
      <w:r>
        <w:rPr>
          <w:rFonts w:hint="eastAsia"/>
          <w:b/>
        </w:rPr>
        <w:t>纸</w:t>
      </w:r>
      <w:bookmarkEnd w:id="1275"/>
      <w:bookmarkEnd w:id="1276"/>
      <w:bookmarkEnd w:id="1277"/>
      <w:bookmarkEnd w:id="1278"/>
      <w:bookmarkEnd w:id="1279"/>
      <w:bookmarkEnd w:id="1280"/>
      <w:bookmarkEnd w:id="1281"/>
      <w:bookmarkEnd w:id="1282"/>
      <w:bookmarkEnd w:id="1283"/>
    </w:p>
    <w:p>
      <w:pPr>
        <w:ind w:firstLine="420" w:firstLineChars="200"/>
      </w:pPr>
      <w:r>
        <w:rPr>
          <w:rFonts w:hint="eastAsia"/>
        </w:rPr>
        <w:t>作为招标文件组成部分的图纸（见图纸目录），随招标文件一并提供给投标人。</w:t>
      </w:r>
    </w:p>
    <w:p>
      <w:pPr>
        <w:pStyle w:val="83"/>
        <w:ind w:right="46" w:rightChars="22"/>
        <w:rPr>
          <w:rFonts w:ascii="Times New Roman" w:hAnsi="Times New Roman"/>
          <w:b/>
          <w:sz w:val="30"/>
          <w:szCs w:val="30"/>
        </w:rPr>
      </w:pPr>
    </w:p>
    <w:p>
      <w:pPr>
        <w:pStyle w:val="2"/>
        <w:rPr>
          <w:rFonts w:ascii="宋体" w:hAnsi="宋体" w:eastAsia="宋体"/>
          <w:b/>
          <w:sz w:val="30"/>
          <w:szCs w:val="30"/>
        </w:rPr>
      </w:pPr>
      <w:bookmarkStart w:id="1284" w:name="_Toc470011331"/>
      <w:r>
        <w:rPr>
          <w:rFonts w:hint="eastAsia" w:ascii="宋体" w:hAnsi="宋体" w:eastAsia="宋体"/>
          <w:b/>
          <w:sz w:val="48"/>
          <w:szCs w:val="48"/>
        </w:rPr>
        <w:t>第七章</w:t>
      </w:r>
      <w:r>
        <w:rPr>
          <w:rFonts w:ascii="宋体" w:hAnsi="宋体" w:eastAsia="宋体"/>
          <w:b/>
          <w:sz w:val="48"/>
          <w:szCs w:val="48"/>
        </w:rPr>
        <w:tab/>
      </w:r>
      <w:r>
        <w:rPr>
          <w:rFonts w:hint="eastAsia" w:ascii="宋体" w:hAnsi="宋体" w:eastAsia="宋体"/>
          <w:b/>
          <w:sz w:val="48"/>
          <w:szCs w:val="48"/>
        </w:rPr>
        <w:t>技术标准和要求</w:t>
      </w:r>
      <w:bookmarkEnd w:id="1284"/>
      <w:r>
        <w:rPr>
          <w:rFonts w:ascii="宋体" w:hAnsi="宋体" w:eastAsia="宋体"/>
          <w:b/>
          <w:sz w:val="48"/>
          <w:szCs w:val="48"/>
        </w:rPr>
        <w:br w:type="page"/>
      </w:r>
    </w:p>
    <w:p>
      <w:pPr>
        <w:keepNext/>
        <w:keepLines/>
        <w:spacing w:after="120" w:afterLines="50"/>
        <w:jc w:val="center"/>
        <w:outlineLvl w:val="0"/>
        <w:rPr>
          <w:rFonts w:ascii="宋体" w:hAnsi="宋体" w:cs="Arial"/>
          <w:b/>
          <w:bCs/>
          <w:kern w:val="44"/>
          <w:sz w:val="30"/>
          <w:szCs w:val="32"/>
        </w:rPr>
      </w:pPr>
      <w:bookmarkStart w:id="1285" w:name="_Toc362253011"/>
      <w:bookmarkStart w:id="1286" w:name="_Toc241459788"/>
      <w:bookmarkStart w:id="1287" w:name="_Toc342296545"/>
      <w:r>
        <w:rPr>
          <w:rFonts w:ascii="宋体" w:hAnsi="宋体" w:cs="Arial"/>
          <w:b/>
          <w:bCs/>
          <w:kern w:val="44"/>
          <w:sz w:val="30"/>
          <w:szCs w:val="32"/>
        </w:rPr>
        <w:t>第七章  技术标准和要求</w:t>
      </w:r>
      <w:bookmarkEnd w:id="1285"/>
      <w:bookmarkEnd w:id="1286"/>
      <w:bookmarkEnd w:id="1287"/>
    </w:p>
    <w:p>
      <w:pPr>
        <w:keepNext/>
        <w:keepLines/>
        <w:spacing w:before="260" w:after="156" w:line="416" w:lineRule="auto"/>
        <w:jc w:val="center"/>
        <w:outlineLvl w:val="1"/>
        <w:rPr>
          <w:rFonts w:ascii="宋体" w:hAnsi="宋体" w:cs="Arial"/>
          <w:b/>
          <w:sz w:val="24"/>
          <w:szCs w:val="32"/>
        </w:rPr>
      </w:pPr>
      <w:bookmarkStart w:id="1288" w:name="_Toc241459789"/>
      <w:bookmarkStart w:id="1289" w:name="_Toc362253012"/>
      <w:bookmarkStart w:id="1290" w:name="_Toc342296546"/>
      <w:r>
        <w:rPr>
          <w:rFonts w:hint="eastAsia" w:ascii="宋体" w:hAnsi="宋体" w:cs="Arial"/>
          <w:b/>
          <w:sz w:val="24"/>
          <w:szCs w:val="32"/>
        </w:rPr>
        <w:t>第一节 一般要求</w:t>
      </w:r>
      <w:bookmarkEnd w:id="1288"/>
      <w:bookmarkEnd w:id="1289"/>
      <w:bookmarkEnd w:id="1290"/>
    </w:p>
    <w:p>
      <w:pPr>
        <w:keepNext/>
        <w:keepLines/>
        <w:spacing w:before="260" w:after="156" w:line="460" w:lineRule="exact"/>
        <w:outlineLvl w:val="2"/>
        <w:rPr>
          <w:rFonts w:ascii="宋体" w:hAnsi="宋体" w:cs="Arial"/>
          <w:b/>
          <w:bCs/>
          <w:sz w:val="24"/>
        </w:rPr>
      </w:pPr>
      <w:bookmarkStart w:id="1291" w:name="_Toc362253013"/>
      <w:bookmarkStart w:id="1292" w:name="_Toc342296547"/>
      <w:bookmarkStart w:id="1293" w:name="_Toc241459790"/>
      <w:r>
        <w:rPr>
          <w:rFonts w:hint="eastAsia" w:ascii="宋体" w:hAnsi="宋体" w:cs="Arial"/>
          <w:b/>
          <w:bCs/>
          <w:sz w:val="24"/>
        </w:rPr>
        <w:t>1. 工程说明</w:t>
      </w:r>
      <w:bookmarkEnd w:id="1291"/>
      <w:bookmarkEnd w:id="1292"/>
      <w:bookmarkEnd w:id="1293"/>
    </w:p>
    <w:p>
      <w:pPr>
        <w:spacing w:after="120" w:afterLines="50" w:line="460" w:lineRule="exact"/>
        <w:rPr>
          <w:rFonts w:ascii="宋体" w:hAnsi="宋体" w:cs="Arial"/>
          <w:sz w:val="24"/>
        </w:rPr>
      </w:pPr>
      <w:r>
        <w:rPr>
          <w:rFonts w:hint="eastAsia" w:ascii="宋体" w:hAnsi="宋体" w:cs="Arial"/>
          <w:b/>
          <w:bCs/>
          <w:sz w:val="24"/>
        </w:rPr>
        <w:t>1.1</w:t>
      </w:r>
      <w:r>
        <w:rPr>
          <w:rFonts w:ascii="宋体" w:hAnsi="宋体" w:cs="Arial"/>
          <w:sz w:val="24"/>
        </w:rPr>
        <w:t xml:space="preserve"> </w:t>
      </w:r>
      <w:r>
        <w:rPr>
          <w:rFonts w:hint="eastAsia" w:ascii="宋体" w:hAnsi="宋体" w:cs="Arial"/>
          <w:sz w:val="24"/>
        </w:rPr>
        <w:t xml:space="preserve">  </w:t>
      </w:r>
      <w:r>
        <w:rPr>
          <w:rFonts w:hint="eastAsia" w:ascii="宋体" w:hAnsi="宋体" w:cs="Arial"/>
          <w:b/>
          <w:bCs/>
          <w:sz w:val="24"/>
        </w:rPr>
        <w:t>工程概况</w:t>
      </w:r>
    </w:p>
    <w:p>
      <w:pPr>
        <w:spacing w:after="120" w:afterLines="50" w:line="460" w:lineRule="exact"/>
        <w:rPr>
          <w:rFonts w:ascii="宋体" w:hAnsi="宋体" w:cs="Arial"/>
          <w:sz w:val="24"/>
        </w:rPr>
      </w:pPr>
      <w:r>
        <w:rPr>
          <w:rFonts w:hint="eastAsia" w:ascii="宋体" w:hAnsi="宋体" w:cs="Arial"/>
          <w:sz w:val="24"/>
        </w:rPr>
        <w:t>1.1.1</w:t>
      </w:r>
      <w:r>
        <w:rPr>
          <w:rFonts w:ascii="宋体" w:hAnsi="宋体" w:cs="Arial"/>
          <w:sz w:val="24"/>
        </w:rPr>
        <w:t xml:space="preserve"> </w:t>
      </w:r>
      <w:r>
        <w:rPr>
          <w:rFonts w:hint="eastAsia" w:ascii="宋体" w:hAnsi="宋体" w:cs="Arial"/>
          <w:sz w:val="24"/>
        </w:rPr>
        <w:t>本工程基本情况如下：</w:t>
      </w:r>
    </w:p>
    <w:p>
      <w:pPr>
        <w:spacing w:after="120" w:afterLines="50" w:line="460" w:lineRule="exact"/>
        <w:rPr>
          <w:rFonts w:ascii="宋体" w:hAnsi="宋体"/>
          <w:sz w:val="24"/>
          <w:u w:val="single"/>
        </w:rPr>
      </w:pPr>
      <w:r>
        <w:rPr>
          <w:rFonts w:hint="eastAsia" w:ascii="宋体" w:hAnsi="宋体"/>
          <w:sz w:val="24"/>
          <w:u w:val="single"/>
        </w:rPr>
        <w:t xml:space="preserve">                                                           </w:t>
      </w:r>
    </w:p>
    <w:p>
      <w:pPr>
        <w:spacing w:after="120" w:afterLines="50" w:line="460" w:lineRule="exact"/>
        <w:rPr>
          <w:rFonts w:ascii="宋体" w:hAnsi="宋体" w:cs="Arial"/>
          <w:sz w:val="24"/>
        </w:rPr>
      </w:pPr>
      <w:r>
        <w:rPr>
          <w:rFonts w:hint="eastAsia" w:ascii="宋体" w:hAnsi="宋体"/>
          <w:sz w:val="24"/>
          <w:u w:val="single"/>
        </w:rPr>
        <w:t xml:space="preserve">                                                           </w:t>
      </w:r>
      <w:r>
        <w:rPr>
          <w:rFonts w:hint="eastAsia" w:ascii="宋体" w:hAnsi="宋体"/>
          <w:sz w:val="24"/>
        </w:rPr>
        <w:t>。</w:t>
      </w:r>
    </w:p>
    <w:p>
      <w:pPr>
        <w:adjustRightInd w:val="0"/>
        <w:spacing w:after="120" w:afterLines="50" w:line="460" w:lineRule="exact"/>
        <w:rPr>
          <w:rFonts w:ascii="宋体" w:hAnsi="宋体" w:cs="Arial"/>
          <w:bCs/>
          <w:kern w:val="0"/>
          <w:sz w:val="24"/>
        </w:rPr>
      </w:pPr>
      <w:r>
        <w:rPr>
          <w:rFonts w:hint="eastAsia" w:ascii="宋体" w:hAnsi="宋体" w:cs="Arial"/>
          <w:sz w:val="24"/>
        </w:rPr>
        <w:t>1.1.2</w:t>
      </w:r>
      <w:r>
        <w:rPr>
          <w:rFonts w:ascii="宋体" w:hAnsi="宋体" w:cs="Arial"/>
          <w:sz w:val="24"/>
        </w:rPr>
        <w:t xml:space="preserve"> </w:t>
      </w:r>
      <w:r>
        <w:rPr>
          <w:rFonts w:hint="eastAsia" w:ascii="宋体" w:hAnsi="宋体" w:cs="Arial"/>
          <w:bCs/>
          <w:kern w:val="0"/>
          <w:sz w:val="24"/>
        </w:rPr>
        <w:t>本工程施工场地（现场）具体地理位置如下：</w:t>
      </w:r>
    </w:p>
    <w:p>
      <w:pPr>
        <w:spacing w:after="120" w:afterLines="50" w:line="460" w:lineRule="exact"/>
        <w:rPr>
          <w:rFonts w:ascii="宋体" w:hAnsi="宋体"/>
          <w:sz w:val="24"/>
          <w:u w:val="single"/>
        </w:rPr>
      </w:pPr>
      <w:r>
        <w:rPr>
          <w:rFonts w:hint="eastAsia" w:ascii="宋体" w:hAnsi="宋体"/>
          <w:sz w:val="24"/>
          <w:u w:val="single"/>
        </w:rPr>
        <w:t xml:space="preserve">                                                           </w:t>
      </w:r>
    </w:p>
    <w:p>
      <w:pPr>
        <w:spacing w:after="120" w:afterLines="50" w:line="460" w:lineRule="exact"/>
        <w:rPr>
          <w:rFonts w:ascii="宋体" w:hAnsi="宋体" w:cs="Arial"/>
          <w:sz w:val="24"/>
        </w:rPr>
      </w:pPr>
      <w:r>
        <w:rPr>
          <w:rFonts w:hint="eastAsia" w:ascii="宋体" w:hAnsi="宋体"/>
          <w:sz w:val="24"/>
          <w:u w:val="single"/>
        </w:rPr>
        <w:t xml:space="preserve">                                                           </w:t>
      </w:r>
      <w:r>
        <w:rPr>
          <w:rFonts w:hint="eastAsia" w:ascii="宋体" w:hAnsi="宋体"/>
          <w:sz w:val="24"/>
        </w:rPr>
        <w:t>。</w:t>
      </w:r>
    </w:p>
    <w:p>
      <w:pPr>
        <w:tabs>
          <w:tab w:val="left" w:pos="567"/>
        </w:tabs>
        <w:adjustRightInd w:val="0"/>
        <w:spacing w:after="120" w:afterLines="50" w:line="460" w:lineRule="exact"/>
        <w:rPr>
          <w:rFonts w:ascii="宋体" w:hAnsi="宋体" w:cs="Arial"/>
          <w:bCs/>
          <w:kern w:val="0"/>
          <w:sz w:val="24"/>
        </w:rPr>
      </w:pPr>
      <w:r>
        <w:rPr>
          <w:rFonts w:ascii="宋体" w:hAnsi="宋体" w:cs="Arial"/>
          <w:b/>
          <w:bCs/>
          <w:sz w:val="24"/>
        </w:rPr>
        <w:t>1.</w:t>
      </w:r>
      <w:r>
        <w:rPr>
          <w:rFonts w:hint="eastAsia" w:ascii="宋体" w:hAnsi="宋体" w:cs="Arial"/>
          <w:b/>
          <w:bCs/>
          <w:sz w:val="24"/>
        </w:rPr>
        <w:t>2</w:t>
      </w:r>
      <w:r>
        <w:rPr>
          <w:rFonts w:ascii="宋体" w:hAnsi="宋体" w:cs="Arial"/>
          <w:sz w:val="24"/>
        </w:rPr>
        <w:t xml:space="preserve"> </w:t>
      </w:r>
      <w:r>
        <w:rPr>
          <w:rFonts w:hint="eastAsia" w:ascii="宋体" w:hAnsi="宋体" w:cs="Arial"/>
          <w:sz w:val="24"/>
        </w:rPr>
        <w:t xml:space="preserve">  </w:t>
      </w:r>
      <w:r>
        <w:rPr>
          <w:rFonts w:ascii="宋体" w:hAnsi="宋体" w:cs="Arial"/>
          <w:b/>
          <w:bCs/>
          <w:sz w:val="24"/>
        </w:rPr>
        <w:t>现场条件和周围环境</w:t>
      </w:r>
    </w:p>
    <w:p>
      <w:pPr>
        <w:tabs>
          <w:tab w:val="left" w:pos="0"/>
          <w:tab w:val="left" w:pos="709"/>
        </w:tabs>
        <w:spacing w:after="120" w:afterLines="50" w:line="460" w:lineRule="exact"/>
        <w:ind w:left="1"/>
        <w:rPr>
          <w:rFonts w:ascii="宋体" w:hAnsi="宋体" w:cs="Arial"/>
          <w:bCs/>
          <w:sz w:val="24"/>
        </w:rPr>
      </w:pPr>
      <w:r>
        <w:rPr>
          <w:rFonts w:hint="eastAsia" w:ascii="宋体" w:hAnsi="宋体" w:cs="Arial"/>
          <w:sz w:val="24"/>
        </w:rPr>
        <w:t>1.2.1</w:t>
      </w:r>
      <w:r>
        <w:rPr>
          <w:rFonts w:hint="eastAsia" w:ascii="宋体" w:hAnsi="宋体" w:cs="Arial"/>
          <w:bCs/>
          <w:sz w:val="24"/>
        </w:rPr>
        <w:t>本工程施工场地（现场）已经具备施工条件。施工场地（现场）临时水源接口位置、临时电源接口位置、临时排污口位置、建筑红线位置、道路交通和出入口、以及施工场地（现场）和周围环境等情况见本章附件A：施工场地（现场）现状平面图。</w:t>
      </w:r>
    </w:p>
    <w:p>
      <w:pPr>
        <w:spacing w:after="120" w:afterLines="50" w:line="460" w:lineRule="exact"/>
        <w:rPr>
          <w:rFonts w:ascii="宋体" w:hAnsi="宋体" w:cs="Arial"/>
          <w:bCs/>
          <w:sz w:val="24"/>
        </w:rPr>
      </w:pPr>
      <w:r>
        <w:rPr>
          <w:rFonts w:hint="eastAsia" w:ascii="宋体" w:hAnsi="宋体" w:cs="Arial"/>
          <w:sz w:val="24"/>
        </w:rPr>
        <w:t xml:space="preserve">1.2.2 </w:t>
      </w:r>
      <w:r>
        <w:rPr>
          <w:rFonts w:hint="eastAsia" w:ascii="宋体" w:hAnsi="宋体" w:cs="Arial"/>
          <w:bCs/>
          <w:sz w:val="24"/>
        </w:rPr>
        <w:t>施工场地（现场）临时供水管径</w:t>
      </w:r>
      <w:r>
        <w:rPr>
          <w:rFonts w:hint="eastAsia" w:ascii="宋体" w:hAnsi="宋体" w:cs="Arial"/>
          <w:bCs/>
          <w:sz w:val="24"/>
          <w:u w:val="single"/>
        </w:rPr>
        <w:t xml:space="preserve">                                      </w:t>
      </w:r>
      <w:r>
        <w:rPr>
          <w:rFonts w:hint="eastAsia" w:ascii="宋体" w:hAnsi="宋体" w:cs="Arial"/>
          <w:bCs/>
          <w:sz w:val="24"/>
        </w:rPr>
        <w:t>。</w:t>
      </w:r>
    </w:p>
    <w:p>
      <w:pPr>
        <w:spacing w:after="120" w:afterLines="50" w:line="460" w:lineRule="exact"/>
        <w:ind w:firstLine="660" w:firstLineChars="275"/>
        <w:rPr>
          <w:rFonts w:ascii="宋体" w:hAnsi="宋体" w:cs="Arial"/>
          <w:bCs/>
          <w:sz w:val="24"/>
        </w:rPr>
      </w:pPr>
      <w:r>
        <w:rPr>
          <w:rFonts w:hint="eastAsia" w:ascii="宋体" w:hAnsi="宋体" w:cs="Arial"/>
          <w:bCs/>
          <w:sz w:val="24"/>
        </w:rPr>
        <w:t>施工场地（现场）临时排污管径</w:t>
      </w:r>
      <w:r>
        <w:rPr>
          <w:rFonts w:hint="eastAsia" w:ascii="宋体" w:hAnsi="宋体" w:cs="Arial"/>
          <w:bCs/>
          <w:sz w:val="24"/>
          <w:u w:val="single"/>
        </w:rPr>
        <w:t xml:space="preserve">                                     </w:t>
      </w:r>
      <w:r>
        <w:rPr>
          <w:rFonts w:hint="eastAsia" w:ascii="宋体" w:hAnsi="宋体" w:cs="Arial"/>
          <w:bCs/>
          <w:sz w:val="24"/>
        </w:rPr>
        <w:t>。</w:t>
      </w:r>
    </w:p>
    <w:p>
      <w:pPr>
        <w:spacing w:after="120" w:afterLines="50" w:line="460" w:lineRule="exact"/>
        <w:ind w:firstLine="660" w:firstLineChars="275"/>
        <w:rPr>
          <w:rFonts w:ascii="宋体" w:hAnsi="宋体" w:cs="Arial"/>
          <w:bCs/>
          <w:sz w:val="24"/>
        </w:rPr>
      </w:pPr>
      <w:r>
        <w:rPr>
          <w:rFonts w:hint="eastAsia" w:ascii="宋体" w:hAnsi="宋体" w:cs="Arial"/>
          <w:bCs/>
          <w:sz w:val="24"/>
        </w:rPr>
        <w:t>施工场地（现场）临时雨水管径</w:t>
      </w:r>
      <w:r>
        <w:rPr>
          <w:rFonts w:hint="eastAsia" w:ascii="宋体" w:hAnsi="宋体" w:cs="Arial"/>
          <w:bCs/>
          <w:sz w:val="24"/>
          <w:u w:val="single"/>
        </w:rPr>
        <w:t xml:space="preserve">                                     </w:t>
      </w:r>
      <w:r>
        <w:rPr>
          <w:rFonts w:hint="eastAsia" w:ascii="宋体" w:hAnsi="宋体" w:cs="Arial"/>
          <w:bCs/>
          <w:sz w:val="24"/>
        </w:rPr>
        <w:t>。</w:t>
      </w:r>
    </w:p>
    <w:p>
      <w:pPr>
        <w:spacing w:after="120" w:afterLines="50" w:line="460" w:lineRule="exact"/>
        <w:ind w:firstLine="660" w:firstLineChars="275"/>
        <w:rPr>
          <w:rFonts w:ascii="宋体" w:hAnsi="宋体" w:cs="Arial"/>
          <w:bCs/>
          <w:sz w:val="24"/>
        </w:rPr>
      </w:pPr>
      <w:r>
        <w:rPr>
          <w:rFonts w:hint="eastAsia" w:ascii="宋体" w:hAnsi="宋体" w:cs="Arial"/>
          <w:bCs/>
          <w:sz w:val="24"/>
        </w:rPr>
        <w:t>施工现场临时供电容量（变压器输出功率）</w:t>
      </w:r>
      <w:r>
        <w:rPr>
          <w:rFonts w:hint="eastAsia" w:ascii="宋体" w:hAnsi="宋体" w:cs="Arial"/>
          <w:bCs/>
          <w:sz w:val="24"/>
          <w:u w:val="single"/>
        </w:rPr>
        <w:t xml:space="preserve">                           </w:t>
      </w:r>
      <w:r>
        <w:rPr>
          <w:rFonts w:hint="eastAsia" w:ascii="宋体" w:hAnsi="宋体" w:cs="Arial"/>
          <w:bCs/>
          <w:sz w:val="24"/>
        </w:rPr>
        <w:t>。</w:t>
      </w:r>
    </w:p>
    <w:p>
      <w:pPr>
        <w:adjustRightInd w:val="0"/>
        <w:spacing w:after="120" w:afterLines="50" w:line="460" w:lineRule="exact"/>
        <w:rPr>
          <w:rFonts w:ascii="宋体" w:hAnsi="宋体" w:cs="Arial"/>
          <w:kern w:val="0"/>
          <w:sz w:val="24"/>
        </w:rPr>
      </w:pPr>
      <w:r>
        <w:rPr>
          <w:rFonts w:hint="eastAsia" w:ascii="宋体" w:hAnsi="宋体" w:cs="Arial"/>
          <w:sz w:val="24"/>
        </w:rPr>
        <w:t>1.2.3</w:t>
      </w:r>
      <w:r>
        <w:rPr>
          <w:rFonts w:ascii="宋体" w:hAnsi="宋体" w:cs="Arial"/>
          <w:sz w:val="24"/>
        </w:rPr>
        <w:t xml:space="preserve"> </w:t>
      </w:r>
      <w:r>
        <w:rPr>
          <w:rFonts w:hint="eastAsia" w:ascii="宋体" w:hAnsi="宋体" w:cs="Arial"/>
          <w:kern w:val="0"/>
          <w:sz w:val="24"/>
        </w:rPr>
        <w:t>现状保留植物的品种、规格、数量如下：</w:t>
      </w:r>
    </w:p>
    <w:p>
      <w:pPr>
        <w:adjustRightInd w:val="0"/>
        <w:spacing w:after="120" w:afterLines="50" w:line="460" w:lineRule="exact"/>
        <w:rPr>
          <w:rFonts w:ascii="宋体" w:hAnsi="宋体" w:cs="Arial"/>
          <w:kern w:val="0"/>
          <w:sz w:val="24"/>
        </w:rPr>
      </w:pPr>
      <w:r>
        <w:rPr>
          <w:rFonts w:hint="eastAsia" w:ascii="宋体" w:hAnsi="宋体" w:cs="Arial"/>
          <w:kern w:val="0"/>
          <w:sz w:val="24"/>
          <w:u w:val="single"/>
        </w:rPr>
        <w:t xml:space="preserve">                                                                      </w:t>
      </w:r>
      <w:r>
        <w:rPr>
          <w:rFonts w:hint="eastAsia" w:ascii="宋体" w:hAnsi="宋体" w:cs="Arial"/>
          <w:kern w:val="0"/>
          <w:sz w:val="24"/>
        </w:rPr>
        <w:t>。</w:t>
      </w:r>
    </w:p>
    <w:p>
      <w:pPr>
        <w:adjustRightInd w:val="0"/>
        <w:spacing w:after="120" w:afterLines="50" w:line="460" w:lineRule="exact"/>
        <w:ind w:firstLine="720" w:firstLineChars="300"/>
        <w:rPr>
          <w:rFonts w:ascii="宋体" w:hAnsi="宋体" w:cs="Arial"/>
          <w:kern w:val="0"/>
          <w:sz w:val="24"/>
        </w:rPr>
      </w:pPr>
      <w:r>
        <w:rPr>
          <w:rFonts w:hint="eastAsia" w:ascii="宋体" w:hAnsi="宋体" w:cs="Arial"/>
          <w:kern w:val="0"/>
          <w:sz w:val="24"/>
        </w:rPr>
        <w:t>现场及周边地上、架空管线资料和信息数据如下：</w:t>
      </w:r>
    </w:p>
    <w:p>
      <w:pPr>
        <w:spacing w:after="120" w:afterLines="50" w:line="460" w:lineRule="exact"/>
        <w:rPr>
          <w:rFonts w:ascii="宋体" w:hAnsi="宋体"/>
          <w:sz w:val="24"/>
        </w:rPr>
      </w:pPr>
      <w:r>
        <w:rPr>
          <w:rFonts w:hint="eastAsia" w:ascii="宋体" w:hAnsi="宋体"/>
          <w:sz w:val="24"/>
          <w:u w:val="single"/>
        </w:rPr>
        <w:t xml:space="preserve">                                                                      </w:t>
      </w:r>
      <w:r>
        <w:rPr>
          <w:rFonts w:hint="eastAsia" w:ascii="宋体" w:hAnsi="宋体"/>
          <w:sz w:val="24"/>
        </w:rPr>
        <w:t>。</w:t>
      </w:r>
    </w:p>
    <w:p>
      <w:pPr>
        <w:spacing w:after="120" w:afterLines="50" w:line="460" w:lineRule="exact"/>
        <w:ind w:firstLine="720" w:firstLineChars="300"/>
        <w:rPr>
          <w:rFonts w:ascii="宋体" w:hAnsi="宋体" w:cs="Arial"/>
          <w:kern w:val="0"/>
          <w:sz w:val="24"/>
        </w:rPr>
      </w:pPr>
      <w:r>
        <w:rPr>
          <w:rFonts w:hint="eastAsia" w:ascii="宋体" w:hAnsi="宋体" w:cs="Arial"/>
          <w:kern w:val="0"/>
          <w:sz w:val="24"/>
        </w:rPr>
        <w:t>现场及周边地下构筑物、地下管线资料和信息数据如下：</w:t>
      </w:r>
    </w:p>
    <w:p>
      <w:pPr>
        <w:spacing w:after="120" w:afterLines="50" w:line="460" w:lineRule="exact"/>
        <w:rPr>
          <w:rFonts w:ascii="宋体" w:hAnsi="宋体"/>
          <w:sz w:val="24"/>
        </w:rPr>
      </w:pPr>
      <w:r>
        <w:rPr>
          <w:rFonts w:hint="eastAsia" w:ascii="宋体" w:hAnsi="宋体"/>
          <w:sz w:val="24"/>
          <w:u w:val="single"/>
        </w:rPr>
        <w:t xml:space="preserve">                                                                      </w:t>
      </w:r>
      <w:r>
        <w:rPr>
          <w:rFonts w:hint="eastAsia" w:ascii="宋体" w:hAnsi="宋体"/>
          <w:sz w:val="24"/>
        </w:rPr>
        <w:t>。</w:t>
      </w:r>
    </w:p>
    <w:p>
      <w:pPr>
        <w:spacing w:after="156" w:line="460" w:lineRule="exact"/>
        <w:ind w:firstLine="720" w:firstLineChars="300"/>
        <w:rPr>
          <w:rFonts w:ascii="宋体" w:hAnsi="宋体" w:cs="Arial"/>
          <w:sz w:val="24"/>
        </w:rPr>
      </w:pPr>
      <w:r>
        <w:rPr>
          <w:rFonts w:hint="eastAsia" w:ascii="宋体" w:hAnsi="宋体" w:cs="Arial"/>
          <w:sz w:val="24"/>
        </w:rPr>
        <w:t>现场条件和周围环境的其他资料和信息数据如下：</w:t>
      </w:r>
    </w:p>
    <w:p>
      <w:pPr>
        <w:spacing w:after="120" w:afterLines="50" w:line="460" w:lineRule="exact"/>
        <w:rPr>
          <w:rFonts w:ascii="宋体" w:hAnsi="宋体" w:cs="Arial"/>
          <w:sz w:val="24"/>
        </w:rPr>
      </w:pPr>
      <w:r>
        <w:rPr>
          <w:rFonts w:hint="eastAsia" w:ascii="宋体" w:hAnsi="宋体"/>
          <w:sz w:val="24"/>
          <w:u w:val="single"/>
        </w:rPr>
        <w:t xml:space="preserve">                          </w:t>
      </w:r>
      <w:r>
        <w:rPr>
          <w:rFonts w:hint="eastAsia" w:ascii="宋体" w:hAnsi="宋体" w:cs="Arial"/>
          <w:sz w:val="24"/>
          <w:u w:val="single"/>
        </w:rPr>
        <w:t xml:space="preserve">                                            </w:t>
      </w:r>
      <w:r>
        <w:rPr>
          <w:rFonts w:hint="eastAsia" w:ascii="宋体" w:hAnsi="宋体" w:cs="Arial"/>
          <w:sz w:val="24"/>
        </w:rPr>
        <w:t xml:space="preserve">。                                    </w:t>
      </w:r>
    </w:p>
    <w:p>
      <w:pPr>
        <w:spacing w:after="120" w:afterLines="50" w:line="460" w:lineRule="exact"/>
        <w:ind w:left="2"/>
        <w:rPr>
          <w:rFonts w:ascii="宋体" w:hAnsi="宋体" w:cs="Arial"/>
          <w:sz w:val="24"/>
        </w:rPr>
      </w:pPr>
      <w:r>
        <w:rPr>
          <w:rFonts w:hint="eastAsia" w:ascii="宋体" w:hAnsi="宋体" w:cs="Arial"/>
          <w:sz w:val="24"/>
        </w:rPr>
        <w:t>1.2.4</w:t>
      </w:r>
      <w:r>
        <w:rPr>
          <w:rFonts w:ascii="宋体" w:hAnsi="宋体" w:cs="Arial"/>
          <w:sz w:val="24"/>
        </w:rPr>
        <w:t xml:space="preserve"> </w:t>
      </w:r>
      <w:r>
        <w:rPr>
          <w:rFonts w:hint="eastAsia" w:ascii="宋体" w:hAnsi="宋体" w:cs="Arial"/>
          <w:bCs/>
          <w:sz w:val="24"/>
        </w:rPr>
        <w:t>承包人被认为已在本工程投标阶段踏勘现场时充分了解本工程现场条件和周围环境，并已在其投标时就此给予了充分的考虑。</w:t>
      </w:r>
    </w:p>
    <w:p>
      <w:pPr>
        <w:spacing w:after="120" w:afterLines="50" w:line="460" w:lineRule="exact"/>
        <w:rPr>
          <w:rFonts w:ascii="宋体" w:hAnsi="宋体" w:cs="Arial"/>
          <w:bCs/>
          <w:sz w:val="24"/>
        </w:rPr>
      </w:pPr>
      <w:r>
        <w:rPr>
          <w:rFonts w:ascii="宋体" w:hAnsi="宋体" w:cs="Arial"/>
          <w:b/>
          <w:bCs/>
          <w:sz w:val="24"/>
        </w:rPr>
        <w:t>1.</w:t>
      </w:r>
      <w:r>
        <w:rPr>
          <w:rFonts w:hint="eastAsia" w:ascii="宋体" w:hAnsi="宋体" w:cs="Arial"/>
          <w:b/>
          <w:bCs/>
          <w:sz w:val="24"/>
        </w:rPr>
        <w:t>3</w:t>
      </w:r>
      <w:r>
        <w:rPr>
          <w:rFonts w:ascii="宋体" w:hAnsi="宋体" w:cs="Arial"/>
          <w:sz w:val="24"/>
        </w:rPr>
        <w:t xml:space="preserve"> </w:t>
      </w:r>
      <w:r>
        <w:rPr>
          <w:rFonts w:hint="eastAsia" w:ascii="宋体" w:hAnsi="宋体" w:cs="Arial"/>
          <w:sz w:val="24"/>
        </w:rPr>
        <w:t xml:space="preserve">  </w:t>
      </w:r>
      <w:r>
        <w:rPr>
          <w:rFonts w:ascii="宋体" w:hAnsi="宋体" w:cs="Arial"/>
          <w:b/>
          <w:bCs/>
          <w:sz w:val="24"/>
        </w:rPr>
        <w:t>地质及水文资料</w:t>
      </w:r>
    </w:p>
    <w:p>
      <w:pPr>
        <w:tabs>
          <w:tab w:val="left" w:pos="709"/>
        </w:tabs>
        <w:adjustRightInd w:val="0"/>
        <w:spacing w:after="120" w:afterLines="50" w:line="460" w:lineRule="exact"/>
        <w:rPr>
          <w:rFonts w:ascii="宋体" w:hAnsi="宋体" w:cs="Arial"/>
          <w:kern w:val="0"/>
          <w:sz w:val="24"/>
        </w:rPr>
      </w:pPr>
      <w:r>
        <w:rPr>
          <w:rFonts w:ascii="宋体" w:hAnsi="宋体" w:cs="Arial"/>
          <w:sz w:val="24"/>
        </w:rPr>
        <w:t xml:space="preserve"> </w:t>
      </w:r>
      <w:r>
        <w:rPr>
          <w:rFonts w:hint="eastAsia" w:ascii="宋体" w:hAnsi="宋体" w:cs="Arial"/>
          <w:sz w:val="24"/>
        </w:rPr>
        <w:t xml:space="preserve">     </w:t>
      </w:r>
      <w:r>
        <w:rPr>
          <w:rFonts w:hint="eastAsia" w:ascii="宋体" w:hAnsi="宋体" w:cs="Arial"/>
          <w:kern w:val="0"/>
          <w:sz w:val="24"/>
        </w:rPr>
        <w:t>现场地质及水文资料和信息数据如下：</w:t>
      </w:r>
    </w:p>
    <w:p>
      <w:pPr>
        <w:tabs>
          <w:tab w:val="left" w:pos="8647"/>
        </w:tabs>
        <w:spacing w:after="120" w:afterLines="50" w:line="460" w:lineRule="exact"/>
        <w:rPr>
          <w:rFonts w:ascii="宋体" w:hAnsi="宋体"/>
          <w:sz w:val="24"/>
          <w:u w:val="single"/>
        </w:rPr>
      </w:pPr>
      <w:r>
        <w:rPr>
          <w:rFonts w:hint="eastAsia" w:ascii="宋体" w:hAnsi="宋体"/>
          <w:sz w:val="24"/>
          <w:u w:val="single"/>
        </w:rPr>
        <w:t xml:space="preserve">                                                                      </w:t>
      </w:r>
      <w:r>
        <w:rPr>
          <w:rFonts w:hint="eastAsia" w:ascii="宋体" w:hAnsi="宋体"/>
          <w:kern w:val="0"/>
          <w:sz w:val="24"/>
        </w:rPr>
        <w:t>。</w:t>
      </w:r>
    </w:p>
    <w:p>
      <w:pPr>
        <w:adjustRightInd w:val="0"/>
        <w:spacing w:after="120" w:afterLines="50" w:line="460" w:lineRule="exact"/>
        <w:rPr>
          <w:rFonts w:ascii="宋体" w:hAnsi="宋体" w:cs="Arial"/>
          <w:kern w:val="0"/>
          <w:sz w:val="24"/>
        </w:rPr>
      </w:pPr>
      <w:r>
        <w:rPr>
          <w:rFonts w:ascii="宋体" w:hAnsi="宋体" w:cs="Arial"/>
          <w:b/>
          <w:bCs/>
          <w:sz w:val="24"/>
        </w:rPr>
        <w:t>1.</w:t>
      </w:r>
      <w:r>
        <w:rPr>
          <w:rFonts w:hint="eastAsia" w:ascii="宋体" w:hAnsi="宋体" w:cs="Arial"/>
          <w:b/>
          <w:bCs/>
          <w:sz w:val="24"/>
        </w:rPr>
        <w:t>4</w:t>
      </w:r>
      <w:r>
        <w:rPr>
          <w:rFonts w:ascii="宋体" w:hAnsi="宋体" w:cs="Arial"/>
          <w:sz w:val="24"/>
        </w:rPr>
        <w:t xml:space="preserve"> </w:t>
      </w:r>
      <w:r>
        <w:rPr>
          <w:rFonts w:hint="eastAsia" w:ascii="宋体" w:hAnsi="宋体" w:cs="Arial"/>
          <w:sz w:val="24"/>
        </w:rPr>
        <w:t xml:space="preserve"> </w:t>
      </w:r>
      <w:r>
        <w:rPr>
          <w:rFonts w:hint="eastAsia" w:ascii="宋体" w:hAnsi="宋体" w:cs="Arial"/>
          <w:b/>
          <w:bCs/>
          <w:kern w:val="0"/>
          <w:sz w:val="24"/>
        </w:rPr>
        <w:t>资料和信息的使用</w:t>
      </w:r>
    </w:p>
    <w:p>
      <w:pPr>
        <w:adjustRightInd w:val="0"/>
        <w:spacing w:after="120" w:afterLines="50" w:line="460" w:lineRule="exact"/>
        <w:ind w:left="1"/>
        <w:rPr>
          <w:rFonts w:ascii="宋体" w:hAnsi="宋体" w:cs="Arial"/>
          <w:bCs/>
          <w:kern w:val="0"/>
          <w:sz w:val="24"/>
        </w:rPr>
      </w:pPr>
      <w:r>
        <w:rPr>
          <w:rFonts w:ascii="宋体" w:hAnsi="宋体" w:cs="Arial"/>
          <w:sz w:val="24"/>
        </w:rPr>
        <w:t xml:space="preserve"> </w:t>
      </w:r>
      <w:r>
        <w:rPr>
          <w:rFonts w:hint="eastAsia" w:ascii="宋体" w:hAnsi="宋体" w:cs="Arial"/>
          <w:sz w:val="24"/>
        </w:rPr>
        <w:t xml:space="preserve">    </w:t>
      </w:r>
      <w:r>
        <w:rPr>
          <w:rFonts w:hint="eastAsia" w:ascii="宋体" w:hAnsi="宋体" w:cs="Arial"/>
          <w:kern w:val="0"/>
          <w:sz w:val="24"/>
        </w:rPr>
        <w:t>合同文件中载明的涉及本工程现场条件、周围环境、地质及水文等情况的资料和信息数据，是发包人现有的和客观的，发包人保证有关资料和信息数据的真实、准确。但承包人据此作出的推论、判断和决策，由承包人自行负责。</w:t>
      </w:r>
    </w:p>
    <w:p>
      <w:pPr>
        <w:keepNext/>
        <w:keepLines/>
        <w:spacing w:before="260" w:after="156" w:line="460" w:lineRule="exact"/>
        <w:outlineLvl w:val="2"/>
        <w:rPr>
          <w:rFonts w:ascii="宋体" w:hAnsi="宋体" w:cs="Arial"/>
          <w:b/>
          <w:bCs/>
          <w:sz w:val="24"/>
        </w:rPr>
      </w:pPr>
      <w:bookmarkStart w:id="1294" w:name="_Toc342296548"/>
      <w:bookmarkStart w:id="1295" w:name="_Toc362253014"/>
      <w:bookmarkStart w:id="1296" w:name="_Toc241459791"/>
      <w:r>
        <w:rPr>
          <w:rFonts w:hint="eastAsia" w:ascii="宋体" w:hAnsi="宋体" w:cs="Arial"/>
          <w:b/>
          <w:bCs/>
          <w:sz w:val="24"/>
        </w:rPr>
        <w:t xml:space="preserve">2. </w:t>
      </w:r>
      <w:r>
        <w:rPr>
          <w:rFonts w:ascii="宋体" w:hAnsi="宋体" w:cs="Arial"/>
          <w:b/>
          <w:bCs/>
          <w:sz w:val="24"/>
        </w:rPr>
        <w:t>承包范围</w:t>
      </w:r>
      <w:bookmarkEnd w:id="1294"/>
      <w:bookmarkEnd w:id="1295"/>
      <w:bookmarkEnd w:id="1296"/>
    </w:p>
    <w:p>
      <w:pPr>
        <w:spacing w:after="120" w:afterLines="50" w:line="460" w:lineRule="exact"/>
        <w:ind w:left="723" w:hanging="722" w:hangingChars="300"/>
        <w:rPr>
          <w:rFonts w:ascii="宋体" w:hAnsi="宋体" w:cs="Arial"/>
          <w:b/>
          <w:sz w:val="24"/>
        </w:rPr>
      </w:pPr>
      <w:bookmarkStart w:id="1297" w:name="_Toc263259782"/>
      <w:r>
        <w:rPr>
          <w:rFonts w:ascii="宋体" w:hAnsi="宋体" w:cs="Arial"/>
          <w:b/>
          <w:sz w:val="24"/>
        </w:rPr>
        <w:t>2.1</w:t>
      </w:r>
      <w:bookmarkEnd w:id="1297"/>
      <w:r>
        <w:rPr>
          <w:rFonts w:ascii="宋体" w:hAnsi="宋体" w:cs="Arial"/>
          <w:b/>
          <w:sz w:val="24"/>
        </w:rPr>
        <w:t xml:space="preserve"> </w:t>
      </w:r>
      <w:bookmarkStart w:id="1298" w:name="_Toc263259783"/>
      <w:r>
        <w:rPr>
          <w:rFonts w:hint="eastAsia" w:ascii="宋体" w:hAnsi="宋体" w:cs="Arial"/>
          <w:b/>
          <w:sz w:val="24"/>
        </w:rPr>
        <w:t xml:space="preserve">  城市园林绿化施工企业可</w:t>
      </w:r>
      <w:r>
        <w:rPr>
          <w:rFonts w:ascii="宋体" w:hAnsi="宋体" w:cs="Arial"/>
          <w:b/>
          <w:sz w:val="24"/>
        </w:rPr>
        <w:t>承包范围</w:t>
      </w:r>
      <w:bookmarkEnd w:id="1298"/>
    </w:p>
    <w:p>
      <w:pPr>
        <w:spacing w:after="120" w:afterLines="50" w:line="460" w:lineRule="exact"/>
        <w:ind w:left="720" w:hanging="720" w:hangingChars="300"/>
        <w:rPr>
          <w:rFonts w:ascii="宋体" w:hAnsi="宋体" w:cs="Arial"/>
          <w:sz w:val="24"/>
        </w:rPr>
      </w:pPr>
      <w:r>
        <w:rPr>
          <w:rFonts w:hint="eastAsia" w:ascii="宋体" w:hAnsi="宋体" w:cs="Arial"/>
          <w:sz w:val="24"/>
        </w:rPr>
        <w:t>（1） 整地、栽植、养护管理；</w:t>
      </w:r>
    </w:p>
    <w:p>
      <w:pPr>
        <w:spacing w:after="120" w:afterLines="50" w:line="460" w:lineRule="exact"/>
        <w:ind w:left="2"/>
        <w:rPr>
          <w:rFonts w:ascii="宋体" w:hAnsi="宋体" w:cs="Arial"/>
          <w:sz w:val="24"/>
        </w:rPr>
      </w:pPr>
      <w:r>
        <w:rPr>
          <w:rFonts w:hint="eastAsia" w:ascii="宋体" w:hAnsi="宋体" w:cs="Arial"/>
          <w:sz w:val="24"/>
        </w:rPr>
        <w:t>（2） 园林绿化工程配套的300平方米以下的单层建筑（工具间、茶室、卫生设施等）；</w:t>
      </w:r>
    </w:p>
    <w:p>
      <w:pPr>
        <w:spacing w:after="120" w:afterLines="50" w:line="460" w:lineRule="exact"/>
        <w:ind w:left="720" w:hanging="720" w:hangingChars="300"/>
        <w:rPr>
          <w:rFonts w:ascii="宋体" w:hAnsi="宋体" w:cs="Arial"/>
          <w:sz w:val="24"/>
        </w:rPr>
      </w:pPr>
      <w:r>
        <w:rPr>
          <w:rFonts w:hint="eastAsia" w:ascii="宋体" w:hAnsi="宋体" w:cs="Arial"/>
          <w:sz w:val="24"/>
        </w:rPr>
        <w:t>（3） 小品、花坛、园路、广场铺装；</w:t>
      </w:r>
    </w:p>
    <w:p>
      <w:pPr>
        <w:spacing w:after="120" w:afterLines="50" w:line="460" w:lineRule="exact"/>
        <w:ind w:left="2"/>
        <w:rPr>
          <w:rFonts w:ascii="宋体" w:hAnsi="宋体" w:cs="Arial"/>
          <w:sz w:val="24"/>
        </w:rPr>
      </w:pPr>
      <w:r>
        <w:rPr>
          <w:rFonts w:hint="eastAsia" w:ascii="宋体" w:hAnsi="宋体" w:cs="Arial"/>
          <w:sz w:val="24"/>
        </w:rPr>
        <w:t>（4） 水系、喷泉、假山、雕塑、驳岸、单跨15米/10米以下的园林景观人行桥梁、码头；</w:t>
      </w:r>
    </w:p>
    <w:p>
      <w:pPr>
        <w:spacing w:after="120" w:afterLines="50" w:line="460" w:lineRule="exact"/>
        <w:ind w:left="720" w:hanging="720" w:hangingChars="300"/>
        <w:rPr>
          <w:rFonts w:ascii="宋体" w:hAnsi="宋体" w:cs="Arial"/>
          <w:sz w:val="24"/>
        </w:rPr>
      </w:pPr>
      <w:r>
        <w:rPr>
          <w:rFonts w:hint="eastAsia" w:ascii="宋体" w:hAnsi="宋体" w:cs="Arial"/>
          <w:sz w:val="24"/>
        </w:rPr>
        <w:t>（5） 其他园林设施、设备安装工程。</w:t>
      </w:r>
    </w:p>
    <w:p>
      <w:pPr>
        <w:spacing w:after="120" w:afterLines="50" w:line="460" w:lineRule="exact"/>
        <w:ind w:left="723" w:hanging="722" w:hangingChars="300"/>
        <w:rPr>
          <w:rFonts w:ascii="宋体" w:hAnsi="宋体" w:cs="Arial"/>
          <w:b/>
          <w:sz w:val="24"/>
        </w:rPr>
      </w:pPr>
      <w:bookmarkStart w:id="1299" w:name="_Toc263259784"/>
      <w:r>
        <w:rPr>
          <w:rFonts w:ascii="宋体" w:hAnsi="宋体" w:cs="Arial"/>
          <w:b/>
          <w:sz w:val="24"/>
        </w:rPr>
        <w:t>2</w:t>
      </w:r>
      <w:bookmarkEnd w:id="1299"/>
      <w:r>
        <w:rPr>
          <w:rFonts w:hint="eastAsia" w:ascii="宋体" w:hAnsi="宋体" w:cs="Arial"/>
          <w:b/>
          <w:sz w:val="24"/>
        </w:rPr>
        <w:t>.2</w:t>
      </w:r>
      <w:r>
        <w:rPr>
          <w:rFonts w:ascii="宋体" w:hAnsi="宋体" w:cs="Arial"/>
          <w:b/>
          <w:sz w:val="24"/>
        </w:rPr>
        <w:t xml:space="preserve"> </w:t>
      </w:r>
      <w:bookmarkStart w:id="1300" w:name="_Toc263259785"/>
      <w:r>
        <w:rPr>
          <w:rFonts w:hint="eastAsia" w:ascii="宋体" w:hAnsi="宋体" w:cs="Arial"/>
          <w:b/>
          <w:sz w:val="24"/>
        </w:rPr>
        <w:t xml:space="preserve">  承包人自行施工范围</w:t>
      </w:r>
      <w:bookmarkEnd w:id="1300"/>
    </w:p>
    <w:p>
      <w:pPr>
        <w:spacing w:after="120" w:afterLines="50" w:line="460" w:lineRule="exact"/>
        <w:ind w:left="720" w:hanging="720" w:hangingChars="300"/>
        <w:rPr>
          <w:rFonts w:ascii="宋体" w:hAnsi="宋体" w:cs="Arial"/>
          <w:sz w:val="24"/>
        </w:rPr>
      </w:pPr>
      <w:r>
        <w:rPr>
          <w:rFonts w:hint="eastAsia" w:ascii="宋体" w:hAnsi="宋体" w:cs="Arial"/>
          <w:sz w:val="24"/>
        </w:rPr>
        <w:t>2.2.1 本工程承包人自行施工的工程范围如下：</w:t>
      </w:r>
    </w:p>
    <w:p>
      <w:pPr>
        <w:spacing w:after="120" w:afterLines="50" w:line="460" w:lineRule="exact"/>
        <w:rPr>
          <w:rFonts w:ascii="宋体" w:hAnsi="宋体" w:cs="Arial"/>
          <w:sz w:val="24"/>
          <w:u w:val="single"/>
        </w:rPr>
      </w:pPr>
      <w:r>
        <w:rPr>
          <w:rFonts w:hint="eastAsia" w:ascii="宋体" w:hAnsi="宋体" w:cs="Arial"/>
          <w:sz w:val="24"/>
          <w:u w:val="single"/>
        </w:rPr>
        <w:t xml:space="preserve">                                                                      </w:t>
      </w:r>
      <w:r>
        <w:rPr>
          <w:rFonts w:hint="eastAsia" w:ascii="宋体" w:hAnsi="宋体" w:cs="Arial"/>
          <w:sz w:val="24"/>
        </w:rPr>
        <w:t>。</w:t>
      </w:r>
    </w:p>
    <w:p>
      <w:pPr>
        <w:spacing w:after="120" w:afterLines="50" w:line="460" w:lineRule="exact"/>
        <w:rPr>
          <w:rFonts w:ascii="宋体" w:hAnsi="宋体" w:cs="Arial"/>
          <w:sz w:val="24"/>
        </w:rPr>
      </w:pPr>
      <w:r>
        <w:rPr>
          <w:rFonts w:hint="eastAsia" w:ascii="宋体" w:hAnsi="宋体" w:cs="Arial"/>
          <w:sz w:val="24"/>
        </w:rPr>
        <w:t>2.2.2 本工程允许承包人在投标阶段分包的工程如下：</w:t>
      </w:r>
    </w:p>
    <w:p>
      <w:pPr>
        <w:spacing w:after="120" w:afterLines="50" w:line="460" w:lineRule="exact"/>
        <w:rPr>
          <w:rFonts w:ascii="宋体" w:hAnsi="宋体" w:cs="Arial"/>
          <w:sz w:val="24"/>
          <w:u w:val="single"/>
        </w:rPr>
      </w:pPr>
      <w:r>
        <w:rPr>
          <w:rFonts w:hint="eastAsia" w:ascii="宋体" w:hAnsi="宋体" w:cs="Arial"/>
          <w:sz w:val="24"/>
          <w:u w:val="single"/>
        </w:rPr>
        <w:t xml:space="preserve">                                                                      </w:t>
      </w:r>
      <w:r>
        <w:rPr>
          <w:rFonts w:hint="eastAsia" w:ascii="宋体" w:hAnsi="宋体" w:cs="Arial"/>
          <w:sz w:val="24"/>
        </w:rPr>
        <w:t>。</w:t>
      </w:r>
    </w:p>
    <w:p>
      <w:pPr>
        <w:spacing w:after="120" w:afterLines="50" w:line="460" w:lineRule="exact"/>
        <w:rPr>
          <w:rFonts w:ascii="宋体" w:hAnsi="宋体" w:cs="Arial"/>
          <w:sz w:val="24"/>
        </w:rPr>
      </w:pPr>
      <w:r>
        <w:rPr>
          <w:rFonts w:ascii="宋体" w:hAnsi="宋体" w:cs="Arial"/>
          <w:b/>
          <w:kern w:val="0"/>
          <w:sz w:val="24"/>
        </w:rPr>
        <w:t>2.</w:t>
      </w:r>
      <w:r>
        <w:rPr>
          <w:rFonts w:hint="eastAsia" w:ascii="宋体" w:hAnsi="宋体" w:cs="Arial"/>
          <w:b/>
          <w:kern w:val="0"/>
          <w:sz w:val="24"/>
        </w:rPr>
        <w:t>3</w:t>
      </w:r>
      <w:r>
        <w:rPr>
          <w:rFonts w:ascii="宋体" w:hAnsi="宋体" w:cs="Arial"/>
          <w:kern w:val="0"/>
          <w:sz w:val="24"/>
        </w:rPr>
        <w:t xml:space="preserve"> </w:t>
      </w:r>
      <w:r>
        <w:rPr>
          <w:rFonts w:hint="eastAsia" w:ascii="宋体" w:hAnsi="宋体" w:cs="Arial"/>
          <w:kern w:val="0"/>
          <w:sz w:val="24"/>
        </w:rPr>
        <w:t xml:space="preserve">  </w:t>
      </w:r>
      <w:r>
        <w:rPr>
          <w:rFonts w:hint="eastAsia" w:ascii="宋体" w:hAnsi="宋体" w:cs="Arial"/>
          <w:b/>
          <w:sz w:val="24"/>
        </w:rPr>
        <w:t>承包范围内的暂估价工程</w:t>
      </w:r>
    </w:p>
    <w:p>
      <w:pPr>
        <w:spacing w:after="120" w:afterLines="50" w:line="460" w:lineRule="exact"/>
        <w:ind w:left="2"/>
        <w:rPr>
          <w:rFonts w:ascii="宋体" w:hAnsi="宋体" w:cs="Arial"/>
          <w:sz w:val="24"/>
        </w:rPr>
      </w:pPr>
      <w:r>
        <w:rPr>
          <w:rFonts w:hint="eastAsia" w:ascii="宋体" w:hAnsi="宋体" w:cs="Arial"/>
          <w:sz w:val="24"/>
        </w:rPr>
        <w:t>2.3.1</w:t>
      </w:r>
      <w:r>
        <w:rPr>
          <w:rFonts w:ascii="宋体" w:hAnsi="宋体" w:cs="Arial"/>
          <w:sz w:val="24"/>
        </w:rPr>
        <w:t xml:space="preserve"> </w:t>
      </w:r>
      <w:r>
        <w:rPr>
          <w:rFonts w:hint="eastAsia" w:ascii="宋体" w:hAnsi="宋体" w:cs="Arial"/>
          <w:sz w:val="24"/>
        </w:rPr>
        <w:t>承包范围内以暂估价形式实施的专业工程见第五章“招标工程量清单”表4.10-3“专业工程暂估价表”。</w:t>
      </w:r>
    </w:p>
    <w:p>
      <w:pPr>
        <w:spacing w:after="120" w:afterLines="50" w:line="460" w:lineRule="exact"/>
        <w:ind w:left="2"/>
        <w:rPr>
          <w:rFonts w:ascii="宋体" w:hAnsi="宋体" w:cs="Arial"/>
          <w:sz w:val="24"/>
        </w:rPr>
      </w:pPr>
      <w:r>
        <w:rPr>
          <w:rFonts w:hint="eastAsia" w:ascii="宋体" w:hAnsi="宋体" w:cs="Arial"/>
          <w:sz w:val="24"/>
        </w:rPr>
        <w:t>2.3.2</w:t>
      </w:r>
      <w:r>
        <w:rPr>
          <w:rFonts w:ascii="宋体" w:hAnsi="宋体" w:cs="Arial"/>
          <w:sz w:val="24"/>
        </w:rPr>
        <w:t xml:space="preserve"> </w:t>
      </w:r>
      <w:r>
        <w:rPr>
          <w:rFonts w:hint="eastAsia" w:ascii="宋体" w:hAnsi="宋体" w:cs="Arial"/>
          <w:sz w:val="24"/>
        </w:rPr>
        <w:t>承包范围内以暂估价形式实施的材料和工程设备见第五章“招标工程量清单”表4.10-2“材料和工程设备暂估表”。</w:t>
      </w:r>
    </w:p>
    <w:p>
      <w:pPr>
        <w:spacing w:after="120" w:afterLines="50" w:line="460" w:lineRule="exact"/>
        <w:ind w:left="2"/>
        <w:rPr>
          <w:rFonts w:ascii="宋体" w:hAnsi="宋体" w:cs="Arial"/>
          <w:sz w:val="24"/>
        </w:rPr>
      </w:pPr>
      <w:r>
        <w:rPr>
          <w:rFonts w:hint="eastAsia" w:ascii="宋体" w:hAnsi="宋体" w:cs="Arial"/>
          <w:sz w:val="24"/>
        </w:rPr>
        <w:t>2.3.3</w:t>
      </w:r>
      <w:r>
        <w:rPr>
          <w:rFonts w:ascii="宋体" w:hAnsi="宋体" w:cs="Arial"/>
          <w:sz w:val="24"/>
        </w:rPr>
        <w:t xml:space="preserve"> </w:t>
      </w:r>
      <w:r>
        <w:rPr>
          <w:rFonts w:hint="eastAsia" w:ascii="宋体" w:hAnsi="宋体" w:cs="Arial"/>
          <w:sz w:val="24"/>
        </w:rPr>
        <w:t>上述暂估价工程与本节第2.1.1项承包人自行施工范围的工作界面划分如下：</w:t>
      </w:r>
    </w:p>
    <w:p>
      <w:pPr>
        <w:spacing w:after="120" w:afterLines="50" w:line="460" w:lineRule="exact"/>
        <w:rPr>
          <w:rFonts w:ascii="宋体" w:hAnsi="宋体"/>
          <w:sz w:val="24"/>
          <w:u w:val="single"/>
        </w:rPr>
      </w:pPr>
      <w:r>
        <w:rPr>
          <w:rFonts w:hint="eastAsia" w:ascii="宋体" w:hAnsi="宋体"/>
          <w:sz w:val="24"/>
          <w:u w:val="single"/>
        </w:rPr>
        <w:t xml:space="preserve">                                                                      </w:t>
      </w:r>
      <w:r>
        <w:rPr>
          <w:rFonts w:hint="eastAsia" w:ascii="宋体" w:hAnsi="宋体"/>
          <w:sz w:val="24"/>
        </w:rPr>
        <w:t>。</w:t>
      </w:r>
    </w:p>
    <w:p>
      <w:pPr>
        <w:spacing w:after="120" w:afterLines="50" w:line="460" w:lineRule="exact"/>
        <w:rPr>
          <w:rFonts w:ascii="宋体" w:hAnsi="宋体" w:cs="Arial"/>
          <w:sz w:val="24"/>
        </w:rPr>
      </w:pPr>
      <w:r>
        <w:rPr>
          <w:rFonts w:ascii="宋体" w:hAnsi="宋体" w:cs="Arial"/>
          <w:b/>
          <w:sz w:val="24"/>
        </w:rPr>
        <w:t>2.</w:t>
      </w:r>
      <w:r>
        <w:rPr>
          <w:rFonts w:hint="eastAsia" w:ascii="宋体" w:hAnsi="宋体" w:cs="Arial"/>
          <w:b/>
          <w:sz w:val="24"/>
        </w:rPr>
        <w:t>4</w:t>
      </w:r>
      <w:r>
        <w:rPr>
          <w:rFonts w:ascii="宋体" w:hAnsi="宋体" w:cs="Arial"/>
          <w:sz w:val="24"/>
        </w:rPr>
        <w:t xml:space="preserve"> </w:t>
      </w:r>
      <w:r>
        <w:rPr>
          <w:rFonts w:hint="eastAsia" w:ascii="宋体" w:hAnsi="宋体" w:cs="Arial"/>
          <w:sz w:val="24"/>
        </w:rPr>
        <w:t xml:space="preserve">  </w:t>
      </w:r>
      <w:r>
        <w:rPr>
          <w:rFonts w:hint="eastAsia" w:ascii="宋体" w:hAnsi="宋体" w:cs="Arial"/>
          <w:b/>
          <w:sz w:val="24"/>
        </w:rPr>
        <w:t>承包范围内的暂列金额工程</w:t>
      </w:r>
    </w:p>
    <w:p>
      <w:pPr>
        <w:spacing w:after="120" w:afterLines="50" w:line="460" w:lineRule="exact"/>
        <w:ind w:left="2"/>
        <w:rPr>
          <w:rFonts w:ascii="宋体" w:hAnsi="宋体" w:cs="Arial"/>
          <w:sz w:val="24"/>
        </w:rPr>
      </w:pPr>
      <w:r>
        <w:rPr>
          <w:rFonts w:hint="eastAsia" w:ascii="宋体" w:hAnsi="宋体" w:cs="Arial"/>
          <w:sz w:val="24"/>
        </w:rPr>
        <w:t>2.4.1</w:t>
      </w:r>
      <w:r>
        <w:rPr>
          <w:rFonts w:ascii="宋体" w:hAnsi="宋体" w:cs="Arial"/>
          <w:sz w:val="24"/>
        </w:rPr>
        <w:t xml:space="preserve"> </w:t>
      </w:r>
      <w:r>
        <w:rPr>
          <w:rFonts w:hint="eastAsia" w:ascii="宋体" w:hAnsi="宋体" w:cs="Arial"/>
          <w:sz w:val="24"/>
        </w:rPr>
        <w:t>以暂列金额方式实施的工程见第五章“招标工程量清单”表4.10-1“暂列金额明细表”。</w:t>
      </w:r>
    </w:p>
    <w:p>
      <w:pPr>
        <w:spacing w:after="120" w:afterLines="50" w:line="460" w:lineRule="exact"/>
        <w:ind w:left="2"/>
        <w:rPr>
          <w:rFonts w:ascii="宋体" w:hAnsi="宋体" w:cs="Arial"/>
          <w:sz w:val="24"/>
        </w:rPr>
      </w:pPr>
      <w:r>
        <w:rPr>
          <w:rFonts w:hint="eastAsia" w:ascii="宋体" w:hAnsi="宋体" w:cs="Arial"/>
          <w:sz w:val="24"/>
        </w:rPr>
        <w:t>2.4.2</w:t>
      </w:r>
      <w:r>
        <w:rPr>
          <w:rFonts w:ascii="宋体" w:hAnsi="宋体" w:cs="Arial"/>
          <w:sz w:val="24"/>
        </w:rPr>
        <w:t xml:space="preserve"> </w:t>
      </w:r>
      <w:r>
        <w:rPr>
          <w:rFonts w:hint="eastAsia" w:ascii="宋体" w:hAnsi="宋体" w:cs="Arial"/>
          <w:sz w:val="24"/>
        </w:rPr>
        <w:t>暂列金额明细表中所列暂列金额可能不发生，也可能部分发生。即便发生，监理人按照合同约定发出的使用暂列金额的指示也不限于只能用于表中所列子目。</w:t>
      </w:r>
    </w:p>
    <w:p>
      <w:pPr>
        <w:spacing w:after="120" w:afterLines="50" w:line="460" w:lineRule="exact"/>
        <w:ind w:left="2"/>
        <w:rPr>
          <w:rFonts w:ascii="宋体" w:hAnsi="宋体" w:cs="Arial"/>
          <w:sz w:val="24"/>
        </w:rPr>
      </w:pPr>
      <w:r>
        <w:rPr>
          <w:rFonts w:hint="eastAsia" w:ascii="宋体" w:hAnsi="宋体" w:cs="Arial"/>
          <w:sz w:val="24"/>
        </w:rPr>
        <w:t>2.4.3</w:t>
      </w:r>
      <w:r>
        <w:rPr>
          <w:rFonts w:ascii="宋体" w:hAnsi="宋体" w:cs="Arial"/>
          <w:sz w:val="24"/>
        </w:rPr>
        <w:t xml:space="preserve"> </w:t>
      </w:r>
      <w:r>
        <w:rPr>
          <w:rFonts w:hint="eastAsia" w:ascii="宋体" w:hAnsi="宋体" w:cs="Arial"/>
          <w:sz w:val="24"/>
        </w:rPr>
        <w:t>暂列金额是否实际发生、其再分和合并等均不应成为承包人要求任何追加费用和(或)延长工期的理由。</w:t>
      </w:r>
    </w:p>
    <w:p>
      <w:pPr>
        <w:spacing w:after="120" w:afterLines="50" w:line="460" w:lineRule="exact"/>
        <w:rPr>
          <w:rFonts w:ascii="宋体" w:hAnsi="宋体" w:cs="Arial"/>
          <w:sz w:val="24"/>
        </w:rPr>
      </w:pPr>
      <w:r>
        <w:rPr>
          <w:rFonts w:hint="eastAsia" w:ascii="宋体" w:hAnsi="宋体" w:cs="Arial"/>
          <w:sz w:val="24"/>
        </w:rPr>
        <w:t>2.4.4</w:t>
      </w:r>
      <w:r>
        <w:rPr>
          <w:rFonts w:ascii="宋体" w:hAnsi="宋体" w:cs="Arial"/>
          <w:sz w:val="24"/>
        </w:rPr>
        <w:t xml:space="preserve"> </w:t>
      </w:r>
      <w:r>
        <w:rPr>
          <w:rFonts w:hint="eastAsia" w:ascii="宋体" w:hAnsi="宋体" w:cs="Arial"/>
          <w:sz w:val="24"/>
        </w:rPr>
        <w:t>关于暂列金额的其他说明：</w:t>
      </w:r>
    </w:p>
    <w:p>
      <w:pPr>
        <w:spacing w:after="120" w:afterLines="50" w:line="460" w:lineRule="exact"/>
        <w:rPr>
          <w:rFonts w:ascii="宋体" w:hAnsi="宋体"/>
          <w:sz w:val="24"/>
          <w:u w:val="single"/>
        </w:rPr>
      </w:pPr>
      <w:r>
        <w:rPr>
          <w:rFonts w:hint="eastAsia" w:ascii="宋体" w:hAnsi="宋体"/>
          <w:sz w:val="24"/>
          <w:u w:val="single"/>
        </w:rPr>
        <w:t xml:space="preserve">                                                                      </w:t>
      </w:r>
      <w:r>
        <w:rPr>
          <w:rFonts w:hint="eastAsia" w:ascii="宋体" w:hAnsi="宋体"/>
          <w:sz w:val="24"/>
        </w:rPr>
        <w:t>。</w:t>
      </w:r>
    </w:p>
    <w:p>
      <w:pPr>
        <w:spacing w:after="120" w:afterLines="50" w:line="460" w:lineRule="exact"/>
        <w:ind w:left="646" w:hanging="645" w:hangingChars="268"/>
        <w:rPr>
          <w:rFonts w:ascii="宋体" w:hAnsi="宋体" w:cs="Arial"/>
          <w:b/>
          <w:sz w:val="24"/>
        </w:rPr>
      </w:pPr>
      <w:r>
        <w:rPr>
          <w:rFonts w:ascii="宋体" w:hAnsi="宋体" w:cs="Arial"/>
          <w:b/>
          <w:sz w:val="24"/>
        </w:rPr>
        <w:t>2.</w:t>
      </w:r>
      <w:r>
        <w:rPr>
          <w:rFonts w:hint="eastAsia" w:ascii="宋体" w:hAnsi="宋体" w:cs="Arial"/>
          <w:b/>
          <w:sz w:val="24"/>
        </w:rPr>
        <w:t>5</w:t>
      </w:r>
      <w:r>
        <w:rPr>
          <w:rFonts w:ascii="宋体" w:hAnsi="宋体" w:cs="Arial"/>
          <w:sz w:val="24"/>
        </w:rPr>
        <w:t xml:space="preserve"> </w:t>
      </w:r>
      <w:r>
        <w:rPr>
          <w:rFonts w:hint="eastAsia" w:ascii="宋体" w:hAnsi="宋体" w:cs="Arial"/>
          <w:sz w:val="24"/>
        </w:rPr>
        <w:t xml:space="preserve">  </w:t>
      </w:r>
      <w:r>
        <w:rPr>
          <w:rFonts w:hint="eastAsia" w:ascii="宋体" w:hAnsi="宋体" w:cs="Arial"/>
          <w:b/>
          <w:sz w:val="24"/>
        </w:rPr>
        <w:t>承包范围外的计日工工程</w:t>
      </w:r>
    </w:p>
    <w:p>
      <w:pPr>
        <w:spacing w:after="120" w:afterLines="50" w:line="460" w:lineRule="exact"/>
        <w:rPr>
          <w:rFonts w:ascii="宋体" w:hAnsi="宋体" w:cs="Arial"/>
          <w:sz w:val="24"/>
        </w:rPr>
      </w:pPr>
      <w:r>
        <w:rPr>
          <w:rFonts w:hint="eastAsia" w:ascii="宋体" w:hAnsi="宋体" w:cs="Arial"/>
          <w:sz w:val="24"/>
        </w:rPr>
        <w:t>2.5.1 以计日工方式实施的工程见第五章“工程量清单”表4.10-4“计日工表”。</w:t>
      </w:r>
    </w:p>
    <w:p>
      <w:pPr>
        <w:spacing w:after="120" w:afterLines="50" w:line="460" w:lineRule="exact"/>
        <w:ind w:left="1"/>
        <w:rPr>
          <w:rFonts w:ascii="宋体" w:hAnsi="宋体" w:cs="Arial"/>
          <w:sz w:val="24"/>
        </w:rPr>
      </w:pPr>
      <w:r>
        <w:rPr>
          <w:rFonts w:hint="eastAsia" w:ascii="宋体" w:hAnsi="宋体" w:cs="Arial"/>
          <w:sz w:val="24"/>
        </w:rPr>
        <w:t>2.5.2 计日工适用的零星工作一般指合同约定之外的或者因变更而产生的、工程量清单中没有设立相应子目的额外工作，尤其是那些时间不允许事先商定价格的额外工作。</w:t>
      </w:r>
    </w:p>
    <w:p>
      <w:pPr>
        <w:spacing w:after="120" w:afterLines="50" w:line="460" w:lineRule="exact"/>
        <w:ind w:left="1"/>
        <w:rPr>
          <w:rFonts w:ascii="宋体" w:hAnsi="宋体"/>
          <w:sz w:val="24"/>
        </w:rPr>
      </w:pPr>
      <w:r>
        <w:rPr>
          <w:rFonts w:hint="eastAsia" w:ascii="宋体" w:hAnsi="宋体"/>
          <w:sz w:val="24"/>
        </w:rPr>
        <w:t>2.5.3 计日工劳务按工日（8小时）计量，单次4小时以内按0.5个工日，单次4小时至8小时按1个工日，加班时间按照国家劳动法律法规的规定办理。实施计日工的劳务人员仅应包括直接从事计日工工作的工人和班组长（如果有），不应包括工长及其以上管理人员。</w:t>
      </w:r>
    </w:p>
    <w:p>
      <w:pPr>
        <w:spacing w:after="120" w:afterLines="50" w:line="460" w:lineRule="exact"/>
        <w:ind w:left="1"/>
        <w:rPr>
          <w:rFonts w:ascii="宋体" w:hAnsi="宋体" w:cs="Arial"/>
          <w:sz w:val="24"/>
        </w:rPr>
      </w:pPr>
      <w:r>
        <w:rPr>
          <w:rFonts w:hint="eastAsia" w:ascii="宋体" w:hAnsi="宋体"/>
          <w:sz w:val="24"/>
        </w:rPr>
        <w:t>2.5.4 施工机械按台班计量（8小时），单次4小时以内按0.5个台班，单次4小时至8小时按1个台班，操作人员加班时间按照国家劳动法律法规的规定办理。计日工如果需要使用场外施工机械，台班费用和进出场费用按市场平均价格，由承包人事后报监理人审批。</w:t>
      </w:r>
    </w:p>
    <w:p>
      <w:pPr>
        <w:spacing w:after="120" w:afterLines="50" w:line="460" w:lineRule="exact"/>
        <w:rPr>
          <w:rFonts w:ascii="宋体" w:hAnsi="宋体"/>
          <w:sz w:val="24"/>
        </w:rPr>
      </w:pPr>
      <w:r>
        <w:rPr>
          <w:rFonts w:hint="eastAsia" w:ascii="宋体" w:hAnsi="宋体"/>
          <w:sz w:val="24"/>
        </w:rPr>
        <w:t>2.5.5关于计日工的其他约定：</w:t>
      </w:r>
    </w:p>
    <w:p>
      <w:pPr>
        <w:spacing w:after="120" w:afterLines="50" w:line="460" w:lineRule="exact"/>
        <w:rPr>
          <w:rFonts w:ascii="宋体" w:hAnsi="宋体"/>
          <w:sz w:val="24"/>
          <w:u w:val="single"/>
        </w:rPr>
      </w:pPr>
      <w:r>
        <w:rPr>
          <w:rFonts w:hint="eastAsia" w:ascii="宋体" w:hAnsi="宋体"/>
          <w:sz w:val="24"/>
          <w:u w:val="single"/>
        </w:rPr>
        <w:t xml:space="preserve">                                                                      </w:t>
      </w:r>
      <w:r>
        <w:rPr>
          <w:rFonts w:hint="eastAsia" w:ascii="宋体" w:hAnsi="宋体"/>
          <w:sz w:val="24"/>
        </w:rPr>
        <w:t>。</w:t>
      </w:r>
    </w:p>
    <w:p>
      <w:pPr>
        <w:spacing w:after="120" w:afterLines="50" w:line="460" w:lineRule="exact"/>
        <w:rPr>
          <w:rFonts w:ascii="宋体" w:hAnsi="宋体" w:cs="Arial"/>
          <w:sz w:val="24"/>
        </w:rPr>
      </w:pPr>
      <w:r>
        <w:rPr>
          <w:rFonts w:ascii="宋体" w:hAnsi="宋体" w:cs="Arial"/>
          <w:b/>
          <w:bCs/>
          <w:sz w:val="24"/>
        </w:rPr>
        <w:t>2.</w:t>
      </w:r>
      <w:r>
        <w:rPr>
          <w:rFonts w:hint="eastAsia" w:ascii="宋体" w:hAnsi="宋体" w:cs="Arial"/>
          <w:b/>
          <w:bCs/>
          <w:sz w:val="24"/>
        </w:rPr>
        <w:t>6</w:t>
      </w:r>
      <w:r>
        <w:rPr>
          <w:rFonts w:ascii="宋体" w:hAnsi="宋体" w:cs="Arial"/>
          <w:sz w:val="24"/>
        </w:rPr>
        <w:t xml:space="preserve"> </w:t>
      </w:r>
      <w:r>
        <w:rPr>
          <w:rFonts w:hint="eastAsia" w:ascii="宋体" w:hAnsi="宋体" w:cs="Arial"/>
          <w:sz w:val="24"/>
        </w:rPr>
        <w:t xml:space="preserve">  </w:t>
      </w:r>
      <w:r>
        <w:rPr>
          <w:rFonts w:hint="eastAsia" w:ascii="宋体" w:hAnsi="宋体" w:cs="Arial"/>
          <w:b/>
          <w:bCs/>
          <w:sz w:val="24"/>
        </w:rPr>
        <w:t>发包人发包专业工程和发包人供应的材料和工程设备</w:t>
      </w:r>
    </w:p>
    <w:p>
      <w:pPr>
        <w:spacing w:after="120" w:afterLines="50" w:line="460" w:lineRule="exact"/>
        <w:ind w:left="2"/>
        <w:rPr>
          <w:rFonts w:ascii="宋体" w:hAnsi="宋体" w:cs="Arial"/>
          <w:sz w:val="24"/>
        </w:rPr>
      </w:pPr>
      <w:r>
        <w:rPr>
          <w:rFonts w:hint="eastAsia" w:ascii="宋体" w:hAnsi="宋体" w:cs="Arial"/>
          <w:sz w:val="24"/>
        </w:rPr>
        <w:t>2.6.1</w:t>
      </w:r>
      <w:r>
        <w:rPr>
          <w:rFonts w:ascii="宋体" w:hAnsi="宋体" w:cs="Arial"/>
          <w:sz w:val="24"/>
        </w:rPr>
        <w:t xml:space="preserve"> </w:t>
      </w:r>
      <w:r>
        <w:rPr>
          <w:rFonts w:hint="eastAsia" w:ascii="宋体" w:hAnsi="宋体"/>
          <w:sz w:val="24"/>
        </w:rPr>
        <w:t>由发包人发包的专业工程属于与本工程有关的其他工程，不属于承包人的承包范围。</w:t>
      </w:r>
      <w:r>
        <w:rPr>
          <w:rFonts w:hint="eastAsia" w:ascii="宋体" w:hAnsi="宋体" w:cs="Arial"/>
          <w:sz w:val="24"/>
        </w:rPr>
        <w:t>发包人发包的专业工程如下：</w:t>
      </w:r>
    </w:p>
    <w:p>
      <w:pPr>
        <w:spacing w:after="120" w:afterLines="50" w:line="460" w:lineRule="exact"/>
        <w:rPr>
          <w:rFonts w:ascii="宋体" w:hAnsi="宋体" w:cs="Arial"/>
          <w:sz w:val="24"/>
        </w:rPr>
      </w:pPr>
      <w:r>
        <w:rPr>
          <w:rFonts w:hint="eastAsia" w:ascii="宋体" w:hAnsi="宋体" w:cs="Arial"/>
          <w:sz w:val="24"/>
          <w:u w:val="single"/>
        </w:rPr>
        <w:t xml:space="preserve">                                                                      </w:t>
      </w:r>
      <w:r>
        <w:rPr>
          <w:rFonts w:hint="eastAsia" w:ascii="宋体" w:hAnsi="宋体" w:cs="Arial"/>
          <w:sz w:val="24"/>
        </w:rPr>
        <w:t>。</w:t>
      </w:r>
    </w:p>
    <w:p>
      <w:pPr>
        <w:spacing w:after="120" w:afterLines="50" w:line="460" w:lineRule="exact"/>
        <w:ind w:left="2"/>
        <w:rPr>
          <w:rFonts w:ascii="宋体" w:hAnsi="宋体" w:cs="Arial"/>
          <w:sz w:val="24"/>
        </w:rPr>
      </w:pPr>
      <w:r>
        <w:rPr>
          <w:rFonts w:hint="eastAsia" w:ascii="宋体" w:hAnsi="宋体" w:cs="Arial"/>
          <w:sz w:val="24"/>
        </w:rPr>
        <w:t>2.6.2</w:t>
      </w:r>
      <w:r>
        <w:rPr>
          <w:rFonts w:ascii="宋体" w:hAnsi="宋体" w:cs="Arial"/>
          <w:sz w:val="24"/>
        </w:rPr>
        <w:t xml:space="preserve"> </w:t>
      </w:r>
      <w:r>
        <w:rPr>
          <w:rFonts w:hint="eastAsia" w:ascii="宋体" w:hAnsi="宋体"/>
          <w:sz w:val="24"/>
        </w:rPr>
        <w:t>由发包人供应的材料和工程设备不属于承包人的承包范围。</w:t>
      </w:r>
      <w:r>
        <w:rPr>
          <w:rFonts w:hint="eastAsia" w:ascii="宋体" w:hAnsi="宋体" w:cs="Arial"/>
          <w:sz w:val="24"/>
        </w:rPr>
        <w:t>发包人供应的材料和工程设备见合同附件二“发包人供应的材料和工程设备一览表”。</w:t>
      </w:r>
    </w:p>
    <w:p>
      <w:pPr>
        <w:spacing w:after="120" w:afterLines="50" w:line="460" w:lineRule="exact"/>
        <w:rPr>
          <w:rFonts w:ascii="宋体" w:hAnsi="宋体"/>
          <w:b/>
          <w:sz w:val="24"/>
        </w:rPr>
      </w:pPr>
      <w:r>
        <w:rPr>
          <w:rFonts w:ascii="宋体" w:hAnsi="宋体" w:cs="Arial"/>
          <w:b/>
          <w:bCs/>
          <w:sz w:val="24"/>
        </w:rPr>
        <w:t>2.</w:t>
      </w:r>
      <w:r>
        <w:rPr>
          <w:rFonts w:hint="eastAsia" w:ascii="宋体" w:hAnsi="宋体" w:cs="Arial"/>
          <w:b/>
          <w:bCs/>
          <w:sz w:val="24"/>
        </w:rPr>
        <w:t>7</w:t>
      </w:r>
      <w:r>
        <w:rPr>
          <w:rFonts w:ascii="宋体" w:hAnsi="宋体" w:cs="Arial"/>
          <w:sz w:val="24"/>
        </w:rPr>
        <w:t xml:space="preserve"> </w:t>
      </w:r>
      <w:r>
        <w:rPr>
          <w:rFonts w:hint="eastAsia" w:ascii="宋体" w:hAnsi="宋体" w:cs="Arial"/>
          <w:sz w:val="24"/>
        </w:rPr>
        <w:t xml:space="preserve">  </w:t>
      </w:r>
      <w:r>
        <w:rPr>
          <w:rFonts w:hint="eastAsia" w:ascii="宋体" w:hAnsi="宋体" w:cs="Arial"/>
          <w:b/>
          <w:bCs/>
          <w:sz w:val="24"/>
        </w:rPr>
        <w:t>承包人与</w:t>
      </w:r>
      <w:r>
        <w:rPr>
          <w:rFonts w:hint="eastAsia" w:ascii="宋体" w:hAnsi="宋体" w:cs="Arial"/>
          <w:b/>
          <w:sz w:val="24"/>
        </w:rPr>
        <w:t>发包人发包专业工程承包人</w:t>
      </w:r>
      <w:r>
        <w:rPr>
          <w:rFonts w:hint="eastAsia" w:ascii="宋体" w:hAnsi="宋体" w:cs="Arial"/>
          <w:b/>
          <w:bCs/>
          <w:sz w:val="24"/>
        </w:rPr>
        <w:t>的工作界面</w:t>
      </w:r>
    </w:p>
    <w:p>
      <w:pPr>
        <w:spacing w:after="120" w:afterLines="50" w:line="460" w:lineRule="exact"/>
        <w:ind w:firstLine="480" w:firstLineChars="200"/>
        <w:rPr>
          <w:rFonts w:ascii="宋体" w:hAnsi="宋体" w:cs="Arial"/>
          <w:sz w:val="24"/>
        </w:rPr>
      </w:pPr>
      <w:r>
        <w:rPr>
          <w:rFonts w:hint="eastAsia" w:ascii="宋体" w:hAnsi="宋体" w:cs="Arial"/>
          <w:sz w:val="24"/>
        </w:rPr>
        <w:t>承包人与发包人发包专业工程承包人以及与发包人供应的材料和设备的供应商之间的工作界面划分如下：</w:t>
      </w:r>
    </w:p>
    <w:p>
      <w:pPr>
        <w:spacing w:after="120" w:afterLines="50" w:line="460" w:lineRule="exact"/>
        <w:rPr>
          <w:rFonts w:ascii="宋体" w:hAnsi="宋体" w:cs="Arial"/>
          <w:sz w:val="24"/>
        </w:rPr>
      </w:pPr>
      <w:r>
        <w:rPr>
          <w:rFonts w:hint="eastAsia" w:ascii="宋体" w:hAnsi="宋体"/>
          <w:sz w:val="24"/>
          <w:u w:val="single"/>
        </w:rPr>
        <w:t xml:space="preserve">                                                                      </w:t>
      </w:r>
      <w:r>
        <w:rPr>
          <w:rFonts w:hint="eastAsia" w:ascii="宋体" w:hAnsi="宋体"/>
          <w:sz w:val="24"/>
        </w:rPr>
        <w:t>。</w:t>
      </w:r>
    </w:p>
    <w:p>
      <w:pPr>
        <w:spacing w:after="120" w:afterLines="50" w:line="460" w:lineRule="exact"/>
        <w:rPr>
          <w:rFonts w:ascii="宋体" w:hAnsi="宋体" w:cs="Arial"/>
          <w:sz w:val="24"/>
        </w:rPr>
      </w:pPr>
      <w:r>
        <w:rPr>
          <w:rFonts w:hint="eastAsia" w:ascii="宋体" w:hAnsi="宋体" w:cs="Arial"/>
          <w:b/>
          <w:bCs/>
          <w:sz w:val="24"/>
        </w:rPr>
        <w:t>2.8</w:t>
      </w:r>
      <w:r>
        <w:rPr>
          <w:rFonts w:ascii="宋体" w:hAnsi="宋体" w:cs="Arial"/>
          <w:sz w:val="24"/>
        </w:rPr>
        <w:t xml:space="preserve"> </w:t>
      </w:r>
      <w:r>
        <w:rPr>
          <w:rFonts w:hint="eastAsia" w:ascii="宋体" w:hAnsi="宋体" w:cs="Arial"/>
          <w:sz w:val="24"/>
        </w:rPr>
        <w:t xml:space="preserve">  </w:t>
      </w:r>
      <w:r>
        <w:rPr>
          <w:rFonts w:hint="eastAsia" w:ascii="宋体" w:hAnsi="宋体" w:cs="Arial"/>
          <w:b/>
          <w:bCs/>
          <w:sz w:val="24"/>
        </w:rPr>
        <w:t>承包人需要为发包人和监理人提供的现场办公条件和设施</w:t>
      </w:r>
    </w:p>
    <w:p>
      <w:pPr>
        <w:spacing w:after="120" w:afterLines="50" w:line="460" w:lineRule="exact"/>
        <w:ind w:firstLine="480" w:firstLineChars="200"/>
        <w:rPr>
          <w:rFonts w:ascii="宋体" w:hAnsi="宋体" w:cs="Arial"/>
          <w:sz w:val="24"/>
        </w:rPr>
      </w:pPr>
      <w:r>
        <w:rPr>
          <w:rFonts w:hint="eastAsia" w:ascii="宋体" w:hAnsi="宋体" w:cs="Arial"/>
          <w:sz w:val="24"/>
        </w:rPr>
        <w:t>承包人需要为发包人和监理人提供的现场办公条件和设施及其详细要求如下：</w:t>
      </w:r>
    </w:p>
    <w:p>
      <w:pPr>
        <w:spacing w:after="120" w:afterLines="50" w:line="460" w:lineRule="exact"/>
        <w:rPr>
          <w:rFonts w:ascii="宋体" w:hAnsi="宋体"/>
          <w:sz w:val="24"/>
          <w:u w:val="single"/>
        </w:rPr>
      </w:pPr>
      <w:r>
        <w:rPr>
          <w:rFonts w:hint="eastAsia" w:ascii="宋体" w:hAnsi="宋体"/>
          <w:sz w:val="24"/>
          <w:u w:val="single"/>
        </w:rPr>
        <w:t xml:space="preserve">                                                                      </w:t>
      </w:r>
      <w:r>
        <w:rPr>
          <w:rFonts w:hint="eastAsia" w:ascii="宋体" w:hAnsi="宋体"/>
          <w:sz w:val="24"/>
        </w:rPr>
        <w:t>。</w:t>
      </w:r>
    </w:p>
    <w:p>
      <w:pPr>
        <w:keepNext/>
        <w:keepLines/>
        <w:spacing w:before="260" w:after="156" w:line="460" w:lineRule="exact"/>
        <w:outlineLvl w:val="2"/>
        <w:rPr>
          <w:rFonts w:ascii="宋体" w:hAnsi="宋体" w:cs="Arial"/>
          <w:b/>
          <w:bCs/>
          <w:sz w:val="24"/>
        </w:rPr>
      </w:pPr>
      <w:bookmarkStart w:id="1301" w:name="_Toc342296549"/>
      <w:bookmarkStart w:id="1302" w:name="_Toc241459792"/>
      <w:bookmarkStart w:id="1303" w:name="_Toc362253015"/>
      <w:r>
        <w:rPr>
          <w:rFonts w:hint="eastAsia" w:ascii="宋体" w:hAnsi="宋体" w:cs="Arial"/>
          <w:b/>
          <w:bCs/>
          <w:sz w:val="24"/>
        </w:rPr>
        <w:t xml:space="preserve">3. </w:t>
      </w:r>
      <w:r>
        <w:rPr>
          <w:rFonts w:ascii="宋体" w:hAnsi="宋体" w:cs="Arial"/>
          <w:b/>
          <w:bCs/>
          <w:sz w:val="24"/>
        </w:rPr>
        <w:t>工期要求</w:t>
      </w:r>
      <w:bookmarkEnd w:id="1301"/>
      <w:bookmarkEnd w:id="1302"/>
      <w:bookmarkEnd w:id="1303"/>
    </w:p>
    <w:p>
      <w:pPr>
        <w:adjustRightInd w:val="0"/>
        <w:spacing w:after="120" w:afterLines="50" w:line="460" w:lineRule="exact"/>
        <w:rPr>
          <w:rFonts w:ascii="宋体" w:hAnsi="宋体" w:cs="Arial"/>
          <w:kern w:val="0"/>
          <w:sz w:val="24"/>
        </w:rPr>
      </w:pPr>
      <w:r>
        <w:rPr>
          <w:rFonts w:hint="eastAsia" w:ascii="宋体" w:hAnsi="宋体" w:cs="Arial"/>
          <w:b/>
          <w:bCs/>
          <w:sz w:val="24"/>
        </w:rPr>
        <w:t>3</w:t>
      </w:r>
      <w:r>
        <w:rPr>
          <w:rFonts w:ascii="宋体" w:hAnsi="宋体" w:cs="Arial"/>
          <w:b/>
          <w:bCs/>
          <w:sz w:val="24"/>
        </w:rPr>
        <w:t>.</w:t>
      </w:r>
      <w:r>
        <w:rPr>
          <w:rFonts w:hint="eastAsia" w:ascii="宋体" w:hAnsi="宋体" w:cs="Arial"/>
          <w:b/>
          <w:bCs/>
          <w:sz w:val="24"/>
        </w:rPr>
        <w:t>1</w:t>
      </w:r>
      <w:r>
        <w:rPr>
          <w:rFonts w:ascii="宋体" w:hAnsi="宋体" w:cs="Arial"/>
          <w:sz w:val="24"/>
        </w:rPr>
        <w:t xml:space="preserve"> </w:t>
      </w:r>
      <w:r>
        <w:rPr>
          <w:rFonts w:hint="eastAsia" w:ascii="宋体" w:hAnsi="宋体" w:cs="Arial"/>
          <w:sz w:val="24"/>
        </w:rPr>
        <w:t xml:space="preserve">  </w:t>
      </w:r>
      <w:r>
        <w:rPr>
          <w:rFonts w:hint="eastAsia" w:ascii="宋体" w:hAnsi="宋体" w:cs="Arial"/>
          <w:b/>
          <w:bCs/>
          <w:kern w:val="0"/>
          <w:sz w:val="24"/>
        </w:rPr>
        <w:t>合同工期</w:t>
      </w:r>
    </w:p>
    <w:p>
      <w:pPr>
        <w:adjustRightInd w:val="0"/>
        <w:spacing w:after="120" w:afterLines="50" w:line="460" w:lineRule="exact"/>
        <w:ind w:firstLine="480" w:firstLineChars="200"/>
        <w:rPr>
          <w:rFonts w:ascii="宋体" w:hAnsi="宋体" w:cs="Arial"/>
          <w:kern w:val="0"/>
          <w:sz w:val="24"/>
        </w:rPr>
      </w:pPr>
      <w:r>
        <w:rPr>
          <w:rFonts w:hint="eastAsia" w:ascii="宋体" w:hAnsi="宋体" w:cs="Arial"/>
          <w:kern w:val="0"/>
          <w:sz w:val="24"/>
        </w:rPr>
        <w:t>本工程合同工期和计划开、竣工日期为承包人在投标函附录中承诺的工期和计划开、竣工日期，并在合同协议书中载明。</w:t>
      </w:r>
    </w:p>
    <w:p>
      <w:pPr>
        <w:spacing w:after="120" w:afterLines="50" w:line="460" w:lineRule="exact"/>
        <w:rPr>
          <w:rFonts w:ascii="宋体" w:hAnsi="宋体"/>
          <w:b/>
          <w:sz w:val="24"/>
        </w:rPr>
      </w:pPr>
      <w:bookmarkStart w:id="1304" w:name="_Toc263259787"/>
      <w:r>
        <w:rPr>
          <w:rFonts w:hint="eastAsia" w:ascii="宋体" w:hAnsi="宋体"/>
          <w:b/>
          <w:sz w:val="24"/>
        </w:rPr>
        <w:t>3.2</w:t>
      </w:r>
      <w:bookmarkEnd w:id="1304"/>
      <w:r>
        <w:rPr>
          <w:rFonts w:ascii="宋体" w:hAnsi="宋体"/>
          <w:b/>
          <w:sz w:val="24"/>
        </w:rPr>
        <w:t xml:space="preserve"> </w:t>
      </w:r>
      <w:bookmarkStart w:id="1305" w:name="_Toc263259788"/>
      <w:r>
        <w:rPr>
          <w:rFonts w:hint="eastAsia" w:ascii="宋体" w:hAnsi="宋体"/>
          <w:b/>
          <w:sz w:val="24"/>
        </w:rPr>
        <w:t xml:space="preserve">  关于工期的一般规定</w:t>
      </w:r>
      <w:bookmarkEnd w:id="1305"/>
    </w:p>
    <w:p>
      <w:pPr>
        <w:spacing w:after="120" w:afterLines="50" w:line="460" w:lineRule="exact"/>
        <w:ind w:left="2"/>
        <w:rPr>
          <w:rFonts w:ascii="宋体" w:hAnsi="宋体" w:cs="Arial"/>
          <w:sz w:val="24"/>
        </w:rPr>
      </w:pPr>
      <w:r>
        <w:rPr>
          <w:rFonts w:hint="eastAsia" w:ascii="宋体" w:hAnsi="宋体" w:cs="Arial"/>
          <w:sz w:val="24"/>
        </w:rPr>
        <w:t>3.2.1</w:t>
      </w:r>
      <w:r>
        <w:rPr>
          <w:rFonts w:ascii="宋体" w:hAnsi="宋体" w:cs="Arial"/>
          <w:sz w:val="24"/>
        </w:rPr>
        <w:t xml:space="preserve"> </w:t>
      </w:r>
      <w:r>
        <w:rPr>
          <w:rFonts w:hint="eastAsia" w:ascii="宋体" w:hAnsi="宋体" w:cs="Arial"/>
          <w:sz w:val="24"/>
        </w:rPr>
        <w:t>承包人在投标函中承诺的工期和计划开、竣工日期之间发生矛盾或者不一致时，以承包人承诺的工期为准。实际开工日期以合同条款第10条约定的开工日期或监理人发出的开工通知中载明的开工日期为准。合同没有约定的，以进场后发包人正式通知的监理人为准。</w:t>
      </w:r>
    </w:p>
    <w:p>
      <w:pPr>
        <w:spacing w:after="120" w:afterLines="50" w:line="460" w:lineRule="exact"/>
        <w:ind w:left="2"/>
        <w:rPr>
          <w:rFonts w:ascii="宋体" w:hAnsi="宋体" w:cs="Arial"/>
          <w:sz w:val="24"/>
        </w:rPr>
      </w:pPr>
      <w:r>
        <w:rPr>
          <w:rFonts w:hint="eastAsia" w:ascii="宋体" w:hAnsi="宋体" w:cs="Arial"/>
          <w:sz w:val="24"/>
        </w:rPr>
        <w:t>3.2.2</w:t>
      </w:r>
      <w:r>
        <w:rPr>
          <w:rFonts w:ascii="宋体" w:hAnsi="宋体" w:cs="Arial"/>
          <w:sz w:val="24"/>
        </w:rPr>
        <w:t xml:space="preserve"> </w:t>
      </w:r>
      <w:r>
        <w:rPr>
          <w:rFonts w:hint="eastAsia" w:ascii="宋体" w:hAnsi="宋体" w:cs="Arial"/>
          <w:sz w:val="24"/>
        </w:rPr>
        <w:t>如果承包人在投标函附录中承诺的工期提前于发包人在本工程招标文件中所要求的工期，承包人在施工组织设计中应当制定相应的工期保证措施，由此而增加的费用应当被认为已经包括在投标总价中。除合同另有约定外，合同履约过程中发包人不会因此再向承包人支付任何性质的技术措施费用、赶工费用或其他任何性质的提前完工奖励等费用。</w:t>
      </w:r>
    </w:p>
    <w:p>
      <w:pPr>
        <w:spacing w:after="120" w:afterLines="50" w:line="460" w:lineRule="exact"/>
        <w:ind w:left="2"/>
        <w:rPr>
          <w:rFonts w:ascii="宋体" w:hAnsi="宋体" w:cs="Arial"/>
          <w:sz w:val="24"/>
        </w:rPr>
      </w:pPr>
      <w:r>
        <w:rPr>
          <w:rFonts w:hint="eastAsia" w:ascii="宋体" w:hAnsi="宋体" w:cs="Arial"/>
          <w:sz w:val="24"/>
        </w:rPr>
        <w:t>3.2.3</w:t>
      </w:r>
      <w:r>
        <w:rPr>
          <w:rFonts w:ascii="宋体" w:hAnsi="宋体" w:cs="Arial"/>
          <w:sz w:val="24"/>
        </w:rPr>
        <w:t xml:space="preserve"> </w:t>
      </w:r>
      <w:r>
        <w:rPr>
          <w:rFonts w:hint="eastAsia" w:ascii="宋体" w:hAnsi="宋体" w:cs="Arial"/>
          <w:sz w:val="24"/>
        </w:rPr>
        <w:t>承包人在投标函附录中所承诺的工期应当包括实施并完成本节上述2.1.2项规定的暂估价工程和上述2.1.3项规定的实际可能发生的暂列金额在内的所有工作的工期。</w:t>
      </w:r>
    </w:p>
    <w:p>
      <w:pPr>
        <w:keepNext/>
        <w:keepLines/>
        <w:spacing w:before="260" w:after="156" w:line="460" w:lineRule="exact"/>
        <w:outlineLvl w:val="2"/>
        <w:rPr>
          <w:rFonts w:ascii="宋体" w:hAnsi="宋体" w:cs="Arial"/>
          <w:sz w:val="24"/>
        </w:rPr>
      </w:pPr>
      <w:bookmarkStart w:id="1306" w:name="_Toc342296550"/>
      <w:bookmarkStart w:id="1307" w:name="_Toc362253016"/>
      <w:bookmarkStart w:id="1308" w:name="_Toc241459793"/>
      <w:r>
        <w:rPr>
          <w:rFonts w:hint="eastAsia" w:ascii="宋体" w:hAnsi="宋体" w:cs="Arial"/>
          <w:b/>
          <w:bCs/>
          <w:sz w:val="24"/>
        </w:rPr>
        <w:t xml:space="preserve">4. </w:t>
      </w:r>
      <w:r>
        <w:rPr>
          <w:rFonts w:ascii="宋体" w:hAnsi="宋体" w:cs="Arial"/>
          <w:b/>
          <w:bCs/>
          <w:sz w:val="24"/>
        </w:rPr>
        <w:t>质量</w:t>
      </w:r>
      <w:r>
        <w:rPr>
          <w:rFonts w:hint="eastAsia" w:ascii="宋体" w:hAnsi="宋体" w:cs="Arial"/>
          <w:b/>
          <w:bCs/>
          <w:sz w:val="24"/>
        </w:rPr>
        <w:t>要求</w:t>
      </w:r>
      <w:bookmarkEnd w:id="1306"/>
      <w:bookmarkEnd w:id="1307"/>
      <w:bookmarkEnd w:id="1308"/>
    </w:p>
    <w:p>
      <w:pPr>
        <w:adjustRightInd w:val="0"/>
        <w:spacing w:after="120" w:afterLines="50" w:line="460" w:lineRule="exact"/>
        <w:rPr>
          <w:rFonts w:ascii="宋体" w:hAnsi="宋体" w:cs="Arial"/>
          <w:kern w:val="0"/>
          <w:sz w:val="24"/>
        </w:rPr>
      </w:pPr>
      <w:r>
        <w:rPr>
          <w:rFonts w:hint="eastAsia" w:ascii="宋体" w:hAnsi="宋体" w:cs="Arial"/>
          <w:b/>
          <w:bCs/>
          <w:sz w:val="24"/>
        </w:rPr>
        <w:t>4</w:t>
      </w:r>
      <w:r>
        <w:rPr>
          <w:rFonts w:ascii="宋体" w:hAnsi="宋体" w:cs="Arial"/>
          <w:b/>
          <w:bCs/>
          <w:sz w:val="24"/>
        </w:rPr>
        <w:t>.1</w:t>
      </w:r>
      <w:r>
        <w:rPr>
          <w:rFonts w:ascii="宋体" w:hAnsi="宋体" w:cs="Arial"/>
          <w:sz w:val="24"/>
        </w:rPr>
        <w:t xml:space="preserve"> </w:t>
      </w:r>
      <w:r>
        <w:rPr>
          <w:rFonts w:hint="eastAsia" w:ascii="宋体" w:hAnsi="宋体" w:cs="Arial"/>
          <w:sz w:val="24"/>
        </w:rPr>
        <w:t xml:space="preserve">   </w:t>
      </w:r>
      <w:r>
        <w:rPr>
          <w:rFonts w:ascii="宋体" w:hAnsi="宋体" w:cs="Arial"/>
          <w:b/>
          <w:bCs/>
          <w:kern w:val="0"/>
          <w:sz w:val="24"/>
        </w:rPr>
        <w:t>质量</w:t>
      </w:r>
      <w:r>
        <w:rPr>
          <w:rFonts w:hint="eastAsia" w:ascii="宋体" w:hAnsi="宋体" w:cs="Arial"/>
          <w:b/>
          <w:bCs/>
          <w:kern w:val="0"/>
          <w:sz w:val="24"/>
        </w:rPr>
        <w:t>标准</w:t>
      </w:r>
    </w:p>
    <w:p>
      <w:pPr>
        <w:tabs>
          <w:tab w:val="left" w:pos="0"/>
        </w:tabs>
        <w:spacing w:after="120" w:afterLines="50" w:line="460" w:lineRule="exact"/>
        <w:ind w:firstLine="480" w:firstLineChars="200"/>
        <w:rPr>
          <w:rFonts w:ascii="宋体" w:hAnsi="宋体" w:cs="Arial"/>
          <w:sz w:val="24"/>
        </w:rPr>
      </w:pPr>
      <w:r>
        <w:rPr>
          <w:rFonts w:hint="eastAsia" w:ascii="宋体" w:hAnsi="宋体" w:cs="Arial"/>
          <w:sz w:val="24"/>
        </w:rPr>
        <w:t xml:space="preserve"> 本工程要求的质量标准为</w:t>
      </w:r>
      <w:r>
        <w:rPr>
          <w:rFonts w:hint="eastAsia" w:ascii="宋体" w:hAnsi="宋体" w:cs="Arial"/>
          <w:sz w:val="24"/>
          <w:u w:val="single"/>
        </w:rPr>
        <w:t>符合现行国家有关工程施工验收规范和标准的要求（合格）</w:t>
      </w:r>
      <w:r>
        <w:rPr>
          <w:rFonts w:hint="eastAsia" w:ascii="宋体" w:hAnsi="宋体" w:cs="Arial"/>
          <w:sz w:val="24"/>
        </w:rPr>
        <w:t>。</w:t>
      </w:r>
    </w:p>
    <w:p>
      <w:pPr>
        <w:adjustRightInd w:val="0"/>
        <w:spacing w:after="120" w:afterLines="50" w:line="460" w:lineRule="exact"/>
        <w:rPr>
          <w:rFonts w:ascii="宋体" w:hAnsi="宋体" w:cs="Arial"/>
          <w:b/>
          <w:bCs/>
          <w:kern w:val="0"/>
          <w:sz w:val="24"/>
        </w:rPr>
      </w:pPr>
      <w:r>
        <w:rPr>
          <w:rFonts w:hint="eastAsia" w:ascii="宋体" w:hAnsi="宋体" w:cs="Arial"/>
          <w:b/>
          <w:bCs/>
          <w:sz w:val="24"/>
        </w:rPr>
        <w:t>4</w:t>
      </w:r>
      <w:r>
        <w:rPr>
          <w:rFonts w:ascii="宋体" w:hAnsi="宋体" w:cs="Arial"/>
          <w:b/>
          <w:bCs/>
          <w:sz w:val="24"/>
        </w:rPr>
        <w:t>.</w:t>
      </w:r>
      <w:r>
        <w:rPr>
          <w:rFonts w:hint="eastAsia" w:ascii="宋体" w:hAnsi="宋体" w:cs="Arial"/>
          <w:b/>
          <w:bCs/>
          <w:sz w:val="24"/>
        </w:rPr>
        <w:t>2</w:t>
      </w:r>
      <w:r>
        <w:rPr>
          <w:rFonts w:ascii="宋体" w:hAnsi="宋体" w:cs="Arial"/>
          <w:sz w:val="24"/>
        </w:rPr>
        <w:t xml:space="preserve"> </w:t>
      </w:r>
      <w:r>
        <w:rPr>
          <w:rFonts w:hint="eastAsia" w:ascii="宋体" w:hAnsi="宋体" w:cs="Arial"/>
          <w:sz w:val="24"/>
        </w:rPr>
        <w:t xml:space="preserve">   </w:t>
      </w:r>
      <w:r>
        <w:rPr>
          <w:rFonts w:ascii="宋体" w:hAnsi="宋体" w:cs="Arial"/>
          <w:b/>
          <w:bCs/>
          <w:kern w:val="0"/>
          <w:sz w:val="24"/>
        </w:rPr>
        <w:t>特殊</w:t>
      </w:r>
      <w:r>
        <w:rPr>
          <w:rFonts w:hint="eastAsia" w:ascii="宋体" w:hAnsi="宋体" w:cs="Arial"/>
          <w:b/>
          <w:bCs/>
          <w:kern w:val="0"/>
          <w:sz w:val="24"/>
        </w:rPr>
        <w:t>质量</w:t>
      </w:r>
      <w:r>
        <w:rPr>
          <w:rFonts w:ascii="宋体" w:hAnsi="宋体" w:cs="Arial"/>
          <w:b/>
          <w:bCs/>
          <w:kern w:val="0"/>
          <w:sz w:val="24"/>
        </w:rPr>
        <w:t>要求</w:t>
      </w:r>
    </w:p>
    <w:p>
      <w:pPr>
        <w:adjustRightInd w:val="0"/>
        <w:spacing w:after="120" w:afterLines="50" w:line="460" w:lineRule="exact"/>
        <w:rPr>
          <w:rFonts w:ascii="宋体" w:hAnsi="宋体" w:cs="Arial"/>
          <w:bCs/>
          <w:kern w:val="0"/>
          <w:sz w:val="24"/>
        </w:rPr>
      </w:pPr>
      <w:r>
        <w:rPr>
          <w:rFonts w:hint="eastAsia" w:ascii="宋体" w:hAnsi="宋体" w:cs="Arial"/>
          <w:bCs/>
          <w:kern w:val="0"/>
          <w:sz w:val="24"/>
        </w:rPr>
        <w:t>4.2.1 园林绿化工程所需植株的质量要求</w:t>
      </w:r>
    </w:p>
    <w:p>
      <w:pPr>
        <w:adjustRightInd w:val="0"/>
        <w:spacing w:after="120" w:afterLines="50" w:line="460" w:lineRule="exact"/>
        <w:rPr>
          <w:rFonts w:ascii="宋体" w:hAnsi="宋体"/>
          <w:sz w:val="24"/>
        </w:rPr>
      </w:pPr>
      <w:r>
        <w:rPr>
          <w:rFonts w:hint="eastAsia" w:ascii="宋体" w:hAnsi="宋体" w:cs="Arial"/>
          <w:bCs/>
          <w:kern w:val="0"/>
          <w:sz w:val="24"/>
        </w:rPr>
        <w:t xml:space="preserve">4.2.1.1 </w:t>
      </w:r>
      <w:r>
        <w:rPr>
          <w:rFonts w:hint="eastAsia" w:ascii="宋体" w:hAnsi="宋体"/>
          <w:sz w:val="24"/>
        </w:rPr>
        <w:t>木本苗应符合 DB11/T 211 的有关要求。</w:t>
      </w:r>
    </w:p>
    <w:p>
      <w:pPr>
        <w:tabs>
          <w:tab w:val="left" w:pos="851"/>
        </w:tabs>
        <w:adjustRightInd w:val="0"/>
        <w:spacing w:after="120" w:afterLines="50" w:line="460" w:lineRule="exact"/>
        <w:rPr>
          <w:rFonts w:ascii="宋体" w:hAnsi="宋体"/>
          <w:sz w:val="24"/>
        </w:rPr>
      </w:pPr>
      <w:r>
        <w:rPr>
          <w:rFonts w:hint="eastAsia" w:ascii="宋体" w:hAnsi="宋体"/>
          <w:sz w:val="24"/>
        </w:rPr>
        <w:t>4.2.1.2 露地栽培花卉应符合下列规定：</w:t>
      </w:r>
    </w:p>
    <w:p>
      <w:pPr>
        <w:adjustRightInd w:val="0"/>
        <w:spacing w:after="120" w:afterLines="50" w:line="460" w:lineRule="exact"/>
        <w:ind w:left="2"/>
        <w:rPr>
          <w:rFonts w:ascii="宋体" w:hAnsi="宋体"/>
          <w:sz w:val="24"/>
        </w:rPr>
      </w:pPr>
      <w:r>
        <w:rPr>
          <w:rFonts w:hint="eastAsia" w:ascii="宋体" w:hAnsi="宋体"/>
          <w:sz w:val="24"/>
        </w:rPr>
        <w:t>（1）  一、 二年生花卉，株高一般为 10cm～50cm，冠径为 15cm～35cm，分枝不少于 3～4 个，植株健壮，色泽明亮，无病虫害。</w:t>
      </w:r>
    </w:p>
    <w:p>
      <w:pPr>
        <w:adjustRightInd w:val="0"/>
        <w:spacing w:after="120" w:afterLines="50" w:line="460" w:lineRule="exact"/>
        <w:ind w:left="1159" w:hanging="1159" w:hangingChars="483"/>
        <w:rPr>
          <w:rFonts w:ascii="宋体" w:hAnsi="宋体"/>
          <w:sz w:val="24"/>
        </w:rPr>
      </w:pPr>
      <w:r>
        <w:rPr>
          <w:rFonts w:hint="eastAsia" w:ascii="宋体" w:hAnsi="宋体"/>
          <w:sz w:val="24"/>
        </w:rPr>
        <w:t>（2） 宿根花卉，根系应完整，无腐烂变质。</w:t>
      </w:r>
    </w:p>
    <w:p>
      <w:pPr>
        <w:adjustRightInd w:val="0"/>
        <w:spacing w:after="120" w:afterLines="50" w:line="460" w:lineRule="exact"/>
        <w:ind w:left="1159" w:hanging="1159" w:hangingChars="483"/>
        <w:rPr>
          <w:rFonts w:ascii="宋体" w:hAnsi="宋体"/>
          <w:sz w:val="24"/>
        </w:rPr>
      </w:pPr>
      <w:r>
        <w:rPr>
          <w:rFonts w:hint="eastAsia" w:ascii="宋体" w:hAnsi="宋体"/>
          <w:sz w:val="24"/>
        </w:rPr>
        <w:t>（3） 球根花卉，球根应茁壮、无损伤，幼芽饱满。</w:t>
      </w:r>
    </w:p>
    <w:p>
      <w:pPr>
        <w:adjustRightInd w:val="0"/>
        <w:spacing w:after="120" w:afterLines="50" w:line="460" w:lineRule="exact"/>
        <w:ind w:left="1159" w:hanging="1159" w:hangingChars="483"/>
        <w:rPr>
          <w:rFonts w:ascii="宋体" w:hAnsi="宋体" w:cs="Arial"/>
          <w:b/>
          <w:bCs/>
          <w:kern w:val="0"/>
          <w:sz w:val="24"/>
        </w:rPr>
      </w:pPr>
      <w:r>
        <w:rPr>
          <w:rFonts w:hint="eastAsia" w:ascii="宋体" w:hAnsi="宋体"/>
          <w:sz w:val="24"/>
        </w:rPr>
        <w:t>（4） 观叶植物，叶片分布均匀，排列整齐，形状完好，色泽正常。</w:t>
      </w:r>
    </w:p>
    <w:p>
      <w:pPr>
        <w:adjustRightInd w:val="0"/>
        <w:spacing w:after="120" w:afterLines="50" w:line="460" w:lineRule="exact"/>
        <w:rPr>
          <w:rFonts w:ascii="宋体" w:hAnsi="宋体" w:cs="Arial"/>
          <w:b/>
          <w:bCs/>
          <w:kern w:val="0"/>
          <w:sz w:val="24"/>
        </w:rPr>
      </w:pPr>
      <w:r>
        <w:rPr>
          <w:rFonts w:hint="eastAsia" w:ascii="宋体" w:hAnsi="宋体" w:cs="Arial"/>
          <w:kern w:val="0"/>
          <w:sz w:val="24"/>
        </w:rPr>
        <w:t xml:space="preserve">4.2.1.3 </w:t>
      </w:r>
      <w:r>
        <w:rPr>
          <w:rFonts w:hint="eastAsia" w:ascii="宋体" w:hAnsi="宋体"/>
          <w:sz w:val="24"/>
        </w:rPr>
        <w:t>水生植物根、茎、叶发育良好，植株健壮。</w:t>
      </w:r>
    </w:p>
    <w:p>
      <w:pPr>
        <w:tabs>
          <w:tab w:val="left" w:pos="709"/>
        </w:tabs>
        <w:spacing w:after="120" w:afterLines="50" w:line="460" w:lineRule="exact"/>
        <w:rPr>
          <w:rFonts w:ascii="宋体" w:hAnsi="宋体" w:cs="Arial"/>
          <w:sz w:val="24"/>
        </w:rPr>
      </w:pPr>
      <w:r>
        <w:rPr>
          <w:rFonts w:hint="eastAsia" w:ascii="宋体" w:hAnsi="宋体" w:cs="Arial"/>
          <w:sz w:val="24"/>
        </w:rPr>
        <w:t>4.2.2 有关本工程质量方面的特殊要求如下：</w:t>
      </w:r>
    </w:p>
    <w:p>
      <w:pPr>
        <w:spacing w:after="120" w:afterLines="50" w:line="460" w:lineRule="exact"/>
        <w:rPr>
          <w:rFonts w:ascii="宋体" w:hAnsi="宋体"/>
          <w:sz w:val="24"/>
          <w:u w:val="single"/>
        </w:rPr>
      </w:pPr>
      <w:r>
        <w:rPr>
          <w:rFonts w:hint="eastAsia" w:ascii="宋体" w:hAnsi="宋体"/>
          <w:sz w:val="24"/>
          <w:u w:val="single"/>
        </w:rPr>
        <w:t xml:space="preserve">                                                                      </w:t>
      </w:r>
      <w:r>
        <w:rPr>
          <w:rFonts w:hint="eastAsia" w:ascii="宋体" w:hAnsi="宋体"/>
          <w:sz w:val="24"/>
        </w:rPr>
        <w:t>。</w:t>
      </w:r>
    </w:p>
    <w:p>
      <w:pPr>
        <w:keepNext/>
        <w:keepLines/>
        <w:spacing w:before="260" w:after="156" w:line="460" w:lineRule="exact"/>
        <w:outlineLvl w:val="2"/>
        <w:rPr>
          <w:rFonts w:ascii="宋体" w:hAnsi="宋体" w:cs="Arial"/>
          <w:b/>
          <w:bCs/>
          <w:sz w:val="24"/>
        </w:rPr>
      </w:pPr>
      <w:bookmarkStart w:id="1309" w:name="_Toc362253017"/>
      <w:bookmarkStart w:id="1310" w:name="_Toc342296551"/>
      <w:bookmarkStart w:id="1311" w:name="_Toc241459794"/>
      <w:r>
        <w:rPr>
          <w:rFonts w:hint="eastAsia" w:ascii="宋体" w:hAnsi="宋体" w:cs="Arial"/>
          <w:b/>
          <w:bCs/>
          <w:sz w:val="24"/>
        </w:rPr>
        <w:t xml:space="preserve">5. </w:t>
      </w:r>
      <w:r>
        <w:rPr>
          <w:rFonts w:ascii="宋体" w:hAnsi="宋体" w:cs="Arial"/>
          <w:b/>
          <w:bCs/>
          <w:sz w:val="24"/>
        </w:rPr>
        <w:t>适用规范</w:t>
      </w:r>
      <w:r>
        <w:rPr>
          <w:rFonts w:hint="eastAsia" w:ascii="宋体" w:hAnsi="宋体" w:cs="Arial"/>
          <w:b/>
          <w:bCs/>
          <w:sz w:val="24"/>
        </w:rPr>
        <w:t>和标准</w:t>
      </w:r>
      <w:bookmarkEnd w:id="1309"/>
      <w:bookmarkEnd w:id="1310"/>
      <w:bookmarkEnd w:id="1311"/>
    </w:p>
    <w:p>
      <w:pPr>
        <w:adjustRightInd w:val="0"/>
        <w:spacing w:after="120" w:afterLines="50" w:line="460" w:lineRule="exact"/>
        <w:rPr>
          <w:rFonts w:ascii="宋体" w:hAnsi="宋体" w:cs="Arial"/>
          <w:kern w:val="0"/>
          <w:sz w:val="24"/>
        </w:rPr>
      </w:pPr>
      <w:r>
        <w:rPr>
          <w:rFonts w:hint="eastAsia" w:ascii="宋体" w:hAnsi="宋体" w:cs="Arial"/>
          <w:b/>
          <w:bCs/>
          <w:sz w:val="24"/>
        </w:rPr>
        <w:t>5</w:t>
      </w:r>
      <w:r>
        <w:rPr>
          <w:rFonts w:ascii="宋体" w:hAnsi="宋体" w:cs="Arial"/>
          <w:b/>
          <w:bCs/>
          <w:sz w:val="24"/>
        </w:rPr>
        <w:t>.1</w:t>
      </w:r>
      <w:r>
        <w:rPr>
          <w:rFonts w:hint="eastAsia" w:ascii="宋体" w:hAnsi="宋体" w:cs="Arial"/>
          <w:b/>
          <w:bCs/>
          <w:sz w:val="24"/>
        </w:rPr>
        <w:t xml:space="preserve">  </w:t>
      </w:r>
      <w:r>
        <w:rPr>
          <w:rFonts w:ascii="宋体" w:hAnsi="宋体" w:cs="Arial"/>
          <w:sz w:val="24"/>
        </w:rPr>
        <w:t xml:space="preserve"> </w:t>
      </w:r>
      <w:r>
        <w:rPr>
          <w:rFonts w:ascii="宋体" w:hAnsi="宋体" w:cs="Arial"/>
          <w:b/>
          <w:bCs/>
          <w:kern w:val="0"/>
          <w:sz w:val="24"/>
        </w:rPr>
        <w:t>适用的规范</w:t>
      </w:r>
      <w:r>
        <w:rPr>
          <w:rFonts w:hint="eastAsia" w:ascii="宋体" w:hAnsi="宋体" w:cs="Arial"/>
          <w:b/>
          <w:bCs/>
          <w:kern w:val="0"/>
          <w:sz w:val="24"/>
        </w:rPr>
        <w:t>、标准和规程</w:t>
      </w:r>
    </w:p>
    <w:p>
      <w:pPr>
        <w:adjustRightInd w:val="0"/>
        <w:spacing w:after="120" w:afterLines="50" w:line="460" w:lineRule="exact"/>
        <w:ind w:left="2"/>
        <w:rPr>
          <w:rFonts w:ascii="宋体" w:hAnsi="宋体" w:cs="Arial"/>
          <w:kern w:val="0"/>
          <w:sz w:val="24"/>
        </w:rPr>
      </w:pPr>
      <w:r>
        <w:rPr>
          <w:rFonts w:hint="eastAsia" w:ascii="宋体" w:hAnsi="宋体" w:cs="Arial"/>
          <w:sz w:val="24"/>
        </w:rPr>
        <w:t>5.1.1</w:t>
      </w:r>
      <w:r>
        <w:rPr>
          <w:rFonts w:ascii="宋体" w:hAnsi="宋体" w:cs="Arial"/>
          <w:sz w:val="24"/>
        </w:rPr>
        <w:t xml:space="preserve"> </w:t>
      </w:r>
      <w:r>
        <w:rPr>
          <w:rFonts w:hint="eastAsia" w:ascii="宋体" w:hAnsi="宋体" w:cs="Arial"/>
          <w:kern w:val="0"/>
          <w:sz w:val="24"/>
        </w:rPr>
        <w:t>除合同另有约定外，本工程适用现行国家、行业和地方规范、标准和规程。适用于本工程的国家、行业和地方的规范、标准和规程等的名录见本章第三节。</w:t>
      </w:r>
    </w:p>
    <w:p>
      <w:pPr>
        <w:spacing w:after="120" w:afterLines="50" w:line="460" w:lineRule="exact"/>
        <w:ind w:left="2"/>
        <w:rPr>
          <w:rFonts w:ascii="宋体" w:hAnsi="宋体" w:cs="Arial"/>
          <w:sz w:val="24"/>
        </w:rPr>
      </w:pPr>
      <w:r>
        <w:rPr>
          <w:rFonts w:hint="eastAsia" w:ascii="宋体" w:hAnsi="宋体" w:cs="Arial"/>
          <w:sz w:val="24"/>
        </w:rPr>
        <w:t>5.1.2</w:t>
      </w:r>
      <w:r>
        <w:rPr>
          <w:rFonts w:ascii="宋体" w:hAnsi="宋体" w:cs="Arial"/>
          <w:sz w:val="24"/>
        </w:rPr>
        <w:t xml:space="preserve"> 构成合同文件的任何内容与</w:t>
      </w:r>
      <w:r>
        <w:rPr>
          <w:rFonts w:hint="eastAsia" w:ascii="宋体" w:hAnsi="宋体" w:cs="Arial"/>
          <w:sz w:val="24"/>
        </w:rPr>
        <w:t>适用的</w:t>
      </w:r>
      <w:r>
        <w:rPr>
          <w:rFonts w:ascii="宋体" w:hAnsi="宋体" w:cs="Arial"/>
          <w:sz w:val="24"/>
        </w:rPr>
        <w:t>规范、标准和规程之间出现矛盾，承包人应书面要求</w:t>
      </w:r>
      <w:r>
        <w:rPr>
          <w:rFonts w:hint="eastAsia" w:ascii="宋体" w:hAnsi="宋体" w:cs="Arial"/>
          <w:sz w:val="24"/>
        </w:rPr>
        <w:t>监理</w:t>
      </w:r>
      <w:r>
        <w:rPr>
          <w:rFonts w:ascii="宋体" w:hAnsi="宋体" w:cs="Arial"/>
          <w:sz w:val="24"/>
        </w:rPr>
        <w:t>人予以澄清，除</w:t>
      </w:r>
      <w:r>
        <w:rPr>
          <w:rFonts w:hint="eastAsia" w:ascii="宋体" w:hAnsi="宋体" w:cs="Arial"/>
          <w:sz w:val="24"/>
        </w:rPr>
        <w:t>监理</w:t>
      </w:r>
      <w:r>
        <w:rPr>
          <w:rFonts w:ascii="宋体" w:hAnsi="宋体" w:cs="Arial"/>
          <w:sz w:val="24"/>
        </w:rPr>
        <w:t>人有特别指示</w:t>
      </w:r>
      <w:r>
        <w:rPr>
          <w:rFonts w:hint="eastAsia" w:ascii="宋体" w:hAnsi="宋体" w:cs="Arial"/>
          <w:sz w:val="24"/>
        </w:rPr>
        <w:t>外</w:t>
      </w:r>
      <w:r>
        <w:rPr>
          <w:rFonts w:ascii="宋体" w:hAnsi="宋体" w:cs="Arial"/>
          <w:sz w:val="24"/>
        </w:rPr>
        <w:t>，承包人应按照其中要求最严格的标准执行。</w:t>
      </w:r>
    </w:p>
    <w:p>
      <w:pPr>
        <w:spacing w:after="120" w:afterLines="50" w:line="460" w:lineRule="exact"/>
        <w:ind w:left="2"/>
        <w:rPr>
          <w:rFonts w:ascii="宋体" w:hAnsi="宋体" w:cs="Arial"/>
          <w:sz w:val="24"/>
        </w:rPr>
      </w:pPr>
      <w:r>
        <w:rPr>
          <w:rFonts w:hint="eastAsia" w:ascii="宋体" w:hAnsi="宋体" w:cs="Arial"/>
          <w:sz w:val="24"/>
        </w:rPr>
        <w:t>5</w:t>
      </w:r>
      <w:r>
        <w:rPr>
          <w:rFonts w:ascii="宋体" w:hAnsi="宋体" w:cs="Arial"/>
          <w:sz w:val="24"/>
        </w:rPr>
        <w:t>.1.</w:t>
      </w:r>
      <w:r>
        <w:rPr>
          <w:rFonts w:hint="eastAsia" w:ascii="宋体" w:hAnsi="宋体" w:cs="Arial"/>
          <w:sz w:val="24"/>
        </w:rPr>
        <w:t>3</w:t>
      </w:r>
      <w:r>
        <w:rPr>
          <w:rFonts w:ascii="宋体" w:hAnsi="宋体" w:cs="Arial"/>
          <w:sz w:val="24"/>
        </w:rPr>
        <w:t xml:space="preserve"> </w:t>
      </w:r>
      <w:r>
        <w:rPr>
          <w:rFonts w:hint="eastAsia" w:ascii="宋体" w:hAnsi="宋体" w:cs="Arial"/>
          <w:sz w:val="24"/>
        </w:rPr>
        <w:t>除合同另有约定外，</w:t>
      </w:r>
      <w:r>
        <w:rPr>
          <w:rFonts w:ascii="宋体" w:hAnsi="宋体" w:cs="Arial"/>
          <w:sz w:val="24"/>
        </w:rPr>
        <w:t>材料、施工工艺和本工程都应依照本技术标准和要求以及</w:t>
      </w:r>
      <w:r>
        <w:rPr>
          <w:rFonts w:hint="eastAsia" w:ascii="宋体" w:hAnsi="宋体" w:cs="Arial"/>
          <w:sz w:val="24"/>
        </w:rPr>
        <w:t>适用的</w:t>
      </w:r>
      <w:r>
        <w:rPr>
          <w:rFonts w:ascii="宋体" w:hAnsi="宋体" w:cs="Arial"/>
          <w:sz w:val="24"/>
        </w:rPr>
        <w:t>现行规范、标准和规程的最新版本执行</w:t>
      </w:r>
      <w:r>
        <w:rPr>
          <w:rFonts w:hint="eastAsia" w:ascii="宋体" w:hAnsi="宋体" w:cs="Arial"/>
          <w:sz w:val="24"/>
        </w:rPr>
        <w:t>。</w:t>
      </w:r>
    </w:p>
    <w:p>
      <w:pPr>
        <w:spacing w:after="120" w:afterLines="50" w:line="460" w:lineRule="exact"/>
        <w:rPr>
          <w:rFonts w:ascii="宋体" w:hAnsi="宋体"/>
          <w:b/>
          <w:sz w:val="24"/>
        </w:rPr>
      </w:pPr>
      <w:bookmarkStart w:id="1312" w:name="_Toc263259791"/>
      <w:r>
        <w:rPr>
          <w:rFonts w:hint="eastAsia" w:ascii="宋体" w:hAnsi="宋体"/>
          <w:b/>
          <w:sz w:val="24"/>
        </w:rPr>
        <w:t>5</w:t>
      </w:r>
      <w:r>
        <w:rPr>
          <w:rFonts w:ascii="宋体" w:hAnsi="宋体"/>
          <w:b/>
          <w:sz w:val="24"/>
        </w:rPr>
        <w:t>.2</w:t>
      </w:r>
      <w:bookmarkEnd w:id="1312"/>
      <w:bookmarkStart w:id="1313" w:name="_Toc263259792"/>
      <w:r>
        <w:rPr>
          <w:rFonts w:hint="eastAsia" w:ascii="宋体" w:hAnsi="宋体"/>
          <w:b/>
          <w:sz w:val="24"/>
        </w:rPr>
        <w:t xml:space="preserve">   </w:t>
      </w:r>
      <w:r>
        <w:rPr>
          <w:rFonts w:ascii="宋体" w:hAnsi="宋体"/>
          <w:b/>
          <w:sz w:val="24"/>
        </w:rPr>
        <w:t>特殊技术</w:t>
      </w:r>
      <w:r>
        <w:rPr>
          <w:rFonts w:hint="eastAsia" w:ascii="宋体" w:hAnsi="宋体"/>
          <w:b/>
          <w:sz w:val="24"/>
        </w:rPr>
        <w:t>标准和要求</w:t>
      </w:r>
      <w:bookmarkEnd w:id="1313"/>
    </w:p>
    <w:p>
      <w:pPr>
        <w:spacing w:after="120" w:afterLines="50" w:line="460" w:lineRule="exact"/>
        <w:rPr>
          <w:rFonts w:ascii="宋体" w:hAnsi="宋体"/>
          <w:sz w:val="24"/>
        </w:rPr>
      </w:pPr>
      <w:r>
        <w:rPr>
          <w:rFonts w:hint="eastAsia" w:ascii="宋体" w:hAnsi="宋体" w:cs="Arial"/>
          <w:sz w:val="24"/>
        </w:rPr>
        <w:t>5.2.1</w:t>
      </w:r>
      <w:r>
        <w:rPr>
          <w:rFonts w:ascii="宋体" w:hAnsi="宋体" w:cs="Arial"/>
          <w:sz w:val="24"/>
        </w:rPr>
        <w:t xml:space="preserve"> </w:t>
      </w:r>
      <w:r>
        <w:rPr>
          <w:rFonts w:hint="eastAsia" w:ascii="宋体" w:hAnsi="宋体" w:cs="Arial"/>
          <w:sz w:val="24"/>
        </w:rPr>
        <w:t>适用本工程的特殊技术标准和要求见本章第二节。</w:t>
      </w:r>
    </w:p>
    <w:p>
      <w:pPr>
        <w:spacing w:after="120" w:afterLines="50" w:line="460" w:lineRule="exact"/>
        <w:rPr>
          <w:rFonts w:ascii="宋体" w:hAnsi="宋体" w:cs="Arial"/>
          <w:sz w:val="24"/>
        </w:rPr>
      </w:pPr>
      <w:r>
        <w:rPr>
          <w:rFonts w:hint="eastAsia" w:ascii="宋体" w:hAnsi="宋体" w:cs="Arial"/>
          <w:sz w:val="24"/>
        </w:rPr>
        <w:t>5</w:t>
      </w:r>
      <w:r>
        <w:rPr>
          <w:rFonts w:ascii="宋体" w:hAnsi="宋体" w:cs="Arial"/>
          <w:sz w:val="24"/>
        </w:rPr>
        <w:t xml:space="preserve">.2.2 </w:t>
      </w:r>
      <w:r>
        <w:rPr>
          <w:rFonts w:hint="eastAsia" w:ascii="宋体" w:hAnsi="宋体" w:cs="Arial"/>
          <w:sz w:val="24"/>
        </w:rPr>
        <w:t>有合同约束力的</w:t>
      </w:r>
      <w:r>
        <w:rPr>
          <w:rFonts w:ascii="宋体" w:hAnsi="宋体" w:cs="Arial"/>
          <w:sz w:val="24"/>
        </w:rPr>
        <w:t>图纸和其他设计文件中的有关</w:t>
      </w:r>
      <w:r>
        <w:rPr>
          <w:rFonts w:hint="eastAsia" w:ascii="宋体" w:hAnsi="宋体" w:cs="Arial"/>
          <w:sz w:val="24"/>
        </w:rPr>
        <w:t>文字说明是本节的组成内容。</w:t>
      </w:r>
    </w:p>
    <w:p>
      <w:pPr>
        <w:keepNext/>
        <w:keepLines/>
        <w:spacing w:before="260" w:after="156" w:line="460" w:lineRule="exact"/>
        <w:outlineLvl w:val="2"/>
        <w:rPr>
          <w:rFonts w:ascii="宋体" w:hAnsi="宋体"/>
          <w:sz w:val="24"/>
        </w:rPr>
      </w:pPr>
      <w:r>
        <w:rPr>
          <w:rFonts w:ascii="宋体" w:hAnsi="宋体" w:cs="宋体"/>
          <w:b/>
          <w:bCs/>
          <w:sz w:val="24"/>
        </w:rPr>
        <w:t xml:space="preserve">6. </w:t>
      </w:r>
      <w:r>
        <w:rPr>
          <w:rFonts w:hint="eastAsia" w:ascii="宋体" w:hAnsi="宋体" w:cs="宋体"/>
          <w:b/>
          <w:bCs/>
          <w:sz w:val="24"/>
        </w:rPr>
        <w:t>安全文明施工</w:t>
      </w:r>
    </w:p>
    <w:p>
      <w:pPr>
        <w:spacing w:after="120" w:afterLines="50" w:line="460" w:lineRule="exact"/>
        <w:rPr>
          <w:rFonts w:ascii="宋体" w:hAnsi="宋体"/>
          <w:b/>
          <w:sz w:val="24"/>
        </w:rPr>
      </w:pPr>
      <w:r>
        <w:rPr>
          <w:rFonts w:ascii="宋体" w:hAnsi="宋体"/>
          <w:b/>
          <w:sz w:val="24"/>
        </w:rPr>
        <w:t>6.1</w:t>
      </w:r>
      <w:r>
        <w:rPr>
          <w:rFonts w:hint="eastAsia" w:ascii="宋体" w:hAnsi="宋体"/>
          <w:b/>
          <w:sz w:val="24"/>
        </w:rPr>
        <w:t xml:space="preserve">   安全防护一般要求</w:t>
      </w:r>
    </w:p>
    <w:p>
      <w:pPr>
        <w:spacing w:after="120" w:afterLines="50" w:line="460" w:lineRule="exact"/>
        <w:ind w:left="1"/>
        <w:rPr>
          <w:rFonts w:ascii="宋体" w:hAnsi="宋体"/>
          <w:sz w:val="24"/>
        </w:rPr>
      </w:pPr>
      <w:r>
        <w:rPr>
          <w:rFonts w:ascii="宋体" w:hAnsi="宋体" w:cs="宋体"/>
          <w:sz w:val="24"/>
        </w:rPr>
        <w:t>6.1.</w:t>
      </w:r>
      <w:r>
        <w:rPr>
          <w:rFonts w:hint="eastAsia" w:ascii="宋体" w:hAnsi="宋体" w:cs="宋体"/>
          <w:sz w:val="24"/>
        </w:rPr>
        <w:t>1 在工程施工、竣工、交付及修补任何缺陷的过程中，承包人应当始终遵守国家和地方有关安全生产的法律、法规、规范、标准和规程等，按照合同条款的约定履行其安全施工职责。</w:t>
      </w:r>
    </w:p>
    <w:p>
      <w:pPr>
        <w:spacing w:after="120" w:afterLines="50" w:line="460" w:lineRule="exact"/>
        <w:ind w:left="1"/>
        <w:rPr>
          <w:rFonts w:ascii="宋体" w:hAnsi="宋体"/>
          <w:sz w:val="24"/>
        </w:rPr>
      </w:pPr>
      <w:r>
        <w:rPr>
          <w:rFonts w:ascii="宋体" w:hAnsi="宋体" w:cs="宋体"/>
          <w:sz w:val="24"/>
        </w:rPr>
        <w:t>6.1.2</w:t>
      </w:r>
      <w:r>
        <w:rPr>
          <w:rFonts w:hint="eastAsia" w:ascii="宋体" w:hAnsi="宋体" w:cs="宋体"/>
          <w:sz w:val="24"/>
        </w:rPr>
        <w:t xml:space="preserve"> 承包人应坚持“安全第一，预防为主”的方针，建立、健全安全生产责任制度和安全生产教育培训制度。在整个工程施工期间，承包人应在施工场地（现场）设立、提供和维护并在有关工作完成或竣工后撤除：</w:t>
      </w:r>
    </w:p>
    <w:p>
      <w:pPr>
        <w:widowControl/>
        <w:numPr>
          <w:ilvl w:val="0"/>
          <w:numId w:val="13"/>
        </w:numPr>
        <w:tabs>
          <w:tab w:val="left" w:pos="0"/>
          <w:tab w:val="left" w:pos="709"/>
          <w:tab w:val="left" w:pos="1004"/>
          <w:tab w:val="clear" w:pos="720"/>
        </w:tabs>
        <w:spacing w:after="120" w:afterLines="50" w:line="460" w:lineRule="exact"/>
        <w:ind w:left="0" w:firstLine="0"/>
        <w:jc w:val="left"/>
        <w:rPr>
          <w:rFonts w:ascii="宋体" w:hAnsi="宋体"/>
          <w:sz w:val="24"/>
        </w:rPr>
      </w:pPr>
      <w:r>
        <w:rPr>
          <w:rFonts w:hint="eastAsia" w:ascii="宋体" w:hAnsi="宋体" w:cs="宋体"/>
          <w:sz w:val="24"/>
        </w:rPr>
        <w:t>设立在现场入口显著位置的现场施工总平面图、总平面管理、安全生产、文明施工、环境保护、质量控制、材料管理等的规章制度和主要参建单位名称和工程概况等说明的图板；</w:t>
      </w:r>
    </w:p>
    <w:p>
      <w:pPr>
        <w:widowControl/>
        <w:numPr>
          <w:ilvl w:val="0"/>
          <w:numId w:val="13"/>
        </w:numPr>
        <w:tabs>
          <w:tab w:val="left" w:pos="0"/>
          <w:tab w:val="left" w:pos="709"/>
          <w:tab w:val="left" w:pos="1004"/>
          <w:tab w:val="clear" w:pos="720"/>
        </w:tabs>
        <w:spacing w:after="120" w:afterLines="50" w:line="460" w:lineRule="exact"/>
        <w:ind w:left="0" w:firstLine="0"/>
        <w:jc w:val="left"/>
        <w:rPr>
          <w:rFonts w:ascii="宋体" w:hAnsi="宋体"/>
          <w:sz w:val="24"/>
        </w:rPr>
      </w:pPr>
      <w:r>
        <w:rPr>
          <w:rFonts w:hint="eastAsia" w:ascii="宋体" w:hAnsi="宋体" w:cs="宋体"/>
          <w:sz w:val="24"/>
        </w:rPr>
        <w:t>为确保工程安全施工须设立的足够的标志、宣传画、标语、指示牌、警告牌、火警、匪警和急救电话提示牌等等；</w:t>
      </w:r>
    </w:p>
    <w:p>
      <w:pPr>
        <w:widowControl/>
        <w:numPr>
          <w:ilvl w:val="0"/>
          <w:numId w:val="13"/>
        </w:numPr>
        <w:tabs>
          <w:tab w:val="left" w:pos="0"/>
          <w:tab w:val="left" w:pos="709"/>
          <w:tab w:val="left" w:pos="1004"/>
          <w:tab w:val="clear" w:pos="720"/>
        </w:tabs>
        <w:spacing w:after="120" w:afterLines="50" w:line="460" w:lineRule="exact"/>
        <w:ind w:left="0" w:firstLine="0"/>
        <w:jc w:val="left"/>
        <w:rPr>
          <w:rFonts w:ascii="宋体" w:hAnsi="宋体"/>
          <w:sz w:val="24"/>
        </w:rPr>
      </w:pPr>
      <w:r>
        <w:rPr>
          <w:rFonts w:hint="eastAsia" w:ascii="宋体" w:hAnsi="宋体" w:cs="宋体"/>
          <w:sz w:val="24"/>
        </w:rPr>
        <w:t>安全带、安全绳、安全帽、安全网、绝缘鞋、绝缘杆、绝缘手套、防护口罩和防护衣等安全生产用品；</w:t>
      </w:r>
    </w:p>
    <w:p>
      <w:pPr>
        <w:widowControl/>
        <w:numPr>
          <w:ilvl w:val="0"/>
          <w:numId w:val="13"/>
        </w:numPr>
        <w:tabs>
          <w:tab w:val="left" w:pos="0"/>
        </w:tabs>
        <w:spacing w:after="120" w:afterLines="50" w:line="460" w:lineRule="exact"/>
        <w:ind w:left="0" w:firstLine="0"/>
        <w:jc w:val="left"/>
        <w:rPr>
          <w:rFonts w:ascii="宋体" w:hAnsi="宋体"/>
          <w:sz w:val="24"/>
        </w:rPr>
      </w:pPr>
      <w:r>
        <w:rPr>
          <w:rFonts w:hint="eastAsia" w:ascii="宋体" w:hAnsi="宋体" w:cs="宋体"/>
          <w:sz w:val="24"/>
        </w:rPr>
        <w:t>所有机械设备包括各类电动工具的安全保护和接地装置和操作说明；</w:t>
      </w:r>
    </w:p>
    <w:p>
      <w:pPr>
        <w:widowControl/>
        <w:numPr>
          <w:ilvl w:val="0"/>
          <w:numId w:val="13"/>
        </w:numPr>
        <w:tabs>
          <w:tab w:val="left" w:pos="0"/>
          <w:tab w:val="left" w:pos="709"/>
          <w:tab w:val="clear" w:pos="720"/>
        </w:tabs>
        <w:spacing w:after="120" w:afterLines="50" w:line="460" w:lineRule="exact"/>
        <w:ind w:left="0" w:firstLine="0"/>
        <w:jc w:val="left"/>
        <w:rPr>
          <w:rFonts w:ascii="宋体" w:hAnsi="宋体"/>
          <w:sz w:val="24"/>
        </w:rPr>
      </w:pPr>
      <w:r>
        <w:rPr>
          <w:rFonts w:hint="eastAsia" w:ascii="宋体" w:hAnsi="宋体" w:cs="宋体"/>
          <w:sz w:val="24"/>
        </w:rPr>
        <w:t>配备适量的临时急救药品和担架。</w:t>
      </w:r>
    </w:p>
    <w:p>
      <w:pPr>
        <w:widowControl/>
        <w:numPr>
          <w:ilvl w:val="0"/>
          <w:numId w:val="13"/>
        </w:numPr>
        <w:tabs>
          <w:tab w:val="left" w:pos="0"/>
          <w:tab w:val="left" w:pos="709"/>
          <w:tab w:val="left" w:pos="851"/>
          <w:tab w:val="clear" w:pos="720"/>
        </w:tabs>
        <w:spacing w:after="120" w:afterLines="50" w:line="460" w:lineRule="exact"/>
        <w:ind w:left="0" w:firstLine="0"/>
        <w:jc w:val="left"/>
        <w:rPr>
          <w:rFonts w:ascii="宋体" w:hAnsi="宋体" w:cs="宋体"/>
          <w:sz w:val="24"/>
        </w:rPr>
      </w:pPr>
      <w:r>
        <w:rPr>
          <w:rFonts w:hint="eastAsia" w:ascii="宋体" w:hAnsi="宋体" w:cs="宋体"/>
          <w:sz w:val="24"/>
        </w:rPr>
        <w:t>足够数量的和合格的手提灭火器；</w:t>
      </w:r>
    </w:p>
    <w:p>
      <w:pPr>
        <w:widowControl/>
        <w:numPr>
          <w:ilvl w:val="0"/>
          <w:numId w:val="13"/>
        </w:numPr>
        <w:tabs>
          <w:tab w:val="left" w:pos="0"/>
          <w:tab w:val="left" w:pos="709"/>
          <w:tab w:val="left" w:pos="851"/>
          <w:tab w:val="clear" w:pos="720"/>
        </w:tabs>
        <w:spacing w:after="120" w:afterLines="50" w:line="460" w:lineRule="exact"/>
        <w:ind w:left="0" w:firstLine="0"/>
        <w:jc w:val="left"/>
        <w:rPr>
          <w:rFonts w:ascii="宋体" w:hAnsi="宋体" w:cs="宋体"/>
          <w:sz w:val="24"/>
        </w:rPr>
      </w:pPr>
      <w:r>
        <w:rPr>
          <w:rFonts w:hint="eastAsia" w:ascii="宋体" w:hAnsi="宋体" w:cs="宋体"/>
          <w:sz w:val="24"/>
        </w:rPr>
        <w:t>装备良好的易燃易爆物品仓库和相应的使用管理制度；</w:t>
      </w:r>
    </w:p>
    <w:p>
      <w:pPr>
        <w:widowControl/>
        <w:numPr>
          <w:ilvl w:val="0"/>
          <w:numId w:val="13"/>
        </w:numPr>
        <w:tabs>
          <w:tab w:val="left" w:pos="0"/>
          <w:tab w:val="left" w:pos="709"/>
          <w:tab w:val="left" w:pos="1004"/>
          <w:tab w:val="clear" w:pos="720"/>
        </w:tabs>
        <w:spacing w:after="120" w:afterLines="50" w:line="460" w:lineRule="exact"/>
        <w:ind w:left="0" w:firstLine="0"/>
        <w:jc w:val="left"/>
        <w:rPr>
          <w:rFonts w:ascii="宋体" w:hAnsi="宋体" w:cs="宋体"/>
          <w:sz w:val="24"/>
        </w:rPr>
      </w:pPr>
      <w:r>
        <w:rPr>
          <w:rFonts w:hint="eastAsia" w:ascii="宋体" w:hAnsi="宋体" w:cs="宋体"/>
          <w:sz w:val="24"/>
        </w:rPr>
        <w:t>其他：</w:t>
      </w:r>
      <w:r>
        <w:rPr>
          <w:rFonts w:hint="eastAsia" w:ascii="宋体" w:hAnsi="宋体" w:cs="宋体"/>
          <w:sz w:val="24"/>
          <w:u w:val="single"/>
        </w:rPr>
        <w:t xml:space="preserve">                                                         </w:t>
      </w:r>
      <w:r>
        <w:rPr>
          <w:rFonts w:hint="eastAsia" w:ascii="宋体" w:hAnsi="宋体" w:cs="宋体"/>
          <w:sz w:val="24"/>
        </w:rPr>
        <w:t>。</w:t>
      </w:r>
    </w:p>
    <w:p>
      <w:pPr>
        <w:spacing w:after="120" w:afterLines="50" w:line="460" w:lineRule="exact"/>
        <w:ind w:left="1"/>
        <w:rPr>
          <w:rFonts w:ascii="宋体" w:hAnsi="宋体"/>
          <w:sz w:val="24"/>
        </w:rPr>
      </w:pPr>
      <w:r>
        <w:rPr>
          <w:rFonts w:ascii="宋体" w:hAnsi="宋体" w:cs="宋体"/>
          <w:sz w:val="24"/>
        </w:rPr>
        <w:t>6.1.3</w:t>
      </w:r>
      <w:r>
        <w:rPr>
          <w:rFonts w:hint="eastAsia" w:ascii="宋体" w:hAnsi="宋体" w:cs="宋体"/>
          <w:sz w:val="24"/>
        </w:rPr>
        <w:t xml:space="preserve"> 安全文明施工费用必须专款专用，承包人应对其由于安全文明施工费用和施工安全措施不到位而发生的安全事故承担全部责任。</w:t>
      </w:r>
    </w:p>
    <w:p>
      <w:pPr>
        <w:spacing w:after="120" w:afterLines="50" w:line="460" w:lineRule="exact"/>
        <w:ind w:left="1"/>
        <w:rPr>
          <w:rFonts w:ascii="宋体" w:hAnsi="宋体"/>
          <w:sz w:val="24"/>
        </w:rPr>
      </w:pPr>
      <w:r>
        <w:rPr>
          <w:rFonts w:ascii="宋体" w:hAnsi="宋体" w:cs="宋体"/>
          <w:sz w:val="24"/>
        </w:rPr>
        <w:t>6.1.4</w:t>
      </w:r>
      <w:r>
        <w:rPr>
          <w:rFonts w:hint="eastAsia" w:ascii="宋体" w:hAnsi="宋体" w:cs="宋体"/>
          <w:sz w:val="24"/>
        </w:rPr>
        <w:t xml:space="preserve"> 承包人应建立专门的施工场地（现场）安全生产管理机构，配备足够数量的和符合有关规定的专职安全生产管理人员，一个工程不少于一名园林施工专职安全员，负责日常安全生产巡查和专项检查，召集和主持现场全体人员参加的安全生产例会（每周至少一次），负责安全技术交底和技术方案的安全把关，负责制定或审核安全隐患的整改措施并监督落实，负责安全资料的整理和管理，及时消除安全隐患，做好安全检查记录，确保所有的安全设施都处于良好的运转状态。承包人项目负责人和专职安全生产管理人员均应当具备有效的安全生产考核合格证书。</w:t>
      </w:r>
    </w:p>
    <w:p>
      <w:pPr>
        <w:spacing w:after="120" w:afterLines="50" w:line="460" w:lineRule="exact"/>
        <w:ind w:left="1"/>
        <w:rPr>
          <w:rFonts w:ascii="宋体" w:hAnsi="宋体"/>
          <w:sz w:val="24"/>
        </w:rPr>
      </w:pPr>
      <w:r>
        <w:rPr>
          <w:rFonts w:ascii="宋体" w:hAnsi="宋体" w:cs="宋体"/>
          <w:sz w:val="24"/>
        </w:rPr>
        <w:t>6.1.5</w:t>
      </w:r>
      <w:r>
        <w:rPr>
          <w:rFonts w:hint="eastAsia" w:ascii="宋体" w:hAnsi="宋体" w:cs="宋体"/>
          <w:sz w:val="24"/>
        </w:rPr>
        <w:t xml:space="preserve"> 承包人应遵照有关法规要求，编印安全防护手册发给进场施工人员，做好进场施工人员上岗前的安全教育和培训工作，并建立考核制度，只有考核合格的人员才能进场施工作业。特种作业人员还应经过专门的安全作业培训，并取得特种作业操作资格证书后方可上岗。在任何分部分项工程开始施工前，承包人应当就有关安全施工的技术要求向施工作业班组和作业人员等进行安全交底，并由双方签字确认。</w:t>
      </w:r>
    </w:p>
    <w:p>
      <w:pPr>
        <w:spacing w:after="120" w:afterLines="50" w:line="460" w:lineRule="exact"/>
        <w:ind w:left="1"/>
        <w:rPr>
          <w:rFonts w:ascii="宋体" w:hAnsi="宋体"/>
          <w:sz w:val="24"/>
        </w:rPr>
      </w:pPr>
      <w:r>
        <w:rPr>
          <w:rFonts w:ascii="宋体" w:hAnsi="宋体" w:cs="宋体"/>
          <w:sz w:val="24"/>
        </w:rPr>
        <w:t>6.1.6</w:t>
      </w:r>
      <w:r>
        <w:rPr>
          <w:rFonts w:hint="eastAsia" w:ascii="宋体" w:hAnsi="宋体" w:cs="宋体"/>
          <w:sz w:val="24"/>
        </w:rPr>
        <w:t xml:space="preserve"> 承包人应为其进场施工人员配备必需的安全防护设施和设备，承包人还应为施工场地（现场）邻近地区的所有者和占有者、公众和其他人员，提供一切必要的临时道路、人行道、防护棚、围栏及警告等，以确保财产和人身安全以及最大程度地降低施工可能造成的不便。</w:t>
      </w:r>
    </w:p>
    <w:p>
      <w:pPr>
        <w:spacing w:after="120" w:afterLines="50" w:line="460" w:lineRule="exact"/>
        <w:ind w:left="1"/>
        <w:rPr>
          <w:rFonts w:ascii="宋体" w:hAnsi="宋体"/>
          <w:sz w:val="24"/>
        </w:rPr>
      </w:pPr>
      <w:r>
        <w:rPr>
          <w:rFonts w:ascii="宋体" w:hAnsi="宋体" w:cs="宋体"/>
          <w:sz w:val="24"/>
        </w:rPr>
        <w:t>6.1.7</w:t>
      </w:r>
      <w:r>
        <w:rPr>
          <w:rFonts w:hint="eastAsia" w:ascii="宋体" w:hAnsi="宋体" w:cs="宋体"/>
          <w:sz w:val="24"/>
        </w:rPr>
        <w:t xml:space="preserve"> 承包人应在施工场地（现场）入口处、施工起重机械、临时用电设施、脚手架、出入通道口、危险品存放处等危险部位设置一切必需的安全警示标志，包括但不限于标准道路标志、报警标志、危险标志、控制标志、安全标志、指示标志、警告标志等，并配备必要的照明、防护和看守。承包人应当按监理人的指示，经常补充或更换失效的警示和标志。</w:t>
      </w:r>
    </w:p>
    <w:p>
      <w:pPr>
        <w:spacing w:after="120" w:afterLines="50" w:line="460" w:lineRule="exact"/>
        <w:ind w:left="1"/>
        <w:rPr>
          <w:rFonts w:ascii="宋体" w:hAnsi="宋体" w:cs="宋体"/>
          <w:sz w:val="24"/>
        </w:rPr>
      </w:pPr>
      <w:r>
        <w:rPr>
          <w:rFonts w:ascii="宋体" w:hAnsi="宋体" w:cs="宋体"/>
          <w:sz w:val="24"/>
        </w:rPr>
        <w:t>6.1.8</w:t>
      </w:r>
      <w:r>
        <w:rPr>
          <w:rFonts w:hint="eastAsia" w:ascii="宋体" w:hAnsi="宋体" w:cs="宋体"/>
          <w:sz w:val="24"/>
        </w:rPr>
        <w:t xml:space="preserve"> 承包人应对所有用于提升的吊装带、挂钩、挂环、钢丝绳、铁扁担等进行定期检测、检查和标定；如果监理人认为，任何此类设施已经损坏或有使用不当之处，承包人应立即以合格的产品进行更换。</w:t>
      </w:r>
      <w:r>
        <w:rPr>
          <w:rFonts w:ascii="宋体" w:hAnsi="宋体" w:cs="宋体"/>
          <w:sz w:val="24"/>
        </w:rPr>
        <w:t xml:space="preserve"> </w:t>
      </w:r>
    </w:p>
    <w:p>
      <w:pPr>
        <w:spacing w:after="120" w:afterLines="50" w:line="460" w:lineRule="exact"/>
        <w:ind w:left="1"/>
        <w:rPr>
          <w:rFonts w:ascii="宋体" w:hAnsi="宋体"/>
          <w:sz w:val="24"/>
        </w:rPr>
      </w:pPr>
      <w:r>
        <w:rPr>
          <w:rFonts w:ascii="宋体" w:hAnsi="宋体" w:cs="宋体"/>
          <w:sz w:val="24"/>
        </w:rPr>
        <w:t>6.1.9</w:t>
      </w:r>
      <w:r>
        <w:rPr>
          <w:rFonts w:hint="eastAsia" w:ascii="宋体" w:hAnsi="宋体" w:cs="宋体"/>
          <w:sz w:val="24"/>
        </w:rPr>
        <w:t xml:space="preserve"> 所有机械和工器具应定期保养、校核和维护，以保证它们处于良好和安全的工作状态。保养、校核和维护工作应尽可能安排在非工作时间进行，并为上述机械和工器具准备足够的备用配件，以确保工程的施工能不间断地进行。</w:t>
      </w:r>
    </w:p>
    <w:p>
      <w:pPr>
        <w:spacing w:after="120" w:afterLines="50" w:line="460" w:lineRule="exact"/>
        <w:ind w:left="1"/>
        <w:rPr>
          <w:rFonts w:ascii="宋体" w:hAnsi="宋体"/>
          <w:sz w:val="24"/>
        </w:rPr>
      </w:pPr>
      <w:r>
        <w:rPr>
          <w:rFonts w:ascii="宋体" w:hAnsi="宋体" w:cs="宋体"/>
          <w:sz w:val="24"/>
        </w:rPr>
        <w:t>6.1.10</w:t>
      </w:r>
      <w:r>
        <w:rPr>
          <w:rFonts w:hint="eastAsia" w:ascii="宋体" w:hAnsi="宋体" w:cs="宋体"/>
          <w:sz w:val="24"/>
        </w:rPr>
        <w:t xml:space="preserve"> 承包人应成立应急救援小组，配备必要的应急救援器材和设备，制定灾害和生产安全事故的应急救援预案，并将应急救援预案报送监理人。应急救援预案应能随时组织应救专职人员、并定期组织演练。</w:t>
      </w:r>
    </w:p>
    <w:p>
      <w:pPr>
        <w:spacing w:after="120" w:afterLines="50" w:line="460" w:lineRule="exact"/>
        <w:ind w:left="1"/>
        <w:rPr>
          <w:rFonts w:ascii="宋体" w:hAnsi="宋体"/>
          <w:sz w:val="24"/>
        </w:rPr>
      </w:pPr>
      <w:r>
        <w:rPr>
          <w:rFonts w:ascii="宋体" w:hAnsi="宋体" w:cs="宋体"/>
          <w:sz w:val="24"/>
        </w:rPr>
        <w:t>6.1.11</w:t>
      </w:r>
      <w:r>
        <w:rPr>
          <w:rFonts w:hint="eastAsia" w:ascii="宋体" w:hAnsi="宋体" w:cs="宋体"/>
          <w:sz w:val="24"/>
        </w:rPr>
        <w:t xml:space="preserve"> 承包人应按照合同条款的约定处理本工程施工过程中发生的事故。发生施工安全事故后，承包人必须立即报告监理人和发包人，并在事故发生后一小时内向发包人提交事故情况书面报告，并根据《生产安全事故报告和调查处理条例》的规定，及时向工程所在地县级以上地方人民政府安全生产监督管理部门和建设行政主管部门报告。情况紧急时，事故现场有关人员可以直接向工程所在地县级以上地方人民政府安全生产监督管理部门和建设行政主管部门报告。</w:t>
      </w:r>
    </w:p>
    <w:p>
      <w:pPr>
        <w:spacing w:after="120" w:afterLines="50" w:line="460" w:lineRule="exact"/>
        <w:ind w:left="1"/>
        <w:rPr>
          <w:rFonts w:ascii="宋体" w:hAnsi="宋体" w:cs="宋体"/>
          <w:sz w:val="24"/>
        </w:rPr>
      </w:pPr>
      <w:r>
        <w:rPr>
          <w:rFonts w:ascii="宋体" w:hAnsi="宋体" w:cs="宋体"/>
          <w:sz w:val="24"/>
        </w:rPr>
        <w:t>6.1.12</w:t>
      </w:r>
      <w:r>
        <w:rPr>
          <w:rFonts w:hint="eastAsia" w:ascii="宋体" w:hAnsi="宋体" w:cs="宋体"/>
          <w:sz w:val="24"/>
        </w:rPr>
        <w:t xml:space="preserve"> 承包人还应根据有关法律、法规、规定和条例等的要求，制定一套安全生产应急措施和程序，保证一旦出现任何安全事故，能立即保护好现场，抢救伤员和财产，保证施工生产的正常进行，防止损失扩大。</w:t>
      </w:r>
    </w:p>
    <w:p>
      <w:pPr>
        <w:spacing w:after="120" w:afterLines="50" w:line="460" w:lineRule="exact"/>
        <w:rPr>
          <w:rFonts w:ascii="宋体" w:hAnsi="宋体"/>
          <w:sz w:val="24"/>
        </w:rPr>
      </w:pPr>
      <w:r>
        <w:rPr>
          <w:rFonts w:hint="eastAsia" w:ascii="宋体" w:hAnsi="宋体" w:cs="宋体"/>
          <w:sz w:val="24"/>
        </w:rPr>
        <w:t xml:space="preserve">6.1.13 </w:t>
      </w:r>
      <w:r>
        <w:rPr>
          <w:rFonts w:hint="eastAsia" w:ascii="宋体" w:hAnsi="宋体"/>
          <w:sz w:val="24"/>
        </w:rPr>
        <w:t>安全防护方面的其他要求如下:</w:t>
      </w:r>
    </w:p>
    <w:p>
      <w:pPr>
        <w:spacing w:after="120" w:afterLines="50" w:line="460" w:lineRule="exact"/>
        <w:rPr>
          <w:rFonts w:ascii="宋体" w:hAnsi="宋体"/>
          <w:sz w:val="24"/>
          <w:u w:val="single"/>
        </w:rPr>
      </w:pPr>
      <w:r>
        <w:rPr>
          <w:rFonts w:hint="eastAsia" w:ascii="宋体" w:hAnsi="宋体"/>
          <w:sz w:val="24"/>
          <w:u w:val="single"/>
        </w:rPr>
        <w:t xml:space="preserve">                                                                      </w:t>
      </w:r>
      <w:r>
        <w:rPr>
          <w:rFonts w:hint="eastAsia" w:ascii="宋体" w:hAnsi="宋体"/>
          <w:sz w:val="24"/>
        </w:rPr>
        <w:t>。</w:t>
      </w:r>
    </w:p>
    <w:p>
      <w:pPr>
        <w:spacing w:after="120" w:afterLines="50" w:line="460" w:lineRule="exact"/>
        <w:rPr>
          <w:rFonts w:ascii="宋体" w:hAnsi="宋体" w:cs="宋体"/>
          <w:b/>
          <w:sz w:val="24"/>
        </w:rPr>
      </w:pPr>
      <w:r>
        <w:rPr>
          <w:rFonts w:hint="eastAsia" w:ascii="宋体" w:hAnsi="宋体" w:cs="宋体"/>
          <w:b/>
          <w:sz w:val="24"/>
        </w:rPr>
        <w:t>6.2   园林绿化工程安全管理要求</w:t>
      </w:r>
    </w:p>
    <w:p>
      <w:pPr>
        <w:tabs>
          <w:tab w:val="left" w:pos="851"/>
        </w:tabs>
        <w:spacing w:after="120" w:afterLines="50" w:line="460" w:lineRule="exact"/>
        <w:rPr>
          <w:rFonts w:ascii="宋体" w:hAnsi="宋体"/>
          <w:sz w:val="24"/>
        </w:rPr>
      </w:pPr>
      <w:r>
        <w:rPr>
          <w:rFonts w:ascii="宋体" w:hAnsi="宋体" w:cs="宋体"/>
          <w:sz w:val="24"/>
        </w:rPr>
        <w:t>6.</w:t>
      </w:r>
      <w:r>
        <w:rPr>
          <w:rFonts w:hint="eastAsia" w:ascii="宋体" w:hAnsi="宋体" w:cs="宋体"/>
          <w:sz w:val="24"/>
        </w:rPr>
        <w:t>2</w:t>
      </w:r>
      <w:r>
        <w:rPr>
          <w:rFonts w:ascii="宋体" w:hAnsi="宋体" w:cs="宋体"/>
          <w:sz w:val="24"/>
        </w:rPr>
        <w:t>.</w:t>
      </w:r>
      <w:r>
        <w:rPr>
          <w:rFonts w:hint="eastAsia" w:ascii="宋体" w:hAnsi="宋体" w:cs="宋体"/>
          <w:sz w:val="24"/>
        </w:rPr>
        <w:t>1 园林绿化用苗</w:t>
      </w:r>
      <w:r>
        <w:rPr>
          <w:rFonts w:hint="eastAsia" w:ascii="宋体" w:hAnsi="宋体"/>
          <w:sz w:val="24"/>
        </w:rPr>
        <w:t>（主要指乔木）</w:t>
      </w:r>
      <w:r>
        <w:rPr>
          <w:rFonts w:hint="eastAsia" w:ascii="宋体" w:hAnsi="宋体" w:cs="宋体"/>
          <w:sz w:val="24"/>
        </w:rPr>
        <w:t>规格较大的苗木土球挖掘前应该先支撑牢固。</w:t>
      </w:r>
    </w:p>
    <w:p>
      <w:pPr>
        <w:spacing w:after="120" w:afterLines="50" w:line="460" w:lineRule="exact"/>
        <w:rPr>
          <w:rFonts w:ascii="宋体" w:hAnsi="宋体" w:cs="宋体"/>
          <w:sz w:val="24"/>
        </w:rPr>
      </w:pPr>
      <w:r>
        <w:rPr>
          <w:rFonts w:ascii="宋体" w:hAnsi="宋体" w:cs="宋体"/>
          <w:sz w:val="24"/>
        </w:rPr>
        <w:t>6.</w:t>
      </w:r>
      <w:r>
        <w:rPr>
          <w:rFonts w:hint="eastAsia" w:ascii="宋体" w:hAnsi="宋体" w:cs="宋体"/>
          <w:sz w:val="24"/>
        </w:rPr>
        <w:t>2</w:t>
      </w:r>
      <w:r>
        <w:rPr>
          <w:rFonts w:ascii="宋体" w:hAnsi="宋体" w:cs="宋体"/>
          <w:sz w:val="24"/>
        </w:rPr>
        <w:t>.</w:t>
      </w:r>
      <w:r>
        <w:rPr>
          <w:rFonts w:hint="eastAsia" w:ascii="宋体" w:hAnsi="宋体" w:cs="宋体"/>
          <w:sz w:val="24"/>
        </w:rPr>
        <w:t>2 园林绿化用苗（主要指乔木）装、卸、栽植使用吊车（起重机）应该遵守吊车（起重机）操作安全规程的要求。</w:t>
      </w:r>
    </w:p>
    <w:p>
      <w:pPr>
        <w:spacing w:after="120" w:afterLines="50" w:line="460" w:lineRule="exact"/>
        <w:ind w:left="2"/>
        <w:rPr>
          <w:rFonts w:ascii="宋体" w:hAnsi="宋体"/>
          <w:sz w:val="24"/>
        </w:rPr>
      </w:pPr>
      <w:r>
        <w:rPr>
          <w:rFonts w:ascii="宋体" w:hAnsi="宋体" w:cs="宋体"/>
          <w:sz w:val="24"/>
        </w:rPr>
        <w:t>6.</w:t>
      </w:r>
      <w:r>
        <w:rPr>
          <w:rFonts w:hint="eastAsia" w:ascii="宋体" w:hAnsi="宋体" w:cs="宋体"/>
          <w:sz w:val="24"/>
        </w:rPr>
        <w:t>2</w:t>
      </w:r>
      <w:r>
        <w:rPr>
          <w:rFonts w:ascii="宋体" w:hAnsi="宋体" w:cs="宋体"/>
          <w:sz w:val="24"/>
        </w:rPr>
        <w:t>.</w:t>
      </w:r>
      <w:r>
        <w:rPr>
          <w:rFonts w:hint="eastAsia" w:ascii="宋体" w:hAnsi="宋体" w:cs="宋体"/>
          <w:sz w:val="24"/>
        </w:rPr>
        <w:t xml:space="preserve">3 </w:t>
      </w:r>
      <w:r>
        <w:rPr>
          <w:rFonts w:hint="eastAsia" w:ascii="宋体" w:hAnsi="宋体"/>
          <w:sz w:val="24"/>
        </w:rPr>
        <w:t>园林绿化用苗在运输前、过程中、到达现场后都应该对苗木采取必要的保鲜处理，土球苗木装运数量不宜过多，码放不宜多层。每层的土球苗木应该码放稳定牢固。在运输押运过程中，押运人员应该穿绝缘服装和绝缘鞋，遇到有线路障碍，应该使用绝缘杆。车辆运输的装载高度、宽度应该符合交通法的规定。</w:t>
      </w:r>
    </w:p>
    <w:p>
      <w:pPr>
        <w:spacing w:after="120" w:afterLines="50" w:line="460" w:lineRule="exact"/>
        <w:ind w:left="2"/>
        <w:rPr>
          <w:rFonts w:ascii="宋体" w:hAnsi="宋体"/>
          <w:sz w:val="24"/>
        </w:rPr>
      </w:pPr>
      <w:r>
        <w:rPr>
          <w:rFonts w:hint="eastAsia" w:ascii="宋体" w:hAnsi="宋体" w:cs="宋体"/>
          <w:sz w:val="24"/>
        </w:rPr>
        <w:t xml:space="preserve">6.2.4 </w:t>
      </w:r>
      <w:r>
        <w:rPr>
          <w:rFonts w:hint="eastAsia" w:ascii="宋体" w:hAnsi="宋体"/>
          <w:sz w:val="24"/>
        </w:rPr>
        <w:t>园林苗木栽植应该保证一定的劳动组合，使栽植工作顺利按程序进行。作业人员应该佩戴安全帽，现场配备绝缘杆，应该有专职人员指挥吊车和高空修剪车各种操作。园林苗木（主要指乔木）土球苗木扶正后应该做好支持，裸根苗木栽植后浇水前应该做好支撑。</w:t>
      </w:r>
    </w:p>
    <w:p>
      <w:pPr>
        <w:spacing w:after="120" w:afterLines="50" w:line="460" w:lineRule="exact"/>
        <w:ind w:left="2"/>
        <w:rPr>
          <w:rFonts w:ascii="宋体" w:hAnsi="宋体"/>
          <w:sz w:val="24"/>
        </w:rPr>
      </w:pPr>
      <w:r>
        <w:rPr>
          <w:rFonts w:ascii="宋体" w:hAnsi="宋体" w:cs="宋体"/>
          <w:sz w:val="24"/>
        </w:rPr>
        <w:t>6.2.</w:t>
      </w:r>
      <w:r>
        <w:rPr>
          <w:rFonts w:hint="eastAsia" w:ascii="宋体" w:hAnsi="宋体" w:cs="宋体"/>
          <w:sz w:val="24"/>
        </w:rPr>
        <w:t>5 园林绿化用苗（主要指乔木）使用木箱板方式掘苗栽植的应该执行下列安全规定：</w:t>
      </w:r>
    </w:p>
    <w:p>
      <w:pPr>
        <w:pStyle w:val="196"/>
        <w:numPr>
          <w:ilvl w:val="0"/>
          <w:numId w:val="14"/>
        </w:numPr>
        <w:tabs>
          <w:tab w:val="left" w:pos="709"/>
        </w:tabs>
        <w:spacing w:after="120" w:afterLines="50" w:line="460" w:lineRule="exact"/>
        <w:ind w:left="0" w:firstLine="0" w:firstLineChars="0"/>
        <w:rPr>
          <w:rFonts w:ascii="宋体" w:hAnsi="宋体"/>
          <w:sz w:val="24"/>
          <w:szCs w:val="24"/>
        </w:rPr>
      </w:pPr>
      <w:r>
        <w:rPr>
          <w:rFonts w:hint="eastAsia" w:ascii="宋体" w:hAnsi="宋体"/>
          <w:sz w:val="24"/>
          <w:szCs w:val="24"/>
        </w:rPr>
        <w:t>木箱板移植工程应该事先编制专项施工方案和操作规程，制定相关安全措施。</w:t>
      </w:r>
    </w:p>
    <w:p>
      <w:pPr>
        <w:pStyle w:val="196"/>
        <w:numPr>
          <w:ilvl w:val="0"/>
          <w:numId w:val="14"/>
        </w:numPr>
        <w:tabs>
          <w:tab w:val="left" w:pos="709"/>
        </w:tabs>
        <w:spacing w:after="120" w:afterLines="50" w:line="460" w:lineRule="exact"/>
        <w:ind w:left="0" w:firstLine="0" w:firstLineChars="0"/>
        <w:rPr>
          <w:rFonts w:ascii="宋体" w:hAnsi="宋体" w:cs="宋体"/>
          <w:sz w:val="24"/>
          <w:szCs w:val="24"/>
        </w:rPr>
      </w:pPr>
      <w:r>
        <w:rPr>
          <w:rFonts w:hint="eastAsia" w:ascii="宋体" w:hAnsi="宋体" w:cs="宋体"/>
          <w:sz w:val="24"/>
          <w:szCs w:val="24"/>
        </w:rPr>
        <w:t>作业前必须对现场环境（如）地下管线的种类、深度、架空线的种类及净空高度）、运输宽度、路面质量、立体交叉的净空高度）、其他障碍物、桥涵宽度、承载能力及有效的转弯半径等进行调查了解后，制定出安全措施，方可施工。</w:t>
      </w:r>
    </w:p>
    <w:p>
      <w:pPr>
        <w:pStyle w:val="196"/>
        <w:numPr>
          <w:ilvl w:val="0"/>
          <w:numId w:val="14"/>
        </w:numPr>
        <w:tabs>
          <w:tab w:val="left" w:pos="709"/>
        </w:tabs>
        <w:spacing w:after="120" w:afterLines="50" w:line="460" w:lineRule="exact"/>
        <w:ind w:left="0" w:firstLine="0" w:firstLineChars="0"/>
        <w:rPr>
          <w:rFonts w:ascii="宋体" w:hAnsi="宋体" w:cs="宋体"/>
          <w:sz w:val="24"/>
          <w:szCs w:val="24"/>
        </w:rPr>
      </w:pPr>
      <w:r>
        <w:rPr>
          <w:rFonts w:hint="eastAsia" w:ascii="宋体" w:hAnsi="宋体" w:cs="宋体"/>
          <w:sz w:val="24"/>
          <w:szCs w:val="24"/>
        </w:rPr>
        <w:t>工作实施前对实施人员进行操作规程培训和考试合格上岗，做好安全交底和签字确认工作。</w:t>
      </w:r>
    </w:p>
    <w:p>
      <w:pPr>
        <w:pStyle w:val="196"/>
        <w:numPr>
          <w:ilvl w:val="0"/>
          <w:numId w:val="14"/>
        </w:numPr>
        <w:tabs>
          <w:tab w:val="left" w:pos="709"/>
        </w:tabs>
        <w:spacing w:after="120" w:afterLines="50" w:line="460" w:lineRule="exact"/>
        <w:ind w:firstLineChars="0"/>
        <w:rPr>
          <w:rFonts w:ascii="宋体" w:hAnsi="宋体" w:cs="宋体"/>
          <w:sz w:val="24"/>
          <w:szCs w:val="24"/>
        </w:rPr>
      </w:pPr>
      <w:r>
        <w:rPr>
          <w:rFonts w:hint="eastAsia" w:ascii="宋体" w:hAnsi="宋体" w:cs="宋体"/>
          <w:sz w:val="24"/>
          <w:szCs w:val="24"/>
        </w:rPr>
        <w:t>根据现场应设置警示牌，环境特殊时应设置隔离区。</w:t>
      </w:r>
    </w:p>
    <w:p>
      <w:pPr>
        <w:pStyle w:val="196"/>
        <w:numPr>
          <w:ilvl w:val="0"/>
          <w:numId w:val="14"/>
        </w:numPr>
        <w:tabs>
          <w:tab w:val="left" w:pos="709"/>
        </w:tabs>
        <w:spacing w:after="120" w:afterLines="50" w:line="460" w:lineRule="exact"/>
        <w:ind w:left="0" w:firstLine="0" w:firstLineChars="0"/>
        <w:rPr>
          <w:rFonts w:ascii="宋体" w:hAnsi="宋体" w:cs="宋体"/>
          <w:sz w:val="24"/>
          <w:szCs w:val="24"/>
        </w:rPr>
      </w:pPr>
      <w:r>
        <w:rPr>
          <w:rFonts w:hint="eastAsia" w:ascii="宋体" w:hAnsi="宋体" w:cs="宋体"/>
          <w:sz w:val="24"/>
          <w:szCs w:val="24"/>
        </w:rPr>
        <w:t>应配备的安全防护物资物品，安全帽、革制手套、绝缘物品，并明确使用方法。</w:t>
      </w:r>
    </w:p>
    <w:p>
      <w:pPr>
        <w:pStyle w:val="196"/>
        <w:numPr>
          <w:ilvl w:val="0"/>
          <w:numId w:val="14"/>
        </w:numPr>
        <w:tabs>
          <w:tab w:val="left" w:pos="709"/>
        </w:tabs>
        <w:spacing w:after="120" w:afterLines="50" w:line="460" w:lineRule="exact"/>
        <w:ind w:firstLineChars="0"/>
        <w:rPr>
          <w:rFonts w:ascii="宋体" w:hAnsi="宋体" w:cs="宋体"/>
          <w:sz w:val="24"/>
          <w:szCs w:val="24"/>
        </w:rPr>
      </w:pPr>
      <w:r>
        <w:rPr>
          <w:rFonts w:hint="eastAsia" w:ascii="宋体" w:hAnsi="宋体" w:cs="宋体"/>
          <w:sz w:val="24"/>
          <w:szCs w:val="24"/>
        </w:rPr>
        <w:t>机械状况及操作人员资质（岗位）检查。</w:t>
      </w:r>
    </w:p>
    <w:p>
      <w:pPr>
        <w:widowControl/>
        <w:numPr>
          <w:ilvl w:val="0"/>
          <w:numId w:val="14"/>
        </w:numPr>
        <w:tabs>
          <w:tab w:val="left" w:pos="709"/>
        </w:tabs>
        <w:spacing w:after="120" w:afterLines="50" w:line="460" w:lineRule="exact"/>
        <w:jc w:val="left"/>
        <w:rPr>
          <w:rFonts w:ascii="宋体" w:hAnsi="宋体"/>
          <w:sz w:val="24"/>
        </w:rPr>
      </w:pPr>
      <w:r>
        <w:rPr>
          <w:rFonts w:hint="eastAsia" w:ascii="宋体" w:hAnsi="宋体" w:cs="宋体"/>
          <w:sz w:val="24"/>
        </w:rPr>
        <w:t>专职安全员现场监督</w:t>
      </w:r>
    </w:p>
    <w:p>
      <w:pPr>
        <w:spacing w:after="120" w:afterLines="50" w:line="460" w:lineRule="exact"/>
        <w:ind w:left="2"/>
        <w:rPr>
          <w:rFonts w:ascii="宋体" w:hAnsi="宋体"/>
          <w:sz w:val="24"/>
        </w:rPr>
      </w:pPr>
      <w:r>
        <w:rPr>
          <w:rFonts w:hint="eastAsia" w:ascii="宋体" w:hAnsi="宋体"/>
          <w:sz w:val="24"/>
        </w:rPr>
        <w:t>（8） 箱板苗挖掘、吊装、运输、栽植过程的安全必修符合木箱板苗移植专项方案和操作规程中相关安全防护措施的要求。</w:t>
      </w:r>
    </w:p>
    <w:p>
      <w:pPr>
        <w:spacing w:after="120" w:afterLines="50" w:line="460" w:lineRule="exact"/>
        <w:ind w:left="2"/>
        <w:rPr>
          <w:rFonts w:ascii="宋体" w:hAnsi="宋体"/>
          <w:sz w:val="24"/>
        </w:rPr>
      </w:pPr>
      <w:bookmarkStart w:id="1314" w:name="_Toc455410442"/>
      <w:bookmarkStart w:id="1315" w:name="_Toc455410279"/>
      <w:bookmarkStart w:id="1316" w:name="_Toc470011332"/>
      <w:r>
        <w:rPr>
          <w:rFonts w:hint="eastAsia" w:ascii="宋体" w:hAnsi="宋体"/>
          <w:sz w:val="24"/>
        </w:rPr>
        <w:t>6.2.6 园林绿化工程施工和养护对树木修剪（含移伐死树）</w:t>
      </w:r>
      <w:bookmarkStart w:id="1317" w:name="_Toc248117650"/>
      <w:bookmarkStart w:id="1318" w:name="_Toc248117701"/>
      <w:bookmarkStart w:id="1319" w:name="_Toc241035287"/>
      <w:bookmarkStart w:id="1320" w:name="_Toc220143842"/>
      <w:bookmarkStart w:id="1321" w:name="_Toc219536510"/>
      <w:bookmarkStart w:id="1322" w:name="_Toc241035256"/>
      <w:r>
        <w:rPr>
          <w:rFonts w:hint="eastAsia" w:ascii="宋体" w:hAnsi="宋体"/>
          <w:sz w:val="24"/>
        </w:rPr>
        <w:t>安全作业</w:t>
      </w:r>
      <w:bookmarkEnd w:id="1317"/>
      <w:bookmarkEnd w:id="1318"/>
      <w:bookmarkEnd w:id="1319"/>
      <w:bookmarkEnd w:id="1320"/>
      <w:bookmarkEnd w:id="1321"/>
      <w:bookmarkEnd w:id="1322"/>
      <w:r>
        <w:rPr>
          <w:rFonts w:hint="eastAsia" w:ascii="宋体" w:hAnsi="宋体"/>
          <w:sz w:val="24"/>
        </w:rPr>
        <w:t>应该按下列要求执行。</w:t>
      </w:r>
      <w:bookmarkEnd w:id="1314"/>
      <w:bookmarkEnd w:id="1315"/>
      <w:bookmarkEnd w:id="1316"/>
    </w:p>
    <w:p>
      <w:pPr>
        <w:spacing w:after="120" w:afterLines="50" w:line="460" w:lineRule="exact"/>
        <w:ind w:firstLine="480" w:firstLineChars="200"/>
        <w:rPr>
          <w:rFonts w:ascii="宋体" w:hAnsi="宋体"/>
          <w:sz w:val="24"/>
        </w:rPr>
      </w:pPr>
      <w:bookmarkStart w:id="1323" w:name="_Toc470011333"/>
      <w:bookmarkStart w:id="1324" w:name="_Toc455410280"/>
      <w:bookmarkStart w:id="1325" w:name="_Toc455410443"/>
      <w:bookmarkStart w:id="1326" w:name="_Toc248117651"/>
      <w:r>
        <w:rPr>
          <w:rFonts w:hint="eastAsia" w:ascii="宋体" w:hAnsi="宋体"/>
          <w:sz w:val="24"/>
        </w:rPr>
        <w:t>工作实施前对实施人员进行修剪操作规程培训和考试合格上岗，做好安全交底和签字确认工作。</w:t>
      </w:r>
      <w:bookmarkEnd w:id="1323"/>
      <w:bookmarkEnd w:id="1324"/>
      <w:bookmarkEnd w:id="1325"/>
    </w:p>
    <w:p>
      <w:pPr>
        <w:spacing w:after="120" w:afterLines="50" w:line="460" w:lineRule="exact"/>
        <w:ind w:firstLine="480" w:firstLineChars="200"/>
        <w:rPr>
          <w:rFonts w:ascii="宋体" w:hAnsi="宋体"/>
          <w:sz w:val="24"/>
        </w:rPr>
      </w:pPr>
      <w:bookmarkStart w:id="1327" w:name="_Toc470011334"/>
      <w:bookmarkStart w:id="1328" w:name="_Toc455410281"/>
      <w:bookmarkStart w:id="1329" w:name="_Toc455410444"/>
      <w:r>
        <w:rPr>
          <w:rFonts w:hint="eastAsia" w:ascii="宋体" w:hAnsi="宋体"/>
          <w:sz w:val="24"/>
        </w:rPr>
        <w:t>根据现场应设置警示牌，环境特殊时应设置隔离区。</w:t>
      </w:r>
      <w:bookmarkEnd w:id="1327"/>
      <w:bookmarkEnd w:id="1328"/>
      <w:bookmarkEnd w:id="1329"/>
    </w:p>
    <w:p>
      <w:pPr>
        <w:spacing w:after="120" w:afterLines="50" w:line="460" w:lineRule="exact"/>
        <w:ind w:firstLine="480" w:firstLineChars="200"/>
        <w:rPr>
          <w:rFonts w:ascii="宋体" w:hAnsi="宋体"/>
          <w:sz w:val="24"/>
        </w:rPr>
      </w:pPr>
      <w:bookmarkStart w:id="1330" w:name="_Toc248117663"/>
      <w:bookmarkStart w:id="1331" w:name="_Toc470011335"/>
      <w:bookmarkStart w:id="1332" w:name="_Toc455410445"/>
      <w:bookmarkStart w:id="1333" w:name="_Toc455410282"/>
      <w:r>
        <w:rPr>
          <w:rFonts w:ascii="宋体" w:hAnsi="宋体"/>
          <w:sz w:val="24"/>
        </w:rPr>
        <w:t>使用</w:t>
      </w:r>
      <w:r>
        <w:rPr>
          <w:rFonts w:hint="eastAsia" w:ascii="宋体" w:hAnsi="宋体"/>
          <w:sz w:val="24"/>
        </w:rPr>
        <w:t>修剪</w:t>
      </w:r>
      <w:r>
        <w:rPr>
          <w:rFonts w:ascii="宋体" w:hAnsi="宋体"/>
          <w:sz w:val="24"/>
        </w:rPr>
        <w:t>车修剪，</w:t>
      </w:r>
      <w:r>
        <w:rPr>
          <w:rFonts w:hint="eastAsia" w:ascii="宋体" w:hAnsi="宋体"/>
          <w:sz w:val="24"/>
        </w:rPr>
        <w:t>应</w:t>
      </w:r>
      <w:r>
        <w:rPr>
          <w:rFonts w:ascii="宋体" w:hAnsi="宋体"/>
          <w:sz w:val="24"/>
        </w:rPr>
        <w:t>检查车辆部件，支放平稳，操作过程中，</w:t>
      </w:r>
      <w:r>
        <w:rPr>
          <w:rFonts w:hint="eastAsia" w:ascii="宋体" w:hAnsi="宋体"/>
          <w:sz w:val="24"/>
        </w:rPr>
        <w:t>应</w:t>
      </w:r>
      <w:r>
        <w:rPr>
          <w:rFonts w:ascii="宋体" w:hAnsi="宋体"/>
          <w:sz w:val="24"/>
        </w:rPr>
        <w:t>有专人</w:t>
      </w:r>
      <w:r>
        <w:rPr>
          <w:rFonts w:hint="eastAsia" w:ascii="宋体" w:hAnsi="宋体"/>
          <w:sz w:val="24"/>
        </w:rPr>
        <w:t>负责</w:t>
      </w:r>
      <w:r>
        <w:rPr>
          <w:rFonts w:ascii="宋体" w:hAnsi="宋体"/>
          <w:sz w:val="24"/>
        </w:rPr>
        <w:t>，有问题及时处理。</w:t>
      </w:r>
      <w:bookmarkEnd w:id="1330"/>
      <w:bookmarkEnd w:id="1331"/>
      <w:bookmarkEnd w:id="1332"/>
      <w:bookmarkEnd w:id="1333"/>
    </w:p>
    <w:p>
      <w:pPr>
        <w:spacing w:after="120" w:afterLines="50" w:line="460" w:lineRule="exact"/>
        <w:ind w:firstLine="480" w:firstLineChars="200"/>
        <w:rPr>
          <w:rFonts w:ascii="宋体" w:hAnsi="宋体"/>
          <w:sz w:val="24"/>
        </w:rPr>
      </w:pPr>
      <w:bookmarkStart w:id="1334" w:name="_Toc455410446"/>
      <w:bookmarkStart w:id="1335" w:name="_Toc248117661"/>
      <w:bookmarkStart w:id="1336" w:name="_Toc470011336"/>
      <w:bookmarkStart w:id="1337" w:name="_Toc455410283"/>
      <w:r>
        <w:rPr>
          <w:rFonts w:ascii="宋体" w:hAnsi="宋体"/>
          <w:sz w:val="24"/>
        </w:rPr>
        <w:t>在高压线附近作业，</w:t>
      </w:r>
      <w:r>
        <w:rPr>
          <w:rFonts w:hint="eastAsia" w:ascii="宋体" w:hAnsi="宋体"/>
          <w:sz w:val="24"/>
        </w:rPr>
        <w:t>应</w:t>
      </w:r>
      <w:r>
        <w:rPr>
          <w:rFonts w:ascii="宋体" w:hAnsi="宋体"/>
          <w:sz w:val="24"/>
        </w:rPr>
        <w:t>注意安全，避免触电，需要时请供电部门配合。</w:t>
      </w:r>
      <w:bookmarkEnd w:id="1334"/>
      <w:bookmarkEnd w:id="1335"/>
      <w:bookmarkEnd w:id="1336"/>
      <w:bookmarkEnd w:id="1337"/>
    </w:p>
    <w:p>
      <w:pPr>
        <w:spacing w:after="120" w:afterLines="50" w:line="460" w:lineRule="exact"/>
        <w:ind w:firstLine="480" w:firstLineChars="200"/>
        <w:rPr>
          <w:rFonts w:ascii="宋体" w:hAnsi="宋体"/>
          <w:sz w:val="24"/>
        </w:rPr>
      </w:pPr>
      <w:bookmarkStart w:id="1338" w:name="_Toc455410284"/>
      <w:bookmarkStart w:id="1339" w:name="_Toc455410447"/>
      <w:bookmarkStart w:id="1340" w:name="_Toc248117652"/>
      <w:bookmarkStart w:id="1341" w:name="_Toc470011337"/>
      <w:r>
        <w:rPr>
          <w:rFonts w:hint="eastAsia" w:ascii="宋体" w:hAnsi="宋体"/>
          <w:sz w:val="24"/>
        </w:rPr>
        <w:t>应选任</w:t>
      </w:r>
      <w:r>
        <w:rPr>
          <w:rFonts w:ascii="宋体" w:hAnsi="宋体"/>
          <w:sz w:val="24"/>
        </w:rPr>
        <w:t>有实践经验的</w:t>
      </w:r>
      <w:r>
        <w:rPr>
          <w:rFonts w:hint="eastAsia" w:ascii="宋体" w:hAnsi="宋体"/>
          <w:sz w:val="24"/>
        </w:rPr>
        <w:t>、专职安全人员</w:t>
      </w:r>
      <w:r>
        <w:rPr>
          <w:rFonts w:ascii="宋体" w:hAnsi="宋体"/>
          <w:sz w:val="24"/>
        </w:rPr>
        <w:t>担任安全质量检查员，负责安全、技术指导、质量检查及宣传工作。</w:t>
      </w:r>
      <w:bookmarkEnd w:id="1338"/>
      <w:bookmarkEnd w:id="1339"/>
      <w:bookmarkEnd w:id="1340"/>
      <w:bookmarkEnd w:id="1341"/>
    </w:p>
    <w:p>
      <w:pPr>
        <w:spacing w:after="120" w:afterLines="50" w:line="460" w:lineRule="exact"/>
        <w:ind w:firstLine="480" w:firstLineChars="200"/>
        <w:rPr>
          <w:rFonts w:ascii="宋体" w:hAnsi="宋体"/>
          <w:sz w:val="24"/>
        </w:rPr>
      </w:pPr>
      <w:bookmarkStart w:id="1342" w:name="_Toc455410448"/>
      <w:bookmarkStart w:id="1343" w:name="_Toc455410285"/>
      <w:bookmarkStart w:id="1344" w:name="_Toc248117658"/>
      <w:bookmarkStart w:id="1345" w:name="_Toc470011338"/>
      <w:r>
        <w:rPr>
          <w:rFonts w:hint="eastAsia" w:ascii="宋体" w:hAnsi="宋体"/>
          <w:sz w:val="24"/>
        </w:rPr>
        <w:t>应</w:t>
      </w:r>
      <w:r>
        <w:rPr>
          <w:rFonts w:ascii="宋体" w:hAnsi="宋体"/>
          <w:sz w:val="24"/>
        </w:rPr>
        <w:t>有专人维护现场，树上树下互相配合，防止砸伤行人和过往车辆。</w:t>
      </w:r>
      <w:bookmarkEnd w:id="1342"/>
      <w:bookmarkEnd w:id="1343"/>
      <w:bookmarkEnd w:id="1344"/>
      <w:bookmarkEnd w:id="1345"/>
    </w:p>
    <w:p>
      <w:pPr>
        <w:spacing w:after="120" w:afterLines="50" w:line="460" w:lineRule="exact"/>
        <w:ind w:firstLine="480" w:firstLineChars="200"/>
        <w:rPr>
          <w:rFonts w:ascii="宋体" w:hAnsi="宋体"/>
          <w:sz w:val="24"/>
        </w:rPr>
      </w:pPr>
      <w:bookmarkStart w:id="1346" w:name="_Toc241035220"/>
      <w:bookmarkStart w:id="1347" w:name="_Toc455410449"/>
      <w:bookmarkStart w:id="1348" w:name="_Toc455410286"/>
      <w:bookmarkStart w:id="1349" w:name="_Toc248117656"/>
      <w:bookmarkStart w:id="1350" w:name="_Toc470011339"/>
      <w:r>
        <w:rPr>
          <w:rFonts w:ascii="宋体" w:hAnsi="宋体"/>
          <w:sz w:val="24"/>
        </w:rPr>
        <w:t>注意天气变化，施工</w:t>
      </w:r>
      <w:r>
        <w:rPr>
          <w:rFonts w:hint="eastAsia" w:ascii="宋体" w:hAnsi="宋体"/>
          <w:sz w:val="24"/>
        </w:rPr>
        <w:t>应</w:t>
      </w:r>
      <w:r>
        <w:rPr>
          <w:rFonts w:ascii="宋体" w:hAnsi="宋体"/>
          <w:sz w:val="24"/>
        </w:rPr>
        <w:t>选择无风晴朗</w:t>
      </w:r>
      <w:r>
        <w:rPr>
          <w:rFonts w:hint="eastAsia" w:ascii="宋体" w:hAnsi="宋体"/>
          <w:sz w:val="24"/>
        </w:rPr>
        <w:t>天气</w:t>
      </w:r>
      <w:bookmarkEnd w:id="1346"/>
      <w:bookmarkStart w:id="1351" w:name="_Toc219599059"/>
      <w:r>
        <w:rPr>
          <w:rFonts w:hint="eastAsia" w:ascii="宋体" w:hAnsi="宋体"/>
          <w:sz w:val="24"/>
        </w:rPr>
        <w:t>，</w:t>
      </w:r>
      <w:r>
        <w:rPr>
          <w:rFonts w:ascii="宋体" w:hAnsi="宋体"/>
          <w:sz w:val="24"/>
        </w:rPr>
        <w:t>五级以上（含五级）大风不可</w:t>
      </w:r>
      <w:r>
        <w:rPr>
          <w:rFonts w:hint="eastAsia" w:ascii="宋体" w:hAnsi="宋体"/>
          <w:sz w:val="24"/>
        </w:rPr>
        <w:t xml:space="preserve">   </w:t>
      </w:r>
      <w:r>
        <w:rPr>
          <w:rFonts w:ascii="宋体" w:hAnsi="宋体"/>
          <w:sz w:val="24"/>
        </w:rPr>
        <w:t>上树</w:t>
      </w:r>
      <w:r>
        <w:rPr>
          <w:rFonts w:hint="eastAsia" w:ascii="宋体" w:hAnsi="宋体"/>
          <w:sz w:val="24"/>
        </w:rPr>
        <w:t>作业</w:t>
      </w:r>
      <w:r>
        <w:rPr>
          <w:rFonts w:ascii="宋体" w:hAnsi="宋体"/>
          <w:sz w:val="24"/>
        </w:rPr>
        <w:t>。</w:t>
      </w:r>
      <w:bookmarkEnd w:id="1347"/>
      <w:bookmarkEnd w:id="1348"/>
      <w:bookmarkEnd w:id="1349"/>
      <w:bookmarkEnd w:id="1350"/>
    </w:p>
    <w:bookmarkEnd w:id="1351"/>
    <w:p>
      <w:pPr>
        <w:spacing w:after="120" w:afterLines="50" w:line="460" w:lineRule="exact"/>
        <w:ind w:firstLine="480" w:firstLineChars="200"/>
        <w:rPr>
          <w:rFonts w:ascii="宋体" w:hAnsi="宋体"/>
          <w:sz w:val="24"/>
        </w:rPr>
      </w:pPr>
      <w:bookmarkStart w:id="1352" w:name="_Toc455410287"/>
      <w:bookmarkStart w:id="1353" w:name="_Toc455410450"/>
      <w:r>
        <w:rPr>
          <w:rFonts w:hint="eastAsia" w:ascii="宋体" w:hAnsi="宋体"/>
          <w:sz w:val="24"/>
        </w:rPr>
        <w:t xml:space="preserve"> </w:t>
      </w:r>
      <w:bookmarkStart w:id="1354" w:name="_Toc470011340"/>
      <w:r>
        <w:rPr>
          <w:rFonts w:ascii="宋体" w:hAnsi="宋体"/>
          <w:sz w:val="24"/>
        </w:rPr>
        <w:t>操作时</w:t>
      </w:r>
      <w:r>
        <w:rPr>
          <w:rFonts w:hint="eastAsia" w:ascii="宋体" w:hAnsi="宋体"/>
          <w:sz w:val="24"/>
        </w:rPr>
        <w:t>应</w:t>
      </w:r>
      <w:r>
        <w:rPr>
          <w:rFonts w:ascii="宋体" w:hAnsi="宋体"/>
          <w:sz w:val="24"/>
        </w:rPr>
        <w:t>思想集中，不</w:t>
      </w:r>
      <w:r>
        <w:rPr>
          <w:rFonts w:hint="eastAsia" w:ascii="宋体" w:hAnsi="宋体"/>
          <w:sz w:val="24"/>
        </w:rPr>
        <w:t>得</w:t>
      </w:r>
      <w:r>
        <w:rPr>
          <w:rFonts w:ascii="宋体" w:hAnsi="宋体"/>
          <w:sz w:val="24"/>
        </w:rPr>
        <w:t>打闹谈笑，上树前不</w:t>
      </w:r>
      <w:r>
        <w:rPr>
          <w:rFonts w:hint="eastAsia" w:ascii="宋体" w:hAnsi="宋体"/>
          <w:sz w:val="24"/>
        </w:rPr>
        <w:t>得</w:t>
      </w:r>
      <w:r>
        <w:rPr>
          <w:rFonts w:ascii="宋体" w:hAnsi="宋体"/>
          <w:sz w:val="24"/>
        </w:rPr>
        <w:t>饮酒。</w:t>
      </w:r>
      <w:bookmarkEnd w:id="1326"/>
      <w:bookmarkEnd w:id="1352"/>
      <w:bookmarkEnd w:id="1353"/>
      <w:bookmarkEnd w:id="1354"/>
    </w:p>
    <w:p>
      <w:pPr>
        <w:spacing w:after="120" w:afterLines="50" w:line="460" w:lineRule="exact"/>
        <w:ind w:firstLine="480" w:firstLineChars="200"/>
        <w:rPr>
          <w:rFonts w:ascii="宋体" w:hAnsi="宋体"/>
          <w:sz w:val="24"/>
        </w:rPr>
      </w:pPr>
      <w:bookmarkStart w:id="1355" w:name="_Toc455410288"/>
      <w:bookmarkStart w:id="1356" w:name="_Toc248117653"/>
      <w:bookmarkStart w:id="1357" w:name="_Toc455410451"/>
      <w:r>
        <w:rPr>
          <w:rFonts w:hint="eastAsia" w:ascii="宋体" w:hAnsi="宋体"/>
          <w:sz w:val="24"/>
        </w:rPr>
        <w:t xml:space="preserve"> </w:t>
      </w:r>
      <w:bookmarkStart w:id="1358" w:name="_Toc470011341"/>
      <w:r>
        <w:rPr>
          <w:rFonts w:hint="eastAsia" w:ascii="宋体" w:hAnsi="宋体"/>
          <w:sz w:val="24"/>
        </w:rPr>
        <w:t>应</w:t>
      </w:r>
      <w:r>
        <w:rPr>
          <w:rFonts w:ascii="宋体" w:hAnsi="宋体"/>
          <w:sz w:val="24"/>
        </w:rPr>
        <w:t>按规定穿好工作服，戴好安全帽，系好安全绳和安全带等。</w:t>
      </w:r>
      <w:bookmarkEnd w:id="1355"/>
      <w:bookmarkEnd w:id="1356"/>
      <w:bookmarkEnd w:id="1357"/>
      <w:bookmarkEnd w:id="1358"/>
    </w:p>
    <w:p>
      <w:pPr>
        <w:spacing w:after="120" w:afterLines="50" w:line="460" w:lineRule="exact"/>
        <w:ind w:firstLine="480" w:firstLineChars="200"/>
        <w:rPr>
          <w:rFonts w:ascii="宋体" w:hAnsi="宋体"/>
          <w:sz w:val="24"/>
        </w:rPr>
      </w:pPr>
      <w:bookmarkStart w:id="1359" w:name="_Toc248117654"/>
      <w:bookmarkStart w:id="1360" w:name="_Toc470011342"/>
      <w:bookmarkStart w:id="1361" w:name="_Toc455410452"/>
      <w:bookmarkStart w:id="1362" w:name="_Toc455410289"/>
      <w:r>
        <w:rPr>
          <w:rFonts w:ascii="宋体" w:hAnsi="宋体"/>
          <w:sz w:val="24"/>
        </w:rPr>
        <w:t>大树</w:t>
      </w:r>
      <w:r>
        <w:rPr>
          <w:rFonts w:hint="eastAsia" w:ascii="宋体" w:hAnsi="宋体"/>
          <w:sz w:val="24"/>
        </w:rPr>
        <w:t>修剪使用</w:t>
      </w:r>
      <w:r>
        <w:rPr>
          <w:rFonts w:ascii="宋体" w:hAnsi="宋体"/>
          <w:sz w:val="24"/>
        </w:rPr>
        <w:t>梯子</w:t>
      </w:r>
      <w:r>
        <w:rPr>
          <w:rFonts w:hint="eastAsia" w:ascii="宋体" w:hAnsi="宋体"/>
          <w:sz w:val="24"/>
        </w:rPr>
        <w:t>时应</w:t>
      </w:r>
      <w:r>
        <w:rPr>
          <w:rFonts w:ascii="宋体" w:hAnsi="宋体"/>
          <w:sz w:val="24"/>
        </w:rPr>
        <w:t>牢靠</w:t>
      </w:r>
      <w:r>
        <w:rPr>
          <w:rFonts w:hint="eastAsia" w:ascii="宋体" w:hAnsi="宋体"/>
          <w:sz w:val="24"/>
        </w:rPr>
        <w:t>、</w:t>
      </w:r>
      <w:r>
        <w:rPr>
          <w:rFonts w:ascii="宋体" w:hAnsi="宋体"/>
          <w:sz w:val="24"/>
        </w:rPr>
        <w:t>立稳，单位梯</w:t>
      </w:r>
      <w:r>
        <w:rPr>
          <w:rFonts w:hint="eastAsia" w:ascii="宋体" w:hAnsi="宋体"/>
          <w:sz w:val="24"/>
        </w:rPr>
        <w:t>应</w:t>
      </w:r>
      <w:r>
        <w:rPr>
          <w:rFonts w:ascii="宋体" w:hAnsi="宋体"/>
          <w:sz w:val="24"/>
        </w:rPr>
        <w:t>将上部横挡与树身捆</w:t>
      </w:r>
      <w:r>
        <w:rPr>
          <w:rFonts w:hint="eastAsia" w:ascii="宋体" w:hAnsi="宋体"/>
          <w:sz w:val="24"/>
        </w:rPr>
        <w:t>牢</w:t>
      </w:r>
      <w:r>
        <w:rPr>
          <w:rFonts w:ascii="宋体" w:hAnsi="宋体"/>
          <w:sz w:val="24"/>
        </w:rPr>
        <w:t>，人字梯中腰拴绳，角度开张适中。</w:t>
      </w:r>
      <w:bookmarkEnd w:id="1359"/>
      <w:bookmarkEnd w:id="1360"/>
      <w:bookmarkEnd w:id="1361"/>
      <w:bookmarkEnd w:id="1362"/>
    </w:p>
    <w:p>
      <w:pPr>
        <w:spacing w:after="120" w:afterLines="50" w:line="460" w:lineRule="exact"/>
        <w:ind w:firstLine="480" w:firstLineChars="200"/>
        <w:rPr>
          <w:rFonts w:ascii="宋体" w:hAnsi="宋体"/>
          <w:sz w:val="24"/>
        </w:rPr>
      </w:pPr>
      <w:bookmarkStart w:id="1363" w:name="_Toc455410290"/>
      <w:bookmarkStart w:id="1364" w:name="_Toc455410453"/>
      <w:bookmarkStart w:id="1365" w:name="_Toc248117655"/>
      <w:bookmarkStart w:id="1366" w:name="_Toc470011343"/>
      <w:r>
        <w:rPr>
          <w:rFonts w:ascii="宋体" w:hAnsi="宋体"/>
          <w:sz w:val="24"/>
        </w:rPr>
        <w:t>树</w:t>
      </w:r>
      <w:r>
        <w:rPr>
          <w:rFonts w:hint="eastAsia" w:ascii="宋体" w:hAnsi="宋体"/>
          <w:sz w:val="24"/>
        </w:rPr>
        <w:t>上作业应</w:t>
      </w:r>
      <w:r>
        <w:rPr>
          <w:rFonts w:ascii="宋体" w:hAnsi="宋体"/>
          <w:sz w:val="24"/>
        </w:rPr>
        <w:t>系好安全绳，手锯绳套拴在手腕上。</w:t>
      </w:r>
      <w:bookmarkEnd w:id="1363"/>
      <w:bookmarkEnd w:id="1364"/>
      <w:bookmarkEnd w:id="1365"/>
      <w:bookmarkEnd w:id="1366"/>
    </w:p>
    <w:p>
      <w:pPr>
        <w:spacing w:after="120" w:afterLines="50" w:line="460" w:lineRule="exact"/>
        <w:ind w:firstLine="480" w:firstLineChars="200"/>
        <w:rPr>
          <w:rFonts w:ascii="宋体" w:hAnsi="宋体"/>
          <w:sz w:val="24"/>
        </w:rPr>
      </w:pPr>
      <w:bookmarkStart w:id="1367" w:name="_Toc248117657"/>
      <w:bookmarkStart w:id="1368" w:name="_Toc455410454"/>
      <w:bookmarkStart w:id="1369" w:name="_Toc455410291"/>
      <w:bookmarkStart w:id="1370" w:name="_Toc470011344"/>
      <w:r>
        <w:rPr>
          <w:rFonts w:ascii="宋体" w:hAnsi="宋体"/>
          <w:sz w:val="24"/>
        </w:rPr>
        <w:t>截除大枝</w:t>
      </w:r>
      <w:r>
        <w:rPr>
          <w:rFonts w:hint="eastAsia" w:ascii="宋体" w:hAnsi="宋体"/>
          <w:sz w:val="24"/>
        </w:rPr>
        <w:t>应</w:t>
      </w:r>
      <w:r>
        <w:rPr>
          <w:rFonts w:ascii="宋体" w:hAnsi="宋体"/>
          <w:sz w:val="24"/>
        </w:rPr>
        <w:t>由有经验的</w:t>
      </w:r>
      <w:r>
        <w:rPr>
          <w:rFonts w:hint="eastAsia" w:ascii="宋体" w:hAnsi="宋体"/>
          <w:sz w:val="24"/>
        </w:rPr>
        <w:t>人员</w:t>
      </w:r>
      <w:r>
        <w:rPr>
          <w:rFonts w:ascii="宋体" w:hAnsi="宋体"/>
          <w:sz w:val="24"/>
        </w:rPr>
        <w:t>指挥操作。</w:t>
      </w:r>
      <w:bookmarkEnd w:id="1367"/>
      <w:r>
        <w:rPr>
          <w:rFonts w:ascii="宋体" w:hAnsi="宋体"/>
          <w:sz w:val="24"/>
        </w:rPr>
        <w:t>修剪下来的枝条，及时拿掉，集体运走，保证环境整洁。</w:t>
      </w:r>
      <w:bookmarkEnd w:id="1368"/>
      <w:bookmarkEnd w:id="1369"/>
      <w:bookmarkEnd w:id="1370"/>
    </w:p>
    <w:p>
      <w:pPr>
        <w:spacing w:after="120" w:afterLines="50" w:line="460" w:lineRule="exact"/>
        <w:ind w:firstLine="480" w:firstLineChars="200"/>
        <w:rPr>
          <w:rFonts w:ascii="宋体" w:hAnsi="宋体"/>
          <w:sz w:val="24"/>
        </w:rPr>
      </w:pPr>
      <w:bookmarkStart w:id="1371" w:name="_Toc248117659"/>
      <w:bookmarkStart w:id="1372" w:name="_Toc470011345"/>
      <w:bookmarkStart w:id="1373" w:name="_Toc455410455"/>
      <w:bookmarkStart w:id="1374" w:name="_Toc455410292"/>
      <w:r>
        <w:rPr>
          <w:rFonts w:ascii="宋体" w:hAnsi="宋体"/>
          <w:sz w:val="24"/>
        </w:rPr>
        <w:t>有高血压和心脏病者，不</w:t>
      </w:r>
      <w:r>
        <w:rPr>
          <w:rFonts w:hint="eastAsia" w:ascii="宋体" w:hAnsi="宋体"/>
          <w:sz w:val="24"/>
        </w:rPr>
        <w:t>得</w:t>
      </w:r>
      <w:r>
        <w:rPr>
          <w:rFonts w:ascii="宋体" w:hAnsi="宋体"/>
          <w:sz w:val="24"/>
        </w:rPr>
        <w:t>上树</w:t>
      </w:r>
      <w:r>
        <w:rPr>
          <w:rFonts w:hint="eastAsia" w:ascii="宋体" w:hAnsi="宋体"/>
          <w:sz w:val="24"/>
        </w:rPr>
        <w:t>作业</w:t>
      </w:r>
      <w:r>
        <w:rPr>
          <w:rFonts w:ascii="宋体" w:hAnsi="宋体"/>
          <w:sz w:val="24"/>
        </w:rPr>
        <w:t>。</w:t>
      </w:r>
      <w:bookmarkEnd w:id="1371"/>
      <w:bookmarkEnd w:id="1372"/>
      <w:bookmarkEnd w:id="1373"/>
      <w:bookmarkEnd w:id="1374"/>
    </w:p>
    <w:p>
      <w:pPr>
        <w:spacing w:after="120" w:afterLines="50" w:line="460" w:lineRule="exact"/>
        <w:ind w:firstLine="480" w:firstLineChars="200"/>
        <w:rPr>
          <w:rFonts w:ascii="宋体" w:hAnsi="宋体"/>
          <w:sz w:val="24"/>
        </w:rPr>
      </w:pPr>
      <w:bookmarkStart w:id="1375" w:name="_Toc455410293"/>
      <w:bookmarkStart w:id="1376" w:name="_Toc470011346"/>
      <w:bookmarkStart w:id="1377" w:name="_Toc455410456"/>
      <w:bookmarkStart w:id="1378" w:name="_Toc248117660"/>
      <w:r>
        <w:rPr>
          <w:rFonts w:hint="eastAsia" w:ascii="宋体" w:hAnsi="宋体"/>
          <w:sz w:val="24"/>
        </w:rPr>
        <w:t>树上作业不得两株或多株树体间攀爬</w:t>
      </w:r>
      <w:r>
        <w:rPr>
          <w:rFonts w:ascii="宋体" w:hAnsi="宋体"/>
          <w:sz w:val="24"/>
        </w:rPr>
        <w:t>。</w:t>
      </w:r>
      <w:bookmarkEnd w:id="1375"/>
      <w:bookmarkEnd w:id="1376"/>
      <w:bookmarkEnd w:id="1377"/>
      <w:bookmarkEnd w:id="1378"/>
    </w:p>
    <w:p>
      <w:pPr>
        <w:spacing w:after="120" w:afterLines="50" w:line="460" w:lineRule="exact"/>
        <w:ind w:firstLine="480" w:firstLineChars="200"/>
        <w:rPr>
          <w:rFonts w:ascii="宋体" w:hAnsi="宋体"/>
          <w:sz w:val="24"/>
        </w:rPr>
      </w:pPr>
      <w:bookmarkStart w:id="1379" w:name="_Toc248117662"/>
      <w:bookmarkStart w:id="1380" w:name="_Toc455410457"/>
      <w:bookmarkStart w:id="1381" w:name="_Toc455410294"/>
      <w:bookmarkStart w:id="1382" w:name="_Toc470011347"/>
      <w:r>
        <w:rPr>
          <w:rFonts w:hint="eastAsia" w:ascii="宋体" w:hAnsi="宋体"/>
          <w:sz w:val="24"/>
        </w:rPr>
        <w:t>多</w:t>
      </w:r>
      <w:r>
        <w:rPr>
          <w:rFonts w:ascii="宋体" w:hAnsi="宋体"/>
          <w:sz w:val="24"/>
        </w:rPr>
        <w:t>人同时在一</w:t>
      </w:r>
      <w:r>
        <w:rPr>
          <w:rFonts w:hint="eastAsia" w:ascii="宋体" w:hAnsi="宋体"/>
          <w:sz w:val="24"/>
        </w:rPr>
        <w:t>株</w:t>
      </w:r>
      <w:r>
        <w:rPr>
          <w:rFonts w:ascii="宋体" w:hAnsi="宋体"/>
          <w:sz w:val="24"/>
        </w:rPr>
        <w:t>树上修剪，</w:t>
      </w:r>
      <w:r>
        <w:rPr>
          <w:rFonts w:hint="eastAsia" w:ascii="宋体" w:hAnsi="宋体"/>
          <w:sz w:val="24"/>
        </w:rPr>
        <w:t>应</w:t>
      </w:r>
      <w:r>
        <w:rPr>
          <w:rFonts w:ascii="宋体" w:hAnsi="宋体"/>
          <w:sz w:val="24"/>
        </w:rPr>
        <w:t>有专人指挥，</w:t>
      </w:r>
      <w:r>
        <w:rPr>
          <w:rFonts w:hint="eastAsia" w:ascii="宋体" w:hAnsi="宋体"/>
          <w:sz w:val="24"/>
        </w:rPr>
        <w:t>相互</w:t>
      </w:r>
      <w:r>
        <w:rPr>
          <w:rFonts w:ascii="宋体" w:hAnsi="宋体"/>
          <w:sz w:val="24"/>
        </w:rPr>
        <w:t>协作。</w:t>
      </w:r>
      <w:bookmarkEnd w:id="1379"/>
      <w:bookmarkEnd w:id="1380"/>
      <w:bookmarkEnd w:id="1381"/>
      <w:bookmarkEnd w:id="1382"/>
    </w:p>
    <w:p>
      <w:pPr>
        <w:spacing w:after="120" w:afterLines="50" w:line="460" w:lineRule="exact"/>
        <w:ind w:left="2"/>
        <w:rPr>
          <w:rFonts w:ascii="宋体" w:hAnsi="宋体" w:cs="宋体"/>
          <w:sz w:val="24"/>
        </w:rPr>
      </w:pPr>
      <w:r>
        <w:rPr>
          <w:rFonts w:hint="eastAsia" w:ascii="宋体" w:hAnsi="宋体" w:cs="宋体"/>
          <w:sz w:val="24"/>
        </w:rPr>
        <w:t>6.2.7 园林建筑、小品工程施工，安全规定应该执行建筑工程相关管理的规定，给水和排水、照明（含亮丽工程）施工应该执行相关专业工程的管理规定。</w:t>
      </w:r>
    </w:p>
    <w:p>
      <w:pPr>
        <w:tabs>
          <w:tab w:val="left" w:pos="851"/>
          <w:tab w:val="left" w:pos="993"/>
        </w:tabs>
        <w:spacing w:after="120" w:afterLines="50" w:line="460" w:lineRule="exact"/>
        <w:rPr>
          <w:rFonts w:ascii="宋体" w:hAnsi="宋体"/>
          <w:sz w:val="24"/>
        </w:rPr>
      </w:pPr>
      <w:r>
        <w:rPr>
          <w:rFonts w:hint="eastAsia" w:ascii="宋体" w:hAnsi="宋体" w:cs="宋体"/>
          <w:sz w:val="24"/>
        </w:rPr>
        <w:t xml:space="preserve">6.2.8 </w:t>
      </w:r>
      <w:r>
        <w:rPr>
          <w:rFonts w:hint="eastAsia" w:ascii="宋体" w:hAnsi="宋体"/>
          <w:sz w:val="24"/>
        </w:rPr>
        <w:t>园林掇石、假山工程安全应按下列要求执行。</w:t>
      </w:r>
    </w:p>
    <w:p>
      <w:pPr>
        <w:pStyle w:val="166"/>
        <w:widowControl/>
        <w:numPr>
          <w:ilvl w:val="0"/>
          <w:numId w:val="15"/>
        </w:numPr>
        <w:tabs>
          <w:tab w:val="left" w:pos="709"/>
        </w:tabs>
        <w:spacing w:after="120" w:afterLines="50" w:line="460" w:lineRule="exact"/>
        <w:ind w:left="0" w:firstLine="0" w:firstLineChars="0"/>
        <w:jc w:val="left"/>
        <w:rPr>
          <w:rFonts w:ascii="宋体" w:hAnsi="宋体"/>
          <w:sz w:val="24"/>
        </w:rPr>
      </w:pPr>
      <w:r>
        <w:rPr>
          <w:rFonts w:hint="eastAsia" w:ascii="宋体" w:hAnsi="宋体"/>
          <w:sz w:val="24"/>
        </w:rPr>
        <w:t>选石的安全，在山林中或山石存放场选石，应该注意山体是否有滑坡，石块是否码放稳定。</w:t>
      </w:r>
    </w:p>
    <w:p>
      <w:pPr>
        <w:pStyle w:val="166"/>
        <w:widowControl/>
        <w:numPr>
          <w:ilvl w:val="0"/>
          <w:numId w:val="15"/>
        </w:numPr>
        <w:spacing w:after="120" w:afterLines="50" w:line="460" w:lineRule="exact"/>
        <w:ind w:left="709" w:hanging="709" w:firstLineChars="0"/>
        <w:jc w:val="left"/>
        <w:rPr>
          <w:rFonts w:ascii="宋体" w:hAnsi="宋体"/>
          <w:sz w:val="24"/>
        </w:rPr>
      </w:pPr>
      <w:r>
        <w:rPr>
          <w:rFonts w:hint="eastAsia" w:ascii="宋体" w:hAnsi="宋体"/>
          <w:sz w:val="24"/>
        </w:rPr>
        <w:t>石料运输的安全，石料运输不许超重，应该采取中慢速行驶。</w:t>
      </w:r>
    </w:p>
    <w:p>
      <w:pPr>
        <w:pStyle w:val="166"/>
        <w:widowControl/>
        <w:numPr>
          <w:ilvl w:val="0"/>
          <w:numId w:val="15"/>
        </w:numPr>
        <w:tabs>
          <w:tab w:val="left" w:pos="709"/>
        </w:tabs>
        <w:spacing w:after="120" w:afterLines="50" w:line="460" w:lineRule="exact"/>
        <w:ind w:left="851" w:hanging="851" w:firstLineChars="0"/>
        <w:jc w:val="left"/>
        <w:rPr>
          <w:rFonts w:ascii="宋体" w:hAnsi="宋体"/>
          <w:sz w:val="24"/>
        </w:rPr>
      </w:pPr>
      <w:r>
        <w:rPr>
          <w:rFonts w:hint="eastAsia" w:ascii="宋体" w:hAnsi="宋体"/>
          <w:sz w:val="24"/>
        </w:rPr>
        <w:t>假山基础安全，假山基础必须符合设计承载力的要求。</w:t>
      </w:r>
    </w:p>
    <w:p>
      <w:pPr>
        <w:pStyle w:val="166"/>
        <w:widowControl/>
        <w:numPr>
          <w:ilvl w:val="0"/>
          <w:numId w:val="15"/>
        </w:numPr>
        <w:tabs>
          <w:tab w:val="left" w:pos="709"/>
        </w:tabs>
        <w:spacing w:after="120" w:afterLines="50" w:line="460" w:lineRule="exact"/>
        <w:ind w:left="0" w:firstLine="0" w:firstLineChars="0"/>
        <w:jc w:val="left"/>
        <w:rPr>
          <w:rFonts w:ascii="宋体" w:hAnsi="宋体"/>
          <w:sz w:val="24"/>
        </w:rPr>
      </w:pPr>
      <w:r>
        <w:rPr>
          <w:rFonts w:hint="eastAsia" w:ascii="宋体" w:hAnsi="宋体"/>
          <w:sz w:val="24"/>
        </w:rPr>
        <w:t>叠山时的安全，作业人员必须进行叠山安全施工教育，了解作业规程，掌握吊车、钢丝绳、拴石头的方法，打刹的方法。保持石头重心稳定，码放牢固。作业人员应该佩戴安全帽、粗皮手套、和防滑鞋等防护用品。</w:t>
      </w:r>
    </w:p>
    <w:p>
      <w:pPr>
        <w:pStyle w:val="166"/>
        <w:widowControl/>
        <w:numPr>
          <w:ilvl w:val="0"/>
          <w:numId w:val="15"/>
        </w:numPr>
        <w:tabs>
          <w:tab w:val="left" w:pos="709"/>
        </w:tabs>
        <w:spacing w:after="120" w:afterLines="50" w:line="460" w:lineRule="exact"/>
        <w:ind w:left="0" w:firstLine="0" w:firstLineChars="0"/>
        <w:jc w:val="left"/>
        <w:rPr>
          <w:rFonts w:ascii="宋体" w:hAnsi="宋体"/>
          <w:sz w:val="24"/>
        </w:rPr>
      </w:pPr>
      <w:r>
        <w:rPr>
          <w:rFonts w:hint="eastAsia" w:ascii="宋体" w:hAnsi="宋体"/>
          <w:sz w:val="24"/>
        </w:rPr>
        <w:t>叠山艺术加工时的安全，在对山石进行艺术加工时（石缝处理），应搭设   的牢固的脚手架，上面横铺木跳板，木板厚度5cm以上。假山艺术加工时，作业人员不得在空间上上下重叠。</w:t>
      </w:r>
    </w:p>
    <w:p>
      <w:pPr>
        <w:spacing w:after="120" w:afterLines="50" w:line="460" w:lineRule="exact"/>
        <w:rPr>
          <w:rFonts w:ascii="宋体" w:hAnsi="宋体"/>
          <w:b/>
          <w:sz w:val="24"/>
        </w:rPr>
      </w:pPr>
      <w:r>
        <w:rPr>
          <w:rFonts w:ascii="宋体" w:hAnsi="宋体" w:cs="宋体"/>
          <w:b/>
          <w:sz w:val="24"/>
        </w:rPr>
        <w:t>6.</w:t>
      </w:r>
      <w:r>
        <w:rPr>
          <w:rFonts w:hint="eastAsia" w:ascii="宋体" w:hAnsi="宋体" w:cs="宋体"/>
          <w:b/>
          <w:sz w:val="24"/>
        </w:rPr>
        <w:t>3   屋顶花园专项施工安全管理要求</w:t>
      </w:r>
    </w:p>
    <w:p>
      <w:pPr>
        <w:tabs>
          <w:tab w:val="left" w:pos="993"/>
        </w:tabs>
        <w:spacing w:after="120" w:afterLines="50" w:line="460" w:lineRule="exact"/>
        <w:rPr>
          <w:rFonts w:ascii="宋体" w:hAnsi="宋体"/>
          <w:sz w:val="24"/>
        </w:rPr>
      </w:pPr>
      <w:r>
        <w:rPr>
          <w:rFonts w:ascii="宋体" w:hAnsi="宋体" w:cs="宋体"/>
          <w:sz w:val="24"/>
        </w:rPr>
        <w:t>6.</w:t>
      </w:r>
      <w:r>
        <w:rPr>
          <w:rFonts w:hint="eastAsia" w:ascii="宋体" w:hAnsi="宋体" w:cs="宋体"/>
          <w:sz w:val="24"/>
        </w:rPr>
        <w:t>3.1 屋顶花园建设的建筑物应在满足屋顶荷载的前提下进行屋顶绿化设计。</w:t>
      </w:r>
    </w:p>
    <w:p>
      <w:pPr>
        <w:spacing w:after="120" w:afterLines="50" w:line="460" w:lineRule="exact"/>
        <w:ind w:left="2"/>
        <w:rPr>
          <w:rFonts w:ascii="宋体" w:hAnsi="宋体"/>
          <w:sz w:val="24"/>
        </w:rPr>
      </w:pPr>
      <w:r>
        <w:rPr>
          <w:rFonts w:ascii="宋体" w:hAnsi="宋体" w:cs="宋体"/>
          <w:sz w:val="24"/>
        </w:rPr>
        <w:t>6.</w:t>
      </w:r>
      <w:r>
        <w:rPr>
          <w:rFonts w:hint="eastAsia" w:ascii="宋体" w:hAnsi="宋体" w:cs="宋体"/>
          <w:sz w:val="24"/>
        </w:rPr>
        <w:t>3</w:t>
      </w:r>
      <w:r>
        <w:rPr>
          <w:rFonts w:ascii="宋体" w:hAnsi="宋体" w:cs="宋体"/>
          <w:sz w:val="24"/>
        </w:rPr>
        <w:t>.2</w:t>
      </w:r>
      <w:r>
        <w:rPr>
          <w:rFonts w:hint="eastAsia" w:ascii="宋体" w:hAnsi="宋体" w:cs="宋体"/>
          <w:sz w:val="24"/>
        </w:rPr>
        <w:t xml:space="preserve"> 屋顶绿化的防水、防根穿刺、排水、防风、防雷、防护、防火等应符合《屋顶绿化》</w:t>
      </w:r>
      <w:r>
        <w:rPr>
          <w:rFonts w:ascii="宋体" w:hAnsi="宋体" w:cs="宋体"/>
          <w:sz w:val="24"/>
        </w:rPr>
        <w:t>DB11/T281-2016</w:t>
      </w:r>
      <w:r>
        <w:rPr>
          <w:rFonts w:hint="eastAsia" w:ascii="宋体" w:hAnsi="宋体" w:cs="宋体"/>
          <w:sz w:val="24"/>
        </w:rPr>
        <w:t>规范的要求。</w:t>
      </w:r>
    </w:p>
    <w:p>
      <w:pPr>
        <w:spacing w:after="120" w:afterLines="50" w:line="460" w:lineRule="exact"/>
        <w:rPr>
          <w:rFonts w:ascii="宋体" w:hAnsi="宋体"/>
          <w:sz w:val="24"/>
        </w:rPr>
      </w:pPr>
      <w:r>
        <w:rPr>
          <w:rFonts w:ascii="宋体" w:hAnsi="宋体" w:cs="宋体"/>
          <w:sz w:val="24"/>
        </w:rPr>
        <w:t>6.</w:t>
      </w:r>
      <w:r>
        <w:rPr>
          <w:rFonts w:hint="eastAsia" w:ascii="宋体" w:hAnsi="宋体" w:cs="宋体"/>
          <w:sz w:val="24"/>
        </w:rPr>
        <w:t>3</w:t>
      </w:r>
      <w:r>
        <w:rPr>
          <w:rFonts w:ascii="宋体" w:hAnsi="宋体" w:cs="宋体"/>
          <w:sz w:val="24"/>
        </w:rPr>
        <w:t>.3</w:t>
      </w:r>
      <w:r>
        <w:rPr>
          <w:rFonts w:hint="eastAsia" w:ascii="宋体" w:hAnsi="宋体" w:cs="宋体"/>
          <w:sz w:val="24"/>
        </w:rPr>
        <w:t xml:space="preserve"> 施工安全应符合下列规定：</w:t>
      </w:r>
    </w:p>
    <w:p>
      <w:pPr>
        <w:pStyle w:val="196"/>
        <w:numPr>
          <w:ilvl w:val="0"/>
          <w:numId w:val="16"/>
        </w:numPr>
        <w:tabs>
          <w:tab w:val="left" w:pos="709"/>
        </w:tabs>
        <w:spacing w:after="120" w:afterLines="50" w:line="460" w:lineRule="exact"/>
        <w:ind w:firstLineChars="0"/>
        <w:rPr>
          <w:rFonts w:ascii="宋体" w:hAnsi="宋体"/>
          <w:sz w:val="24"/>
          <w:szCs w:val="24"/>
        </w:rPr>
      </w:pPr>
      <w:r>
        <w:rPr>
          <w:rFonts w:hint="eastAsia" w:ascii="宋体" w:hAnsi="宋体" w:cs="宋体"/>
          <w:sz w:val="24"/>
          <w:szCs w:val="24"/>
        </w:rPr>
        <w:t>屋顶绿化施工现场应该优先进行临时（或永久性）围栏防护。</w:t>
      </w:r>
    </w:p>
    <w:p>
      <w:pPr>
        <w:pStyle w:val="196"/>
        <w:numPr>
          <w:ilvl w:val="0"/>
          <w:numId w:val="16"/>
        </w:numPr>
        <w:tabs>
          <w:tab w:val="left" w:pos="709"/>
        </w:tabs>
        <w:spacing w:after="120" w:afterLines="50" w:line="460" w:lineRule="exact"/>
        <w:ind w:firstLineChars="0"/>
        <w:rPr>
          <w:rFonts w:ascii="宋体" w:hAnsi="宋体"/>
          <w:sz w:val="24"/>
          <w:szCs w:val="24"/>
        </w:rPr>
      </w:pPr>
      <w:r>
        <w:rPr>
          <w:rFonts w:hint="eastAsia" w:ascii="宋体" w:hAnsi="宋体" w:cs="宋体"/>
          <w:sz w:val="24"/>
          <w:szCs w:val="24"/>
        </w:rPr>
        <w:t>高空垂直运输中，应采取确保人员安全和防止施工材料坠落的措施。</w:t>
      </w:r>
    </w:p>
    <w:p>
      <w:pPr>
        <w:pStyle w:val="196"/>
        <w:numPr>
          <w:ilvl w:val="0"/>
          <w:numId w:val="16"/>
        </w:numPr>
        <w:tabs>
          <w:tab w:val="left" w:pos="709"/>
        </w:tabs>
        <w:spacing w:after="120" w:afterLines="50" w:line="460" w:lineRule="exact"/>
        <w:ind w:firstLineChars="0"/>
        <w:rPr>
          <w:rFonts w:ascii="宋体" w:hAnsi="宋体"/>
          <w:sz w:val="24"/>
          <w:szCs w:val="24"/>
        </w:rPr>
      </w:pPr>
      <w:r>
        <w:rPr>
          <w:rFonts w:hint="eastAsia" w:ascii="宋体" w:hAnsi="宋体" w:cs="宋体"/>
          <w:sz w:val="24"/>
          <w:szCs w:val="24"/>
        </w:rPr>
        <w:t>屋顶绿化施工材料不得在屋顶集中码放；</w:t>
      </w:r>
    </w:p>
    <w:p>
      <w:pPr>
        <w:pStyle w:val="196"/>
        <w:numPr>
          <w:ilvl w:val="0"/>
          <w:numId w:val="16"/>
        </w:numPr>
        <w:tabs>
          <w:tab w:val="left" w:pos="709"/>
        </w:tabs>
        <w:spacing w:after="120" w:afterLines="50" w:line="460" w:lineRule="exact"/>
        <w:ind w:firstLineChars="0"/>
        <w:rPr>
          <w:rFonts w:ascii="宋体" w:hAnsi="宋体"/>
          <w:sz w:val="24"/>
          <w:szCs w:val="24"/>
        </w:rPr>
      </w:pPr>
      <w:r>
        <w:rPr>
          <w:rFonts w:hint="eastAsia" w:ascii="宋体" w:hAnsi="宋体" w:cs="宋体"/>
          <w:sz w:val="24"/>
          <w:szCs w:val="24"/>
        </w:rPr>
        <w:t>施工中应注意成品保护；</w:t>
      </w:r>
    </w:p>
    <w:p>
      <w:pPr>
        <w:pStyle w:val="196"/>
        <w:numPr>
          <w:ilvl w:val="0"/>
          <w:numId w:val="16"/>
        </w:numPr>
        <w:tabs>
          <w:tab w:val="left" w:pos="709"/>
        </w:tabs>
        <w:spacing w:after="120" w:afterLines="50" w:line="460" w:lineRule="exact"/>
        <w:ind w:firstLineChars="0"/>
        <w:rPr>
          <w:rFonts w:ascii="宋体" w:hAnsi="宋体"/>
          <w:sz w:val="24"/>
          <w:szCs w:val="24"/>
        </w:rPr>
      </w:pPr>
      <w:r>
        <w:rPr>
          <w:rFonts w:hint="eastAsia" w:ascii="宋体" w:hAnsi="宋体" w:cs="宋体"/>
          <w:sz w:val="24"/>
          <w:szCs w:val="24"/>
        </w:rPr>
        <w:t>屋顶周边和预留孔洞部位应设置安全防护；</w:t>
      </w:r>
    </w:p>
    <w:p>
      <w:pPr>
        <w:pStyle w:val="196"/>
        <w:numPr>
          <w:ilvl w:val="0"/>
          <w:numId w:val="16"/>
        </w:numPr>
        <w:tabs>
          <w:tab w:val="left" w:pos="709"/>
        </w:tabs>
        <w:spacing w:after="120" w:afterLines="50" w:line="460" w:lineRule="exact"/>
        <w:ind w:firstLineChars="0"/>
        <w:rPr>
          <w:rFonts w:ascii="宋体" w:hAnsi="宋体"/>
          <w:sz w:val="24"/>
          <w:szCs w:val="24"/>
        </w:rPr>
      </w:pPr>
      <w:r>
        <w:rPr>
          <w:rFonts w:hint="eastAsia" w:ascii="宋体" w:hAnsi="宋体" w:cs="宋体"/>
          <w:sz w:val="24"/>
          <w:szCs w:val="24"/>
        </w:rPr>
        <w:t>雷、雨、雪和风力</w:t>
      </w:r>
      <w:r>
        <w:rPr>
          <w:rFonts w:ascii="宋体" w:hAnsi="宋体" w:cs="宋体"/>
          <w:sz w:val="24"/>
          <w:szCs w:val="24"/>
        </w:rPr>
        <w:t>4</w:t>
      </w:r>
      <w:r>
        <w:rPr>
          <w:rFonts w:hint="eastAsia" w:ascii="宋体" w:hAnsi="宋体" w:cs="宋体"/>
          <w:sz w:val="24"/>
          <w:szCs w:val="24"/>
        </w:rPr>
        <w:t>级及以上天气时，屋顶施工应停止；</w:t>
      </w:r>
    </w:p>
    <w:p>
      <w:pPr>
        <w:pStyle w:val="196"/>
        <w:numPr>
          <w:ilvl w:val="0"/>
          <w:numId w:val="16"/>
        </w:numPr>
        <w:tabs>
          <w:tab w:val="left" w:pos="709"/>
        </w:tabs>
        <w:spacing w:after="120" w:afterLines="50" w:line="460" w:lineRule="exact"/>
        <w:ind w:firstLineChars="0"/>
        <w:rPr>
          <w:rFonts w:ascii="宋体" w:hAnsi="宋体"/>
          <w:sz w:val="24"/>
          <w:szCs w:val="24"/>
        </w:rPr>
      </w:pPr>
      <w:r>
        <w:rPr>
          <w:rFonts w:hint="eastAsia" w:ascii="宋体" w:hAnsi="宋体" w:cs="宋体"/>
          <w:sz w:val="24"/>
          <w:szCs w:val="24"/>
        </w:rPr>
        <w:t>施工现场应设置必要的消防设施。</w:t>
      </w:r>
    </w:p>
    <w:p>
      <w:pPr>
        <w:pStyle w:val="196"/>
        <w:numPr>
          <w:ilvl w:val="0"/>
          <w:numId w:val="16"/>
        </w:numPr>
        <w:tabs>
          <w:tab w:val="left" w:pos="709"/>
        </w:tabs>
        <w:spacing w:after="120" w:afterLines="50" w:line="460" w:lineRule="exact"/>
        <w:ind w:firstLineChars="0"/>
        <w:rPr>
          <w:rFonts w:ascii="宋体" w:hAnsi="宋体"/>
          <w:sz w:val="24"/>
          <w:szCs w:val="24"/>
        </w:rPr>
      </w:pPr>
      <w:r>
        <w:rPr>
          <w:rFonts w:hint="eastAsia" w:ascii="宋体" w:hAnsi="宋体" w:cs="宋体"/>
          <w:sz w:val="24"/>
          <w:szCs w:val="24"/>
        </w:rPr>
        <w:t>屋顶绿化使用的基质和施工产生的垃圾应使用容器运输。</w:t>
      </w:r>
    </w:p>
    <w:p>
      <w:pPr>
        <w:spacing w:after="120" w:afterLines="50" w:line="460" w:lineRule="exact"/>
        <w:ind w:left="976" w:hanging="975" w:hangingChars="405"/>
        <w:rPr>
          <w:rFonts w:ascii="宋体" w:hAnsi="宋体" w:cs="宋体"/>
          <w:b/>
          <w:sz w:val="24"/>
        </w:rPr>
      </w:pPr>
      <w:r>
        <w:rPr>
          <w:rFonts w:ascii="宋体" w:hAnsi="宋体" w:cs="宋体"/>
          <w:b/>
          <w:sz w:val="24"/>
        </w:rPr>
        <w:t>6.</w:t>
      </w:r>
      <w:r>
        <w:rPr>
          <w:rFonts w:hint="eastAsia" w:ascii="宋体" w:hAnsi="宋体" w:cs="宋体"/>
          <w:b/>
          <w:sz w:val="24"/>
        </w:rPr>
        <w:t>4   农药使用专项管理应该按照下列要求</w:t>
      </w:r>
    </w:p>
    <w:p>
      <w:pPr>
        <w:spacing w:after="120" w:afterLines="50" w:line="460" w:lineRule="exact"/>
        <w:ind w:left="972" w:hanging="972" w:hangingChars="405"/>
        <w:rPr>
          <w:rFonts w:ascii="宋体" w:hAnsi="宋体" w:cs="宋体"/>
          <w:sz w:val="24"/>
        </w:rPr>
      </w:pPr>
      <w:r>
        <w:rPr>
          <w:rFonts w:hint="eastAsia" w:ascii="宋体" w:hAnsi="宋体" w:cs="宋体"/>
          <w:sz w:val="24"/>
        </w:rPr>
        <w:t>6.4.1 园林绿化养护使用的农药应遵从低毒、环保的原则。</w:t>
      </w:r>
    </w:p>
    <w:p>
      <w:pPr>
        <w:spacing w:after="120" w:afterLines="50" w:line="460" w:lineRule="exact"/>
        <w:ind w:left="2"/>
        <w:rPr>
          <w:rFonts w:ascii="宋体" w:hAnsi="宋体" w:cs="宋体"/>
          <w:sz w:val="24"/>
        </w:rPr>
      </w:pPr>
      <w:r>
        <w:rPr>
          <w:rFonts w:hint="eastAsia" w:ascii="宋体" w:hAnsi="宋体" w:cs="宋体"/>
          <w:sz w:val="24"/>
        </w:rPr>
        <w:t>6.4.2 少量有毒农药需要在专有库房储存、专人看管，建立严格的出入库登记和旧瓶回收制度。</w:t>
      </w:r>
    </w:p>
    <w:p>
      <w:pPr>
        <w:spacing w:after="120" w:afterLines="50" w:line="460" w:lineRule="exact"/>
        <w:ind w:left="2"/>
        <w:rPr>
          <w:rFonts w:ascii="宋体" w:hAnsi="宋体" w:cs="宋体"/>
          <w:sz w:val="24"/>
        </w:rPr>
      </w:pPr>
      <w:r>
        <w:rPr>
          <w:rFonts w:hint="eastAsia" w:ascii="宋体" w:hAnsi="宋体" w:cs="宋体"/>
          <w:sz w:val="24"/>
        </w:rPr>
        <w:t>6.4.3 在对绿地喷施有毒农药前需要提前1天发布公示通知，喷施完成后应该在明显位置设立警示说明。</w:t>
      </w:r>
    </w:p>
    <w:p>
      <w:pPr>
        <w:spacing w:after="120" w:afterLines="50" w:line="460" w:lineRule="exact"/>
        <w:ind w:left="2"/>
        <w:rPr>
          <w:rFonts w:ascii="宋体" w:hAnsi="宋体" w:cs="宋体"/>
          <w:sz w:val="24"/>
        </w:rPr>
      </w:pPr>
      <w:r>
        <w:rPr>
          <w:rFonts w:hint="eastAsia" w:ascii="宋体" w:hAnsi="宋体" w:cs="宋体"/>
          <w:sz w:val="24"/>
        </w:rPr>
        <w:t>6.4.4 施药人员应穿长裤、长褂，戴手套、口罩，尽量不使皮肤外露。施药后及时洗澡、更换衣服；施药过程中严禁用手抹汗，擦嘴、脸、眼睛，进食；喷药间歇及施药后，必须远离施药现场，并用肥皂将手脸洗净后，方可饮水、进食或从事其他活动；</w:t>
      </w:r>
    </w:p>
    <w:p>
      <w:pPr>
        <w:pStyle w:val="166"/>
        <w:widowControl/>
        <w:spacing w:after="120" w:afterLines="50" w:line="460" w:lineRule="exact"/>
        <w:ind w:left="2" w:firstLine="0" w:firstLineChars="0"/>
        <w:jc w:val="left"/>
        <w:rPr>
          <w:rFonts w:ascii="宋体" w:hAnsi="宋体"/>
          <w:sz w:val="24"/>
        </w:rPr>
      </w:pPr>
      <w:r>
        <w:rPr>
          <w:rFonts w:hint="eastAsia" w:ascii="宋体" w:hAnsi="宋体" w:cs="宋体"/>
          <w:sz w:val="24"/>
        </w:rPr>
        <w:t>6.4.5 患有皮肤病或精神病的人、皮肤损伤后未痊愈的人、农药中毒后身体尚未完全恢复的人、刚饮过酒的人以及月经期、妊娠期、哺乳期的妇女等人群，不得实施农药喷施作业。</w:t>
      </w:r>
    </w:p>
    <w:p>
      <w:pPr>
        <w:spacing w:after="120" w:afterLines="50" w:line="460" w:lineRule="exact"/>
        <w:rPr>
          <w:rFonts w:ascii="宋体" w:hAnsi="宋体"/>
          <w:b/>
          <w:sz w:val="24"/>
        </w:rPr>
      </w:pPr>
      <w:bookmarkStart w:id="1383" w:name="_Toc263259796"/>
      <w:r>
        <w:rPr>
          <w:rFonts w:hint="eastAsia" w:ascii="宋体" w:hAnsi="宋体"/>
          <w:b/>
          <w:sz w:val="24"/>
        </w:rPr>
        <w:t>6</w:t>
      </w:r>
      <w:r>
        <w:rPr>
          <w:rFonts w:ascii="宋体" w:hAnsi="宋体"/>
          <w:b/>
          <w:sz w:val="24"/>
        </w:rPr>
        <w:t>.</w:t>
      </w:r>
      <w:bookmarkEnd w:id="1383"/>
      <w:r>
        <w:rPr>
          <w:rFonts w:hint="eastAsia" w:ascii="宋体" w:hAnsi="宋体"/>
          <w:b/>
          <w:sz w:val="24"/>
        </w:rPr>
        <w:t>5</w:t>
      </w:r>
      <w:bookmarkStart w:id="1384" w:name="_Toc263259797"/>
      <w:r>
        <w:rPr>
          <w:rFonts w:hint="eastAsia" w:ascii="宋体" w:hAnsi="宋体"/>
          <w:b/>
          <w:sz w:val="24"/>
        </w:rPr>
        <w:t xml:space="preserve">   临时消防</w:t>
      </w:r>
      <w:bookmarkEnd w:id="1384"/>
    </w:p>
    <w:p>
      <w:pPr>
        <w:spacing w:after="120" w:afterLines="50" w:line="460" w:lineRule="exact"/>
        <w:rPr>
          <w:sz w:val="24"/>
        </w:rPr>
      </w:pPr>
      <w:r>
        <w:rPr>
          <w:rFonts w:hint="eastAsia"/>
          <w:sz w:val="24"/>
        </w:rPr>
        <w:t>6.5.1 承包人应建立消防安全责任制度，制定用火、用电和使用易燃易爆等危险品的消防安全管理制度和操作规程。各项制度和规程等应满足相关法律法规和政府消防管理机构的要求。</w:t>
      </w:r>
    </w:p>
    <w:p>
      <w:pPr>
        <w:spacing w:after="120" w:afterLines="50" w:line="460" w:lineRule="exact"/>
        <w:rPr>
          <w:sz w:val="24"/>
        </w:rPr>
      </w:pPr>
      <w:r>
        <w:rPr>
          <w:rFonts w:hint="eastAsia"/>
          <w:sz w:val="24"/>
        </w:rPr>
        <w:t>6</w:t>
      </w:r>
      <w:r>
        <w:rPr>
          <w:sz w:val="24"/>
        </w:rPr>
        <w:t>.</w:t>
      </w:r>
      <w:r>
        <w:rPr>
          <w:rFonts w:hint="eastAsia"/>
          <w:sz w:val="24"/>
        </w:rPr>
        <w:t>5</w:t>
      </w:r>
      <w:r>
        <w:rPr>
          <w:sz w:val="24"/>
        </w:rPr>
        <w:t>.2</w:t>
      </w:r>
      <w:r>
        <w:rPr>
          <w:rFonts w:hint="eastAsia"/>
          <w:sz w:val="24"/>
        </w:rPr>
        <w:t xml:space="preserve"> </w:t>
      </w:r>
      <w:r>
        <w:rPr>
          <w:sz w:val="24"/>
        </w:rPr>
        <w:t>承包人应根据相关法律法规和消防管理</w:t>
      </w:r>
      <w:r>
        <w:rPr>
          <w:rFonts w:hint="eastAsia"/>
          <w:sz w:val="24"/>
        </w:rPr>
        <w:t>部门</w:t>
      </w:r>
      <w:r>
        <w:rPr>
          <w:sz w:val="24"/>
        </w:rPr>
        <w:t>的要求，为施工中的永久工程和所有临时工程提供必要的临时消防和紧急疏散设施，包括提供</w:t>
      </w:r>
      <w:r>
        <w:rPr>
          <w:rFonts w:hint="eastAsia"/>
          <w:sz w:val="24"/>
        </w:rPr>
        <w:t>并维持畅通的消防通道、</w:t>
      </w:r>
      <w:r>
        <w:rPr>
          <w:sz w:val="24"/>
        </w:rPr>
        <w:t>临时消火栓、灭火器、水龙带、灭火桶、灭火铲、灭火斧、消防水管、阀门、检查井、临时消防水箱、泵房和紧随工作面的临时疏散楼梯</w:t>
      </w:r>
      <w:r>
        <w:rPr>
          <w:rFonts w:hint="eastAsia"/>
          <w:sz w:val="24"/>
        </w:rPr>
        <w:t>或疏散设施，消防设施的设立和消防设备的型号和功率应满足消防任务的需要，始终保持能够随时投入正常使用的状态，并设立明显标志。</w:t>
      </w:r>
      <w:r>
        <w:rPr>
          <w:sz w:val="24"/>
        </w:rPr>
        <w:t>承包人的临时消防系统和配置应分别经过监理人的审批和验收。所有的临时消防设施属于承包人所有，</w:t>
      </w:r>
      <w:r>
        <w:rPr>
          <w:rFonts w:hint="eastAsia"/>
          <w:sz w:val="24"/>
        </w:rPr>
        <w:t>至</w:t>
      </w:r>
      <w:r>
        <w:rPr>
          <w:sz w:val="24"/>
        </w:rPr>
        <w:t>工程实际</w:t>
      </w:r>
      <w:r>
        <w:rPr>
          <w:rFonts w:hint="eastAsia"/>
          <w:sz w:val="24"/>
        </w:rPr>
        <w:t>竣</w:t>
      </w:r>
      <w:r>
        <w:rPr>
          <w:sz w:val="24"/>
        </w:rPr>
        <w:t>工时</w:t>
      </w:r>
      <w:r>
        <w:rPr>
          <w:rFonts w:hint="eastAsia"/>
          <w:sz w:val="24"/>
        </w:rPr>
        <w:t>且</w:t>
      </w:r>
      <w:r>
        <w:rPr>
          <w:sz w:val="24"/>
        </w:rPr>
        <w:t>永久性消防系统投入使用后从现场拆除。</w:t>
      </w:r>
    </w:p>
    <w:p>
      <w:pPr>
        <w:spacing w:after="120" w:afterLines="50" w:line="460" w:lineRule="exact"/>
        <w:rPr>
          <w:sz w:val="24"/>
        </w:rPr>
      </w:pPr>
      <w:r>
        <w:rPr>
          <w:rFonts w:hint="eastAsia"/>
          <w:sz w:val="24"/>
        </w:rPr>
        <w:t>6</w:t>
      </w:r>
      <w:r>
        <w:rPr>
          <w:sz w:val="24"/>
        </w:rPr>
        <w:t>.</w:t>
      </w:r>
      <w:r>
        <w:rPr>
          <w:rFonts w:hint="eastAsia"/>
          <w:sz w:val="24"/>
        </w:rPr>
        <w:t>5</w:t>
      </w:r>
      <w:r>
        <w:rPr>
          <w:sz w:val="24"/>
        </w:rPr>
        <w:t>.3</w:t>
      </w:r>
      <w:r>
        <w:rPr>
          <w:rFonts w:hint="eastAsia"/>
          <w:sz w:val="24"/>
        </w:rPr>
        <w:t xml:space="preserve"> 承包人应当</w:t>
      </w:r>
      <w:r>
        <w:rPr>
          <w:sz w:val="24"/>
        </w:rPr>
        <w:t>成立由工程主要负责人担任组长的临时消防组或消防队，宣传消防基本知识和基本操作培训</w:t>
      </w:r>
      <w:r>
        <w:rPr>
          <w:rFonts w:hint="eastAsia"/>
          <w:sz w:val="24"/>
        </w:rPr>
        <w:t>，组织消防演练，保证一旦发生火灾，能够组织有效的自救，保护生命和财产安全。</w:t>
      </w:r>
    </w:p>
    <w:p>
      <w:pPr>
        <w:spacing w:after="120" w:afterLines="50" w:line="460" w:lineRule="exact"/>
        <w:ind w:firstLine="1"/>
        <w:rPr>
          <w:sz w:val="24"/>
        </w:rPr>
      </w:pPr>
      <w:r>
        <w:rPr>
          <w:rFonts w:hint="eastAsia"/>
          <w:sz w:val="24"/>
        </w:rPr>
        <w:t>6</w:t>
      </w:r>
      <w:r>
        <w:rPr>
          <w:sz w:val="24"/>
        </w:rPr>
        <w:t>.</w:t>
      </w:r>
      <w:r>
        <w:rPr>
          <w:rFonts w:hint="eastAsia"/>
          <w:sz w:val="24"/>
        </w:rPr>
        <w:t>5</w:t>
      </w:r>
      <w:r>
        <w:rPr>
          <w:sz w:val="24"/>
        </w:rPr>
        <w:t>.</w:t>
      </w:r>
      <w:r>
        <w:rPr>
          <w:rFonts w:hint="eastAsia"/>
          <w:sz w:val="24"/>
        </w:rPr>
        <w:t>4 施工场地（现场）内的</w:t>
      </w:r>
      <w:r>
        <w:rPr>
          <w:sz w:val="24"/>
        </w:rPr>
        <w:t>易燃</w:t>
      </w:r>
      <w:r>
        <w:rPr>
          <w:rFonts w:hint="eastAsia"/>
          <w:sz w:val="24"/>
        </w:rPr>
        <w:t>、易爆物品应单独和安全地存放，设专人进行存放和领用管理。施工场地（现场）</w:t>
      </w:r>
      <w:r>
        <w:rPr>
          <w:sz w:val="24"/>
        </w:rPr>
        <w:t>储有或正在使用易燃</w:t>
      </w:r>
      <w:r>
        <w:rPr>
          <w:rFonts w:hint="eastAsia"/>
          <w:sz w:val="24"/>
        </w:rPr>
        <w:t>、易爆</w:t>
      </w:r>
      <w:r>
        <w:rPr>
          <w:sz w:val="24"/>
        </w:rPr>
        <w:t>或可燃材料时或有明火施工的工序</w:t>
      </w:r>
      <w:r>
        <w:rPr>
          <w:rFonts w:hint="eastAsia"/>
          <w:sz w:val="24"/>
        </w:rPr>
        <w:t>，应当</w:t>
      </w:r>
      <w:r>
        <w:rPr>
          <w:sz w:val="24"/>
        </w:rPr>
        <w:t>实行严格的</w:t>
      </w:r>
      <w:r>
        <w:rPr>
          <w:rFonts w:hint="eastAsia"/>
          <w:sz w:val="24"/>
        </w:rPr>
        <w:t>“</w:t>
      </w:r>
      <w:r>
        <w:rPr>
          <w:sz w:val="24"/>
        </w:rPr>
        <w:t>用火证</w:t>
      </w:r>
      <w:r>
        <w:rPr>
          <w:rFonts w:hint="eastAsia"/>
          <w:sz w:val="24"/>
        </w:rPr>
        <w:t>”</w:t>
      </w:r>
      <w:r>
        <w:rPr>
          <w:sz w:val="24"/>
        </w:rPr>
        <w:t>管理</w:t>
      </w:r>
      <w:r>
        <w:rPr>
          <w:rFonts w:hint="eastAsia"/>
          <w:sz w:val="24"/>
        </w:rPr>
        <w:t>制度。6</w:t>
      </w:r>
      <w:r>
        <w:rPr>
          <w:sz w:val="24"/>
        </w:rPr>
        <w:t>.</w:t>
      </w:r>
      <w:r>
        <w:rPr>
          <w:rFonts w:hint="eastAsia"/>
          <w:sz w:val="24"/>
        </w:rPr>
        <w:t>5</w:t>
      </w:r>
      <w:r>
        <w:rPr>
          <w:sz w:val="24"/>
        </w:rPr>
        <w:t>.</w:t>
      </w:r>
      <w:r>
        <w:rPr>
          <w:rFonts w:hint="eastAsia"/>
          <w:sz w:val="24"/>
        </w:rPr>
        <w:t>5</w:t>
      </w:r>
      <w:r>
        <w:rPr>
          <w:sz w:val="24"/>
        </w:rPr>
        <w:t xml:space="preserve"> </w:t>
      </w:r>
      <w:r>
        <w:rPr>
          <w:rFonts w:hint="eastAsia"/>
          <w:sz w:val="24"/>
        </w:rPr>
        <w:t xml:space="preserve"> 临时消防方面的其他</w:t>
      </w:r>
      <w:r>
        <w:rPr>
          <w:sz w:val="24"/>
        </w:rPr>
        <w:t>要求</w:t>
      </w:r>
      <w:r>
        <w:rPr>
          <w:rFonts w:hint="eastAsia"/>
          <w:sz w:val="24"/>
        </w:rPr>
        <w:t>如下：</w:t>
      </w:r>
    </w:p>
    <w:p>
      <w:pPr>
        <w:spacing w:after="120" w:afterLines="50" w:line="460" w:lineRule="exact"/>
        <w:rPr>
          <w:u w:val="single"/>
        </w:rPr>
      </w:pPr>
      <w:bookmarkStart w:id="1385" w:name="_Toc263259798"/>
      <w:r>
        <w:rPr>
          <w:rFonts w:hint="eastAsia"/>
          <w:u w:val="single"/>
        </w:rPr>
        <w:t xml:space="preserve">                                                                                </w:t>
      </w:r>
      <w:r>
        <w:rPr>
          <w:rFonts w:hint="eastAsia"/>
        </w:rPr>
        <w:t>。</w:t>
      </w:r>
    </w:p>
    <w:p>
      <w:pPr>
        <w:spacing w:after="120" w:afterLines="50" w:line="460" w:lineRule="exact"/>
        <w:jc w:val="left"/>
        <w:rPr>
          <w:rFonts w:ascii="宋体" w:hAnsi="宋体"/>
          <w:b/>
          <w:sz w:val="24"/>
        </w:rPr>
      </w:pPr>
      <w:r>
        <w:rPr>
          <w:rFonts w:hint="eastAsia" w:ascii="宋体" w:hAnsi="宋体"/>
          <w:b/>
          <w:sz w:val="24"/>
        </w:rPr>
        <w:t>6.</w:t>
      </w:r>
      <w:bookmarkEnd w:id="1385"/>
      <w:r>
        <w:rPr>
          <w:rFonts w:hint="eastAsia" w:ascii="宋体" w:hAnsi="宋体"/>
          <w:b/>
          <w:sz w:val="24"/>
        </w:rPr>
        <w:t>6</w:t>
      </w:r>
      <w:bookmarkStart w:id="1386" w:name="_Toc263259799"/>
      <w:r>
        <w:rPr>
          <w:rFonts w:hint="eastAsia" w:ascii="宋体" w:hAnsi="宋体"/>
          <w:b/>
          <w:sz w:val="24"/>
        </w:rPr>
        <w:t xml:space="preserve">   临时供电</w:t>
      </w:r>
      <w:bookmarkEnd w:id="1386"/>
    </w:p>
    <w:p>
      <w:pPr>
        <w:spacing w:after="120" w:afterLines="50" w:line="460" w:lineRule="exact"/>
        <w:rPr>
          <w:sz w:val="24"/>
        </w:rPr>
      </w:pPr>
      <w:r>
        <w:rPr>
          <w:rFonts w:hint="eastAsia"/>
          <w:sz w:val="24"/>
        </w:rPr>
        <w:t>6.6.1 承包人应当根据《施工现场临时用电安全技术规范》（JGJ46-2005）及其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w:t>
      </w:r>
    </w:p>
    <w:p>
      <w:pPr>
        <w:spacing w:after="120" w:afterLines="50" w:line="460" w:lineRule="exact"/>
        <w:rPr>
          <w:sz w:val="24"/>
        </w:rPr>
      </w:pPr>
      <w:r>
        <w:rPr>
          <w:rFonts w:hint="eastAsia"/>
          <w:sz w:val="24"/>
        </w:rPr>
        <w:t>6.6.2 承包人应为施工场地（现场），包括为工程楼层或者各区域，提供、设立和维护必要的临时电力供应系统，并保证电力供应系统始终处于满足供电管理部门要求和正常施工生产所要求的状态，并在工程实际竣工和相应永久系统投入使用后从现场拆除。</w:t>
      </w:r>
    </w:p>
    <w:p>
      <w:pPr>
        <w:spacing w:after="120" w:afterLines="50" w:line="460" w:lineRule="exact"/>
        <w:rPr>
          <w:sz w:val="24"/>
        </w:rPr>
      </w:pPr>
      <w:r>
        <w:rPr>
          <w:rFonts w:hint="eastAsia"/>
          <w:sz w:val="24"/>
        </w:rPr>
        <w:t>6.6.3 临时供电系统的电缆、电线、配电箱、控制柜、开关箱、漏电保护器等材料设备均应当具有生产（制造）许可证、产品合格证并经过检验合格的产品。临时用电采用三相五线制、三级配电和两极漏电保护供电，三相四线制配电的电缆线路必须采用五芯电缆，按规定设立零</w:t>
      </w:r>
      <w:r>
        <w:rPr>
          <w:sz w:val="24"/>
        </w:rPr>
        <w:t>线</w:t>
      </w:r>
      <w:r>
        <w:rPr>
          <w:rFonts w:hint="eastAsia"/>
          <w:sz w:val="24"/>
        </w:rPr>
        <w:t>和接地</w:t>
      </w:r>
      <w:r>
        <w:rPr>
          <w:sz w:val="24"/>
        </w:rPr>
        <w:t>线</w:t>
      </w:r>
      <w:r>
        <w:rPr>
          <w:rFonts w:hint="eastAsia"/>
          <w:sz w:val="24"/>
        </w:rPr>
        <w:t>。电缆和电线的铺设要符合安全用电标准要求，电缆线路应采用埋地或架空敷设，严禁严地面明设，并应避免机械损伤和介质腐蚀。埋地电缆路径应设方位标志。各种配电设备均设有防止漏电和防雨防水设施。</w:t>
      </w:r>
    </w:p>
    <w:p>
      <w:pPr>
        <w:spacing w:after="120" w:afterLines="50" w:line="460" w:lineRule="exact"/>
        <w:rPr>
          <w:sz w:val="24"/>
        </w:rPr>
      </w:pPr>
      <w:r>
        <w:rPr>
          <w:rFonts w:hint="eastAsia"/>
          <w:sz w:val="24"/>
        </w:rPr>
        <w:t>6.6.4 承包人应在施工作业区、施工道路、临时设施、办公区和生活区设置足够的照明，地下工程照明系统的电压不得高于</w:t>
      </w:r>
      <w:r>
        <w:rPr>
          <w:sz w:val="24"/>
        </w:rPr>
        <w:t>36V</w:t>
      </w:r>
      <w:r>
        <w:rPr>
          <w:rFonts w:hint="eastAsia"/>
          <w:sz w:val="24"/>
        </w:rPr>
        <w:t>，在潮湿和易触及带电体场所的照明供电电压不应大于</w:t>
      </w:r>
      <w:r>
        <w:rPr>
          <w:sz w:val="24"/>
        </w:rPr>
        <w:t>24V</w:t>
      </w:r>
      <w:r>
        <w:rPr>
          <w:rFonts w:hint="eastAsia"/>
          <w:sz w:val="24"/>
        </w:rPr>
        <w:t>。不便于使用电器照明的工作面应采用特殊照明设施。</w:t>
      </w:r>
    </w:p>
    <w:p>
      <w:pPr>
        <w:spacing w:after="120" w:afterLines="50" w:line="460" w:lineRule="exact"/>
        <w:rPr>
          <w:sz w:val="24"/>
        </w:rPr>
      </w:pPr>
      <w:r>
        <w:rPr>
          <w:rFonts w:hint="eastAsia"/>
          <w:sz w:val="24"/>
        </w:rPr>
        <w:t>6.6.5 凡可能漏电伤人或易受雷击的电器及建筑物均应设置接地和避雷装置。承包人应负责避雷装置的采购、安装、管理和维修，并建立定期检查制度。</w:t>
      </w:r>
    </w:p>
    <w:p>
      <w:pPr>
        <w:spacing w:after="120" w:afterLines="50" w:line="460" w:lineRule="exact"/>
        <w:rPr>
          <w:sz w:val="24"/>
        </w:rPr>
      </w:pPr>
      <w:r>
        <w:rPr>
          <w:rFonts w:hint="eastAsia"/>
          <w:sz w:val="24"/>
        </w:rPr>
        <w:t>6.6.6 临时用电方面的其他</w:t>
      </w:r>
      <w:r>
        <w:rPr>
          <w:sz w:val="24"/>
        </w:rPr>
        <w:t>要求</w:t>
      </w:r>
      <w:r>
        <w:rPr>
          <w:rFonts w:hint="eastAsia"/>
          <w:sz w:val="24"/>
        </w:rPr>
        <w:t xml:space="preserve">如下：                                                                               </w:t>
      </w:r>
      <w:r>
        <w:rPr>
          <w:rFonts w:hint="eastAsia"/>
          <w:sz w:val="24"/>
          <w:u w:val="single"/>
        </w:rPr>
        <w:t xml:space="preserve">                                                                    </w:t>
      </w:r>
    </w:p>
    <w:p>
      <w:pPr>
        <w:spacing w:after="120" w:afterLines="50" w:line="460" w:lineRule="exact"/>
        <w:rPr>
          <w:sz w:val="24"/>
          <w:u w:val="single"/>
        </w:rPr>
      </w:pPr>
      <w:r>
        <w:rPr>
          <w:rFonts w:hint="eastAsia"/>
          <w:sz w:val="24"/>
          <w:u w:val="single"/>
        </w:rPr>
        <w:t xml:space="preserve">                                                                      </w:t>
      </w:r>
      <w:r>
        <w:rPr>
          <w:rFonts w:hint="eastAsia"/>
          <w:sz w:val="24"/>
        </w:rPr>
        <w:t>。</w:t>
      </w:r>
    </w:p>
    <w:p>
      <w:pPr>
        <w:spacing w:after="120" w:afterLines="50" w:line="460" w:lineRule="exact"/>
        <w:rPr>
          <w:rFonts w:ascii="宋体" w:hAnsi="宋体"/>
          <w:b/>
          <w:sz w:val="24"/>
        </w:rPr>
      </w:pPr>
      <w:bookmarkStart w:id="1387" w:name="_Toc263259800"/>
      <w:r>
        <w:rPr>
          <w:rFonts w:hint="eastAsia" w:ascii="宋体" w:hAnsi="宋体"/>
          <w:b/>
          <w:sz w:val="24"/>
        </w:rPr>
        <w:t>6</w:t>
      </w:r>
      <w:r>
        <w:rPr>
          <w:rFonts w:ascii="宋体" w:hAnsi="宋体"/>
          <w:b/>
          <w:sz w:val="24"/>
        </w:rPr>
        <w:t>.</w:t>
      </w:r>
      <w:bookmarkEnd w:id="1387"/>
      <w:r>
        <w:rPr>
          <w:rFonts w:hint="eastAsia" w:ascii="宋体" w:hAnsi="宋体"/>
          <w:b/>
          <w:sz w:val="24"/>
        </w:rPr>
        <w:t>7</w:t>
      </w:r>
      <w:bookmarkStart w:id="1388" w:name="_Toc263259801"/>
      <w:r>
        <w:rPr>
          <w:rFonts w:hint="eastAsia" w:ascii="宋体" w:hAnsi="宋体"/>
          <w:b/>
          <w:sz w:val="24"/>
        </w:rPr>
        <w:t xml:space="preserve">   劳动保护</w:t>
      </w:r>
      <w:bookmarkEnd w:id="1388"/>
    </w:p>
    <w:p>
      <w:pPr>
        <w:spacing w:after="120" w:afterLines="50" w:line="460" w:lineRule="exact"/>
        <w:rPr>
          <w:sz w:val="24"/>
        </w:rPr>
      </w:pPr>
      <w:r>
        <w:rPr>
          <w:rFonts w:hint="eastAsia"/>
          <w:sz w:val="24"/>
        </w:rPr>
        <w:t>6.7.1 承包人应遵守所有适用于本合同的劳动法规及其他有关法律、法规、规章和规定中关于工人工资标准、劳动时间和劳动条件的规定，合理安排现场作业人员的劳动和休息时间，保障劳动者必须的休息时间，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何处罚、索赔、损失和损害等。</w:t>
      </w:r>
    </w:p>
    <w:p>
      <w:pPr>
        <w:spacing w:after="120" w:afterLines="50" w:line="460" w:lineRule="exact"/>
        <w:rPr>
          <w:sz w:val="24"/>
        </w:rPr>
      </w:pPr>
      <w:r>
        <w:rPr>
          <w:rFonts w:hint="eastAsia"/>
          <w:sz w:val="24"/>
        </w:rPr>
        <w:t>6.7.2 承包人应按照国家《劳动保护法》的规定，保障现场施工人员的劳动安全。承包人应为本合同下雇佣的职员和工人提供适当和充分的劳动保护，包括但不限于安全防护、防寒、防雨、防尘、绝缘保护、常用药品、急救设备、传染病预防等。</w:t>
      </w:r>
    </w:p>
    <w:p>
      <w:pPr>
        <w:spacing w:after="120" w:afterLines="50" w:line="460" w:lineRule="exact"/>
        <w:rPr>
          <w:sz w:val="24"/>
        </w:rPr>
      </w:pPr>
      <w:r>
        <w:rPr>
          <w:rFonts w:hint="eastAsia"/>
          <w:sz w:val="24"/>
        </w:rPr>
        <w:t>6.7.3 承包人应为其履行本合同所雇佣的职员和工人提供和维护任何必要的膳宿条件和生活环境，包括但不限于宿舍、围栏、供水（饮用及其他目的用水）、供电、卫生设备、食堂及炊具、防火及灭火设备、供热、家具及其他正常膳宿条件和生活环境所需的必需品，并应考虑宗教和民族习惯。</w:t>
      </w:r>
    </w:p>
    <w:p>
      <w:pPr>
        <w:spacing w:after="120" w:afterLines="50" w:line="460" w:lineRule="exact"/>
        <w:rPr>
          <w:sz w:val="24"/>
        </w:rPr>
      </w:pPr>
      <w:r>
        <w:rPr>
          <w:rFonts w:hint="eastAsia"/>
          <w:sz w:val="24"/>
        </w:rPr>
        <w:t>6</w:t>
      </w:r>
      <w:r>
        <w:rPr>
          <w:sz w:val="24"/>
        </w:rPr>
        <w:t>.</w:t>
      </w:r>
      <w:r>
        <w:rPr>
          <w:rFonts w:hint="eastAsia"/>
          <w:sz w:val="24"/>
        </w:rPr>
        <w:t>7</w:t>
      </w:r>
      <w:r>
        <w:rPr>
          <w:sz w:val="24"/>
        </w:rPr>
        <w:t>.</w:t>
      </w:r>
      <w:r>
        <w:rPr>
          <w:rFonts w:hint="eastAsia"/>
          <w:sz w:val="24"/>
        </w:rPr>
        <w:t>4 承包人应为现场工人提供符合政府卫生规定的生活条件并获得必要的许可，保证工人的健康和防止任何传染病，包括工人的食堂、厕所、工具房、宿舍等；承包人应聘请专业的卫生防疫部门定期对现场、工人生活基地和工程进行防疫和卫生的专业检查和处理，包括消灭白蚁、鼠害、蚊蝇和其它害虫，以防对施工人员、现场和永久工程造成任何危害。</w:t>
      </w:r>
    </w:p>
    <w:p>
      <w:pPr>
        <w:spacing w:after="120" w:afterLines="50" w:line="460" w:lineRule="exact"/>
        <w:rPr>
          <w:sz w:val="24"/>
        </w:rPr>
      </w:pPr>
      <w:r>
        <w:rPr>
          <w:rFonts w:hint="eastAsia"/>
          <w:sz w:val="24"/>
        </w:rPr>
        <w:t>6</w:t>
      </w:r>
      <w:r>
        <w:rPr>
          <w:sz w:val="24"/>
        </w:rPr>
        <w:t>.</w:t>
      </w:r>
      <w:r>
        <w:rPr>
          <w:rFonts w:hint="eastAsia"/>
          <w:sz w:val="24"/>
        </w:rPr>
        <w:t>7</w:t>
      </w:r>
      <w:r>
        <w:rPr>
          <w:sz w:val="24"/>
        </w:rPr>
        <w:t>.</w:t>
      </w:r>
      <w:r>
        <w:rPr>
          <w:rFonts w:hint="eastAsia"/>
          <w:sz w:val="24"/>
        </w:rPr>
        <w:t>5 承包人应在现场配备足够的设施、药物，用于一旦发生安全事故时对受伤人员的急救。</w:t>
      </w:r>
    </w:p>
    <w:p>
      <w:pPr>
        <w:spacing w:after="120" w:afterLines="50" w:line="460" w:lineRule="exact"/>
        <w:rPr>
          <w:sz w:val="24"/>
        </w:rPr>
      </w:pPr>
      <w:r>
        <w:rPr>
          <w:rFonts w:hint="eastAsia"/>
          <w:sz w:val="24"/>
        </w:rPr>
        <w:t>6</w:t>
      </w:r>
      <w:r>
        <w:rPr>
          <w:sz w:val="24"/>
        </w:rPr>
        <w:t>.</w:t>
      </w:r>
      <w:r>
        <w:rPr>
          <w:rFonts w:hint="eastAsia"/>
          <w:sz w:val="24"/>
        </w:rPr>
        <w:t>7</w:t>
      </w:r>
      <w:r>
        <w:rPr>
          <w:sz w:val="24"/>
        </w:rPr>
        <w:t>.</w:t>
      </w:r>
      <w:r>
        <w:rPr>
          <w:rFonts w:hint="eastAsia"/>
          <w:sz w:val="24"/>
        </w:rPr>
        <w:t>6 劳动保护方面的其他</w:t>
      </w:r>
      <w:r>
        <w:rPr>
          <w:sz w:val="24"/>
        </w:rPr>
        <w:t>要求</w:t>
      </w:r>
      <w:r>
        <w:rPr>
          <w:rFonts w:hint="eastAsia"/>
          <w:sz w:val="24"/>
        </w:rPr>
        <w:t>如下：</w:t>
      </w:r>
    </w:p>
    <w:p>
      <w:pPr>
        <w:spacing w:after="120" w:afterLines="50" w:line="460" w:lineRule="exact"/>
        <w:rPr>
          <w:sz w:val="24"/>
          <w:u w:val="single"/>
        </w:rPr>
      </w:pPr>
      <w:r>
        <w:rPr>
          <w:rFonts w:hint="eastAsia"/>
          <w:sz w:val="24"/>
          <w:u w:val="single"/>
        </w:rPr>
        <w:t xml:space="preserve">                                                                      </w:t>
      </w:r>
      <w:r>
        <w:rPr>
          <w:rFonts w:hint="eastAsia"/>
          <w:sz w:val="24"/>
        </w:rPr>
        <w:t>。</w:t>
      </w:r>
    </w:p>
    <w:p>
      <w:pPr>
        <w:spacing w:after="120" w:afterLines="50" w:line="460" w:lineRule="exact"/>
        <w:rPr>
          <w:rFonts w:ascii="宋体" w:hAnsi="宋体"/>
          <w:b/>
          <w:sz w:val="24"/>
        </w:rPr>
      </w:pPr>
      <w:r>
        <w:rPr>
          <w:rFonts w:hint="eastAsia" w:ascii="宋体" w:hAnsi="宋体"/>
          <w:b/>
          <w:sz w:val="24"/>
        </w:rPr>
        <w:t>6.8   脚手架</w:t>
      </w:r>
    </w:p>
    <w:p>
      <w:pPr>
        <w:spacing w:after="120" w:afterLines="50" w:line="460" w:lineRule="exact"/>
        <w:rPr>
          <w:sz w:val="24"/>
        </w:rPr>
      </w:pPr>
      <w:r>
        <w:rPr>
          <w:sz w:val="24"/>
        </w:rPr>
        <w:t>6.</w:t>
      </w:r>
      <w:r>
        <w:rPr>
          <w:rFonts w:hint="eastAsia"/>
          <w:sz w:val="24"/>
        </w:rPr>
        <w:t>8</w:t>
      </w:r>
      <w:r>
        <w:rPr>
          <w:sz w:val="24"/>
        </w:rPr>
        <w:t>.1</w:t>
      </w:r>
      <w:r>
        <w:rPr>
          <w:rFonts w:hint="eastAsia"/>
          <w:sz w:val="24"/>
        </w:rPr>
        <w:t xml:space="preserve"> 承包人按照园林建筑（一层）及园林小品等具体工程的需要应该搭设并维护一切必要的临时脚手架、挑平台并配以脚手板、安全网、护身栏杆、门架、马道、坡道、爬梯等等。脚手架和挑平台的搭设应满足有关安全生产的法律、法规、规范、标准和规程等的要求。新搭设的脚手架投入使用前，承包人必须组织安全检查和验收，并对使用脚手架的作业人员进行安全交底。</w:t>
      </w:r>
    </w:p>
    <w:p>
      <w:pPr>
        <w:spacing w:after="120" w:afterLines="50" w:line="460" w:lineRule="exact"/>
        <w:rPr>
          <w:sz w:val="24"/>
        </w:rPr>
      </w:pPr>
      <w:r>
        <w:rPr>
          <w:sz w:val="24"/>
        </w:rPr>
        <w:t>6.</w:t>
      </w:r>
      <w:r>
        <w:rPr>
          <w:rFonts w:hint="eastAsia"/>
          <w:sz w:val="24"/>
        </w:rPr>
        <w:t>8</w:t>
      </w:r>
      <w:r>
        <w:rPr>
          <w:sz w:val="24"/>
        </w:rPr>
        <w:t>.2</w:t>
      </w:r>
      <w:r>
        <w:rPr>
          <w:rFonts w:hint="eastAsia"/>
          <w:sz w:val="24"/>
        </w:rPr>
        <w:t xml:space="preserve"> 园林树木防寒防护、园林建筑和小品施工的脚手架工程、达到一定规模和危险性较大，承包人应当编制专项施工方案。还应当经过安全验算，脚手架安全验算结果必须报送监理人核查后方可实施。</w:t>
      </w:r>
    </w:p>
    <w:p>
      <w:pPr>
        <w:spacing w:after="120" w:afterLines="50" w:line="460" w:lineRule="exact"/>
        <w:rPr>
          <w:sz w:val="24"/>
        </w:rPr>
      </w:pPr>
      <w:r>
        <w:rPr>
          <w:sz w:val="24"/>
        </w:rPr>
        <w:t>6.</w:t>
      </w:r>
      <w:r>
        <w:rPr>
          <w:rFonts w:hint="eastAsia"/>
          <w:sz w:val="24"/>
        </w:rPr>
        <w:t>8</w:t>
      </w:r>
      <w:r>
        <w:rPr>
          <w:sz w:val="24"/>
        </w:rPr>
        <w:t>.3</w:t>
      </w:r>
      <w:r>
        <w:rPr>
          <w:rFonts w:hint="eastAsia"/>
          <w:sz w:val="24"/>
        </w:rPr>
        <w:t xml:space="preserve"> 承包人应当加强脚手架的日常安全巡查，及时对其中的安全隐患进行整改，确保脚手架使用安全。雨、雪、雾、霜和大风等天气后，承包人必须对脚手架进行安全巡查，并及时消除安全隐患。</w:t>
      </w:r>
    </w:p>
    <w:p>
      <w:pPr>
        <w:spacing w:after="120" w:afterLines="50" w:line="460" w:lineRule="exact"/>
        <w:rPr>
          <w:sz w:val="24"/>
        </w:rPr>
      </w:pPr>
      <w:r>
        <w:rPr>
          <w:rFonts w:hint="eastAsia"/>
          <w:sz w:val="24"/>
        </w:rPr>
        <w:t>6</w:t>
      </w:r>
      <w:r>
        <w:rPr>
          <w:sz w:val="24"/>
        </w:rPr>
        <w:t>.</w:t>
      </w:r>
      <w:r>
        <w:rPr>
          <w:rFonts w:hint="eastAsia"/>
          <w:sz w:val="24"/>
        </w:rPr>
        <w:t>8</w:t>
      </w:r>
      <w:r>
        <w:rPr>
          <w:sz w:val="24"/>
        </w:rPr>
        <w:t>.</w:t>
      </w:r>
      <w:r>
        <w:rPr>
          <w:rFonts w:hint="eastAsia"/>
          <w:sz w:val="24"/>
        </w:rPr>
        <w:t>4 承包人应允许发包人、监理人、专业分包人、独立承包人（如果有）和有关行政管理部门或者机构免费使用承包人在现场搭设的任何已有脚手架，并就其安全使用做必要交底说明。承包人在拆除任何脚手架前，应书面请示监理人他将要拆除的脚手架是否为发包人、监理人、专业分包人、独立承包人（如果有）和政府有关机构所需，只有在获得监理人书面批准后，承包人才能拆除相关脚手架，否则承包人应自费重新搭设。</w:t>
      </w:r>
    </w:p>
    <w:p>
      <w:pPr>
        <w:spacing w:after="120" w:afterLines="50" w:line="460" w:lineRule="exact"/>
        <w:rPr>
          <w:sz w:val="24"/>
        </w:rPr>
      </w:pPr>
      <w:r>
        <w:rPr>
          <w:rFonts w:hint="eastAsia"/>
          <w:sz w:val="24"/>
        </w:rPr>
        <w:t>6</w:t>
      </w:r>
      <w:r>
        <w:rPr>
          <w:sz w:val="24"/>
        </w:rPr>
        <w:t>.</w:t>
      </w:r>
      <w:r>
        <w:rPr>
          <w:rFonts w:hint="eastAsia"/>
          <w:sz w:val="24"/>
        </w:rPr>
        <w:t>8</w:t>
      </w:r>
      <w:r>
        <w:rPr>
          <w:sz w:val="24"/>
        </w:rPr>
        <w:t>.</w:t>
      </w:r>
      <w:r>
        <w:rPr>
          <w:rFonts w:hint="eastAsia"/>
          <w:sz w:val="24"/>
        </w:rPr>
        <w:t>5 脚手架的其他</w:t>
      </w:r>
      <w:r>
        <w:rPr>
          <w:sz w:val="24"/>
        </w:rPr>
        <w:t>要求</w:t>
      </w:r>
      <w:r>
        <w:rPr>
          <w:rFonts w:hint="eastAsia"/>
          <w:sz w:val="24"/>
        </w:rPr>
        <w:t>如下：</w:t>
      </w:r>
    </w:p>
    <w:p>
      <w:pPr>
        <w:spacing w:after="120" w:afterLines="50" w:line="460" w:lineRule="exact"/>
        <w:rPr>
          <w:sz w:val="24"/>
          <w:u w:val="single"/>
        </w:rPr>
      </w:pPr>
      <w:bookmarkStart w:id="1389" w:name="_Toc263259804"/>
      <w:r>
        <w:rPr>
          <w:rFonts w:hint="eastAsia"/>
          <w:sz w:val="24"/>
          <w:u w:val="single"/>
        </w:rPr>
        <w:t xml:space="preserve">                                                                      </w:t>
      </w:r>
      <w:r>
        <w:rPr>
          <w:rFonts w:hint="eastAsia"/>
          <w:sz w:val="24"/>
        </w:rPr>
        <w:t>。</w:t>
      </w:r>
    </w:p>
    <w:p>
      <w:pPr>
        <w:spacing w:after="120" w:afterLines="50" w:line="460" w:lineRule="exact"/>
        <w:rPr>
          <w:rFonts w:ascii="宋体" w:hAnsi="宋体"/>
          <w:b/>
          <w:sz w:val="24"/>
        </w:rPr>
      </w:pPr>
      <w:r>
        <w:rPr>
          <w:rFonts w:hint="eastAsia" w:ascii="宋体" w:hAnsi="宋体"/>
          <w:b/>
          <w:sz w:val="24"/>
        </w:rPr>
        <w:t>6</w:t>
      </w:r>
      <w:r>
        <w:rPr>
          <w:rFonts w:ascii="宋体" w:hAnsi="宋体"/>
          <w:b/>
          <w:sz w:val="24"/>
        </w:rPr>
        <w:t>.</w:t>
      </w:r>
      <w:bookmarkEnd w:id="1389"/>
      <w:bookmarkStart w:id="1390" w:name="_Toc263259805"/>
      <w:r>
        <w:rPr>
          <w:rFonts w:hint="eastAsia" w:ascii="宋体" w:hAnsi="宋体"/>
          <w:b/>
          <w:sz w:val="24"/>
        </w:rPr>
        <w:t>9   施工安全措施计划</w:t>
      </w:r>
      <w:bookmarkEnd w:id="1390"/>
    </w:p>
    <w:p>
      <w:pPr>
        <w:spacing w:after="120" w:afterLines="50" w:line="460" w:lineRule="exact"/>
        <w:rPr>
          <w:sz w:val="24"/>
        </w:rPr>
      </w:pPr>
      <w:r>
        <w:rPr>
          <w:rFonts w:hint="eastAsia"/>
          <w:sz w:val="24"/>
        </w:rPr>
        <w:t>6.9.1 承包人应根据《中华人民共和国安全生产法》、《职业健康安全管理体系规范》、《中华人民共和国消防法》、《中华人民共和国道路交通安全法》、《中华人民共和国传染病防治法实施办法》和地方有关的法规等，按照合同条款的约定，编制一份施工安全措施计划，报送监理人审批。</w:t>
      </w:r>
    </w:p>
    <w:p>
      <w:pPr>
        <w:spacing w:after="120" w:afterLines="50" w:line="460" w:lineRule="exact"/>
        <w:rPr>
          <w:sz w:val="24"/>
        </w:rPr>
      </w:pPr>
      <w:r>
        <w:rPr>
          <w:rFonts w:hint="eastAsia"/>
          <w:sz w:val="24"/>
        </w:rPr>
        <w:t>6</w:t>
      </w:r>
      <w:r>
        <w:rPr>
          <w:sz w:val="24"/>
        </w:rPr>
        <w:t>.</w:t>
      </w:r>
      <w:r>
        <w:rPr>
          <w:rFonts w:hint="eastAsia"/>
          <w:sz w:val="24"/>
        </w:rPr>
        <w:t>9</w:t>
      </w:r>
      <w:r>
        <w:rPr>
          <w:sz w:val="24"/>
        </w:rPr>
        <w:t>.</w:t>
      </w:r>
      <w:r>
        <w:rPr>
          <w:rFonts w:hint="eastAsia"/>
          <w:sz w:val="24"/>
        </w:rPr>
        <w:t>2 施工安全措施计划是承包人阐明其安全管理方针、管理体系、安全制度和安全措施等的文件，其内容应当反映现行法律法规规定的和合同条款约定的以及本条上述约定的承包人安全职责，包括但不限于：</w:t>
      </w:r>
    </w:p>
    <w:p>
      <w:pPr>
        <w:spacing w:after="120" w:afterLines="50" w:line="460" w:lineRule="exact"/>
        <w:ind w:firstLine="480" w:firstLineChars="200"/>
        <w:rPr>
          <w:sz w:val="24"/>
        </w:rPr>
      </w:pPr>
      <w:r>
        <w:rPr>
          <w:rFonts w:hint="eastAsia"/>
          <w:sz w:val="24"/>
        </w:rPr>
        <w:t xml:space="preserve"> 施工安全管理机构的设置；</w:t>
      </w:r>
    </w:p>
    <w:p>
      <w:pPr>
        <w:spacing w:after="120" w:afterLines="50" w:line="460" w:lineRule="exact"/>
        <w:ind w:firstLine="480" w:firstLineChars="200"/>
        <w:rPr>
          <w:sz w:val="24"/>
        </w:rPr>
      </w:pPr>
      <w:r>
        <w:rPr>
          <w:rFonts w:hint="eastAsia"/>
          <w:sz w:val="24"/>
        </w:rPr>
        <w:t xml:space="preserve"> 园林专职安全管理人员的配备；</w:t>
      </w:r>
    </w:p>
    <w:p>
      <w:pPr>
        <w:spacing w:after="120" w:afterLines="50" w:line="460" w:lineRule="exact"/>
        <w:ind w:firstLine="480" w:firstLineChars="200"/>
        <w:rPr>
          <w:sz w:val="24"/>
        </w:rPr>
      </w:pPr>
      <w:r>
        <w:rPr>
          <w:rFonts w:hint="eastAsia"/>
          <w:sz w:val="24"/>
        </w:rPr>
        <w:t xml:space="preserve"> 安全责任制度和管理措施；</w:t>
      </w:r>
    </w:p>
    <w:p>
      <w:pPr>
        <w:spacing w:after="120" w:afterLines="50" w:line="460" w:lineRule="exact"/>
        <w:ind w:firstLine="480" w:firstLineChars="200"/>
        <w:rPr>
          <w:sz w:val="24"/>
        </w:rPr>
      </w:pPr>
      <w:r>
        <w:rPr>
          <w:rFonts w:hint="eastAsia"/>
          <w:sz w:val="24"/>
        </w:rPr>
        <w:t xml:space="preserve"> 安全教育和培训制度及管理措施；</w:t>
      </w:r>
    </w:p>
    <w:p>
      <w:pPr>
        <w:spacing w:after="120" w:afterLines="50" w:line="460" w:lineRule="exact"/>
        <w:ind w:firstLine="566" w:firstLineChars="236"/>
        <w:rPr>
          <w:sz w:val="24"/>
        </w:rPr>
      </w:pPr>
      <w:r>
        <w:rPr>
          <w:rFonts w:hint="eastAsia"/>
          <w:sz w:val="24"/>
        </w:rPr>
        <w:t>各项安全生产规章制度和操作规程；</w:t>
      </w:r>
    </w:p>
    <w:p>
      <w:pPr>
        <w:spacing w:after="120" w:afterLines="50" w:line="460" w:lineRule="exact"/>
        <w:ind w:firstLine="566" w:firstLineChars="236"/>
        <w:rPr>
          <w:sz w:val="24"/>
        </w:rPr>
      </w:pPr>
      <w:r>
        <w:rPr>
          <w:rFonts w:hint="eastAsia"/>
          <w:sz w:val="24"/>
        </w:rPr>
        <w:t>各项施工安全措施和防护措施；</w:t>
      </w:r>
    </w:p>
    <w:p>
      <w:pPr>
        <w:spacing w:after="120" w:afterLines="50" w:line="460" w:lineRule="exact"/>
        <w:ind w:firstLine="480" w:firstLineChars="200"/>
        <w:rPr>
          <w:sz w:val="24"/>
        </w:rPr>
      </w:pPr>
      <w:r>
        <w:rPr>
          <w:rFonts w:hint="eastAsia"/>
          <w:sz w:val="24"/>
        </w:rPr>
        <w:t xml:space="preserve"> 危险品管理和使用制度；</w:t>
      </w:r>
    </w:p>
    <w:p>
      <w:pPr>
        <w:spacing w:after="120" w:afterLines="50" w:line="460" w:lineRule="exact"/>
        <w:ind w:firstLine="480" w:firstLineChars="200"/>
        <w:rPr>
          <w:sz w:val="24"/>
        </w:rPr>
      </w:pPr>
      <w:r>
        <w:rPr>
          <w:rFonts w:hint="eastAsia"/>
          <w:sz w:val="24"/>
        </w:rPr>
        <w:t xml:space="preserve"> 安全设施、设备、器材和劳动保护用品的配置；</w:t>
      </w:r>
    </w:p>
    <w:p>
      <w:pPr>
        <w:spacing w:after="120" w:afterLines="50" w:line="460" w:lineRule="exact"/>
        <w:ind w:firstLine="480" w:firstLineChars="200"/>
        <w:rPr>
          <w:sz w:val="24"/>
        </w:rPr>
      </w:pPr>
      <w:r>
        <w:rPr>
          <w:rFonts w:hint="eastAsia"/>
          <w:sz w:val="24"/>
        </w:rPr>
        <w:t xml:space="preserve"> 其他：</w:t>
      </w:r>
      <w:r>
        <w:rPr>
          <w:rFonts w:hint="eastAsia"/>
          <w:sz w:val="24"/>
          <w:u w:val="single"/>
        </w:rPr>
        <w:t xml:space="preserve">                                                           </w:t>
      </w:r>
      <w:r>
        <w:rPr>
          <w:rFonts w:hint="eastAsia"/>
          <w:sz w:val="24"/>
        </w:rPr>
        <w:t>。</w:t>
      </w:r>
    </w:p>
    <w:p>
      <w:pPr>
        <w:spacing w:after="120" w:afterLines="50" w:line="460" w:lineRule="exact"/>
        <w:ind w:firstLine="480" w:firstLineChars="200"/>
        <w:rPr>
          <w:sz w:val="24"/>
        </w:rPr>
      </w:pPr>
      <w:r>
        <w:rPr>
          <w:rFonts w:hint="eastAsia"/>
          <w:sz w:val="24"/>
        </w:rPr>
        <w:t>施工安全措施的工程和范围，应符合国家颁发的《安全技术措施计划的工程总名称表》及其附录</w:t>
      </w:r>
      <w:r>
        <w:rPr>
          <w:sz w:val="24"/>
        </w:rPr>
        <w:t>H</w:t>
      </w:r>
      <w:r>
        <w:rPr>
          <w:rFonts w:hint="eastAsia"/>
          <w:sz w:val="24"/>
        </w:rPr>
        <w:t>、</w:t>
      </w:r>
      <w:r>
        <w:rPr>
          <w:sz w:val="24"/>
        </w:rPr>
        <w:t>I</w:t>
      </w:r>
      <w:r>
        <w:rPr>
          <w:rFonts w:hint="eastAsia"/>
          <w:sz w:val="24"/>
        </w:rPr>
        <w:t>、</w:t>
      </w:r>
      <w:r>
        <w:rPr>
          <w:sz w:val="24"/>
        </w:rPr>
        <w:t>J</w:t>
      </w:r>
      <w:r>
        <w:rPr>
          <w:rFonts w:hint="eastAsia"/>
          <w:sz w:val="24"/>
        </w:rPr>
        <w:t>的规定，即应采取以改善劳动条件，防止工伤事故，预防职业病和职业中毒为目的的一切施工安全措施，以及修建必要的安全设施、配备安全技术开发试验所需的器材、设备和技术资料，并对现场的施工管理及作业人员做好相应的安全宣传教育。</w:t>
      </w:r>
    </w:p>
    <w:p>
      <w:pPr>
        <w:spacing w:after="120" w:afterLines="50" w:line="460" w:lineRule="exact"/>
        <w:rPr>
          <w:sz w:val="24"/>
        </w:rPr>
      </w:pPr>
      <w:r>
        <w:rPr>
          <w:rFonts w:hint="eastAsia"/>
          <w:sz w:val="24"/>
        </w:rPr>
        <w:t>6</w:t>
      </w:r>
      <w:r>
        <w:rPr>
          <w:sz w:val="24"/>
        </w:rPr>
        <w:t>.</w:t>
      </w:r>
      <w:r>
        <w:rPr>
          <w:rFonts w:hint="eastAsia"/>
          <w:sz w:val="24"/>
        </w:rPr>
        <w:t>9</w:t>
      </w:r>
      <w:r>
        <w:rPr>
          <w:sz w:val="24"/>
        </w:rPr>
        <w:t>.</w:t>
      </w:r>
      <w:r>
        <w:rPr>
          <w:rFonts w:hint="eastAsia"/>
          <w:sz w:val="24"/>
        </w:rPr>
        <w:t>3 施工安全措施计划应当在专用合同条款约定的期限内报送监理人。承包人应当严格执行经监理人批准的施工安全措施计划，并及时补充、修订和完善施工安全措施计划，确保安全生产。</w:t>
      </w:r>
    </w:p>
    <w:p>
      <w:pPr>
        <w:spacing w:after="120" w:afterLines="50" w:line="460" w:lineRule="exact"/>
        <w:rPr>
          <w:rFonts w:ascii="宋体" w:hAnsi="宋体"/>
          <w:b/>
          <w:sz w:val="24"/>
        </w:rPr>
      </w:pPr>
      <w:bookmarkStart w:id="1391" w:name="_Toc263259806"/>
      <w:r>
        <w:rPr>
          <w:rFonts w:hint="eastAsia" w:ascii="宋体" w:hAnsi="宋体"/>
          <w:b/>
          <w:sz w:val="24"/>
        </w:rPr>
        <w:t>6</w:t>
      </w:r>
      <w:r>
        <w:rPr>
          <w:rFonts w:ascii="宋体" w:hAnsi="宋体"/>
          <w:b/>
          <w:sz w:val="24"/>
        </w:rPr>
        <w:t>.</w:t>
      </w:r>
      <w:bookmarkEnd w:id="1391"/>
      <w:bookmarkStart w:id="1392" w:name="_Toc263259807"/>
      <w:r>
        <w:rPr>
          <w:rFonts w:hint="eastAsia" w:ascii="宋体" w:hAnsi="宋体"/>
          <w:b/>
          <w:sz w:val="24"/>
        </w:rPr>
        <w:t>10   文明施工</w:t>
      </w:r>
      <w:bookmarkEnd w:id="1392"/>
    </w:p>
    <w:p>
      <w:pPr>
        <w:spacing w:after="120" w:afterLines="50" w:line="460" w:lineRule="exact"/>
        <w:rPr>
          <w:sz w:val="24"/>
        </w:rPr>
      </w:pPr>
      <w:r>
        <w:rPr>
          <w:rFonts w:hint="eastAsia"/>
          <w:sz w:val="24"/>
        </w:rPr>
        <w:t>6.10.1</w:t>
      </w:r>
      <w:r>
        <w:rPr>
          <w:sz w:val="24"/>
        </w:rPr>
        <w:t xml:space="preserve"> </w:t>
      </w:r>
      <w:r>
        <w:rPr>
          <w:rFonts w:hint="eastAsia"/>
          <w:sz w:val="24"/>
        </w:rPr>
        <w:t>承包人应遵守国家和工程所在地有关法规、规范、规程和标准的规定， 履行文明施工义务，确保文明施工专项费用专款专用。</w:t>
      </w:r>
    </w:p>
    <w:p>
      <w:pPr>
        <w:spacing w:after="120" w:afterLines="50" w:line="460" w:lineRule="exact"/>
        <w:rPr>
          <w:sz w:val="24"/>
        </w:rPr>
      </w:pPr>
      <w:r>
        <w:rPr>
          <w:rFonts w:hint="eastAsia"/>
          <w:sz w:val="24"/>
        </w:rPr>
        <w:t>6</w:t>
      </w:r>
      <w:r>
        <w:rPr>
          <w:sz w:val="24"/>
        </w:rPr>
        <w:t>.</w:t>
      </w:r>
      <w:r>
        <w:rPr>
          <w:rFonts w:hint="eastAsia"/>
          <w:sz w:val="24"/>
        </w:rPr>
        <w:t>10</w:t>
      </w:r>
      <w:r>
        <w:rPr>
          <w:sz w:val="24"/>
        </w:rPr>
        <w:t>.</w:t>
      </w:r>
      <w:r>
        <w:rPr>
          <w:rFonts w:hint="eastAsia"/>
          <w:sz w:val="24"/>
        </w:rPr>
        <w:t>2</w:t>
      </w:r>
      <w:r>
        <w:rPr>
          <w:sz w:val="24"/>
        </w:rPr>
        <w:t xml:space="preserve"> </w:t>
      </w:r>
      <w:r>
        <w:rPr>
          <w:rFonts w:hint="eastAsia"/>
          <w:sz w:val="24"/>
        </w:rPr>
        <w:t>承包人应当规范现场施工秩序，实行标准化管理：</w:t>
      </w:r>
    </w:p>
    <w:p>
      <w:pPr>
        <w:spacing w:after="120" w:afterLines="50" w:line="460" w:lineRule="exact"/>
        <w:ind w:firstLine="480" w:firstLineChars="200"/>
        <w:rPr>
          <w:sz w:val="24"/>
        </w:rPr>
      </w:pPr>
      <w:r>
        <w:rPr>
          <w:rFonts w:hint="eastAsia"/>
          <w:sz w:val="24"/>
        </w:rPr>
        <w:t>承包人的施工场地（现场）必须干净整洁、做到无积水、无淤泥、无杂物，材料堆放整齐；不能及时栽种的苗木材料需要有假植区；屋顶绿化施工垃圾应装袋或采用相应容器，严禁凌空抛掷。严格遵守“工完、料尽、场地净”的原则，不留垃圾、不留剩余施工材料；</w:t>
      </w:r>
    </w:p>
    <w:p>
      <w:pPr>
        <w:spacing w:after="120" w:afterLines="50" w:line="460" w:lineRule="exact"/>
        <w:ind w:firstLine="480" w:firstLineChars="200"/>
        <w:rPr>
          <w:sz w:val="24"/>
        </w:rPr>
      </w:pPr>
      <w:r>
        <w:rPr>
          <w:rFonts w:hint="eastAsia"/>
          <w:sz w:val="24"/>
        </w:rPr>
        <w:t xml:space="preserve"> 不能及时栽种的苗木材料需要有假植区；</w:t>
      </w:r>
    </w:p>
    <w:p>
      <w:pPr>
        <w:spacing w:after="120" w:afterLines="50" w:line="460" w:lineRule="exact"/>
        <w:ind w:firstLine="480" w:firstLineChars="200"/>
        <w:rPr>
          <w:sz w:val="24"/>
        </w:rPr>
      </w:pPr>
      <w:r>
        <w:rPr>
          <w:rFonts w:hint="eastAsia"/>
          <w:sz w:val="24"/>
        </w:rPr>
        <w:t xml:space="preserve"> 施工现场土方应当集中堆放，裸露的场地和集中堆放的土方应当采取覆盖、固化或绿化 等措施；</w:t>
      </w:r>
    </w:p>
    <w:p>
      <w:pPr>
        <w:spacing w:after="120" w:afterLines="50" w:line="460" w:lineRule="exact"/>
        <w:ind w:firstLine="480" w:firstLineChars="200"/>
        <w:rPr>
          <w:sz w:val="24"/>
        </w:rPr>
      </w:pPr>
      <w:r>
        <w:rPr>
          <w:rFonts w:hint="eastAsia"/>
          <w:sz w:val="24"/>
        </w:rPr>
        <w:t>施工场地（现场）应进行硬化处理，定期定时洒水，做好防治扬尘和大气污染工作；</w:t>
      </w:r>
    </w:p>
    <w:p>
      <w:pPr>
        <w:spacing w:after="120" w:afterLines="50" w:line="460" w:lineRule="exact"/>
        <w:ind w:firstLine="480" w:firstLineChars="200"/>
        <w:rPr>
          <w:sz w:val="24"/>
        </w:rPr>
      </w:pPr>
      <w:r>
        <w:rPr>
          <w:rFonts w:hint="eastAsia"/>
          <w:sz w:val="24"/>
        </w:rPr>
        <w:t>屋顶绿化施工垃圾的清运，必须采用相应容器，严禁凌空抛掷；不留垃圾，不留剩余施工材料和施工机具，各种设备运转正常；</w:t>
      </w:r>
    </w:p>
    <w:p>
      <w:pPr>
        <w:spacing w:after="120" w:afterLines="50" w:line="460" w:lineRule="exact"/>
        <w:ind w:firstLine="480" w:firstLineChars="200"/>
        <w:rPr>
          <w:sz w:val="24"/>
        </w:rPr>
      </w:pPr>
      <w:r>
        <w:rPr>
          <w:rFonts w:hint="eastAsia"/>
          <w:sz w:val="24"/>
        </w:rPr>
        <w:t>承包人修建的施工临时设施应符合监理人批准的施工规划要求，并应满足本节规定的各项安全要求；</w:t>
      </w:r>
    </w:p>
    <w:p>
      <w:pPr>
        <w:spacing w:after="120" w:afterLines="50" w:line="460" w:lineRule="exact"/>
        <w:ind w:firstLine="480" w:firstLineChars="200"/>
        <w:rPr>
          <w:sz w:val="24"/>
        </w:rPr>
      </w:pPr>
      <w:r>
        <w:rPr>
          <w:rFonts w:hint="eastAsia"/>
          <w:sz w:val="24"/>
        </w:rPr>
        <w:t>监理人可要求承包人在施工场地（现场）设置各级承包人的安全文明施工责任牌等文明施工警示牌；</w:t>
      </w:r>
    </w:p>
    <w:p>
      <w:pPr>
        <w:spacing w:after="120" w:afterLines="50" w:line="460" w:lineRule="exact"/>
        <w:ind w:firstLine="480" w:firstLineChars="200"/>
        <w:rPr>
          <w:sz w:val="24"/>
        </w:rPr>
      </w:pPr>
      <w:r>
        <w:rPr>
          <w:rFonts w:hint="eastAsia"/>
          <w:sz w:val="24"/>
        </w:rPr>
        <w:t>材料进入现场应按指定位置堆放整齐，不得影响现场施工和堵塞施工、消防通道。材料堆放场地应有专职的管理人员；</w:t>
      </w:r>
    </w:p>
    <w:p>
      <w:pPr>
        <w:spacing w:after="120" w:afterLines="50" w:line="460" w:lineRule="exact"/>
        <w:ind w:firstLine="480" w:firstLineChars="200"/>
        <w:rPr>
          <w:sz w:val="24"/>
        </w:rPr>
      </w:pPr>
      <w:r>
        <w:rPr>
          <w:rFonts w:hint="eastAsia"/>
          <w:sz w:val="24"/>
        </w:rPr>
        <w:t>施工和安装用的各种扣件、紧固件、绳索具、小型配件、镙钉等应在专设的仓库内装箱放置；</w:t>
      </w:r>
    </w:p>
    <w:p>
      <w:pPr>
        <w:spacing w:after="120" w:afterLines="50" w:line="460" w:lineRule="exact"/>
        <w:ind w:firstLine="480" w:firstLineChars="200"/>
        <w:rPr>
          <w:sz w:val="24"/>
        </w:rPr>
      </w:pPr>
      <w:r>
        <w:rPr>
          <w:rFonts w:hint="eastAsia"/>
          <w:sz w:val="24"/>
        </w:rPr>
        <w:t>现场风、水管及照明电线的布置应安全、合理、规范、有序，做到整齐美观。不得随意架设和造成隐患或影响施工；</w:t>
      </w:r>
    </w:p>
    <w:p>
      <w:pPr>
        <w:spacing w:after="120" w:afterLines="50" w:line="460" w:lineRule="exact"/>
        <w:ind w:firstLine="480" w:firstLineChars="200"/>
        <w:rPr>
          <w:sz w:val="24"/>
        </w:rPr>
      </w:pPr>
      <w:r>
        <w:rPr>
          <w:rFonts w:hint="eastAsia"/>
          <w:sz w:val="24"/>
        </w:rPr>
        <w:t>建筑拆除工程施工时应采取有效的降尘措施。</w:t>
      </w:r>
    </w:p>
    <w:p>
      <w:pPr>
        <w:spacing w:after="120" w:afterLines="50" w:line="460" w:lineRule="exact"/>
        <w:rPr>
          <w:sz w:val="24"/>
        </w:rPr>
      </w:pPr>
      <w:r>
        <w:rPr>
          <w:rFonts w:hint="eastAsia"/>
          <w:sz w:val="24"/>
        </w:rPr>
        <w:t>6</w:t>
      </w:r>
      <w:r>
        <w:rPr>
          <w:sz w:val="24"/>
        </w:rPr>
        <w:t>.</w:t>
      </w:r>
      <w:r>
        <w:rPr>
          <w:rFonts w:hint="eastAsia"/>
          <w:sz w:val="24"/>
        </w:rPr>
        <w:t>10</w:t>
      </w:r>
      <w:r>
        <w:rPr>
          <w:sz w:val="24"/>
        </w:rPr>
        <w:t>.</w:t>
      </w:r>
      <w:r>
        <w:rPr>
          <w:rFonts w:hint="eastAsia"/>
          <w:sz w:val="24"/>
        </w:rPr>
        <w:t>3 承包人应为其雇佣的施工工人建立并维护相应的生活宿舍、食堂、浴室、厕所和文化活动室等，其标准应满足政府有关机构的生活标准和卫生标准等的要求。承包人应在工作区域设立必要的临时厕所，并安排专门人员定时清理。</w:t>
      </w:r>
    </w:p>
    <w:p>
      <w:pPr>
        <w:spacing w:after="120" w:afterLines="50" w:line="460" w:lineRule="exact"/>
        <w:rPr>
          <w:sz w:val="24"/>
        </w:rPr>
      </w:pPr>
      <w:r>
        <w:rPr>
          <w:rFonts w:hint="eastAsia"/>
          <w:sz w:val="24"/>
        </w:rPr>
        <w:t>6</w:t>
      </w:r>
      <w:r>
        <w:rPr>
          <w:sz w:val="24"/>
        </w:rPr>
        <w:t>.</w:t>
      </w:r>
      <w:r>
        <w:rPr>
          <w:rFonts w:hint="eastAsia"/>
          <w:sz w:val="24"/>
        </w:rPr>
        <w:t>10</w:t>
      </w:r>
      <w:r>
        <w:rPr>
          <w:sz w:val="24"/>
        </w:rPr>
        <w:t>.</w:t>
      </w:r>
      <w:r>
        <w:rPr>
          <w:rFonts w:hint="eastAsia"/>
          <w:sz w:val="24"/>
        </w:rPr>
        <w:t>4</w:t>
      </w:r>
      <w:r>
        <w:rPr>
          <w:sz w:val="24"/>
        </w:rPr>
        <w:t xml:space="preserve"> </w:t>
      </w:r>
      <w:r>
        <w:rPr>
          <w:rFonts w:hint="eastAsia"/>
          <w:sz w:val="24"/>
        </w:rPr>
        <w:t>承包人应在现场设立固定的垃圾临时存放点并在各区域设立必要的垃圾箱。所有垃圾必须在当天清除出现场，并按有关行政管理部门的规定，运送到指定的垃圾消纳场。</w:t>
      </w:r>
    </w:p>
    <w:p>
      <w:pPr>
        <w:spacing w:after="120" w:afterLines="50" w:line="460" w:lineRule="exact"/>
        <w:rPr>
          <w:sz w:val="24"/>
        </w:rPr>
      </w:pPr>
      <w:r>
        <w:rPr>
          <w:rFonts w:hint="eastAsia"/>
          <w:sz w:val="24"/>
        </w:rPr>
        <w:t>6</w:t>
      </w:r>
      <w:r>
        <w:rPr>
          <w:sz w:val="24"/>
        </w:rPr>
        <w:t>.</w:t>
      </w:r>
      <w:r>
        <w:rPr>
          <w:rFonts w:hint="eastAsia"/>
          <w:sz w:val="24"/>
        </w:rPr>
        <w:t>10</w:t>
      </w:r>
      <w:r>
        <w:rPr>
          <w:sz w:val="24"/>
        </w:rPr>
        <w:t>.</w:t>
      </w:r>
      <w:r>
        <w:rPr>
          <w:rFonts w:hint="eastAsia"/>
          <w:sz w:val="24"/>
        </w:rPr>
        <w:t>5</w:t>
      </w:r>
      <w:r>
        <w:rPr>
          <w:sz w:val="24"/>
        </w:rPr>
        <w:t xml:space="preserve"> </w:t>
      </w:r>
      <w:r>
        <w:rPr>
          <w:rFonts w:hint="eastAsia"/>
          <w:sz w:val="24"/>
        </w:rPr>
        <w:t>承包人应对离场垃圾和所有车辆进行防遗洒和防污染公共道路的处理。承包人在运输任何材料的过程中，应采取一切必要的措施，防止遗洒和污染公共道路；一旦出现上述遗洒或污染现象，承包人应立即采取措施进行清扫，并承担所有费用。承包人在</w:t>
      </w:r>
      <w:bookmarkStart w:id="1637" w:name="_GoBack"/>
      <w:bookmarkEnd w:id="1637"/>
      <w:r>
        <w:rPr>
          <w:rFonts w:hint="eastAsia"/>
          <w:sz w:val="24"/>
          <w:lang w:eastAsia="zh-CN"/>
        </w:rPr>
        <w:t>混凝土浇筑</w:t>
      </w:r>
      <w:r>
        <w:rPr>
          <w:rFonts w:hint="eastAsia"/>
          <w:sz w:val="24"/>
        </w:rPr>
        <w:t>、材料运输、材料装卸、现场清理等工作中应采取一切必要的措施防止影响公共交通。</w:t>
      </w:r>
    </w:p>
    <w:p>
      <w:pPr>
        <w:spacing w:after="120" w:afterLines="50" w:line="460" w:lineRule="exact"/>
        <w:rPr>
          <w:sz w:val="24"/>
        </w:rPr>
      </w:pPr>
      <w:r>
        <w:rPr>
          <w:rFonts w:hint="eastAsia"/>
          <w:sz w:val="24"/>
        </w:rPr>
        <w:t>6</w:t>
      </w:r>
      <w:r>
        <w:rPr>
          <w:sz w:val="24"/>
        </w:rPr>
        <w:t>.</w:t>
      </w:r>
      <w:r>
        <w:rPr>
          <w:rFonts w:hint="eastAsia"/>
          <w:sz w:val="24"/>
        </w:rPr>
        <w:t>10</w:t>
      </w:r>
      <w:r>
        <w:rPr>
          <w:sz w:val="24"/>
        </w:rPr>
        <w:t>.</w:t>
      </w:r>
      <w:r>
        <w:rPr>
          <w:rFonts w:hint="eastAsia"/>
          <w:sz w:val="24"/>
        </w:rPr>
        <w:t>6</w:t>
      </w:r>
      <w:r>
        <w:rPr>
          <w:sz w:val="24"/>
        </w:rPr>
        <w:t xml:space="preserve"> </w:t>
      </w:r>
      <w:r>
        <w:rPr>
          <w:rFonts w:hint="eastAsia"/>
          <w:sz w:val="24"/>
        </w:rPr>
        <w:t>承包人应当制订成品保护措施计划，并提供必要的人员、材料和设备用于整个工程的成品保护。</w:t>
      </w:r>
    </w:p>
    <w:p>
      <w:pPr>
        <w:spacing w:after="120" w:afterLines="50" w:line="460" w:lineRule="exact"/>
        <w:rPr>
          <w:sz w:val="24"/>
        </w:rPr>
      </w:pPr>
      <w:r>
        <w:rPr>
          <w:rFonts w:hint="eastAsia"/>
          <w:sz w:val="24"/>
        </w:rPr>
        <w:t>6</w:t>
      </w:r>
      <w:r>
        <w:rPr>
          <w:sz w:val="24"/>
        </w:rPr>
        <w:t>.</w:t>
      </w:r>
      <w:r>
        <w:rPr>
          <w:rFonts w:hint="eastAsia"/>
          <w:sz w:val="24"/>
        </w:rPr>
        <w:t>10</w:t>
      </w:r>
      <w:r>
        <w:rPr>
          <w:sz w:val="24"/>
        </w:rPr>
        <w:t>.</w:t>
      </w:r>
      <w:r>
        <w:rPr>
          <w:rFonts w:hint="eastAsia"/>
          <w:sz w:val="24"/>
        </w:rPr>
        <w:t>7</w:t>
      </w:r>
      <w:r>
        <w:rPr>
          <w:sz w:val="24"/>
        </w:rPr>
        <w:t xml:space="preserve"> </w:t>
      </w:r>
      <w:r>
        <w:rPr>
          <w:rFonts w:hint="eastAsia"/>
          <w:sz w:val="24"/>
        </w:rPr>
        <w:t>文明施工方面的其他</w:t>
      </w:r>
      <w:r>
        <w:rPr>
          <w:sz w:val="24"/>
        </w:rPr>
        <w:t>要求</w:t>
      </w:r>
      <w:r>
        <w:rPr>
          <w:rFonts w:hint="eastAsia"/>
          <w:sz w:val="24"/>
        </w:rPr>
        <w:t>如下：</w:t>
      </w:r>
    </w:p>
    <w:p>
      <w:pPr>
        <w:spacing w:after="120" w:afterLines="50" w:line="460" w:lineRule="exact"/>
        <w:rPr>
          <w:u w:val="single"/>
        </w:rPr>
      </w:pPr>
      <w:r>
        <w:rPr>
          <w:rFonts w:hint="eastAsia"/>
          <w:u w:val="single"/>
        </w:rPr>
        <w:t xml:space="preserve">                                                                                 </w:t>
      </w:r>
      <w:r>
        <w:rPr>
          <w:rFonts w:hint="eastAsia"/>
        </w:rPr>
        <w:t>。</w:t>
      </w:r>
      <w:r>
        <w:rPr>
          <w:rFonts w:hint="eastAsia"/>
          <w:sz w:val="24"/>
        </w:rPr>
        <w:t xml:space="preserve">                                                                                                                                      </w:t>
      </w:r>
      <w:bookmarkStart w:id="1393" w:name="_Toc263259808"/>
      <w:r>
        <w:rPr>
          <w:rFonts w:hint="eastAsia"/>
          <w:sz w:val="24"/>
        </w:rPr>
        <w:t xml:space="preserve">         </w:t>
      </w:r>
      <w:r>
        <w:rPr>
          <w:rFonts w:hint="eastAsia" w:ascii="宋体" w:hAnsi="宋体"/>
          <w:b/>
          <w:sz w:val="24"/>
        </w:rPr>
        <w:t>6.</w:t>
      </w:r>
      <w:bookmarkEnd w:id="1393"/>
      <w:r>
        <w:rPr>
          <w:rFonts w:hint="eastAsia" w:ascii="宋体" w:hAnsi="宋体"/>
          <w:b/>
          <w:sz w:val="24"/>
        </w:rPr>
        <w:t>11</w:t>
      </w:r>
      <w:r>
        <w:rPr>
          <w:rFonts w:ascii="宋体" w:hAnsi="宋体"/>
          <w:b/>
          <w:sz w:val="24"/>
        </w:rPr>
        <w:t xml:space="preserve"> </w:t>
      </w:r>
      <w:bookmarkStart w:id="1394" w:name="_Toc263259809"/>
      <w:r>
        <w:rPr>
          <w:rFonts w:hint="eastAsia" w:ascii="宋体" w:hAnsi="宋体"/>
          <w:b/>
          <w:sz w:val="24"/>
        </w:rPr>
        <w:t xml:space="preserve">  环境保护</w:t>
      </w:r>
      <w:bookmarkEnd w:id="1394"/>
    </w:p>
    <w:p>
      <w:pPr>
        <w:spacing w:after="120" w:afterLines="50" w:line="460" w:lineRule="exact"/>
        <w:rPr>
          <w:sz w:val="24"/>
        </w:rPr>
      </w:pPr>
      <w:r>
        <w:rPr>
          <w:rFonts w:hint="eastAsia"/>
          <w:sz w:val="24"/>
        </w:rPr>
        <w:t>6.11.1</w:t>
      </w:r>
      <w:r>
        <w:rPr>
          <w:sz w:val="24"/>
        </w:rPr>
        <w:t xml:space="preserve"> </w:t>
      </w:r>
      <w:r>
        <w:rPr>
          <w:rFonts w:hint="eastAsia"/>
          <w:sz w:val="24"/>
        </w:rPr>
        <w:t>在工程施工、完工及修补任何缺陷的过程中，承包人应当始终遵守国家和工程所在地有关环境保护、水土保护和污染防治的法律、法规、规章、规范、标准和规程等，按照合同条款的约定履行其环境与生态保护职责。</w:t>
      </w:r>
    </w:p>
    <w:p>
      <w:pPr>
        <w:spacing w:after="120" w:afterLines="50" w:line="460" w:lineRule="exact"/>
        <w:rPr>
          <w:sz w:val="24"/>
        </w:rPr>
      </w:pPr>
      <w:r>
        <w:rPr>
          <w:rFonts w:hint="eastAsia"/>
          <w:sz w:val="24"/>
        </w:rPr>
        <w:t>6.11.2</w:t>
      </w:r>
      <w:r>
        <w:rPr>
          <w:sz w:val="24"/>
        </w:rPr>
        <w:t xml:space="preserve"> </w:t>
      </w:r>
      <w:r>
        <w:rPr>
          <w:rFonts w:hint="eastAsia"/>
          <w:sz w:val="24"/>
        </w:rPr>
        <w:t>承包人应按合同约定和监理人指示，接受国家和地方环境保护行政主管部门的监督、监测和检查。承包人应对其违反现行法律、法规、规章、规范、标准和规程等以及本合同约定所造成的环境污染、水土流失、人员伤害和财产损失等承担赔偿责任。</w:t>
      </w:r>
    </w:p>
    <w:p>
      <w:pPr>
        <w:spacing w:after="120" w:afterLines="50" w:line="460" w:lineRule="exact"/>
        <w:rPr>
          <w:sz w:val="24"/>
        </w:rPr>
      </w:pPr>
      <w:r>
        <w:rPr>
          <w:rFonts w:hint="eastAsia"/>
          <w:sz w:val="24"/>
        </w:rPr>
        <w:t>6.11.3</w:t>
      </w:r>
      <w:r>
        <w:rPr>
          <w:sz w:val="24"/>
        </w:rPr>
        <w:t xml:space="preserve"> </w:t>
      </w:r>
      <w:r>
        <w:rPr>
          <w:rFonts w:hint="eastAsia"/>
          <w:sz w:val="24"/>
        </w:rPr>
        <w:t>承包人制订施工方案和组织措施时应当同步考虑环境和资源保护，包括水土资源保护、噪声、振动和照明污染防治、固体废弃物处理、污水和废气处理、粉尘和扬尘控制、道路污染防治、卫生防疫、禁止有害材料、节能减排以及不可再生资源的循环使用等因素。</w:t>
      </w:r>
    </w:p>
    <w:p>
      <w:pPr>
        <w:spacing w:after="120" w:afterLines="50" w:line="460" w:lineRule="exact"/>
        <w:rPr>
          <w:sz w:val="24"/>
        </w:rPr>
      </w:pPr>
      <w:r>
        <w:rPr>
          <w:rFonts w:hint="eastAsia"/>
          <w:sz w:val="24"/>
        </w:rPr>
        <w:t>6.11.4</w:t>
      </w:r>
      <w:r>
        <w:rPr>
          <w:sz w:val="24"/>
        </w:rPr>
        <w:t xml:space="preserve"> </w:t>
      </w:r>
      <w:r>
        <w:rPr>
          <w:rFonts w:hint="eastAsia"/>
          <w:sz w:val="24"/>
        </w:rPr>
        <w:t>承包人还应设置完善的排水系统，保持施工场地（现场）始终处于良好的排水状态，防止降雨径流对施工场地（现场）的冲刷。</w:t>
      </w:r>
    </w:p>
    <w:p>
      <w:pPr>
        <w:spacing w:after="120" w:afterLines="50" w:line="460" w:lineRule="exact"/>
        <w:rPr>
          <w:sz w:val="24"/>
        </w:rPr>
      </w:pPr>
      <w:r>
        <w:rPr>
          <w:rFonts w:hint="eastAsia"/>
          <w:sz w:val="24"/>
        </w:rPr>
        <w:t>6.11.5</w:t>
      </w:r>
      <w:r>
        <w:rPr>
          <w:sz w:val="24"/>
        </w:rPr>
        <w:t xml:space="preserve"> </w:t>
      </w:r>
      <w:r>
        <w:rPr>
          <w:rFonts w:hint="eastAsia"/>
          <w:sz w:val="24"/>
        </w:rPr>
        <w:t>承包人应当确保其所提供的材料、工程设备、施工设备和其他材料都是绿色环保产品。</w:t>
      </w:r>
    </w:p>
    <w:p>
      <w:pPr>
        <w:spacing w:after="120" w:afterLines="50" w:line="460" w:lineRule="exact"/>
        <w:rPr>
          <w:sz w:val="24"/>
        </w:rPr>
      </w:pPr>
      <w:r>
        <w:rPr>
          <w:rFonts w:hint="eastAsia"/>
          <w:sz w:val="24"/>
        </w:rPr>
        <w:t>6.11.6</w:t>
      </w:r>
      <w:r>
        <w:rPr>
          <w:sz w:val="24"/>
        </w:rPr>
        <w:t xml:space="preserve"> </w:t>
      </w:r>
      <w:r>
        <w:rPr>
          <w:rFonts w:hint="eastAsia"/>
          <w:sz w:val="24"/>
        </w:rPr>
        <w:t xml:space="preserve">承包人应为防止进出场的车辆的遗洒和轮胎夹带物等污染周边和公共道路等行为制定并落实必要的措施，这类措施应至少包括在现场出入口设立冲刷池、对现场道路做硬化处理和采用密闭车厢或者对车厢进行必要的覆盖等等。 </w:t>
      </w:r>
    </w:p>
    <w:p>
      <w:pPr>
        <w:spacing w:after="120" w:afterLines="50" w:line="460" w:lineRule="exact"/>
        <w:rPr>
          <w:sz w:val="24"/>
        </w:rPr>
      </w:pPr>
      <w:r>
        <w:rPr>
          <w:rFonts w:hint="eastAsia"/>
          <w:sz w:val="24"/>
        </w:rPr>
        <w:t>6.11.7</w:t>
      </w:r>
      <w:r>
        <w:rPr>
          <w:sz w:val="24"/>
        </w:rPr>
        <w:t xml:space="preserve"> </w:t>
      </w:r>
      <w:r>
        <w:rPr>
          <w:rFonts w:hint="eastAsia"/>
          <w:sz w:val="24"/>
        </w:rPr>
        <w:t>承包人应当采取有效措施，不得让有害物质污染施工场地（现场）及其周边环境。承包人施工安排应当充分考虑降低噪声和照明等对施工场地（现场）周边生产和生活的影响，并满足国家和地方政府有关规定的要求。</w:t>
      </w:r>
    </w:p>
    <w:p>
      <w:pPr>
        <w:spacing w:after="120" w:afterLines="50" w:line="460" w:lineRule="exact"/>
        <w:rPr>
          <w:sz w:val="24"/>
        </w:rPr>
      </w:pPr>
      <w:r>
        <w:rPr>
          <w:rFonts w:hint="eastAsia"/>
          <w:sz w:val="24"/>
        </w:rPr>
        <w:t>6.11.8 承包人严格落实施工工地扬尘污染、规范渣土车运输和非道路移动机械的各项要求，确保各项措施落实到位。</w:t>
      </w:r>
    </w:p>
    <w:p>
      <w:pPr>
        <w:spacing w:after="120" w:afterLines="50" w:line="460" w:lineRule="exact"/>
        <w:rPr>
          <w:sz w:val="24"/>
        </w:rPr>
      </w:pPr>
      <w:r>
        <w:rPr>
          <w:rFonts w:hint="eastAsia"/>
          <w:sz w:val="24"/>
        </w:rPr>
        <w:t xml:space="preserve">6.11.9 承包人应按照《在城市绿化施工中控制二次扬尘管理规定》(京园检发〔2002〕19号) 规定执行：                                                               </w:t>
      </w:r>
    </w:p>
    <w:p>
      <w:pPr>
        <w:spacing w:after="120" w:afterLines="50" w:line="460" w:lineRule="exact"/>
        <w:ind w:firstLine="480" w:firstLineChars="200"/>
        <w:rPr>
          <w:sz w:val="24"/>
        </w:rPr>
      </w:pPr>
      <w:r>
        <w:rPr>
          <w:rFonts w:hint="eastAsia"/>
          <w:sz w:val="24"/>
        </w:rPr>
        <w:t>四级风以上天气不可进行以下施工：场地平整工程、换土工程、原土过筛工程、大树移植。</w:t>
      </w:r>
    </w:p>
    <w:p>
      <w:pPr>
        <w:spacing w:after="120" w:afterLines="50" w:line="460" w:lineRule="exact"/>
        <w:ind w:firstLine="480" w:firstLineChars="200"/>
        <w:rPr>
          <w:sz w:val="24"/>
        </w:rPr>
      </w:pPr>
      <w:r>
        <w:rPr>
          <w:rFonts w:hint="eastAsia"/>
          <w:sz w:val="24"/>
        </w:rPr>
        <w:t>土地平整工作结束后，1星期内必须进行下一步建植工作。土地整理工作已结束、未进行建植工程期间，要适时洒水防尘，如遇５级风以上天气必须及时洒水防尘。</w:t>
      </w:r>
    </w:p>
    <w:p>
      <w:pPr>
        <w:spacing w:after="120" w:afterLines="50" w:line="460" w:lineRule="exact"/>
        <w:ind w:firstLine="480" w:firstLineChars="200"/>
        <w:rPr>
          <w:sz w:val="24"/>
        </w:rPr>
      </w:pPr>
      <w:r>
        <w:rPr>
          <w:rFonts w:hint="eastAsia"/>
          <w:sz w:val="24"/>
        </w:rPr>
        <w:t>植树树穴所出穴坑土，必须要加以整理，如有条件应拍实。植树所挖树穴3天内必须建植。如遇特殊情况，3天以上无法建植，穴坑土必须加以苫盖或其它遮盖物进行覆盖，确保不扬尘。</w:t>
      </w:r>
    </w:p>
    <w:p>
      <w:pPr>
        <w:spacing w:after="120" w:afterLines="50" w:line="460" w:lineRule="exact"/>
        <w:ind w:firstLine="480" w:firstLineChars="200"/>
        <w:rPr>
          <w:sz w:val="24"/>
        </w:rPr>
      </w:pPr>
      <w:r>
        <w:rPr>
          <w:rFonts w:hint="eastAsia"/>
          <w:sz w:val="24"/>
        </w:rPr>
        <w:t>大树移植后所形成的穴坑，必须做到大树随移随填。大树移植后的场地必须马上恢复绿化。</w:t>
      </w:r>
    </w:p>
    <w:p>
      <w:pPr>
        <w:spacing w:after="120" w:afterLines="50" w:line="460" w:lineRule="exact"/>
        <w:ind w:firstLine="480" w:firstLineChars="200"/>
        <w:rPr>
          <w:sz w:val="24"/>
        </w:rPr>
      </w:pPr>
      <w:r>
        <w:rPr>
          <w:rFonts w:hint="eastAsia"/>
          <w:sz w:val="24"/>
        </w:rPr>
        <w:t>绿化生产垃圾，重点地区、主要干道要做到随产随清,其它地段要在24小时内清理干净，达到场光地净。</w:t>
      </w:r>
    </w:p>
    <w:p>
      <w:pPr>
        <w:spacing w:after="120" w:afterLines="50" w:line="460" w:lineRule="exact"/>
        <w:rPr>
          <w:sz w:val="24"/>
        </w:rPr>
      </w:pPr>
      <w:r>
        <w:rPr>
          <w:rFonts w:hint="eastAsia"/>
          <w:sz w:val="24"/>
        </w:rPr>
        <w:t>6.11.10 园林绿化工程应根据北京市空气质量预报结果对应的预警级别，分级采取相应的空气重污染应急措施：</w:t>
      </w:r>
    </w:p>
    <w:p>
      <w:pPr>
        <w:spacing w:after="120" w:afterLines="50" w:line="460" w:lineRule="exact"/>
        <w:rPr>
          <w:sz w:val="24"/>
        </w:rPr>
      </w:pPr>
      <w:r>
        <w:rPr>
          <w:rFonts w:hint="eastAsia"/>
          <w:sz w:val="24"/>
        </w:rPr>
        <w:t>6.11.10.1 蓝色（四级）预警</w:t>
      </w:r>
    </w:p>
    <w:p>
      <w:pPr>
        <w:spacing w:after="120" w:afterLines="50" w:line="460" w:lineRule="exact"/>
        <w:ind w:firstLine="480" w:firstLineChars="200"/>
        <w:rPr>
          <w:sz w:val="24"/>
        </w:rPr>
      </w:pPr>
      <w:r>
        <w:rPr>
          <w:rFonts w:hint="eastAsia"/>
          <w:sz w:val="24"/>
        </w:rPr>
        <w:t>天安门地区、长安街及沿线、二环路、三环路、机场路、三里河等中心城重点地区主要道路园林绿化工程停止土方作业。</w:t>
      </w:r>
    </w:p>
    <w:p>
      <w:pPr>
        <w:spacing w:after="120" w:afterLines="50" w:line="460" w:lineRule="exact"/>
        <w:ind w:firstLine="480" w:firstLineChars="200"/>
        <w:rPr>
          <w:sz w:val="24"/>
        </w:rPr>
      </w:pPr>
      <w:r>
        <w:rPr>
          <w:rFonts w:hint="eastAsia"/>
          <w:sz w:val="24"/>
        </w:rPr>
        <w:t>加大对在建园林绿化施工工地作业的裸露地面、物料堆放等场所实施扬尘控制措施力度。</w:t>
      </w:r>
    </w:p>
    <w:p>
      <w:pPr>
        <w:spacing w:after="120" w:afterLines="50" w:line="460" w:lineRule="exact"/>
        <w:ind w:firstLine="480" w:firstLineChars="200"/>
        <w:rPr>
          <w:sz w:val="24"/>
        </w:rPr>
      </w:pPr>
      <w:r>
        <w:rPr>
          <w:rFonts w:hint="eastAsia"/>
          <w:sz w:val="24"/>
        </w:rPr>
        <w:t> 加强施工工地现场管理。</w:t>
      </w:r>
    </w:p>
    <w:p>
      <w:pPr>
        <w:spacing w:after="120" w:afterLines="50" w:line="460" w:lineRule="exact"/>
        <w:rPr>
          <w:sz w:val="24"/>
        </w:rPr>
      </w:pPr>
      <w:r>
        <w:rPr>
          <w:rFonts w:hint="eastAsia"/>
          <w:sz w:val="24"/>
        </w:rPr>
        <w:t>6.11.10.2 黄色（三级）预警</w:t>
      </w:r>
    </w:p>
    <w:p>
      <w:pPr>
        <w:spacing w:after="120" w:afterLines="50" w:line="460" w:lineRule="exact"/>
        <w:ind w:firstLine="480" w:firstLineChars="200"/>
        <w:rPr>
          <w:sz w:val="24"/>
        </w:rPr>
      </w:pPr>
      <w:r>
        <w:rPr>
          <w:rFonts w:hint="eastAsia"/>
          <w:sz w:val="24"/>
        </w:rPr>
        <w:t>加强对在建园林绿化施工工地作业的裸露地面、物料堆放等场所实施拍实、苫盖等扬尘控制措施力度。</w:t>
      </w:r>
    </w:p>
    <w:p>
      <w:pPr>
        <w:spacing w:after="120" w:afterLines="50" w:line="460" w:lineRule="exact"/>
        <w:ind w:firstLine="480" w:firstLineChars="200"/>
        <w:rPr>
          <w:sz w:val="24"/>
        </w:rPr>
      </w:pPr>
      <w:r>
        <w:rPr>
          <w:rFonts w:hint="eastAsia"/>
          <w:sz w:val="24"/>
        </w:rPr>
        <w:t>全市在建园林绿化工程，停止室外筛土挖掘、喷涂粉刷、护坡喷浆、建筑拆除、切割等土石方施工作业。  </w:t>
      </w:r>
    </w:p>
    <w:p>
      <w:pPr>
        <w:spacing w:after="120" w:afterLines="50" w:line="460" w:lineRule="exact"/>
        <w:ind w:firstLine="480" w:firstLineChars="200"/>
        <w:rPr>
          <w:sz w:val="24"/>
        </w:rPr>
      </w:pPr>
      <w:r>
        <w:rPr>
          <w:rFonts w:hint="eastAsia"/>
          <w:sz w:val="24"/>
        </w:rPr>
        <w:t>加大对施工现场的巡查，保证施工现场不起尘。</w:t>
      </w:r>
    </w:p>
    <w:p>
      <w:pPr>
        <w:spacing w:after="120" w:afterLines="50" w:line="460" w:lineRule="exact"/>
        <w:rPr>
          <w:sz w:val="24"/>
        </w:rPr>
      </w:pPr>
      <w:r>
        <w:rPr>
          <w:rFonts w:hint="eastAsia"/>
          <w:sz w:val="24"/>
        </w:rPr>
        <w:t>6.11.10.3 橙色（二级）预警</w:t>
      </w:r>
    </w:p>
    <w:p>
      <w:pPr>
        <w:spacing w:after="120" w:afterLines="50" w:line="460" w:lineRule="exact"/>
        <w:ind w:firstLine="420" w:firstLineChars="200"/>
        <w:rPr>
          <w:sz w:val="24"/>
        </w:rPr>
      </w:pPr>
      <w:r>
        <w:rPr>
          <w:rFonts w:hint="eastAsia"/>
        </w:rPr>
        <w:t>加强对在建园林绿化施工工地作业的裸露地面、物料堆放等场所实施拍实、苫盖扬尘控制措</w:t>
      </w:r>
      <w:r>
        <w:rPr>
          <w:rFonts w:hint="eastAsia"/>
          <w:sz w:val="24"/>
        </w:rPr>
        <w:t>施基础上，增加洒水降尘措施。</w:t>
      </w:r>
    </w:p>
    <w:p>
      <w:pPr>
        <w:spacing w:after="120" w:afterLines="50" w:line="460" w:lineRule="exact"/>
        <w:ind w:firstLine="480" w:firstLineChars="200"/>
        <w:rPr>
          <w:sz w:val="24"/>
        </w:rPr>
      </w:pPr>
      <w:r>
        <w:rPr>
          <w:rFonts w:hint="eastAsia"/>
          <w:sz w:val="24"/>
        </w:rPr>
        <w:t>全市各类园林绿化工程，停止平整场地、筛土挖掘、喷涂粉刷、护坡喷浆、锯磨砖石等土石方作业，停止砂石渣土运输。</w:t>
      </w:r>
    </w:p>
    <w:p>
      <w:pPr>
        <w:spacing w:after="120" w:afterLines="50" w:line="460" w:lineRule="exact"/>
        <w:ind w:firstLine="480" w:firstLineChars="200"/>
        <w:rPr>
          <w:sz w:val="24"/>
        </w:rPr>
      </w:pPr>
      <w:r>
        <w:rPr>
          <w:rFonts w:hint="eastAsia"/>
          <w:sz w:val="24"/>
        </w:rPr>
        <w:t>中心城区、建制新城有喷灌设施的绿地打开喷灌设施（冰冻天气除外）进行喷水滞尘作业。 </w:t>
      </w:r>
    </w:p>
    <w:p>
      <w:pPr>
        <w:spacing w:after="120" w:afterLines="50" w:line="460" w:lineRule="exact"/>
        <w:ind w:firstLine="480" w:firstLineChars="200"/>
        <w:rPr>
          <w:sz w:val="24"/>
        </w:rPr>
      </w:pPr>
      <w:r>
        <w:rPr>
          <w:rFonts w:hint="eastAsia"/>
          <w:sz w:val="24"/>
        </w:rPr>
        <w:t>施工单位严格落实施工现场停工管理，加大对施工现场的巡查。</w:t>
      </w:r>
    </w:p>
    <w:p>
      <w:pPr>
        <w:spacing w:after="120" w:afterLines="50" w:line="460" w:lineRule="exact"/>
        <w:rPr>
          <w:sz w:val="24"/>
        </w:rPr>
      </w:pPr>
      <w:r>
        <w:rPr>
          <w:rFonts w:hint="eastAsia"/>
          <w:sz w:val="24"/>
        </w:rPr>
        <w:t>6.11.10.4 红色（一级）预警</w:t>
      </w:r>
    </w:p>
    <w:p>
      <w:pPr>
        <w:spacing w:after="120" w:afterLines="50" w:line="460" w:lineRule="exact"/>
        <w:ind w:firstLine="480" w:firstLineChars="200"/>
        <w:rPr>
          <w:sz w:val="24"/>
        </w:rPr>
      </w:pPr>
      <w:r>
        <w:rPr>
          <w:rFonts w:hint="eastAsia"/>
          <w:sz w:val="24"/>
        </w:rPr>
        <w:t>加强对在建园林绿化施工工地作业的裸露地面、物料堆放等场所增加洒水频次和强度。 </w:t>
      </w:r>
    </w:p>
    <w:p>
      <w:pPr>
        <w:spacing w:after="120" w:afterLines="50" w:line="460" w:lineRule="exact"/>
        <w:ind w:firstLine="480" w:firstLineChars="200"/>
        <w:rPr>
          <w:sz w:val="24"/>
        </w:rPr>
      </w:pPr>
      <w:r>
        <w:rPr>
          <w:rFonts w:hint="eastAsia"/>
          <w:sz w:val="24"/>
        </w:rPr>
        <w:t>全市各类园林绿化工程全部停工，停止一切室外施工作业。</w:t>
      </w:r>
    </w:p>
    <w:p>
      <w:pPr>
        <w:spacing w:after="120" w:afterLines="50" w:line="460" w:lineRule="exact"/>
        <w:ind w:firstLine="480" w:firstLineChars="200"/>
        <w:rPr>
          <w:sz w:val="24"/>
        </w:rPr>
      </w:pPr>
      <w:r>
        <w:rPr>
          <w:rFonts w:hint="eastAsia"/>
          <w:sz w:val="24"/>
        </w:rPr>
        <w:t>全市范围内有喷灌设施的绿地打开喷灌设施（冰冻天气除外）进行喷水滞尘作业。有洒水车的绿地养护单位对主要路段和重点地区的绿地进行洒水作业。 </w:t>
      </w:r>
    </w:p>
    <w:p>
      <w:pPr>
        <w:spacing w:after="120" w:afterLines="50" w:line="460" w:lineRule="exact"/>
        <w:ind w:firstLine="480" w:firstLineChars="200"/>
        <w:rPr>
          <w:sz w:val="24"/>
        </w:rPr>
      </w:pPr>
      <w:r>
        <w:rPr>
          <w:rFonts w:hint="eastAsia"/>
          <w:sz w:val="24"/>
        </w:rPr>
        <w:t>施工单位严格落实施工现场停工管理，加大对施工现场的巡查。</w:t>
      </w:r>
    </w:p>
    <w:p>
      <w:pPr>
        <w:spacing w:after="120" w:afterLines="50" w:line="460" w:lineRule="exact"/>
        <w:rPr>
          <w:sz w:val="24"/>
        </w:rPr>
      </w:pPr>
      <w:r>
        <w:rPr>
          <w:rFonts w:hint="eastAsia"/>
          <w:sz w:val="24"/>
        </w:rPr>
        <w:t>6.11.11 环境保护方面的其他</w:t>
      </w:r>
      <w:r>
        <w:rPr>
          <w:sz w:val="24"/>
        </w:rPr>
        <w:t>要求</w:t>
      </w:r>
      <w:r>
        <w:rPr>
          <w:rFonts w:hint="eastAsia"/>
          <w:sz w:val="24"/>
        </w:rPr>
        <w:t>如下：</w:t>
      </w:r>
    </w:p>
    <w:p>
      <w:pPr>
        <w:spacing w:after="120" w:afterLines="50" w:line="460" w:lineRule="exact"/>
        <w:rPr>
          <w:sz w:val="24"/>
          <w:u w:val="single"/>
        </w:rPr>
      </w:pPr>
      <w:r>
        <w:rPr>
          <w:rFonts w:hint="eastAsia"/>
          <w:sz w:val="24"/>
          <w:u w:val="single"/>
        </w:rPr>
        <w:t xml:space="preserve">                                                                      </w:t>
      </w:r>
      <w:r>
        <w:rPr>
          <w:rFonts w:hint="eastAsia"/>
          <w:sz w:val="24"/>
        </w:rPr>
        <w:t>。</w:t>
      </w:r>
    </w:p>
    <w:p>
      <w:pPr>
        <w:spacing w:after="120" w:afterLines="50" w:line="460" w:lineRule="exact"/>
        <w:rPr>
          <w:rFonts w:ascii="宋体" w:hAnsi="宋体"/>
          <w:b/>
          <w:sz w:val="24"/>
        </w:rPr>
      </w:pPr>
      <w:bookmarkStart w:id="1395" w:name="_Toc263259810"/>
      <w:r>
        <w:rPr>
          <w:rFonts w:hint="eastAsia" w:ascii="宋体" w:hAnsi="宋体"/>
          <w:b/>
          <w:sz w:val="24"/>
        </w:rPr>
        <w:t>6.</w:t>
      </w:r>
      <w:bookmarkEnd w:id="1395"/>
      <w:r>
        <w:rPr>
          <w:rFonts w:hint="eastAsia" w:ascii="宋体" w:hAnsi="宋体"/>
          <w:b/>
          <w:sz w:val="24"/>
        </w:rPr>
        <w:t>12</w:t>
      </w:r>
      <w:r>
        <w:rPr>
          <w:rFonts w:ascii="宋体" w:hAnsi="宋体"/>
          <w:b/>
          <w:sz w:val="24"/>
        </w:rPr>
        <w:t xml:space="preserve"> </w:t>
      </w:r>
      <w:bookmarkStart w:id="1396" w:name="_Toc263259811"/>
      <w:r>
        <w:rPr>
          <w:rFonts w:hint="eastAsia" w:ascii="宋体" w:hAnsi="宋体"/>
          <w:b/>
          <w:sz w:val="24"/>
        </w:rPr>
        <w:t xml:space="preserve">  施工环保措施计划</w:t>
      </w:r>
      <w:bookmarkEnd w:id="1396"/>
    </w:p>
    <w:p>
      <w:pPr>
        <w:spacing w:after="120" w:afterLines="50" w:line="460" w:lineRule="exact"/>
        <w:rPr>
          <w:sz w:val="24"/>
        </w:rPr>
      </w:pPr>
      <w:r>
        <w:rPr>
          <w:rFonts w:hint="eastAsia"/>
          <w:sz w:val="24"/>
        </w:rPr>
        <w:t>6.12.1</w:t>
      </w:r>
      <w:r>
        <w:rPr>
          <w:sz w:val="24"/>
        </w:rPr>
        <w:t xml:space="preserve"> </w:t>
      </w:r>
      <w:r>
        <w:rPr>
          <w:rFonts w:hint="eastAsia"/>
          <w:sz w:val="24"/>
        </w:rPr>
        <w:t>施工环保措施计划是承包人阐明环保方针和拟采用的环保措施及方法等的文件，其内容应包括但不限于：</w:t>
      </w:r>
    </w:p>
    <w:p>
      <w:pPr>
        <w:spacing w:after="120" w:afterLines="50" w:line="460" w:lineRule="exact"/>
        <w:ind w:firstLine="480" w:firstLineChars="200"/>
        <w:rPr>
          <w:sz w:val="24"/>
        </w:rPr>
      </w:pPr>
      <w:r>
        <w:rPr>
          <w:rFonts w:hint="eastAsia"/>
          <w:sz w:val="24"/>
        </w:rPr>
        <w:t>承包人生活区（如果有）的生活用水和生活污水处理措施；</w:t>
      </w:r>
    </w:p>
    <w:p>
      <w:pPr>
        <w:spacing w:after="120" w:afterLines="50" w:line="460" w:lineRule="exact"/>
        <w:ind w:firstLine="480" w:firstLineChars="200"/>
        <w:rPr>
          <w:sz w:val="24"/>
        </w:rPr>
      </w:pPr>
      <w:r>
        <w:rPr>
          <w:rFonts w:hint="eastAsia"/>
          <w:sz w:val="24"/>
        </w:rPr>
        <w:t>施工生产废水处理措施；</w:t>
      </w:r>
    </w:p>
    <w:p>
      <w:pPr>
        <w:spacing w:after="120" w:afterLines="50" w:line="460" w:lineRule="exact"/>
        <w:ind w:firstLine="480" w:firstLineChars="200"/>
        <w:rPr>
          <w:sz w:val="24"/>
        </w:rPr>
      </w:pPr>
      <w:r>
        <w:rPr>
          <w:rFonts w:hint="eastAsia"/>
          <w:sz w:val="24"/>
        </w:rPr>
        <w:t>施工扬尘和废气的处理措施；</w:t>
      </w:r>
    </w:p>
    <w:p>
      <w:pPr>
        <w:spacing w:after="120" w:afterLines="50" w:line="460" w:lineRule="exact"/>
        <w:ind w:firstLine="480" w:firstLineChars="200"/>
        <w:rPr>
          <w:sz w:val="24"/>
        </w:rPr>
      </w:pPr>
      <w:r>
        <w:rPr>
          <w:rFonts w:hint="eastAsia"/>
          <w:sz w:val="24"/>
        </w:rPr>
        <w:t>施工噪声和光污染控制措施；</w:t>
      </w:r>
    </w:p>
    <w:p>
      <w:pPr>
        <w:spacing w:after="120" w:afterLines="50" w:line="460" w:lineRule="exact"/>
        <w:ind w:firstLine="480" w:firstLineChars="200"/>
        <w:rPr>
          <w:sz w:val="24"/>
        </w:rPr>
      </w:pPr>
      <w:r>
        <w:rPr>
          <w:rFonts w:hint="eastAsia"/>
          <w:sz w:val="24"/>
        </w:rPr>
        <w:t>节能减排措施；</w:t>
      </w:r>
    </w:p>
    <w:p>
      <w:pPr>
        <w:spacing w:after="120" w:afterLines="50" w:line="460" w:lineRule="exact"/>
        <w:ind w:firstLine="480" w:firstLineChars="200"/>
        <w:rPr>
          <w:sz w:val="24"/>
        </w:rPr>
      </w:pPr>
      <w:r>
        <w:rPr>
          <w:rFonts w:hint="eastAsia"/>
          <w:sz w:val="24"/>
        </w:rPr>
        <w:t>不可再生资源循环利用措施；</w:t>
      </w:r>
    </w:p>
    <w:p>
      <w:pPr>
        <w:spacing w:after="120" w:afterLines="50" w:line="460" w:lineRule="exact"/>
        <w:ind w:firstLine="480" w:firstLineChars="200"/>
        <w:rPr>
          <w:sz w:val="24"/>
        </w:rPr>
      </w:pPr>
      <w:r>
        <w:rPr>
          <w:rFonts w:hint="eastAsia"/>
          <w:sz w:val="24"/>
        </w:rPr>
        <w:t>固体废弃物处理措施；</w:t>
      </w:r>
    </w:p>
    <w:p>
      <w:pPr>
        <w:spacing w:after="120" w:afterLines="50" w:line="460" w:lineRule="exact"/>
        <w:ind w:firstLine="480" w:firstLineChars="200"/>
        <w:rPr>
          <w:sz w:val="24"/>
        </w:rPr>
      </w:pPr>
      <w:r>
        <w:rPr>
          <w:rFonts w:hint="eastAsia"/>
          <w:sz w:val="24"/>
        </w:rPr>
        <w:t>人群健康保护和卫生防疫措施；</w:t>
      </w:r>
    </w:p>
    <w:p>
      <w:pPr>
        <w:spacing w:after="120" w:afterLines="50" w:line="460" w:lineRule="exact"/>
        <w:ind w:firstLine="480" w:firstLineChars="200"/>
        <w:rPr>
          <w:sz w:val="24"/>
        </w:rPr>
      </w:pPr>
      <w:r>
        <w:rPr>
          <w:rFonts w:hint="eastAsia"/>
          <w:sz w:val="24"/>
        </w:rPr>
        <w:t>防止误用有害材料的保证措施；</w:t>
      </w:r>
    </w:p>
    <w:p>
      <w:pPr>
        <w:spacing w:after="120" w:afterLines="50" w:line="460" w:lineRule="exact"/>
        <w:ind w:firstLine="480" w:firstLineChars="200"/>
        <w:rPr>
          <w:sz w:val="24"/>
        </w:rPr>
      </w:pPr>
      <w:r>
        <w:rPr>
          <w:rFonts w:hint="eastAsia"/>
          <w:sz w:val="24"/>
        </w:rPr>
        <w:t>施工边坡工程的水土流失保护措施；</w:t>
      </w:r>
    </w:p>
    <w:p>
      <w:pPr>
        <w:spacing w:after="120" w:afterLines="50" w:line="460" w:lineRule="exact"/>
        <w:ind w:firstLine="480" w:firstLineChars="200"/>
        <w:rPr>
          <w:sz w:val="24"/>
        </w:rPr>
      </w:pPr>
      <w:r>
        <w:rPr>
          <w:rFonts w:hint="eastAsia"/>
          <w:sz w:val="24"/>
        </w:rPr>
        <w:t>道路污染防治措施；</w:t>
      </w:r>
    </w:p>
    <w:p>
      <w:pPr>
        <w:spacing w:after="120" w:afterLines="50" w:line="460" w:lineRule="exact"/>
        <w:ind w:firstLine="480" w:firstLineChars="200"/>
        <w:rPr>
          <w:sz w:val="24"/>
        </w:rPr>
      </w:pPr>
      <w:r>
        <w:rPr>
          <w:rFonts w:hint="eastAsia"/>
          <w:sz w:val="24"/>
        </w:rPr>
        <w:t>完工后场地清理及其植被恢复的规划和措施；</w:t>
      </w:r>
    </w:p>
    <w:p>
      <w:pPr>
        <w:spacing w:after="120" w:afterLines="50" w:line="460" w:lineRule="exact"/>
        <w:ind w:firstLine="480" w:firstLineChars="200"/>
        <w:rPr>
          <w:sz w:val="24"/>
        </w:rPr>
      </w:pPr>
      <w:r>
        <w:rPr>
          <w:rFonts w:hint="eastAsia"/>
          <w:sz w:val="24"/>
        </w:rPr>
        <w:t>其他：</w:t>
      </w:r>
      <w:r>
        <w:rPr>
          <w:rFonts w:hint="eastAsia"/>
          <w:sz w:val="24"/>
          <w:u w:val="single"/>
        </w:rPr>
        <w:t xml:space="preserve">                                                            </w:t>
      </w:r>
      <w:r>
        <w:rPr>
          <w:rFonts w:hint="eastAsia"/>
          <w:sz w:val="24"/>
        </w:rPr>
        <w:t>。</w:t>
      </w:r>
    </w:p>
    <w:p>
      <w:pPr>
        <w:spacing w:after="120" w:afterLines="50" w:line="460" w:lineRule="exact"/>
        <w:rPr>
          <w:sz w:val="24"/>
        </w:rPr>
      </w:pPr>
      <w:r>
        <w:rPr>
          <w:rFonts w:hint="eastAsia"/>
          <w:sz w:val="24"/>
        </w:rPr>
        <w:t>6.12.2</w:t>
      </w:r>
      <w:r>
        <w:rPr>
          <w:sz w:val="24"/>
        </w:rPr>
        <w:t xml:space="preserve"> </w:t>
      </w:r>
      <w:r>
        <w:rPr>
          <w:rFonts w:hint="eastAsia"/>
          <w:sz w:val="24"/>
        </w:rPr>
        <w:t>施工环保措施计划应当在约定的期限内报送监理人。承包人应当严格执行经监理人批准的施工环保措施计划，并及时补充、修订和完善施工环保措施计划。</w:t>
      </w:r>
    </w:p>
    <w:p>
      <w:pPr>
        <w:keepNext/>
        <w:keepLines/>
        <w:spacing w:before="260" w:after="156" w:line="460" w:lineRule="exact"/>
        <w:ind w:left="723" w:hanging="722" w:hangingChars="300"/>
        <w:outlineLvl w:val="2"/>
        <w:rPr>
          <w:rFonts w:ascii="宋体" w:hAnsi="宋体" w:cs="Arial"/>
          <w:b/>
          <w:bCs/>
          <w:sz w:val="24"/>
        </w:rPr>
      </w:pPr>
      <w:bookmarkStart w:id="1397" w:name="_Toc342296553"/>
      <w:bookmarkStart w:id="1398" w:name="_Toc362253019"/>
      <w:bookmarkStart w:id="1399" w:name="_Toc241459796"/>
      <w:r>
        <w:rPr>
          <w:rFonts w:hint="eastAsia" w:ascii="宋体" w:hAnsi="宋体" w:cs="Arial"/>
          <w:b/>
          <w:bCs/>
          <w:sz w:val="24"/>
        </w:rPr>
        <w:t>7. 治安保卫</w:t>
      </w:r>
      <w:bookmarkEnd w:id="1397"/>
      <w:bookmarkEnd w:id="1398"/>
      <w:bookmarkEnd w:id="1399"/>
    </w:p>
    <w:p>
      <w:pPr>
        <w:spacing w:after="120" w:afterLines="50" w:line="460" w:lineRule="exact"/>
        <w:ind w:left="2"/>
        <w:rPr>
          <w:rFonts w:ascii="宋体" w:hAnsi="宋体" w:cs="Arial"/>
          <w:sz w:val="24"/>
        </w:rPr>
      </w:pPr>
      <w:r>
        <w:rPr>
          <w:rFonts w:hint="eastAsia" w:ascii="宋体" w:hAnsi="宋体" w:cs="Arial"/>
          <w:sz w:val="24"/>
        </w:rPr>
        <w:t>7</w:t>
      </w:r>
      <w:r>
        <w:rPr>
          <w:rFonts w:ascii="宋体" w:hAnsi="宋体" w:cs="Arial"/>
          <w:sz w:val="24"/>
        </w:rPr>
        <w:t>.</w:t>
      </w:r>
      <w:r>
        <w:rPr>
          <w:rFonts w:hint="eastAsia" w:ascii="宋体" w:hAnsi="宋体" w:cs="Arial"/>
          <w:sz w:val="24"/>
        </w:rPr>
        <w:t xml:space="preserve">1 </w:t>
      </w:r>
      <w:r>
        <w:rPr>
          <w:rFonts w:hint="eastAsia" w:ascii="宋体" w:hAnsi="宋体"/>
          <w:sz w:val="24"/>
        </w:rPr>
        <w:t>承包人应为施工场地（现场）提供24小时的保安保卫服务，配备足够的保安人员和保安设备，防止未经批准的任何人进入现场，控制人员、材料和设备等的进出场，防止现场材料、设备或其他任何物品的失窃，禁止任何现场内的打架斗殴事件。</w:t>
      </w:r>
    </w:p>
    <w:p>
      <w:pPr>
        <w:spacing w:after="120" w:afterLines="50" w:line="460" w:lineRule="exact"/>
        <w:ind w:left="2"/>
        <w:rPr>
          <w:rFonts w:ascii="宋体" w:hAnsi="宋体"/>
          <w:sz w:val="24"/>
        </w:rPr>
      </w:pPr>
      <w:r>
        <w:rPr>
          <w:rFonts w:hint="eastAsia" w:ascii="宋体" w:hAnsi="宋体" w:cs="Arial"/>
          <w:sz w:val="24"/>
        </w:rPr>
        <w:t>7</w:t>
      </w:r>
      <w:r>
        <w:rPr>
          <w:rFonts w:ascii="宋体" w:hAnsi="宋体" w:cs="Arial"/>
          <w:sz w:val="24"/>
        </w:rPr>
        <w:t>.</w:t>
      </w:r>
      <w:r>
        <w:rPr>
          <w:rFonts w:hint="eastAsia" w:ascii="宋体" w:hAnsi="宋体" w:cs="Arial"/>
          <w:sz w:val="24"/>
        </w:rPr>
        <w:t xml:space="preserve">2 </w:t>
      </w:r>
      <w:r>
        <w:rPr>
          <w:rFonts w:hint="eastAsia" w:ascii="宋体" w:hAnsi="宋体"/>
          <w:sz w:val="24"/>
        </w:rPr>
        <w:t>承包人的保安人员应是训练有素的保安人员，承包人可以雇佣专业保安公司负责现场保安和保卫；保安保卫制度除规范现场出入大门控制外，还应规定定时和不定时的施工场地(现场)周边和全现场的保安巡逻。</w:t>
      </w:r>
    </w:p>
    <w:p>
      <w:pPr>
        <w:spacing w:after="120" w:afterLines="50" w:line="460" w:lineRule="exact"/>
        <w:ind w:left="2"/>
        <w:rPr>
          <w:rFonts w:ascii="宋体" w:hAnsi="宋体"/>
          <w:sz w:val="24"/>
        </w:rPr>
      </w:pPr>
      <w:r>
        <w:rPr>
          <w:rFonts w:hint="eastAsia" w:ascii="宋体" w:hAnsi="宋体" w:cs="Arial"/>
          <w:sz w:val="24"/>
        </w:rPr>
        <w:t>7</w:t>
      </w:r>
      <w:r>
        <w:rPr>
          <w:rFonts w:ascii="宋体" w:hAnsi="宋体" w:cs="Arial"/>
          <w:sz w:val="24"/>
        </w:rPr>
        <w:t>.</w:t>
      </w:r>
      <w:r>
        <w:rPr>
          <w:rFonts w:hint="eastAsia" w:ascii="宋体" w:hAnsi="宋体" w:cs="Arial"/>
          <w:sz w:val="24"/>
        </w:rPr>
        <w:t xml:space="preserve">3 </w:t>
      </w:r>
      <w:r>
        <w:rPr>
          <w:rFonts w:hint="eastAsia" w:ascii="宋体" w:hAnsi="宋体"/>
          <w:sz w:val="24"/>
        </w:rPr>
        <w:t>承包人应实施实名制管理，制定严格的施工场地（现场）出入制度；车辆的出入须有出入审批制度，并有指定的专人负责管理；人员进出现场应有出入证。</w:t>
      </w:r>
    </w:p>
    <w:p>
      <w:pPr>
        <w:spacing w:after="120" w:afterLines="50" w:line="460" w:lineRule="exact"/>
        <w:ind w:left="1"/>
        <w:rPr>
          <w:rFonts w:ascii="宋体" w:hAnsi="宋体"/>
          <w:sz w:val="24"/>
        </w:rPr>
      </w:pPr>
      <w:r>
        <w:rPr>
          <w:rFonts w:hint="eastAsia" w:ascii="宋体" w:hAnsi="宋体" w:cs="Arial"/>
          <w:sz w:val="24"/>
        </w:rPr>
        <w:t>7</w:t>
      </w:r>
      <w:r>
        <w:rPr>
          <w:rFonts w:ascii="宋体" w:hAnsi="宋体" w:cs="Arial"/>
          <w:sz w:val="24"/>
        </w:rPr>
        <w:t>.</w:t>
      </w:r>
      <w:r>
        <w:rPr>
          <w:rFonts w:hint="eastAsia" w:ascii="宋体" w:hAnsi="宋体" w:cs="Arial"/>
          <w:sz w:val="24"/>
        </w:rPr>
        <w:t xml:space="preserve">4 </w:t>
      </w:r>
      <w:r>
        <w:rPr>
          <w:rFonts w:hint="eastAsia" w:ascii="宋体" w:hAnsi="宋体"/>
          <w:sz w:val="24"/>
        </w:rPr>
        <w:t>承包人应确保任何未经监理人同意的参观人员进入现场；承包人应准备足够数量的专门用于参观人员的安全帽并带明显标志，承包人同时应准备一个参观人员登记簿用于记录所有参观现场人员的姓名、参观目的和参观时间等内容；承包人应确保每个参观现场的人员了解和遵守现场的安全管理规章制度，佩带安全帽，确保所有经发包人和监理人批准的参观人员的人身安全。</w:t>
      </w:r>
    </w:p>
    <w:p>
      <w:pPr>
        <w:spacing w:after="120" w:afterLines="50" w:line="460" w:lineRule="exact"/>
        <w:ind w:left="2"/>
        <w:rPr>
          <w:rFonts w:ascii="宋体" w:hAnsi="宋体"/>
          <w:sz w:val="24"/>
        </w:rPr>
      </w:pPr>
      <w:r>
        <w:rPr>
          <w:rFonts w:hint="eastAsia" w:ascii="宋体" w:hAnsi="宋体" w:cs="Arial"/>
          <w:sz w:val="24"/>
        </w:rPr>
        <w:t>7</w:t>
      </w:r>
      <w:r>
        <w:rPr>
          <w:rFonts w:ascii="宋体" w:hAnsi="宋体" w:cs="Arial"/>
          <w:sz w:val="24"/>
        </w:rPr>
        <w:t>.</w:t>
      </w:r>
      <w:r>
        <w:rPr>
          <w:rFonts w:hint="eastAsia" w:ascii="宋体" w:hAnsi="宋体" w:cs="Arial"/>
          <w:sz w:val="24"/>
        </w:rPr>
        <w:t xml:space="preserve">5 </w:t>
      </w:r>
      <w:r>
        <w:rPr>
          <w:rFonts w:hint="eastAsia" w:ascii="宋体" w:hAnsi="宋体"/>
          <w:sz w:val="24"/>
        </w:rPr>
        <w:t>承包人应为施工场地（现场）提供和维护符合建设行政主管部门和市容管理部门规定的临时围墙和其他安全维护，并在工程进度需要时，进行必要的改造。围墙和大门的表面维护应考虑定期的修补和重新刷漆，并应保证所有的乱涂乱画或招贴广告随时被清理。临时围墙和出入大门考虑必要的照明，照明系统要满足现场安全保卫和美观的要求。</w:t>
      </w:r>
    </w:p>
    <w:p>
      <w:pPr>
        <w:spacing w:after="120" w:afterLines="50" w:line="460" w:lineRule="exact"/>
        <w:ind w:left="2" w:firstLine="2"/>
        <w:rPr>
          <w:rFonts w:ascii="宋体" w:hAnsi="宋体"/>
          <w:sz w:val="24"/>
        </w:rPr>
      </w:pPr>
      <w:r>
        <w:rPr>
          <w:rFonts w:hint="eastAsia" w:ascii="宋体" w:hAnsi="宋体" w:cs="Arial"/>
          <w:sz w:val="24"/>
        </w:rPr>
        <w:t>7</w:t>
      </w:r>
      <w:r>
        <w:rPr>
          <w:rFonts w:ascii="宋体" w:hAnsi="宋体" w:cs="Arial"/>
          <w:sz w:val="24"/>
        </w:rPr>
        <w:t>.</w:t>
      </w:r>
      <w:r>
        <w:rPr>
          <w:rFonts w:hint="eastAsia" w:ascii="宋体" w:hAnsi="宋体" w:cs="Arial"/>
          <w:sz w:val="24"/>
        </w:rPr>
        <w:t>6 承包人应当保证发包人支付的工程款项仅用于本合同目的，及时、足额、实名地向所雇佣的人员支付劳动报酬，并制定严格的工人工资支付保障措施，确保所有分包人及时支付所雇佣工人的工资，有效防止影响社会安定的群体事件发生，并保障发包人免于因承包人（包括其分包人）拖欠工人工资而可能遭受的</w:t>
      </w:r>
      <w:r>
        <w:rPr>
          <w:rFonts w:ascii="宋体" w:hAnsi="宋体" w:cs="Arial"/>
          <w:sz w:val="24"/>
        </w:rPr>
        <w:t>任何处罚、索赔、损失和损害等。</w:t>
      </w:r>
    </w:p>
    <w:p>
      <w:pPr>
        <w:spacing w:after="120" w:afterLines="50" w:line="460" w:lineRule="exact"/>
        <w:rPr>
          <w:rFonts w:ascii="宋体" w:hAnsi="宋体" w:cs="Arial"/>
          <w:sz w:val="24"/>
        </w:rPr>
      </w:pPr>
      <w:r>
        <w:rPr>
          <w:rFonts w:hint="eastAsia" w:ascii="宋体" w:hAnsi="宋体" w:cs="Arial"/>
          <w:sz w:val="24"/>
        </w:rPr>
        <w:t>7</w:t>
      </w:r>
      <w:r>
        <w:rPr>
          <w:rFonts w:ascii="宋体" w:hAnsi="宋体" w:cs="Arial"/>
          <w:sz w:val="24"/>
        </w:rPr>
        <w:t>.</w:t>
      </w:r>
      <w:r>
        <w:rPr>
          <w:rFonts w:hint="eastAsia" w:ascii="宋体" w:hAnsi="宋体" w:cs="Arial"/>
          <w:sz w:val="24"/>
        </w:rPr>
        <w:t>7 施工场地（现场）治安管理计划的要求：</w:t>
      </w:r>
    </w:p>
    <w:p>
      <w:pPr>
        <w:spacing w:after="120" w:afterLines="50" w:line="460" w:lineRule="exact"/>
        <w:rPr>
          <w:rFonts w:ascii="宋体" w:hAnsi="宋体" w:cs="Arial"/>
          <w:sz w:val="24"/>
        </w:rPr>
      </w:pPr>
      <w:r>
        <w:rPr>
          <w:rFonts w:hint="eastAsia" w:ascii="宋体" w:hAnsi="宋体" w:cs="Arial"/>
          <w:sz w:val="24"/>
          <w:u w:val="single"/>
        </w:rPr>
        <w:t xml:space="preserve">                                                                      </w:t>
      </w:r>
      <w:r>
        <w:rPr>
          <w:rFonts w:hint="eastAsia" w:ascii="宋体" w:hAnsi="宋体" w:cs="Arial"/>
          <w:sz w:val="24"/>
        </w:rPr>
        <w:t>。</w:t>
      </w:r>
    </w:p>
    <w:p>
      <w:pPr>
        <w:tabs>
          <w:tab w:val="left" w:pos="851"/>
        </w:tabs>
        <w:spacing w:after="120" w:afterLines="50" w:line="460" w:lineRule="exact"/>
        <w:rPr>
          <w:rFonts w:ascii="宋体" w:hAnsi="宋体" w:cs="Arial"/>
          <w:sz w:val="24"/>
        </w:rPr>
      </w:pPr>
      <w:r>
        <w:rPr>
          <w:rFonts w:hint="eastAsia" w:ascii="宋体" w:hAnsi="宋体" w:cs="Arial"/>
          <w:sz w:val="24"/>
        </w:rPr>
        <w:t>7</w:t>
      </w:r>
      <w:r>
        <w:rPr>
          <w:rFonts w:ascii="宋体" w:hAnsi="宋体" w:cs="Arial"/>
          <w:sz w:val="24"/>
        </w:rPr>
        <w:t>.</w:t>
      </w:r>
      <w:r>
        <w:rPr>
          <w:rFonts w:hint="eastAsia" w:ascii="宋体" w:hAnsi="宋体" w:cs="Arial"/>
          <w:sz w:val="24"/>
        </w:rPr>
        <w:t>8 突发治安事件紧急预案的要求：</w:t>
      </w:r>
    </w:p>
    <w:p>
      <w:pPr>
        <w:spacing w:after="120" w:afterLines="50" w:line="460" w:lineRule="exact"/>
        <w:rPr>
          <w:rFonts w:ascii="宋体" w:hAnsi="宋体" w:cs="Arial"/>
          <w:sz w:val="24"/>
        </w:rPr>
      </w:pPr>
      <w:r>
        <w:rPr>
          <w:rFonts w:hint="eastAsia" w:ascii="宋体" w:hAnsi="宋体" w:cs="Arial"/>
          <w:sz w:val="24"/>
          <w:u w:val="single"/>
        </w:rPr>
        <w:t xml:space="preserve">                                                                      </w:t>
      </w:r>
      <w:r>
        <w:rPr>
          <w:rFonts w:hint="eastAsia" w:ascii="宋体" w:hAnsi="宋体" w:cs="Arial"/>
          <w:sz w:val="24"/>
        </w:rPr>
        <w:t>。</w:t>
      </w:r>
    </w:p>
    <w:p>
      <w:pPr>
        <w:spacing w:after="120" w:afterLines="50" w:line="460" w:lineRule="exact"/>
        <w:rPr>
          <w:rFonts w:ascii="宋体" w:hAnsi="宋体" w:cs="Arial"/>
          <w:sz w:val="24"/>
        </w:rPr>
      </w:pPr>
      <w:r>
        <w:rPr>
          <w:rFonts w:hint="eastAsia" w:ascii="宋体" w:hAnsi="宋体" w:cs="Arial"/>
          <w:sz w:val="24"/>
        </w:rPr>
        <w:t>7</w:t>
      </w:r>
      <w:r>
        <w:rPr>
          <w:rFonts w:ascii="宋体" w:hAnsi="宋体" w:cs="Arial"/>
          <w:sz w:val="24"/>
        </w:rPr>
        <w:t>.</w:t>
      </w:r>
      <w:r>
        <w:rPr>
          <w:rFonts w:hint="eastAsia" w:ascii="宋体" w:hAnsi="宋体" w:cs="Arial"/>
          <w:sz w:val="24"/>
        </w:rPr>
        <w:t>9 治安保卫方面的其他</w:t>
      </w:r>
      <w:r>
        <w:rPr>
          <w:rFonts w:ascii="宋体" w:hAnsi="宋体" w:cs="Arial"/>
          <w:sz w:val="24"/>
        </w:rPr>
        <w:t>要求</w:t>
      </w:r>
      <w:r>
        <w:rPr>
          <w:rFonts w:hint="eastAsia" w:ascii="宋体" w:hAnsi="宋体" w:cs="Arial"/>
          <w:sz w:val="24"/>
        </w:rPr>
        <w:t>如下：</w:t>
      </w:r>
    </w:p>
    <w:p>
      <w:pPr>
        <w:spacing w:after="120" w:afterLines="50" w:line="460" w:lineRule="exact"/>
        <w:rPr>
          <w:rFonts w:ascii="宋体" w:hAnsi="宋体"/>
          <w:sz w:val="24"/>
          <w:u w:val="single"/>
        </w:rPr>
      </w:pPr>
      <w:r>
        <w:rPr>
          <w:rFonts w:hint="eastAsia" w:ascii="宋体" w:hAnsi="宋体"/>
          <w:sz w:val="24"/>
          <w:u w:val="single"/>
        </w:rPr>
        <w:t xml:space="preserve">                                                                      </w:t>
      </w:r>
      <w:r>
        <w:rPr>
          <w:rFonts w:hint="eastAsia" w:ascii="宋体" w:hAnsi="宋体"/>
          <w:sz w:val="24"/>
        </w:rPr>
        <w:t>。</w:t>
      </w:r>
    </w:p>
    <w:p>
      <w:pPr>
        <w:keepNext/>
        <w:keepLines/>
        <w:spacing w:before="260" w:after="156" w:line="460" w:lineRule="exact"/>
        <w:outlineLvl w:val="2"/>
        <w:rPr>
          <w:rFonts w:ascii="宋体" w:hAnsi="宋体" w:cs="Arial"/>
          <w:b/>
          <w:bCs/>
          <w:sz w:val="24"/>
        </w:rPr>
      </w:pPr>
      <w:bookmarkStart w:id="1400" w:name="_Toc362253020"/>
      <w:bookmarkStart w:id="1401" w:name="_Toc342296554"/>
      <w:bookmarkStart w:id="1402" w:name="_Toc241459797"/>
      <w:r>
        <w:rPr>
          <w:rFonts w:hint="eastAsia" w:ascii="宋体" w:hAnsi="宋体" w:cs="Arial"/>
          <w:b/>
          <w:bCs/>
          <w:sz w:val="24"/>
        </w:rPr>
        <w:t xml:space="preserve">8. </w:t>
      </w:r>
      <w:r>
        <w:rPr>
          <w:rFonts w:hint="eastAsia" w:ascii="宋体" w:hAnsi="宋体" w:cs="宋体"/>
          <w:b/>
          <w:sz w:val="24"/>
        </w:rPr>
        <w:t>原有树木保护、</w:t>
      </w:r>
      <w:r>
        <w:rPr>
          <w:rFonts w:hint="eastAsia" w:ascii="宋体" w:hAnsi="宋体" w:cs="Arial"/>
          <w:b/>
          <w:bCs/>
          <w:sz w:val="24"/>
        </w:rPr>
        <w:t>地上、地下设施和周边建筑物的临时保护</w:t>
      </w:r>
      <w:bookmarkEnd w:id="1400"/>
      <w:bookmarkEnd w:id="1401"/>
      <w:bookmarkEnd w:id="1402"/>
    </w:p>
    <w:p>
      <w:pPr>
        <w:tabs>
          <w:tab w:val="left" w:pos="851"/>
        </w:tabs>
        <w:spacing w:after="120" w:afterLines="50" w:line="460" w:lineRule="exact"/>
        <w:rPr>
          <w:rFonts w:ascii="宋体" w:hAnsi="宋体" w:cs="宋体"/>
          <w:b/>
          <w:sz w:val="24"/>
        </w:rPr>
      </w:pPr>
      <w:r>
        <w:rPr>
          <w:rFonts w:hint="eastAsia" w:ascii="宋体" w:hAnsi="宋体" w:cs="Arial"/>
          <w:b/>
          <w:sz w:val="24"/>
        </w:rPr>
        <w:t xml:space="preserve">8.1   </w:t>
      </w:r>
      <w:r>
        <w:rPr>
          <w:rFonts w:hint="eastAsia" w:ascii="宋体" w:hAnsi="宋体" w:cs="宋体"/>
          <w:b/>
          <w:sz w:val="24"/>
        </w:rPr>
        <w:t>原有树木保护</w:t>
      </w:r>
    </w:p>
    <w:p>
      <w:pPr>
        <w:spacing w:after="120" w:afterLines="50" w:line="460" w:lineRule="exact"/>
        <w:ind w:left="1"/>
        <w:rPr>
          <w:rFonts w:ascii="宋体" w:hAnsi="宋体" w:cs="宋体"/>
          <w:b/>
          <w:sz w:val="24"/>
        </w:rPr>
      </w:pPr>
      <w:r>
        <w:rPr>
          <w:rFonts w:hint="eastAsia" w:ascii="宋体" w:hAnsi="宋体" w:cs="宋体"/>
          <w:sz w:val="24"/>
        </w:rPr>
        <w:t xml:space="preserve">8.1.1 </w:t>
      </w:r>
      <w:r>
        <w:rPr>
          <w:rFonts w:hint="eastAsia" w:ascii="宋体" w:hAnsi="宋体" w:cs="Arial"/>
          <w:sz w:val="24"/>
        </w:rPr>
        <w:t>承包人应制订现场保留植物的保护和养护措施，以确保现场保留植物在施工期间不会因施工受损，其生长的立地条件（土、肥、水、气、热等）不会因施工而变差，并进而影响到保留植物的正常生长。</w:t>
      </w:r>
    </w:p>
    <w:p>
      <w:pPr>
        <w:spacing w:after="120" w:afterLines="50" w:line="460" w:lineRule="exact"/>
        <w:ind w:left="2"/>
        <w:rPr>
          <w:rFonts w:ascii="宋体" w:hAnsi="宋体"/>
          <w:sz w:val="24"/>
        </w:rPr>
      </w:pPr>
      <w:r>
        <w:rPr>
          <w:rFonts w:hint="eastAsia" w:ascii="宋体" w:hAnsi="宋体" w:cs="Arial"/>
          <w:sz w:val="24"/>
        </w:rPr>
        <w:t xml:space="preserve">8.1.2 </w:t>
      </w:r>
      <w:r>
        <w:rPr>
          <w:rFonts w:hint="eastAsia" w:ascii="宋体" w:hAnsi="宋体"/>
          <w:sz w:val="24"/>
        </w:rPr>
        <w:t>施工现场有原有树木，应该对现场所有的树木品种和数量进行核查统计，按树种、规格、生长状态等登记在册。</w:t>
      </w:r>
    </w:p>
    <w:p>
      <w:pPr>
        <w:spacing w:after="120" w:afterLines="50" w:line="460" w:lineRule="exact"/>
        <w:ind w:left="2"/>
        <w:rPr>
          <w:rFonts w:ascii="宋体" w:hAnsi="宋体"/>
          <w:sz w:val="24"/>
        </w:rPr>
      </w:pPr>
      <w:r>
        <w:rPr>
          <w:rFonts w:hint="eastAsia" w:ascii="宋体" w:hAnsi="宋体"/>
          <w:sz w:val="24"/>
        </w:rPr>
        <w:t>8.1.3 施工现场有原有树木，施工单位应该对其进行保护、看管、按标准等级实施养护，费用应该纳入合同价款内。</w:t>
      </w:r>
    </w:p>
    <w:p>
      <w:pPr>
        <w:spacing w:after="120" w:afterLines="50" w:line="460" w:lineRule="exact"/>
        <w:ind w:left="2" w:firstLine="1"/>
        <w:rPr>
          <w:rFonts w:ascii="宋体" w:hAnsi="宋体"/>
          <w:sz w:val="24"/>
        </w:rPr>
      </w:pPr>
      <w:r>
        <w:rPr>
          <w:rFonts w:hint="eastAsia" w:ascii="宋体" w:hAnsi="宋体"/>
          <w:sz w:val="24"/>
        </w:rPr>
        <w:t>8.1.4 原有树木保护包括对树干用草绳、草袋、厚纸板等软质包裹，或用木板、木条等硬质材料包裹，防止碰撞伤害，重点树木必要时可单独搭设围挡</w:t>
      </w:r>
    </w:p>
    <w:p>
      <w:pPr>
        <w:spacing w:after="120" w:afterLines="50" w:line="460" w:lineRule="exact"/>
        <w:ind w:left="2"/>
        <w:rPr>
          <w:rFonts w:ascii="宋体" w:hAnsi="宋体"/>
          <w:sz w:val="24"/>
        </w:rPr>
      </w:pPr>
      <w:r>
        <w:rPr>
          <w:rFonts w:hint="eastAsia" w:ascii="宋体" w:hAnsi="宋体"/>
          <w:sz w:val="24"/>
        </w:rPr>
        <w:t>8.1.5 施工现场具有古树名木，建设单位、施工单位应该在施工前应向有关管理部门申报保护方案。</w:t>
      </w:r>
    </w:p>
    <w:p>
      <w:pPr>
        <w:spacing w:after="120" w:afterLines="50" w:line="460" w:lineRule="exact"/>
        <w:ind w:left="2"/>
        <w:rPr>
          <w:rFonts w:ascii="宋体" w:hAnsi="宋体" w:cs="宋体"/>
          <w:sz w:val="24"/>
        </w:rPr>
      </w:pPr>
      <w:r>
        <w:rPr>
          <w:rFonts w:hint="eastAsia" w:ascii="宋体" w:hAnsi="宋体" w:cs="Arial"/>
          <w:sz w:val="24"/>
        </w:rPr>
        <w:t>8.1.6</w:t>
      </w:r>
      <w:r>
        <w:rPr>
          <w:rFonts w:hint="eastAsia" w:ascii="宋体" w:hAnsi="宋体" w:cs="宋体"/>
          <w:sz w:val="24"/>
        </w:rPr>
        <w:t>现场古树名木的保护和养护应该符合«古树名木日常养护管理标准»DB11/T767-2010的规定要求。</w:t>
      </w:r>
    </w:p>
    <w:p>
      <w:pPr>
        <w:tabs>
          <w:tab w:val="left" w:pos="851"/>
        </w:tabs>
        <w:spacing w:after="156" w:line="460" w:lineRule="exact"/>
        <w:rPr>
          <w:rFonts w:ascii="宋体" w:hAnsi="宋体" w:cs="Arial"/>
          <w:sz w:val="24"/>
        </w:rPr>
      </w:pPr>
      <w:r>
        <w:rPr>
          <w:rFonts w:hint="eastAsia" w:ascii="宋体" w:hAnsi="宋体" w:cs="Arial"/>
          <w:sz w:val="24"/>
        </w:rPr>
        <w:t>8.1.7 原有树木（含古树名木）保护管理的其他要求：</w:t>
      </w:r>
    </w:p>
    <w:p>
      <w:pPr>
        <w:spacing w:after="156" w:line="460" w:lineRule="exact"/>
        <w:rPr>
          <w:rFonts w:ascii="宋体" w:hAnsi="宋体" w:cs="Arial"/>
          <w:sz w:val="24"/>
          <w:u w:val="single"/>
        </w:rPr>
      </w:pPr>
      <w:r>
        <w:rPr>
          <w:rFonts w:hint="eastAsia" w:ascii="宋体" w:hAnsi="宋体" w:cs="Arial"/>
          <w:sz w:val="24"/>
          <w:u w:val="single"/>
        </w:rPr>
        <w:t xml:space="preserve">                                                                      </w:t>
      </w:r>
      <w:r>
        <w:rPr>
          <w:rFonts w:hint="eastAsia" w:ascii="宋体" w:hAnsi="宋体" w:cs="Arial"/>
          <w:sz w:val="24"/>
        </w:rPr>
        <w:t>。</w:t>
      </w:r>
    </w:p>
    <w:p>
      <w:pPr>
        <w:tabs>
          <w:tab w:val="left" w:pos="851"/>
        </w:tabs>
        <w:spacing w:after="120" w:afterLines="50" w:line="460" w:lineRule="exact"/>
        <w:rPr>
          <w:rFonts w:ascii="宋体" w:hAnsi="宋体" w:cs="Arial"/>
          <w:sz w:val="24"/>
        </w:rPr>
      </w:pPr>
      <w:r>
        <w:rPr>
          <w:rFonts w:hint="eastAsia" w:ascii="宋体" w:hAnsi="宋体" w:cs="Arial"/>
          <w:b/>
          <w:sz w:val="24"/>
        </w:rPr>
        <w:t xml:space="preserve">8.2   </w:t>
      </w:r>
      <w:r>
        <w:rPr>
          <w:rFonts w:hint="eastAsia" w:ascii="宋体" w:hAnsi="宋体" w:cs="宋体"/>
          <w:b/>
          <w:sz w:val="24"/>
        </w:rPr>
        <w:t>地上、地下设施和周边建筑物的临时保护</w:t>
      </w:r>
    </w:p>
    <w:p>
      <w:pPr>
        <w:spacing w:after="120" w:afterLines="50" w:line="460" w:lineRule="exact"/>
        <w:ind w:left="2"/>
        <w:rPr>
          <w:rFonts w:ascii="宋体" w:hAnsi="宋体" w:cs="Arial"/>
          <w:sz w:val="24"/>
        </w:rPr>
      </w:pPr>
      <w:r>
        <w:rPr>
          <w:rFonts w:hint="eastAsia" w:ascii="宋体" w:hAnsi="宋体" w:cs="Arial"/>
          <w:sz w:val="24"/>
        </w:rPr>
        <w:t>8.2.1 承包人应为施工场地及其周边现有的地上、地下设施、管线和建筑物提供足够的临时保护设施，确保施工过程中这些设施和建筑物不会受到干扰和破坏。</w:t>
      </w:r>
    </w:p>
    <w:p>
      <w:pPr>
        <w:spacing w:after="120" w:afterLines="50" w:line="460" w:lineRule="exact"/>
        <w:ind w:left="2" w:firstLine="1"/>
        <w:rPr>
          <w:rFonts w:ascii="宋体" w:hAnsi="宋体" w:cs="Arial"/>
          <w:sz w:val="24"/>
          <w:u w:val="single"/>
        </w:rPr>
      </w:pPr>
      <w:r>
        <w:rPr>
          <w:rFonts w:hint="eastAsia" w:ascii="宋体" w:hAnsi="宋体" w:cs="Arial"/>
          <w:sz w:val="24"/>
        </w:rPr>
        <w:t>8.2.2 承包人应当制订现有设施、管线临时保护方案和应急处理方案，并在本工程开工前至少提前7天报送监理人，</w:t>
      </w:r>
      <w:r>
        <w:rPr>
          <w:rFonts w:hint="eastAsia" w:ascii="宋体" w:hAnsi="宋体"/>
          <w:sz w:val="24"/>
        </w:rPr>
        <w:t>监理人应在收到现有设施</w:t>
      </w:r>
      <w:r>
        <w:rPr>
          <w:rFonts w:hint="eastAsia" w:ascii="宋体" w:hAnsi="宋体" w:cs="Arial"/>
          <w:sz w:val="24"/>
        </w:rPr>
        <w:t>、管线</w:t>
      </w:r>
      <w:r>
        <w:rPr>
          <w:rFonts w:hint="eastAsia" w:ascii="宋体" w:hAnsi="宋体"/>
          <w:sz w:val="24"/>
        </w:rPr>
        <w:t>临时保护方案后的3天内批复承包人。承包人应当严格执行经监理人批准的保护方案，并保证在任何可能影响周边现有的地上、地下设施</w:t>
      </w:r>
      <w:r>
        <w:rPr>
          <w:rFonts w:hint="eastAsia" w:ascii="宋体" w:hAnsi="宋体" w:cs="Arial"/>
          <w:sz w:val="24"/>
        </w:rPr>
        <w:t>、管线</w:t>
      </w:r>
      <w:r>
        <w:rPr>
          <w:rFonts w:hint="eastAsia" w:ascii="宋体" w:hAnsi="宋体"/>
          <w:sz w:val="24"/>
        </w:rPr>
        <w:t>或周边建筑物的施工作业开始前，相应的临时保护设施能够落实到位。</w:t>
      </w:r>
    </w:p>
    <w:p>
      <w:pPr>
        <w:spacing w:after="120" w:afterLines="50" w:line="460" w:lineRule="exact"/>
        <w:rPr>
          <w:rFonts w:ascii="宋体" w:hAnsi="宋体" w:cs="Arial"/>
          <w:b/>
          <w:sz w:val="24"/>
        </w:rPr>
      </w:pPr>
      <w:r>
        <w:rPr>
          <w:rFonts w:hint="eastAsia" w:ascii="宋体" w:hAnsi="宋体" w:cs="Arial"/>
          <w:b/>
          <w:sz w:val="24"/>
        </w:rPr>
        <w:t>8.3   发包人特别提醒承包人注意以下地上、地下设施、管线和周边建筑物的保护：</w:t>
      </w:r>
    </w:p>
    <w:p>
      <w:pPr>
        <w:spacing w:after="120" w:afterLines="50" w:line="460" w:lineRule="exact"/>
        <w:rPr>
          <w:rFonts w:ascii="宋体" w:hAnsi="宋体"/>
          <w:sz w:val="24"/>
          <w:u w:val="single"/>
        </w:rPr>
      </w:pPr>
      <w:r>
        <w:rPr>
          <w:rFonts w:hint="eastAsia" w:ascii="宋体" w:hAnsi="宋体"/>
          <w:sz w:val="24"/>
          <w:u w:val="single"/>
        </w:rPr>
        <w:t xml:space="preserve">                                                                      </w:t>
      </w:r>
      <w:r>
        <w:rPr>
          <w:rFonts w:hint="eastAsia" w:ascii="宋体" w:hAnsi="宋体"/>
          <w:sz w:val="24"/>
        </w:rPr>
        <w:t xml:space="preserve">。 </w:t>
      </w:r>
    </w:p>
    <w:p>
      <w:pPr>
        <w:tabs>
          <w:tab w:val="left" w:pos="851"/>
        </w:tabs>
        <w:spacing w:after="120" w:afterLines="50" w:line="460" w:lineRule="exact"/>
        <w:rPr>
          <w:rFonts w:ascii="宋体" w:hAnsi="宋体"/>
          <w:b/>
          <w:sz w:val="24"/>
        </w:rPr>
      </w:pPr>
      <w:r>
        <w:rPr>
          <w:rFonts w:hint="eastAsia" w:ascii="宋体" w:hAnsi="宋体" w:cs="Arial"/>
          <w:b/>
          <w:sz w:val="24"/>
        </w:rPr>
        <w:t xml:space="preserve">8.4   </w:t>
      </w:r>
      <w:r>
        <w:rPr>
          <w:rFonts w:hint="eastAsia" w:ascii="宋体" w:hAnsi="宋体"/>
          <w:b/>
          <w:sz w:val="24"/>
        </w:rPr>
        <w:t>地上、地下设施</w:t>
      </w:r>
      <w:r>
        <w:rPr>
          <w:rFonts w:hint="eastAsia" w:ascii="宋体" w:hAnsi="宋体" w:cs="Arial"/>
          <w:b/>
          <w:sz w:val="24"/>
        </w:rPr>
        <w:t>、管线</w:t>
      </w:r>
      <w:r>
        <w:rPr>
          <w:rFonts w:hint="eastAsia" w:ascii="宋体" w:hAnsi="宋体"/>
          <w:b/>
          <w:sz w:val="24"/>
        </w:rPr>
        <w:t>和周边建筑物的临时保护的其他要求如下:</w:t>
      </w:r>
    </w:p>
    <w:p>
      <w:pPr>
        <w:spacing w:after="120" w:afterLines="50" w:line="460" w:lineRule="exact"/>
        <w:rPr>
          <w:rFonts w:ascii="宋体" w:hAnsi="宋体"/>
          <w:sz w:val="24"/>
          <w:u w:val="single"/>
        </w:rPr>
      </w:pPr>
      <w:r>
        <w:rPr>
          <w:rFonts w:hint="eastAsia" w:ascii="宋体" w:hAnsi="宋体"/>
          <w:sz w:val="24"/>
          <w:u w:val="single"/>
        </w:rPr>
        <w:t xml:space="preserve">                                                                      </w:t>
      </w:r>
      <w:r>
        <w:rPr>
          <w:rFonts w:hint="eastAsia" w:ascii="宋体" w:hAnsi="宋体"/>
          <w:sz w:val="24"/>
        </w:rPr>
        <w:t>。</w:t>
      </w:r>
    </w:p>
    <w:p>
      <w:pPr>
        <w:tabs>
          <w:tab w:val="left" w:pos="2475"/>
        </w:tabs>
        <w:spacing w:line="460" w:lineRule="exact"/>
        <w:outlineLvl w:val="2"/>
        <w:rPr>
          <w:rFonts w:ascii="宋体" w:hAnsi="宋体"/>
          <w:b/>
          <w:sz w:val="24"/>
        </w:rPr>
      </w:pPr>
      <w:bookmarkStart w:id="1403" w:name="_Toc241459798"/>
      <w:bookmarkStart w:id="1404" w:name="_Toc342296555"/>
      <w:bookmarkStart w:id="1405" w:name="_Toc362253021"/>
      <w:r>
        <w:rPr>
          <w:rFonts w:hint="eastAsia" w:ascii="宋体" w:hAnsi="宋体"/>
          <w:b/>
          <w:sz w:val="24"/>
        </w:rPr>
        <w:t>9. 园林用水</w:t>
      </w:r>
      <w:r>
        <w:rPr>
          <w:rFonts w:ascii="宋体" w:hAnsi="宋体"/>
          <w:b/>
          <w:sz w:val="24"/>
        </w:rPr>
        <w:tab/>
      </w:r>
    </w:p>
    <w:p>
      <w:pPr>
        <w:spacing w:after="120" w:afterLines="50" w:line="460" w:lineRule="exact"/>
        <w:rPr>
          <w:rFonts w:ascii="宋体" w:hAnsi="宋体" w:cs="Arial"/>
          <w:b/>
          <w:sz w:val="24"/>
        </w:rPr>
      </w:pPr>
      <w:r>
        <w:rPr>
          <w:rFonts w:hint="eastAsia" w:ascii="宋体" w:hAnsi="宋体" w:cs="Arial"/>
          <w:b/>
          <w:sz w:val="24"/>
        </w:rPr>
        <w:t>9.1   园林绿化种植养护用水</w:t>
      </w:r>
    </w:p>
    <w:p>
      <w:pPr>
        <w:spacing w:after="120" w:afterLines="50" w:line="460" w:lineRule="exact"/>
        <w:ind w:left="2"/>
        <w:rPr>
          <w:rFonts w:ascii="宋体" w:hAnsi="宋体" w:cs="Arial"/>
          <w:sz w:val="24"/>
        </w:rPr>
      </w:pPr>
      <w:r>
        <w:rPr>
          <w:rFonts w:hint="eastAsia" w:ascii="宋体" w:hAnsi="宋体" w:cs="Arial"/>
          <w:sz w:val="24"/>
        </w:rPr>
        <w:t>9.1.1 园林绿化工程施工现场应该提供（临时或永久）用于种植施工或养护的合格水源，施工现场未提供水源的，在合同价款中应该包括绿化工程施工养护合格用水的运输费。</w:t>
      </w:r>
    </w:p>
    <w:p>
      <w:pPr>
        <w:spacing w:after="120" w:afterLines="50" w:line="460" w:lineRule="exact"/>
        <w:ind w:left="2"/>
        <w:rPr>
          <w:rFonts w:ascii="宋体" w:hAnsi="宋体" w:cs="Arial"/>
          <w:sz w:val="24"/>
        </w:rPr>
      </w:pPr>
      <w:r>
        <w:rPr>
          <w:rFonts w:hint="eastAsia" w:ascii="宋体" w:hAnsi="宋体" w:cs="Arial"/>
          <w:sz w:val="24"/>
        </w:rPr>
        <w:t>9.1.2 施工现场的天然水源，如河流、小溪、池塘、湖泊等，应该对其水质进行检验合格后方可使用。</w:t>
      </w:r>
    </w:p>
    <w:p>
      <w:pPr>
        <w:spacing w:after="120" w:afterLines="50" w:line="460" w:lineRule="exact"/>
        <w:ind w:left="2"/>
        <w:rPr>
          <w:rFonts w:ascii="宋体" w:hAnsi="宋体" w:cs="Arial"/>
          <w:sz w:val="24"/>
        </w:rPr>
      </w:pPr>
      <w:r>
        <w:rPr>
          <w:rFonts w:hint="eastAsia" w:ascii="宋体" w:hAnsi="宋体" w:cs="Arial"/>
          <w:sz w:val="24"/>
        </w:rPr>
        <w:t>9.1.3 园林绿化施工养护用水使用再生水的，应该执行«再生水灌溉绿地技术规定»(DB/T672-2009)的要求。</w:t>
      </w:r>
    </w:p>
    <w:p>
      <w:pPr>
        <w:tabs>
          <w:tab w:val="left" w:pos="851"/>
        </w:tabs>
        <w:spacing w:after="120" w:afterLines="50" w:line="460" w:lineRule="exact"/>
        <w:rPr>
          <w:rFonts w:ascii="宋体" w:hAnsi="宋体" w:cs="Arial"/>
          <w:b/>
          <w:sz w:val="24"/>
        </w:rPr>
      </w:pPr>
      <w:r>
        <w:rPr>
          <w:rFonts w:hint="eastAsia" w:ascii="宋体" w:hAnsi="宋体" w:cs="Arial"/>
          <w:b/>
          <w:sz w:val="24"/>
        </w:rPr>
        <w:t>9.2   园林工程其他施用水</w:t>
      </w:r>
    </w:p>
    <w:p>
      <w:pPr>
        <w:spacing w:after="120" w:afterLines="50" w:line="460" w:lineRule="exact"/>
        <w:ind w:left="1"/>
        <w:rPr>
          <w:rFonts w:ascii="宋体" w:hAnsi="宋体" w:cs="Arial"/>
          <w:sz w:val="24"/>
        </w:rPr>
      </w:pPr>
      <w:r>
        <w:rPr>
          <w:rFonts w:hint="eastAsia" w:ascii="宋体" w:hAnsi="宋体" w:cs="Arial"/>
          <w:sz w:val="24"/>
        </w:rPr>
        <w:t>9.2.1 园林建筑工程、小品工程施工用水应该符合相关专业工程的规范要求。</w:t>
      </w:r>
    </w:p>
    <w:p>
      <w:pPr>
        <w:spacing w:after="120" w:afterLines="50" w:line="460" w:lineRule="exact"/>
        <w:ind w:left="2"/>
        <w:rPr>
          <w:rFonts w:ascii="宋体" w:hAnsi="宋体" w:cs="Arial"/>
          <w:sz w:val="24"/>
        </w:rPr>
      </w:pPr>
      <w:r>
        <w:rPr>
          <w:rFonts w:hint="eastAsia" w:ascii="宋体" w:hAnsi="宋体" w:cs="Arial"/>
          <w:sz w:val="24"/>
        </w:rPr>
        <w:t>9.2.2 园林工程景观用水，如喷泉、水池、溪流、湖泊等，应该符合«城市再生水利用景观环境用水水质»GBT18921-2002的要求。</w:t>
      </w:r>
    </w:p>
    <w:p>
      <w:pPr>
        <w:spacing w:after="120" w:afterLines="50" w:line="460" w:lineRule="exact"/>
        <w:rPr>
          <w:rFonts w:ascii="宋体" w:hAnsi="宋体" w:cs="Arial"/>
          <w:sz w:val="24"/>
        </w:rPr>
      </w:pPr>
      <w:r>
        <w:rPr>
          <w:rFonts w:hint="eastAsia" w:ascii="宋体" w:hAnsi="宋体" w:cs="Arial"/>
          <w:sz w:val="24"/>
        </w:rPr>
        <w:t>9.2.3 施工现场具备的饮用水和非饮用水应该标志清晰。</w:t>
      </w:r>
    </w:p>
    <w:p>
      <w:pPr>
        <w:spacing w:after="120" w:afterLines="50" w:line="460" w:lineRule="exact"/>
        <w:rPr>
          <w:rFonts w:ascii="宋体" w:hAnsi="宋体" w:cs="Arial"/>
          <w:b/>
          <w:sz w:val="24"/>
        </w:rPr>
      </w:pPr>
      <w:r>
        <w:rPr>
          <w:rFonts w:hint="eastAsia" w:ascii="宋体" w:hAnsi="宋体" w:cs="Arial"/>
          <w:b/>
          <w:sz w:val="24"/>
        </w:rPr>
        <w:t>9.3</w:t>
      </w:r>
      <w:r>
        <w:rPr>
          <w:rFonts w:hint="eastAsia" w:ascii="宋体" w:hAnsi="宋体" w:cs="Arial"/>
          <w:b/>
          <w:sz w:val="24"/>
        </w:rPr>
        <w:tab/>
      </w:r>
      <w:r>
        <w:rPr>
          <w:rFonts w:hint="eastAsia" w:ascii="宋体" w:hAnsi="宋体" w:cs="Arial"/>
          <w:b/>
          <w:sz w:val="24"/>
        </w:rPr>
        <w:t xml:space="preserve">   园林用水的其他要求：</w:t>
      </w:r>
    </w:p>
    <w:p>
      <w:pPr>
        <w:spacing w:after="120" w:afterLines="50" w:line="460" w:lineRule="exact"/>
        <w:rPr>
          <w:rFonts w:ascii="宋体" w:hAnsi="宋体" w:cs="Arial"/>
          <w:sz w:val="24"/>
        </w:rPr>
      </w:pPr>
      <w:r>
        <w:rPr>
          <w:rFonts w:hint="eastAsia" w:ascii="宋体" w:hAnsi="宋体" w:cs="Arial"/>
          <w:sz w:val="24"/>
          <w:u w:val="single"/>
        </w:rPr>
        <w:t xml:space="preserve">                                                                      </w:t>
      </w:r>
      <w:r>
        <w:rPr>
          <w:rFonts w:hint="eastAsia" w:ascii="宋体" w:hAnsi="宋体" w:cs="Arial"/>
          <w:sz w:val="24"/>
        </w:rPr>
        <w:t>。</w:t>
      </w:r>
    </w:p>
    <w:p>
      <w:pPr>
        <w:keepNext/>
        <w:keepLines/>
        <w:spacing w:before="260" w:after="156" w:line="460" w:lineRule="exact"/>
        <w:outlineLvl w:val="2"/>
        <w:rPr>
          <w:rFonts w:ascii="宋体" w:hAnsi="宋体" w:cs="Arial"/>
          <w:sz w:val="24"/>
        </w:rPr>
      </w:pPr>
      <w:r>
        <w:rPr>
          <w:rFonts w:hint="eastAsia" w:ascii="宋体" w:hAnsi="宋体" w:cs="Arial"/>
          <w:b/>
          <w:bCs/>
          <w:sz w:val="24"/>
        </w:rPr>
        <w:t>10. 样品和材料代换</w:t>
      </w:r>
      <w:bookmarkEnd w:id="1403"/>
      <w:bookmarkEnd w:id="1404"/>
      <w:bookmarkEnd w:id="1405"/>
    </w:p>
    <w:p>
      <w:pPr>
        <w:spacing w:line="460" w:lineRule="exact"/>
        <w:rPr>
          <w:rFonts w:ascii="宋体" w:hAnsi="宋体"/>
          <w:b/>
          <w:sz w:val="24"/>
        </w:rPr>
      </w:pPr>
      <w:bookmarkStart w:id="1406" w:name="_Toc263259815"/>
      <w:r>
        <w:rPr>
          <w:rFonts w:hint="eastAsia" w:ascii="宋体" w:hAnsi="宋体"/>
          <w:b/>
          <w:sz w:val="24"/>
        </w:rPr>
        <w:t>10</w:t>
      </w:r>
      <w:r>
        <w:rPr>
          <w:rFonts w:ascii="宋体" w:hAnsi="宋体"/>
          <w:b/>
          <w:sz w:val="24"/>
        </w:rPr>
        <w:t>.</w:t>
      </w:r>
      <w:r>
        <w:rPr>
          <w:rFonts w:hint="eastAsia" w:ascii="宋体" w:hAnsi="宋体"/>
          <w:b/>
          <w:sz w:val="24"/>
        </w:rPr>
        <w:t>1</w:t>
      </w:r>
      <w:bookmarkEnd w:id="1406"/>
      <w:bookmarkStart w:id="1407" w:name="_Toc263259816"/>
      <w:r>
        <w:rPr>
          <w:rFonts w:hint="eastAsia" w:ascii="宋体" w:hAnsi="宋体"/>
          <w:b/>
          <w:sz w:val="24"/>
        </w:rPr>
        <w:t xml:space="preserve">   样品</w:t>
      </w:r>
      <w:bookmarkEnd w:id="1407"/>
    </w:p>
    <w:p>
      <w:pPr>
        <w:spacing w:after="120" w:afterLines="50" w:line="460" w:lineRule="exact"/>
        <w:ind w:firstLine="566" w:firstLineChars="236"/>
        <w:rPr>
          <w:rFonts w:ascii="宋体" w:hAnsi="宋体"/>
          <w:sz w:val="24"/>
        </w:rPr>
      </w:pPr>
      <w:r>
        <w:rPr>
          <w:rFonts w:hint="eastAsia" w:ascii="宋体" w:hAnsi="宋体"/>
          <w:sz w:val="24"/>
        </w:rPr>
        <w:t>用于园林绿化工程重要景点的大规格苗木、珍贵种子种苗、大规格景石、景观灯具、铺装面材等材料，应在移植或施工前进行送样（实物或照片，以及其他相关资料），报请监理人、设计单位、发包人审定。</w:t>
      </w:r>
    </w:p>
    <w:p>
      <w:pPr>
        <w:spacing w:after="120" w:afterLines="50" w:line="460" w:lineRule="exact"/>
        <w:rPr>
          <w:rFonts w:ascii="宋体" w:hAnsi="宋体" w:cs="Arial"/>
          <w:sz w:val="24"/>
        </w:rPr>
      </w:pPr>
      <w:r>
        <w:rPr>
          <w:rFonts w:hint="eastAsia" w:ascii="宋体" w:hAnsi="宋体" w:cs="Arial"/>
          <w:sz w:val="24"/>
        </w:rPr>
        <w:t>10.1.1</w:t>
      </w:r>
      <w:r>
        <w:rPr>
          <w:rFonts w:ascii="宋体" w:hAnsi="宋体" w:cs="Arial"/>
          <w:sz w:val="24"/>
        </w:rPr>
        <w:t xml:space="preserve"> </w:t>
      </w:r>
      <w:r>
        <w:rPr>
          <w:rFonts w:hint="eastAsia" w:ascii="宋体" w:hAnsi="宋体" w:cs="Arial"/>
          <w:sz w:val="24"/>
        </w:rPr>
        <w:t>本工程需要提供的选样苗木类别或苗木名称如下：</w:t>
      </w:r>
    </w:p>
    <w:p>
      <w:pPr>
        <w:spacing w:after="120" w:afterLines="50" w:line="460" w:lineRule="exact"/>
        <w:rPr>
          <w:rFonts w:ascii="宋体" w:hAnsi="宋体" w:cs="Arial"/>
          <w:sz w:val="24"/>
        </w:rPr>
      </w:pPr>
      <w:r>
        <w:rPr>
          <w:rFonts w:hint="eastAsia" w:ascii="宋体" w:hAnsi="宋体" w:cs="Arial"/>
          <w:sz w:val="24"/>
          <w:u w:val="single"/>
        </w:rPr>
        <w:t xml:space="preserve">                                                                      </w:t>
      </w:r>
      <w:r>
        <w:rPr>
          <w:rFonts w:hint="eastAsia" w:ascii="宋体" w:hAnsi="宋体" w:cs="Arial"/>
          <w:sz w:val="24"/>
        </w:rPr>
        <w:t>。</w:t>
      </w:r>
    </w:p>
    <w:p>
      <w:pPr>
        <w:spacing w:after="120" w:afterLines="50" w:line="460" w:lineRule="exact"/>
        <w:ind w:firstLine="840" w:firstLineChars="350"/>
        <w:rPr>
          <w:rFonts w:ascii="宋体" w:hAnsi="宋体" w:cs="Arial"/>
          <w:sz w:val="24"/>
        </w:rPr>
      </w:pPr>
      <w:r>
        <w:rPr>
          <w:rFonts w:hint="eastAsia" w:ascii="宋体" w:hAnsi="宋体" w:cs="Arial"/>
          <w:sz w:val="24"/>
        </w:rPr>
        <w:t>本工程需要承包人提供样品的其他材料和工程设备如下：</w:t>
      </w:r>
    </w:p>
    <w:p>
      <w:pPr>
        <w:spacing w:after="120" w:afterLines="50" w:line="460" w:lineRule="exact"/>
        <w:rPr>
          <w:rFonts w:ascii="宋体" w:hAnsi="宋体"/>
          <w:sz w:val="24"/>
        </w:rPr>
      </w:pPr>
      <w:r>
        <w:rPr>
          <w:rFonts w:hint="eastAsia" w:ascii="宋体" w:hAnsi="宋体"/>
          <w:sz w:val="24"/>
          <w:u w:val="single"/>
        </w:rPr>
        <w:t xml:space="preserve">                                                                      </w:t>
      </w:r>
      <w:r>
        <w:rPr>
          <w:rFonts w:hint="eastAsia" w:ascii="宋体" w:hAnsi="宋体"/>
          <w:sz w:val="24"/>
        </w:rPr>
        <w:t>。</w:t>
      </w:r>
    </w:p>
    <w:p>
      <w:pPr>
        <w:spacing w:after="120" w:afterLines="50" w:line="460" w:lineRule="exact"/>
        <w:ind w:left="2"/>
        <w:rPr>
          <w:rFonts w:ascii="宋体" w:hAnsi="宋体" w:cs="Arial"/>
          <w:sz w:val="24"/>
        </w:rPr>
      </w:pPr>
      <w:r>
        <w:rPr>
          <w:rFonts w:hint="eastAsia" w:ascii="宋体" w:hAnsi="宋体" w:cs="Arial"/>
          <w:sz w:val="24"/>
        </w:rPr>
        <w:t>10</w:t>
      </w:r>
      <w:r>
        <w:rPr>
          <w:rFonts w:ascii="宋体" w:hAnsi="宋体" w:cs="Arial"/>
          <w:sz w:val="24"/>
        </w:rPr>
        <w:t>.</w:t>
      </w:r>
      <w:r>
        <w:rPr>
          <w:rFonts w:hint="eastAsia" w:ascii="宋体" w:hAnsi="宋体" w:cs="Arial"/>
          <w:sz w:val="24"/>
        </w:rPr>
        <w:t>1</w:t>
      </w:r>
      <w:r>
        <w:rPr>
          <w:rFonts w:ascii="宋体" w:hAnsi="宋体" w:cs="Arial"/>
          <w:sz w:val="24"/>
        </w:rPr>
        <w:t>.</w:t>
      </w:r>
      <w:r>
        <w:rPr>
          <w:rFonts w:hint="eastAsia" w:ascii="宋体" w:hAnsi="宋体" w:cs="Arial"/>
          <w:sz w:val="24"/>
        </w:rPr>
        <w:t>2</w:t>
      </w:r>
      <w:r>
        <w:rPr>
          <w:rFonts w:ascii="宋体" w:hAnsi="宋体" w:cs="Arial"/>
          <w:sz w:val="24"/>
        </w:rPr>
        <w:t xml:space="preserve"> </w:t>
      </w:r>
      <w:r>
        <w:rPr>
          <w:rFonts w:hint="eastAsia" w:ascii="宋体" w:hAnsi="宋体" w:cs="Arial"/>
          <w:sz w:val="24"/>
        </w:rPr>
        <w:t>对于本款第10.1.1项</w:t>
      </w:r>
      <w:r>
        <w:rPr>
          <w:rFonts w:ascii="宋体" w:hAnsi="宋体" w:cs="Arial"/>
          <w:sz w:val="24"/>
        </w:rPr>
        <w:t>约定的</w:t>
      </w:r>
      <w:r>
        <w:rPr>
          <w:rFonts w:hint="eastAsia" w:ascii="宋体" w:hAnsi="宋体" w:cs="Arial"/>
          <w:sz w:val="24"/>
        </w:rPr>
        <w:t>苗木承包人应按照合同约定的期限，向监理人提交样品或照片，</w:t>
      </w:r>
      <w:r>
        <w:rPr>
          <w:rFonts w:ascii="宋体" w:hAnsi="宋体" w:cs="Arial"/>
          <w:sz w:val="24"/>
        </w:rPr>
        <w:t>并附必要的说明</w:t>
      </w:r>
      <w:r>
        <w:rPr>
          <w:rFonts w:hint="eastAsia" w:ascii="宋体" w:hAnsi="宋体" w:cs="Arial"/>
          <w:sz w:val="24"/>
        </w:rPr>
        <w:t>文件，种子种苗需标明</w:t>
      </w:r>
      <w:r>
        <w:rPr>
          <w:rFonts w:hint="eastAsia" w:ascii="宋体" w:hAnsi="宋体"/>
          <w:sz w:val="24"/>
        </w:rPr>
        <w:t>种子种苗</w:t>
      </w:r>
      <w:r>
        <w:rPr>
          <w:rFonts w:hint="eastAsia" w:ascii="宋体" w:hAnsi="宋体" w:cs="Arial"/>
          <w:sz w:val="24"/>
        </w:rPr>
        <w:t>名称、规格、</w:t>
      </w:r>
      <w:r>
        <w:rPr>
          <w:rFonts w:hint="eastAsia" w:ascii="宋体" w:hAnsi="宋体"/>
          <w:sz w:val="24"/>
        </w:rPr>
        <w:t>种子种苗</w:t>
      </w:r>
      <w:r>
        <w:rPr>
          <w:rFonts w:hint="eastAsia" w:ascii="宋体" w:hAnsi="宋体" w:cs="Arial"/>
          <w:sz w:val="24"/>
        </w:rPr>
        <w:t>所在地、拟使用区域、设计或合同要求等，并附“两证一签”是指：种子种苗的生产经营许可证、检疫证和标签；</w:t>
      </w:r>
    </w:p>
    <w:p>
      <w:pPr>
        <w:spacing w:after="120" w:afterLines="50" w:line="460" w:lineRule="exact"/>
        <w:ind w:firstLine="480" w:firstLineChars="200"/>
        <w:rPr>
          <w:rFonts w:ascii="宋体" w:hAnsi="宋体" w:cs="Arial"/>
          <w:sz w:val="24"/>
        </w:rPr>
      </w:pPr>
      <w:r>
        <w:rPr>
          <w:rFonts w:hint="eastAsia" w:ascii="宋体" w:hAnsi="宋体" w:cs="Arial"/>
          <w:sz w:val="24"/>
        </w:rPr>
        <w:t>对于本款第10</w:t>
      </w:r>
      <w:r>
        <w:rPr>
          <w:rFonts w:ascii="宋体" w:hAnsi="宋体" w:cs="Arial"/>
          <w:sz w:val="24"/>
        </w:rPr>
        <w:t>.1.1</w:t>
      </w:r>
      <w:r>
        <w:rPr>
          <w:rFonts w:hint="eastAsia" w:ascii="宋体" w:hAnsi="宋体" w:cs="Arial"/>
          <w:sz w:val="24"/>
        </w:rPr>
        <w:t>项约定的其他</w:t>
      </w:r>
      <w:r>
        <w:rPr>
          <w:rFonts w:ascii="宋体" w:hAnsi="宋体" w:cs="Arial"/>
          <w:sz w:val="24"/>
        </w:rPr>
        <w:t>材料</w:t>
      </w:r>
      <w:r>
        <w:rPr>
          <w:rFonts w:hint="eastAsia" w:ascii="宋体" w:hAnsi="宋体" w:cs="Arial"/>
          <w:sz w:val="24"/>
        </w:rPr>
        <w:t>和</w:t>
      </w:r>
      <w:r>
        <w:rPr>
          <w:rFonts w:ascii="宋体" w:hAnsi="宋体" w:cs="Arial"/>
          <w:sz w:val="24"/>
        </w:rPr>
        <w:t>工程设备，应</w:t>
      </w:r>
      <w:r>
        <w:rPr>
          <w:rFonts w:hint="eastAsia" w:ascii="宋体" w:hAnsi="宋体" w:cs="Arial"/>
          <w:sz w:val="24"/>
        </w:rPr>
        <w:t>按照合同条款约定的期限</w:t>
      </w:r>
      <w:r>
        <w:rPr>
          <w:rFonts w:ascii="宋体" w:hAnsi="宋体" w:cs="Arial"/>
          <w:sz w:val="24"/>
        </w:rPr>
        <w:t>，向监理人提交样品</w:t>
      </w:r>
      <w:r>
        <w:rPr>
          <w:rFonts w:hint="eastAsia" w:ascii="宋体" w:hAnsi="宋体" w:cs="Arial"/>
          <w:sz w:val="24"/>
        </w:rPr>
        <w:t>或样品照片，并提供生产（制造）许可</w:t>
      </w:r>
      <w:r>
        <w:rPr>
          <w:rFonts w:ascii="宋体" w:hAnsi="宋体" w:cs="Arial"/>
          <w:sz w:val="24"/>
        </w:rPr>
        <w:t>证书、出厂</w:t>
      </w:r>
      <w:r>
        <w:rPr>
          <w:rFonts w:hint="eastAsia" w:ascii="宋体" w:hAnsi="宋体" w:cs="Arial"/>
          <w:sz w:val="24"/>
        </w:rPr>
        <w:t>合格证明或者证书、出厂检测</w:t>
      </w:r>
      <w:r>
        <w:rPr>
          <w:rFonts w:ascii="宋体" w:hAnsi="宋体" w:cs="Arial"/>
          <w:sz w:val="24"/>
        </w:rPr>
        <w:t>报告、性能介绍、使用说明等相关资料，</w:t>
      </w:r>
      <w:r>
        <w:rPr>
          <w:rFonts w:hint="eastAsia" w:ascii="宋体" w:hAnsi="宋体" w:cs="Arial"/>
          <w:sz w:val="24"/>
        </w:rPr>
        <w:t>同时注明材料和工程设备的供货人及品种、规格、数量和供货时间等，</w:t>
      </w:r>
      <w:r>
        <w:rPr>
          <w:rFonts w:ascii="宋体" w:hAnsi="宋体" w:cs="Arial"/>
          <w:sz w:val="24"/>
        </w:rPr>
        <w:t>以供检验和审批。</w:t>
      </w:r>
    </w:p>
    <w:p>
      <w:pPr>
        <w:spacing w:after="120" w:afterLines="50" w:line="460" w:lineRule="exact"/>
        <w:ind w:firstLine="480" w:firstLineChars="200"/>
        <w:rPr>
          <w:rFonts w:ascii="宋体" w:hAnsi="宋体" w:cs="Arial"/>
          <w:sz w:val="24"/>
        </w:rPr>
      </w:pPr>
      <w:r>
        <w:rPr>
          <w:rFonts w:ascii="宋体" w:hAnsi="宋体" w:cs="Arial"/>
          <w:sz w:val="24"/>
        </w:rPr>
        <w:t>样品送达的地点和样品的数量或尺寸应符合监理人</w:t>
      </w:r>
      <w:r>
        <w:rPr>
          <w:rFonts w:hint="eastAsia" w:ascii="宋体" w:hAnsi="宋体" w:cs="Arial"/>
          <w:sz w:val="24"/>
        </w:rPr>
        <w:t>和</w:t>
      </w:r>
      <w:r>
        <w:rPr>
          <w:rFonts w:ascii="宋体" w:hAnsi="宋体" w:cs="Arial"/>
          <w:sz w:val="24"/>
        </w:rPr>
        <w:t>发包人的要求。除合同另有约定</w:t>
      </w:r>
      <w:r>
        <w:rPr>
          <w:rFonts w:hint="eastAsia" w:ascii="宋体" w:hAnsi="宋体" w:cs="Arial"/>
          <w:sz w:val="24"/>
        </w:rPr>
        <w:t>外</w:t>
      </w:r>
      <w:r>
        <w:rPr>
          <w:rFonts w:ascii="宋体" w:hAnsi="宋体" w:cs="Arial"/>
          <w:sz w:val="24"/>
        </w:rPr>
        <w:t>，承包人在报送任何样品时应按监理人同意的格式填写并递交样品报送单。监理人应及时签收样品。</w:t>
      </w:r>
    </w:p>
    <w:p>
      <w:pPr>
        <w:spacing w:after="120" w:afterLines="50" w:line="460" w:lineRule="exact"/>
        <w:ind w:left="2"/>
        <w:rPr>
          <w:rFonts w:ascii="宋体" w:hAnsi="宋体" w:cs="Arial"/>
          <w:sz w:val="24"/>
        </w:rPr>
      </w:pPr>
      <w:r>
        <w:rPr>
          <w:rFonts w:hint="eastAsia" w:ascii="宋体" w:hAnsi="宋体" w:cs="Arial"/>
          <w:sz w:val="24"/>
        </w:rPr>
        <w:t>10</w:t>
      </w:r>
      <w:r>
        <w:rPr>
          <w:rFonts w:ascii="宋体" w:hAnsi="宋体" w:cs="Arial"/>
          <w:sz w:val="24"/>
        </w:rPr>
        <w:t>.</w:t>
      </w:r>
      <w:r>
        <w:rPr>
          <w:rFonts w:hint="eastAsia" w:ascii="宋体" w:hAnsi="宋体" w:cs="Arial"/>
          <w:sz w:val="24"/>
        </w:rPr>
        <w:t>1</w:t>
      </w:r>
      <w:r>
        <w:rPr>
          <w:rFonts w:ascii="宋体" w:hAnsi="宋体" w:cs="Arial"/>
          <w:sz w:val="24"/>
        </w:rPr>
        <w:t>.</w:t>
      </w:r>
      <w:r>
        <w:rPr>
          <w:rFonts w:hint="eastAsia" w:ascii="宋体" w:hAnsi="宋体" w:cs="Arial"/>
          <w:sz w:val="24"/>
        </w:rPr>
        <w:t>3</w:t>
      </w:r>
      <w:r>
        <w:rPr>
          <w:rFonts w:ascii="宋体" w:hAnsi="宋体" w:cs="Arial"/>
          <w:sz w:val="24"/>
        </w:rPr>
        <w:t xml:space="preserve"> </w:t>
      </w:r>
      <w:r>
        <w:rPr>
          <w:rFonts w:hint="eastAsia" w:ascii="宋体" w:hAnsi="宋体" w:cs="Arial"/>
          <w:sz w:val="24"/>
        </w:rPr>
        <w:t>合同条款约定的依法不需要招标的、以暂估价形式包括在工程量清单中的材料和工程设备，所附资料除本款第10.1.2项约定的内容外，还应附上价格资料，每一类材料设备，至少应准备符合合同要求的三个产品，价格分高、中、低三档，以便监理人和发包人选择和批准。</w:t>
      </w:r>
    </w:p>
    <w:p>
      <w:pPr>
        <w:spacing w:after="120" w:afterLines="50" w:line="460" w:lineRule="exact"/>
        <w:ind w:left="2"/>
        <w:rPr>
          <w:rFonts w:ascii="宋体" w:hAnsi="宋体" w:cs="Arial"/>
          <w:sz w:val="24"/>
        </w:rPr>
      </w:pPr>
      <w:r>
        <w:rPr>
          <w:rFonts w:hint="eastAsia" w:ascii="宋体" w:hAnsi="宋体" w:cs="Arial"/>
          <w:sz w:val="24"/>
        </w:rPr>
        <w:t>10</w:t>
      </w:r>
      <w:r>
        <w:rPr>
          <w:rFonts w:ascii="宋体" w:hAnsi="宋体" w:cs="Arial"/>
          <w:sz w:val="24"/>
        </w:rPr>
        <w:t>.</w:t>
      </w:r>
      <w:r>
        <w:rPr>
          <w:rFonts w:hint="eastAsia" w:ascii="宋体" w:hAnsi="宋体" w:cs="Arial"/>
          <w:sz w:val="24"/>
        </w:rPr>
        <w:t>1</w:t>
      </w:r>
      <w:r>
        <w:rPr>
          <w:rFonts w:ascii="宋体" w:hAnsi="宋体" w:cs="Arial"/>
          <w:sz w:val="24"/>
        </w:rPr>
        <w:t>.</w:t>
      </w:r>
      <w:r>
        <w:rPr>
          <w:rFonts w:hint="eastAsia" w:ascii="宋体" w:hAnsi="宋体" w:cs="Arial"/>
          <w:sz w:val="24"/>
        </w:rPr>
        <w:t>4</w:t>
      </w:r>
      <w:r>
        <w:rPr>
          <w:rFonts w:ascii="宋体" w:hAnsi="宋体" w:cs="Arial"/>
          <w:sz w:val="24"/>
        </w:rPr>
        <w:t xml:space="preserve"> 监理人应在收到承包人报送的样品后</w:t>
      </w:r>
      <w:r>
        <w:rPr>
          <w:rFonts w:hint="eastAsia" w:ascii="宋体" w:hAnsi="宋体" w:cs="Arial"/>
          <w:sz w:val="24"/>
        </w:rPr>
        <w:t>7天内转呈发包人并附上监理人的书面审批意见。发包人在收到通过监理人转交的样品以及监理人的审批意见后7</w:t>
      </w:r>
      <w:r>
        <w:rPr>
          <w:rFonts w:ascii="宋体" w:hAnsi="宋体" w:cs="Arial"/>
          <w:sz w:val="24"/>
        </w:rPr>
        <w:t>天内就此样品给出书面批复</w:t>
      </w:r>
      <w:r>
        <w:rPr>
          <w:rFonts w:hint="eastAsia" w:ascii="宋体" w:hAnsi="宋体" w:cs="Arial"/>
          <w:sz w:val="24"/>
        </w:rPr>
        <w:t>。监理人应在收到样品后21天内</w:t>
      </w:r>
      <w:r>
        <w:rPr>
          <w:rFonts w:ascii="宋体" w:hAnsi="宋体" w:cs="Arial"/>
          <w:sz w:val="24"/>
        </w:rPr>
        <w:t>通知承包人他</w:t>
      </w:r>
      <w:r>
        <w:rPr>
          <w:rFonts w:hint="eastAsia" w:ascii="宋体" w:hAnsi="宋体" w:cs="Arial"/>
          <w:sz w:val="24"/>
        </w:rPr>
        <w:t>相关</w:t>
      </w:r>
      <w:r>
        <w:rPr>
          <w:rFonts w:ascii="宋体" w:hAnsi="宋体" w:cs="Arial"/>
          <w:sz w:val="24"/>
        </w:rPr>
        <w:t>样品所做出的决定或指示</w:t>
      </w:r>
      <w:r>
        <w:rPr>
          <w:rFonts w:hint="eastAsia" w:ascii="宋体" w:hAnsi="宋体" w:cs="Arial"/>
          <w:sz w:val="24"/>
        </w:rPr>
        <w:t>（同时抄送一份给发包人）</w:t>
      </w:r>
      <w:r>
        <w:rPr>
          <w:rFonts w:ascii="宋体" w:hAnsi="宋体" w:cs="Arial"/>
          <w:sz w:val="24"/>
        </w:rPr>
        <w:t>。承包人应根据</w:t>
      </w:r>
      <w:r>
        <w:rPr>
          <w:rFonts w:hint="eastAsia" w:ascii="宋体" w:hAnsi="宋体" w:cs="Arial"/>
          <w:sz w:val="24"/>
        </w:rPr>
        <w:t>监理</w:t>
      </w:r>
      <w:r>
        <w:rPr>
          <w:rFonts w:ascii="宋体" w:hAnsi="宋体" w:cs="Arial"/>
          <w:sz w:val="24"/>
        </w:rPr>
        <w:t>人的书面批复和指示相应地进行下一步工作。如果</w:t>
      </w:r>
      <w:r>
        <w:rPr>
          <w:rFonts w:hint="eastAsia" w:ascii="宋体" w:hAnsi="宋体" w:cs="Arial"/>
          <w:sz w:val="24"/>
        </w:rPr>
        <w:t>监理人</w:t>
      </w:r>
      <w:r>
        <w:rPr>
          <w:rFonts w:ascii="宋体" w:hAnsi="宋体" w:cs="Arial"/>
          <w:sz w:val="24"/>
        </w:rPr>
        <w:t>未能在</w:t>
      </w:r>
      <w:r>
        <w:rPr>
          <w:rFonts w:hint="eastAsia" w:ascii="宋体" w:hAnsi="宋体" w:cs="Arial"/>
          <w:sz w:val="24"/>
        </w:rPr>
        <w:t>承包人报送</w:t>
      </w:r>
      <w:r>
        <w:rPr>
          <w:rFonts w:ascii="宋体" w:hAnsi="宋体" w:cs="Arial"/>
          <w:sz w:val="24"/>
        </w:rPr>
        <w:t>样品后</w:t>
      </w:r>
      <w:r>
        <w:rPr>
          <w:rFonts w:hint="eastAsia" w:ascii="宋体" w:hAnsi="宋体" w:cs="Arial"/>
          <w:sz w:val="24"/>
        </w:rPr>
        <w:t>21</w:t>
      </w:r>
      <w:r>
        <w:rPr>
          <w:rFonts w:ascii="宋体" w:hAnsi="宋体" w:cs="Arial"/>
          <w:sz w:val="24"/>
        </w:rPr>
        <w:t>天内给出书面批复，承包人应就此通知监理人</w:t>
      </w:r>
      <w:r>
        <w:rPr>
          <w:rFonts w:hint="eastAsia" w:ascii="宋体" w:hAnsi="宋体" w:cs="Arial"/>
          <w:sz w:val="24"/>
        </w:rPr>
        <w:t>，要求</w:t>
      </w:r>
      <w:r>
        <w:rPr>
          <w:rFonts w:ascii="宋体" w:hAnsi="宋体" w:cs="Arial"/>
          <w:sz w:val="24"/>
        </w:rPr>
        <w:t>尽快批复。如果发包人在收到此类通知后7天内仍未对样品进行批复，则视为</w:t>
      </w:r>
      <w:r>
        <w:rPr>
          <w:rFonts w:hint="eastAsia" w:ascii="宋体" w:hAnsi="宋体" w:cs="Arial"/>
          <w:sz w:val="24"/>
        </w:rPr>
        <w:t>监理</w:t>
      </w:r>
      <w:r>
        <w:rPr>
          <w:rFonts w:ascii="宋体" w:hAnsi="宋体" w:cs="Arial"/>
          <w:sz w:val="24"/>
        </w:rPr>
        <w:t>人</w:t>
      </w:r>
      <w:r>
        <w:rPr>
          <w:rFonts w:hint="eastAsia" w:ascii="宋体" w:hAnsi="宋体" w:cs="Arial"/>
          <w:sz w:val="24"/>
        </w:rPr>
        <w:t>和发包人</w:t>
      </w:r>
      <w:r>
        <w:rPr>
          <w:rFonts w:ascii="宋体" w:hAnsi="宋体" w:cs="Arial"/>
          <w:sz w:val="24"/>
        </w:rPr>
        <w:t>已经批准。</w:t>
      </w:r>
    </w:p>
    <w:p>
      <w:pPr>
        <w:spacing w:after="120" w:afterLines="50" w:line="460" w:lineRule="exact"/>
        <w:ind w:left="2"/>
        <w:rPr>
          <w:rFonts w:ascii="宋体" w:hAnsi="宋体" w:cs="Arial"/>
          <w:sz w:val="24"/>
        </w:rPr>
      </w:pPr>
      <w:r>
        <w:rPr>
          <w:rFonts w:hint="eastAsia" w:ascii="宋体" w:hAnsi="宋体" w:cs="Arial"/>
          <w:sz w:val="24"/>
        </w:rPr>
        <w:t>10</w:t>
      </w:r>
      <w:r>
        <w:rPr>
          <w:rFonts w:ascii="宋体" w:hAnsi="宋体" w:cs="Arial"/>
          <w:sz w:val="24"/>
        </w:rPr>
        <w:t>.</w:t>
      </w:r>
      <w:r>
        <w:rPr>
          <w:rFonts w:hint="eastAsia" w:ascii="宋体" w:hAnsi="宋体" w:cs="Arial"/>
          <w:sz w:val="24"/>
        </w:rPr>
        <w:t>1</w:t>
      </w:r>
      <w:r>
        <w:rPr>
          <w:rFonts w:ascii="宋体" w:hAnsi="宋体" w:cs="Arial"/>
          <w:sz w:val="24"/>
        </w:rPr>
        <w:t>.</w:t>
      </w:r>
      <w:r>
        <w:rPr>
          <w:rFonts w:hint="eastAsia" w:ascii="宋体" w:hAnsi="宋体" w:cs="Arial"/>
          <w:sz w:val="24"/>
        </w:rPr>
        <w:t>5</w:t>
      </w:r>
      <w:r>
        <w:rPr>
          <w:rFonts w:ascii="宋体" w:hAnsi="宋体" w:cs="Arial"/>
          <w:sz w:val="24"/>
        </w:rPr>
        <w:t xml:space="preserve"> 得到批准后的样品由</w:t>
      </w:r>
      <w:r>
        <w:rPr>
          <w:rFonts w:hint="eastAsia" w:ascii="宋体" w:hAnsi="宋体" w:cs="Arial"/>
          <w:sz w:val="24"/>
        </w:rPr>
        <w:t>监理</w:t>
      </w:r>
      <w:r>
        <w:rPr>
          <w:rFonts w:ascii="宋体" w:hAnsi="宋体" w:cs="Arial"/>
          <w:sz w:val="24"/>
        </w:rPr>
        <w:t>人负责存放</w:t>
      </w:r>
      <w:r>
        <w:rPr>
          <w:rFonts w:hint="eastAsia" w:ascii="宋体" w:hAnsi="宋体" w:cs="Arial"/>
          <w:sz w:val="24"/>
        </w:rPr>
        <w:t>，</w:t>
      </w:r>
      <w:r>
        <w:rPr>
          <w:rFonts w:ascii="宋体" w:hAnsi="宋体" w:cs="Arial"/>
          <w:sz w:val="24"/>
        </w:rPr>
        <w:t>但承包人应为保存样品提供适当和固定的场所并保持适当和良好的环境条件。</w:t>
      </w:r>
    </w:p>
    <w:p>
      <w:pPr>
        <w:spacing w:after="120" w:afterLines="50" w:line="460" w:lineRule="exact"/>
        <w:ind w:left="2"/>
        <w:rPr>
          <w:rFonts w:ascii="宋体" w:hAnsi="宋体" w:cs="Arial"/>
          <w:sz w:val="24"/>
        </w:rPr>
      </w:pPr>
      <w:r>
        <w:rPr>
          <w:rFonts w:hint="eastAsia" w:ascii="宋体" w:hAnsi="宋体" w:cs="Arial"/>
          <w:sz w:val="24"/>
        </w:rPr>
        <w:t>10</w:t>
      </w:r>
      <w:r>
        <w:rPr>
          <w:rFonts w:ascii="宋体" w:hAnsi="宋体" w:cs="Arial"/>
          <w:sz w:val="24"/>
        </w:rPr>
        <w:t>.</w:t>
      </w:r>
      <w:r>
        <w:rPr>
          <w:rFonts w:hint="eastAsia" w:ascii="宋体" w:hAnsi="宋体" w:cs="Arial"/>
          <w:sz w:val="24"/>
        </w:rPr>
        <w:t>1</w:t>
      </w:r>
      <w:r>
        <w:rPr>
          <w:rFonts w:ascii="宋体" w:hAnsi="宋体" w:cs="Arial"/>
          <w:sz w:val="24"/>
        </w:rPr>
        <w:t>.</w:t>
      </w:r>
      <w:r>
        <w:rPr>
          <w:rFonts w:hint="eastAsia" w:ascii="宋体" w:hAnsi="宋体" w:cs="Arial"/>
          <w:sz w:val="24"/>
        </w:rPr>
        <w:t>6</w:t>
      </w:r>
      <w:r>
        <w:rPr>
          <w:rFonts w:ascii="宋体" w:hAnsi="宋体" w:cs="Arial"/>
          <w:sz w:val="24"/>
        </w:rPr>
        <w:t xml:space="preserve"> 提供样品和提供存放样品场所的费用由承包人承担。</w:t>
      </w:r>
    </w:p>
    <w:p>
      <w:pPr>
        <w:spacing w:after="120" w:afterLines="50" w:line="460" w:lineRule="exact"/>
        <w:ind w:left="2"/>
        <w:rPr>
          <w:rFonts w:ascii="宋体" w:hAnsi="宋体" w:cs="Arial"/>
          <w:sz w:val="24"/>
        </w:rPr>
      </w:pPr>
      <w:r>
        <w:rPr>
          <w:rFonts w:hint="eastAsia" w:ascii="宋体" w:hAnsi="宋体" w:cs="Arial"/>
          <w:sz w:val="24"/>
        </w:rPr>
        <w:t>10.1.7 如果任何后继法律、法规、规章、规范、标准和规程等等禁止使用合同中约定的材料和工程设备，承包人应当按本款约定的程序使用其他替代品来实施工程或修补缺陷。监理人对使用替代品的批准以及承包人据此使用替代品不应减免合同约定的承包人的任何责任和义务。</w:t>
      </w:r>
    </w:p>
    <w:p>
      <w:pPr>
        <w:spacing w:line="460" w:lineRule="exact"/>
        <w:rPr>
          <w:rFonts w:ascii="宋体" w:hAnsi="宋体" w:cs="Arial"/>
          <w:b/>
          <w:sz w:val="24"/>
        </w:rPr>
      </w:pPr>
      <w:bookmarkStart w:id="1408" w:name="_Toc263259817"/>
      <w:r>
        <w:rPr>
          <w:rFonts w:hint="eastAsia" w:ascii="宋体" w:hAnsi="宋体" w:cs="Arial"/>
          <w:b/>
          <w:sz w:val="24"/>
        </w:rPr>
        <w:t>10</w:t>
      </w:r>
      <w:r>
        <w:rPr>
          <w:rFonts w:ascii="宋体" w:hAnsi="宋体" w:cs="Arial"/>
          <w:b/>
          <w:sz w:val="24"/>
        </w:rPr>
        <w:t>.</w:t>
      </w:r>
      <w:r>
        <w:rPr>
          <w:rFonts w:hint="eastAsia" w:ascii="宋体" w:hAnsi="宋体" w:cs="Arial"/>
          <w:b/>
          <w:sz w:val="24"/>
        </w:rPr>
        <w:t>2</w:t>
      </w:r>
      <w:bookmarkEnd w:id="1408"/>
      <w:bookmarkStart w:id="1409" w:name="_Toc263259818"/>
      <w:r>
        <w:rPr>
          <w:rFonts w:hint="eastAsia" w:ascii="宋体" w:hAnsi="宋体" w:cs="Arial"/>
          <w:b/>
          <w:sz w:val="24"/>
        </w:rPr>
        <w:t xml:space="preserve">   材料代换</w:t>
      </w:r>
      <w:bookmarkEnd w:id="1409"/>
    </w:p>
    <w:p>
      <w:pPr>
        <w:spacing w:after="120" w:afterLines="50" w:line="460" w:lineRule="exact"/>
        <w:ind w:firstLine="480" w:firstLineChars="200"/>
        <w:rPr>
          <w:rFonts w:ascii="宋体" w:hAnsi="宋体" w:cs="Arial"/>
          <w:sz w:val="24"/>
        </w:rPr>
      </w:pPr>
      <w:r>
        <w:rPr>
          <w:rFonts w:hint="eastAsia" w:ascii="宋体" w:hAnsi="宋体" w:cs="Arial"/>
          <w:sz w:val="24"/>
        </w:rPr>
        <w:t>如果任</w:t>
      </w:r>
      <w:r>
        <w:rPr>
          <w:rFonts w:ascii="宋体" w:hAnsi="宋体" w:cs="Arial"/>
          <w:sz w:val="24"/>
        </w:rPr>
        <w:t>何后继</w:t>
      </w:r>
      <w:r>
        <w:rPr>
          <w:rFonts w:hint="eastAsia" w:ascii="宋体" w:hAnsi="宋体" w:cs="Arial"/>
          <w:sz w:val="24"/>
        </w:rPr>
        <w:t>法律、法规、</w:t>
      </w:r>
      <w:r>
        <w:rPr>
          <w:rFonts w:ascii="宋体" w:hAnsi="宋体" w:cs="Arial"/>
          <w:sz w:val="24"/>
        </w:rPr>
        <w:t>规章、</w:t>
      </w:r>
      <w:r>
        <w:rPr>
          <w:rFonts w:hint="eastAsia" w:ascii="宋体" w:hAnsi="宋体" w:cs="Arial"/>
          <w:sz w:val="24"/>
        </w:rPr>
        <w:t>规范、标准和规程等等</w:t>
      </w:r>
      <w:r>
        <w:rPr>
          <w:rFonts w:ascii="宋体" w:hAnsi="宋体" w:cs="Arial"/>
          <w:sz w:val="24"/>
        </w:rPr>
        <w:t>禁止使用合同中约定的材料和工程设备，承包人</w:t>
      </w:r>
      <w:r>
        <w:rPr>
          <w:rFonts w:hint="eastAsia" w:ascii="宋体" w:hAnsi="宋体" w:cs="Arial"/>
          <w:sz w:val="24"/>
        </w:rPr>
        <w:t>应当</w:t>
      </w:r>
      <w:r>
        <w:rPr>
          <w:rFonts w:ascii="宋体" w:hAnsi="宋体" w:cs="Arial"/>
          <w:sz w:val="24"/>
        </w:rPr>
        <w:t>按</w:t>
      </w:r>
      <w:r>
        <w:rPr>
          <w:rFonts w:hint="eastAsia" w:ascii="宋体" w:hAnsi="宋体" w:cs="Arial"/>
          <w:sz w:val="24"/>
        </w:rPr>
        <w:t>本款</w:t>
      </w:r>
      <w:r>
        <w:rPr>
          <w:rFonts w:ascii="宋体" w:hAnsi="宋体" w:cs="Arial"/>
          <w:sz w:val="24"/>
        </w:rPr>
        <w:t>约定的程序使用其他替代品来实施工程或修补缺陷。监理人对使用替代品的批准以及承包人据此使用替代品不应</w:t>
      </w:r>
      <w:r>
        <w:rPr>
          <w:rFonts w:hint="eastAsia" w:ascii="宋体" w:hAnsi="宋体" w:cs="Arial"/>
          <w:sz w:val="24"/>
        </w:rPr>
        <w:t>减免</w:t>
      </w:r>
      <w:r>
        <w:rPr>
          <w:rFonts w:ascii="宋体" w:hAnsi="宋体" w:cs="Arial"/>
          <w:sz w:val="24"/>
        </w:rPr>
        <w:t>合同约定的承包人</w:t>
      </w:r>
      <w:r>
        <w:rPr>
          <w:rFonts w:hint="eastAsia" w:ascii="宋体" w:hAnsi="宋体" w:cs="Arial"/>
          <w:sz w:val="24"/>
        </w:rPr>
        <w:t>的</w:t>
      </w:r>
      <w:r>
        <w:rPr>
          <w:rFonts w:ascii="宋体" w:hAnsi="宋体" w:cs="Arial"/>
          <w:sz w:val="24"/>
        </w:rPr>
        <w:t>任何</w:t>
      </w:r>
      <w:r>
        <w:rPr>
          <w:rFonts w:hint="eastAsia" w:ascii="宋体" w:hAnsi="宋体" w:cs="Arial"/>
          <w:sz w:val="24"/>
        </w:rPr>
        <w:t>责任</w:t>
      </w:r>
      <w:r>
        <w:rPr>
          <w:rFonts w:ascii="宋体" w:hAnsi="宋体" w:cs="Arial"/>
          <w:sz w:val="24"/>
        </w:rPr>
        <w:t>和义务。</w:t>
      </w:r>
    </w:p>
    <w:p>
      <w:pPr>
        <w:keepNext/>
        <w:keepLines/>
        <w:spacing w:before="260" w:after="156" w:line="460" w:lineRule="exact"/>
        <w:ind w:left="723" w:hanging="722" w:hangingChars="300"/>
        <w:outlineLvl w:val="2"/>
        <w:rPr>
          <w:rFonts w:ascii="宋体" w:hAnsi="宋体" w:cs="Arial"/>
          <w:b/>
          <w:bCs/>
          <w:sz w:val="24"/>
        </w:rPr>
      </w:pPr>
      <w:bookmarkStart w:id="1410" w:name="_Toc362253022"/>
      <w:bookmarkStart w:id="1411" w:name="_Toc241459799"/>
      <w:bookmarkStart w:id="1412" w:name="_Toc342296556"/>
      <w:r>
        <w:rPr>
          <w:rFonts w:hint="eastAsia" w:ascii="宋体" w:hAnsi="宋体" w:cs="Arial"/>
          <w:b/>
          <w:bCs/>
          <w:sz w:val="24"/>
        </w:rPr>
        <w:t>11. 进口材料和工程设备</w:t>
      </w:r>
      <w:bookmarkEnd w:id="1410"/>
      <w:bookmarkEnd w:id="1411"/>
      <w:bookmarkEnd w:id="1412"/>
    </w:p>
    <w:p>
      <w:pPr>
        <w:spacing w:after="120" w:afterLines="50" w:line="460" w:lineRule="exact"/>
        <w:ind w:left="850" w:hanging="849" w:hangingChars="354"/>
        <w:rPr>
          <w:rFonts w:ascii="宋体" w:hAnsi="宋体" w:cs="Arial"/>
          <w:sz w:val="24"/>
        </w:rPr>
      </w:pPr>
      <w:r>
        <w:rPr>
          <w:rFonts w:hint="eastAsia" w:ascii="宋体" w:hAnsi="宋体" w:cs="Arial"/>
          <w:sz w:val="24"/>
        </w:rPr>
        <w:t>11</w:t>
      </w:r>
      <w:r>
        <w:rPr>
          <w:rFonts w:ascii="宋体" w:hAnsi="宋体" w:cs="Arial"/>
          <w:sz w:val="24"/>
        </w:rPr>
        <w:t>.</w:t>
      </w:r>
      <w:r>
        <w:rPr>
          <w:rFonts w:hint="eastAsia" w:ascii="宋体" w:hAnsi="宋体" w:cs="Arial"/>
          <w:sz w:val="24"/>
        </w:rPr>
        <w:t>1   本工程需要进口的材料和工程设备如下：</w:t>
      </w:r>
    </w:p>
    <w:p>
      <w:pPr>
        <w:spacing w:after="120" w:afterLines="50" w:line="460" w:lineRule="exact"/>
        <w:ind w:left="720" w:hanging="720" w:hangingChars="300"/>
        <w:rPr>
          <w:rFonts w:ascii="宋体" w:hAnsi="宋体"/>
          <w:sz w:val="24"/>
        </w:rPr>
      </w:pPr>
      <w:r>
        <w:rPr>
          <w:rFonts w:hint="eastAsia" w:ascii="宋体" w:hAnsi="宋体"/>
          <w:sz w:val="24"/>
          <w:u w:val="single"/>
        </w:rPr>
        <w:t xml:space="preserve">                                                                      </w:t>
      </w:r>
      <w:r>
        <w:rPr>
          <w:rFonts w:hint="eastAsia" w:ascii="宋体" w:hAnsi="宋体"/>
          <w:sz w:val="24"/>
        </w:rPr>
        <w:t>。</w:t>
      </w:r>
    </w:p>
    <w:p>
      <w:pPr>
        <w:spacing w:after="120" w:afterLines="50" w:line="460" w:lineRule="exact"/>
        <w:ind w:left="850" w:leftChars="20" w:hanging="808" w:hangingChars="337"/>
        <w:rPr>
          <w:rFonts w:ascii="宋体" w:hAnsi="宋体" w:cs="Arial"/>
          <w:sz w:val="24"/>
        </w:rPr>
      </w:pPr>
      <w:r>
        <w:rPr>
          <w:rFonts w:hint="eastAsia" w:ascii="宋体" w:hAnsi="宋体" w:cs="Arial"/>
          <w:sz w:val="24"/>
        </w:rPr>
        <w:t>11</w:t>
      </w:r>
      <w:r>
        <w:rPr>
          <w:rFonts w:ascii="宋体" w:hAnsi="宋体" w:cs="Arial"/>
          <w:sz w:val="24"/>
        </w:rPr>
        <w:t>.</w:t>
      </w:r>
      <w:r>
        <w:rPr>
          <w:rFonts w:hint="eastAsia" w:ascii="宋体" w:hAnsi="宋体" w:cs="Arial"/>
          <w:sz w:val="24"/>
        </w:rPr>
        <w:t>2</w:t>
      </w:r>
      <w:r>
        <w:rPr>
          <w:rFonts w:ascii="宋体" w:hAnsi="宋体" w:cs="Arial"/>
          <w:sz w:val="24"/>
        </w:rPr>
        <w:t xml:space="preserve"> </w:t>
      </w:r>
      <w:r>
        <w:rPr>
          <w:rFonts w:hint="eastAsia" w:ascii="宋体" w:hAnsi="宋体" w:cs="Arial"/>
          <w:sz w:val="24"/>
        </w:rPr>
        <w:t xml:space="preserve">  上述进口材料和工程设备</w:t>
      </w:r>
      <w:r>
        <w:rPr>
          <w:rFonts w:ascii="宋体" w:hAnsi="宋体" w:cs="Arial"/>
          <w:sz w:val="24"/>
        </w:rPr>
        <w:t>采购、进口、报关</w:t>
      </w:r>
      <w:r>
        <w:rPr>
          <w:rFonts w:hint="eastAsia" w:ascii="宋体" w:hAnsi="宋体" w:cs="Arial"/>
          <w:sz w:val="24"/>
        </w:rPr>
        <w:t>、</w:t>
      </w:r>
      <w:r>
        <w:rPr>
          <w:rFonts w:ascii="宋体" w:hAnsi="宋体" w:cs="Arial"/>
          <w:sz w:val="24"/>
        </w:rPr>
        <w:t>清关</w:t>
      </w:r>
      <w:r>
        <w:rPr>
          <w:rFonts w:hint="eastAsia" w:ascii="宋体" w:hAnsi="宋体" w:cs="Arial"/>
          <w:sz w:val="24"/>
        </w:rPr>
        <w:t>、商检、境内运输（包括保险）、保管</w:t>
      </w:r>
      <w:r>
        <w:rPr>
          <w:rFonts w:ascii="宋体" w:hAnsi="宋体" w:cs="Arial"/>
          <w:sz w:val="24"/>
        </w:rPr>
        <w:t>的责任</w:t>
      </w:r>
      <w:r>
        <w:rPr>
          <w:rFonts w:hint="eastAsia" w:ascii="宋体" w:hAnsi="宋体" w:cs="Arial"/>
          <w:sz w:val="24"/>
        </w:rPr>
        <w:t>以及费用承担方式</w:t>
      </w:r>
      <w:r>
        <w:rPr>
          <w:rFonts w:ascii="宋体" w:hAnsi="宋体" w:cs="Arial"/>
          <w:sz w:val="24"/>
        </w:rPr>
        <w:t>划分</w:t>
      </w:r>
      <w:r>
        <w:rPr>
          <w:rFonts w:hint="eastAsia" w:ascii="宋体" w:hAnsi="宋体" w:cs="Arial"/>
          <w:sz w:val="24"/>
        </w:rPr>
        <w:t>如下：</w:t>
      </w:r>
    </w:p>
    <w:p>
      <w:pPr>
        <w:spacing w:after="120" w:afterLines="50" w:line="460" w:lineRule="exact"/>
        <w:rPr>
          <w:rFonts w:ascii="宋体" w:hAnsi="宋体"/>
          <w:sz w:val="24"/>
        </w:rPr>
      </w:pPr>
      <w:r>
        <w:rPr>
          <w:rFonts w:hint="eastAsia" w:ascii="宋体" w:hAnsi="宋体"/>
          <w:sz w:val="24"/>
          <w:u w:val="single"/>
        </w:rPr>
        <w:t xml:space="preserve">                                                                      </w:t>
      </w:r>
      <w:r>
        <w:rPr>
          <w:rFonts w:hint="eastAsia" w:ascii="宋体" w:hAnsi="宋体"/>
          <w:sz w:val="24"/>
        </w:rPr>
        <w:t>。</w:t>
      </w:r>
    </w:p>
    <w:p>
      <w:pPr>
        <w:keepNext/>
        <w:keepLines/>
        <w:spacing w:before="260" w:after="156" w:line="460" w:lineRule="exact"/>
        <w:ind w:left="851" w:hanging="850" w:hangingChars="353"/>
        <w:outlineLvl w:val="2"/>
        <w:rPr>
          <w:rFonts w:ascii="宋体" w:hAnsi="宋体" w:cs="Arial"/>
          <w:b/>
          <w:bCs/>
          <w:sz w:val="24"/>
        </w:rPr>
      </w:pPr>
      <w:bookmarkStart w:id="1413" w:name="_Toc342296557"/>
      <w:bookmarkStart w:id="1414" w:name="_Toc362253023"/>
      <w:bookmarkStart w:id="1415" w:name="_Toc241459800"/>
      <w:r>
        <w:rPr>
          <w:rFonts w:hint="eastAsia" w:ascii="宋体" w:hAnsi="宋体" w:cs="Arial"/>
          <w:b/>
          <w:bCs/>
          <w:sz w:val="24"/>
        </w:rPr>
        <w:t>12.</w:t>
      </w:r>
      <w:bookmarkEnd w:id="1413"/>
      <w:bookmarkEnd w:id="1414"/>
      <w:bookmarkEnd w:id="1415"/>
      <w:r>
        <w:rPr>
          <w:rFonts w:hint="eastAsia" w:ascii="宋体" w:hAnsi="宋体" w:cs="Arial"/>
          <w:b/>
          <w:bCs/>
          <w:sz w:val="24"/>
        </w:rPr>
        <w:t xml:space="preserve"> 进度管理</w:t>
      </w:r>
    </w:p>
    <w:p>
      <w:pPr>
        <w:spacing w:line="460" w:lineRule="exact"/>
        <w:rPr>
          <w:rFonts w:ascii="宋体" w:hAnsi="宋体"/>
          <w:b/>
          <w:sz w:val="24"/>
        </w:rPr>
      </w:pPr>
      <w:bookmarkStart w:id="1416" w:name="_Toc263259821"/>
      <w:r>
        <w:rPr>
          <w:rFonts w:hint="eastAsia" w:ascii="宋体" w:hAnsi="宋体"/>
          <w:b/>
          <w:sz w:val="24"/>
        </w:rPr>
        <w:t>12</w:t>
      </w:r>
      <w:r>
        <w:rPr>
          <w:rFonts w:ascii="宋体" w:hAnsi="宋体"/>
          <w:b/>
          <w:sz w:val="24"/>
        </w:rPr>
        <w:t>.1</w:t>
      </w:r>
      <w:bookmarkEnd w:id="1416"/>
      <w:r>
        <w:rPr>
          <w:rFonts w:hint="eastAsia" w:ascii="宋体" w:hAnsi="宋体"/>
          <w:b/>
          <w:sz w:val="24"/>
        </w:rPr>
        <w:t xml:space="preserve">   园林绿化工程季节性的特点</w:t>
      </w:r>
    </w:p>
    <w:p>
      <w:pPr>
        <w:spacing w:line="460" w:lineRule="exact"/>
        <w:ind w:left="2"/>
        <w:rPr>
          <w:rFonts w:ascii="宋体" w:hAnsi="宋体"/>
          <w:sz w:val="24"/>
        </w:rPr>
      </w:pPr>
      <w:r>
        <w:rPr>
          <w:rFonts w:hint="eastAsia" w:ascii="宋体" w:hAnsi="宋体"/>
          <w:sz w:val="24"/>
        </w:rPr>
        <w:t>12.1.1 园林绿化用苗种植（主要指乔木）可以在全年范围内实施施工，花卉、草本地被、草坪在冬季（11月15日-次年3月15日）不能室外实施施工。</w:t>
      </w:r>
    </w:p>
    <w:p>
      <w:pPr>
        <w:spacing w:line="460" w:lineRule="exact"/>
        <w:ind w:left="2"/>
        <w:rPr>
          <w:rFonts w:ascii="宋体" w:hAnsi="宋体"/>
          <w:sz w:val="24"/>
        </w:rPr>
      </w:pPr>
      <w:r>
        <w:rPr>
          <w:rFonts w:hint="eastAsia" w:ascii="宋体" w:hAnsi="宋体"/>
          <w:sz w:val="24"/>
        </w:rPr>
        <w:t>12.1.2 正常种植季节有利于树木成活，降低施工成本，保证绿化景观效果。正常施工季节如下：</w:t>
      </w:r>
    </w:p>
    <w:p>
      <w:pPr>
        <w:pStyle w:val="166"/>
        <w:widowControl/>
        <w:numPr>
          <w:ilvl w:val="0"/>
          <w:numId w:val="17"/>
        </w:numPr>
        <w:tabs>
          <w:tab w:val="left" w:pos="0"/>
          <w:tab w:val="left" w:pos="709"/>
        </w:tabs>
        <w:spacing w:line="460" w:lineRule="exact"/>
        <w:ind w:left="0" w:firstLine="0" w:firstLineChars="0"/>
        <w:jc w:val="left"/>
        <w:rPr>
          <w:rFonts w:ascii="宋体" w:hAnsi="宋体"/>
          <w:sz w:val="24"/>
        </w:rPr>
      </w:pPr>
      <w:r>
        <w:rPr>
          <w:rFonts w:hint="eastAsia" w:ascii="宋体" w:hAnsi="宋体"/>
          <w:sz w:val="24"/>
        </w:rPr>
        <w:t>园林绿化种植工程最佳种植时机是春季（</w:t>
      </w:r>
      <w:r>
        <w:rPr>
          <w:rFonts w:ascii="宋体" w:hAnsi="宋体"/>
          <w:sz w:val="24"/>
        </w:rPr>
        <w:t>3</w:t>
      </w:r>
      <w:r>
        <w:rPr>
          <w:rFonts w:hint="eastAsia" w:ascii="宋体" w:hAnsi="宋体"/>
          <w:sz w:val="24"/>
        </w:rPr>
        <w:t>月中旬至</w:t>
      </w:r>
      <w:r>
        <w:rPr>
          <w:rFonts w:ascii="宋体" w:hAnsi="宋体"/>
          <w:sz w:val="24"/>
        </w:rPr>
        <w:t>4</w:t>
      </w:r>
      <w:r>
        <w:rPr>
          <w:rFonts w:hint="eastAsia" w:ascii="宋体" w:hAnsi="宋体"/>
          <w:sz w:val="24"/>
        </w:rPr>
        <w:t>月下旬），适合大多数树种栽植。</w:t>
      </w:r>
    </w:p>
    <w:p>
      <w:pPr>
        <w:pStyle w:val="166"/>
        <w:widowControl/>
        <w:numPr>
          <w:ilvl w:val="0"/>
          <w:numId w:val="17"/>
        </w:numPr>
        <w:spacing w:line="460" w:lineRule="exact"/>
        <w:ind w:left="709" w:hanging="709" w:firstLineChars="0"/>
        <w:jc w:val="left"/>
        <w:rPr>
          <w:rFonts w:ascii="宋体" w:hAnsi="宋体"/>
          <w:sz w:val="24"/>
        </w:rPr>
      </w:pPr>
      <w:r>
        <w:rPr>
          <w:rFonts w:hint="eastAsia" w:ascii="宋体" w:hAnsi="宋体"/>
          <w:sz w:val="24"/>
        </w:rPr>
        <w:t>雨季（7月上旬-8月下旬）适合常绿树栽植。</w:t>
      </w:r>
    </w:p>
    <w:p>
      <w:pPr>
        <w:pStyle w:val="166"/>
        <w:widowControl/>
        <w:numPr>
          <w:ilvl w:val="0"/>
          <w:numId w:val="17"/>
        </w:numPr>
        <w:spacing w:line="460" w:lineRule="exact"/>
        <w:ind w:left="709" w:hanging="709" w:firstLineChars="0"/>
        <w:jc w:val="left"/>
        <w:rPr>
          <w:rFonts w:ascii="宋体" w:hAnsi="宋体"/>
          <w:sz w:val="24"/>
        </w:rPr>
      </w:pPr>
      <w:r>
        <w:rPr>
          <w:rFonts w:hint="eastAsia" w:ascii="宋体" w:hAnsi="宋体"/>
          <w:sz w:val="24"/>
        </w:rPr>
        <w:t>秋末（</w:t>
      </w:r>
      <w:r>
        <w:rPr>
          <w:rFonts w:ascii="宋体" w:hAnsi="宋体"/>
          <w:sz w:val="24"/>
        </w:rPr>
        <w:t>10</w:t>
      </w:r>
      <w:r>
        <w:rPr>
          <w:rFonts w:hint="eastAsia" w:ascii="宋体" w:hAnsi="宋体"/>
          <w:sz w:val="24"/>
        </w:rPr>
        <w:t>月下旬至</w:t>
      </w:r>
      <w:r>
        <w:rPr>
          <w:rFonts w:ascii="宋体" w:hAnsi="宋体"/>
          <w:sz w:val="24"/>
        </w:rPr>
        <w:t>11</w:t>
      </w:r>
      <w:r>
        <w:rPr>
          <w:rFonts w:hint="eastAsia" w:ascii="宋体" w:hAnsi="宋体"/>
          <w:sz w:val="24"/>
        </w:rPr>
        <w:t>月下旬）冬初适合乡土树种（耐寒树种）的栽植。</w:t>
      </w:r>
    </w:p>
    <w:p>
      <w:pPr>
        <w:pStyle w:val="166"/>
        <w:widowControl/>
        <w:numPr>
          <w:ilvl w:val="0"/>
          <w:numId w:val="17"/>
        </w:numPr>
        <w:spacing w:line="460" w:lineRule="exact"/>
        <w:ind w:left="709" w:hanging="709" w:firstLineChars="0"/>
        <w:jc w:val="left"/>
        <w:rPr>
          <w:rFonts w:ascii="宋体" w:hAnsi="宋体"/>
          <w:sz w:val="24"/>
        </w:rPr>
      </w:pPr>
      <w:r>
        <w:rPr>
          <w:rFonts w:hint="eastAsia" w:ascii="宋体" w:hAnsi="宋体"/>
          <w:sz w:val="24"/>
        </w:rPr>
        <w:t>铺种草坪、木本</w:t>
      </w:r>
      <w:r>
        <w:rPr>
          <w:rFonts w:ascii="宋体" w:hAnsi="宋体"/>
          <w:sz w:val="24"/>
        </w:rPr>
        <w:t xml:space="preserve"> (</w:t>
      </w:r>
      <w:r>
        <w:rPr>
          <w:rFonts w:hint="eastAsia" w:ascii="宋体" w:hAnsi="宋体"/>
          <w:sz w:val="24"/>
        </w:rPr>
        <w:t>盆移</w:t>
      </w:r>
      <w:r>
        <w:rPr>
          <w:rFonts w:ascii="宋体" w:hAnsi="宋体"/>
          <w:sz w:val="24"/>
        </w:rPr>
        <w:t xml:space="preserve">) </w:t>
      </w:r>
      <w:r>
        <w:rPr>
          <w:rFonts w:hint="eastAsia" w:ascii="宋体" w:hAnsi="宋体"/>
          <w:sz w:val="24"/>
        </w:rPr>
        <w:t>花卉、草花适合</w:t>
      </w:r>
      <w:r>
        <w:rPr>
          <w:rFonts w:ascii="宋体" w:hAnsi="宋体"/>
          <w:sz w:val="24"/>
        </w:rPr>
        <w:t>4</w:t>
      </w:r>
      <w:r>
        <w:rPr>
          <w:rFonts w:hint="eastAsia" w:ascii="宋体" w:hAnsi="宋体"/>
          <w:sz w:val="24"/>
        </w:rPr>
        <w:t>月下旬-</w:t>
      </w:r>
      <w:r>
        <w:rPr>
          <w:rFonts w:ascii="宋体" w:hAnsi="宋体"/>
          <w:sz w:val="24"/>
        </w:rPr>
        <w:t>9</w:t>
      </w:r>
      <w:r>
        <w:rPr>
          <w:rFonts w:hint="eastAsia" w:ascii="宋体" w:hAnsi="宋体"/>
          <w:sz w:val="24"/>
        </w:rPr>
        <w:t>月下旬栽植。</w:t>
      </w:r>
    </w:p>
    <w:p>
      <w:pPr>
        <w:spacing w:after="120" w:afterLines="50" w:line="460" w:lineRule="exact"/>
        <w:ind w:left="2"/>
        <w:rPr>
          <w:rFonts w:ascii="宋体" w:hAnsi="宋体"/>
          <w:sz w:val="24"/>
        </w:rPr>
      </w:pPr>
      <w:r>
        <w:rPr>
          <w:rFonts w:hint="eastAsia" w:ascii="宋体" w:hAnsi="宋体"/>
          <w:sz w:val="24"/>
        </w:rPr>
        <w:t>12.1.3 上述时间以外栽植的属于非正常种植季节栽植，需要采取各种对应的措施，所增加的措施费应该计算在合同单价之中。</w:t>
      </w:r>
    </w:p>
    <w:p>
      <w:pPr>
        <w:spacing w:after="120" w:afterLines="50" w:line="460" w:lineRule="exact"/>
        <w:ind w:left="2" w:firstLine="1"/>
        <w:rPr>
          <w:rFonts w:ascii="宋体" w:hAnsi="宋体"/>
          <w:sz w:val="24"/>
        </w:rPr>
      </w:pPr>
      <w:r>
        <w:rPr>
          <w:rFonts w:hint="eastAsia" w:ascii="宋体" w:hAnsi="宋体"/>
          <w:sz w:val="24"/>
        </w:rPr>
        <w:t>12.1.4 发包人在安排园林绿化工程的设计及施工后招标进度时，需充分考虑绿化种植工程的季节性要求，宜将园林绿化工程的施工期安排在12.1.1所述正常种植季节之内，这既有利于保证绿化种植成活率及施工后的景观效果，也有利于发包人节约工程成本，降低投资。如发包人确因前期工程及工程投入销售或使用的时间限制，必需在非正常季节进行绿化种植施工，则发包人需在工程投资中按相关技术要求增加工程投资额（主要是非正常种植季节施工的措施费），以确保植物成活率和建成后的景观效果。</w:t>
      </w:r>
    </w:p>
    <w:p>
      <w:pPr>
        <w:spacing w:after="120" w:afterLines="50" w:line="460" w:lineRule="exact"/>
        <w:ind w:left="2"/>
        <w:rPr>
          <w:rFonts w:ascii="宋体" w:hAnsi="宋体"/>
          <w:sz w:val="24"/>
        </w:rPr>
      </w:pPr>
      <w:r>
        <w:rPr>
          <w:rFonts w:hint="eastAsia" w:ascii="宋体" w:hAnsi="宋体"/>
          <w:sz w:val="24"/>
        </w:rPr>
        <w:t>12.1.5</w:t>
      </w:r>
      <w:r>
        <w:rPr>
          <w:rFonts w:hint="eastAsia" w:ascii="宋体" w:hAnsi="宋体" w:cs="Arial"/>
          <w:bCs/>
          <w:sz w:val="24"/>
        </w:rPr>
        <w:t>承包人在安排绿化种植工程施工时应首选在蒸腾量小和有利根系恢复生长的季节，非正常种植季节种植，应对苗木提前采取修枝、断根或在适宜季节起苗用容器假植处理。夏（雨）季应避开中午高温时间，宜选择阴天、小雨天，或当日气温较低时（清晨、傍晚、夜晚）带土球移植；夏季施工应尽量缩短苗木从掘苗到栽植后浇完第一遍水的间隔时间，并采取根部喷、灌促进生根类激素，遮荫、树冠喷雾、喷施抗蒸腾剂、输营养液等促根、保水措施；冬季栽植应采取树干缠草绳、覆膜、搭设防风障等保温措施。</w:t>
      </w:r>
    </w:p>
    <w:p>
      <w:pPr>
        <w:spacing w:line="460" w:lineRule="exact"/>
        <w:rPr>
          <w:rFonts w:ascii="宋体" w:hAnsi="宋体"/>
          <w:b/>
          <w:sz w:val="24"/>
        </w:rPr>
      </w:pPr>
      <w:r>
        <w:rPr>
          <w:rFonts w:hint="eastAsia" w:ascii="宋体" w:hAnsi="宋体"/>
          <w:b/>
          <w:sz w:val="24"/>
        </w:rPr>
        <w:t>12</w:t>
      </w:r>
      <w:r>
        <w:rPr>
          <w:rFonts w:ascii="宋体" w:hAnsi="宋体"/>
          <w:b/>
          <w:sz w:val="24"/>
        </w:rPr>
        <w:t>.</w:t>
      </w:r>
      <w:r>
        <w:rPr>
          <w:rFonts w:hint="eastAsia" w:ascii="宋体" w:hAnsi="宋体"/>
          <w:b/>
          <w:sz w:val="24"/>
        </w:rPr>
        <w:t>2   进度报告</w:t>
      </w:r>
    </w:p>
    <w:p>
      <w:pPr>
        <w:spacing w:after="120" w:afterLines="50" w:line="460" w:lineRule="exact"/>
        <w:rPr>
          <w:rFonts w:ascii="宋体" w:hAnsi="宋体" w:cs="Arial"/>
          <w:sz w:val="24"/>
        </w:rPr>
      </w:pPr>
      <w:r>
        <w:rPr>
          <w:rFonts w:hint="eastAsia" w:ascii="宋体" w:hAnsi="宋体" w:cs="Arial"/>
          <w:kern w:val="0"/>
          <w:sz w:val="24"/>
        </w:rPr>
        <w:t>12</w:t>
      </w:r>
      <w:r>
        <w:rPr>
          <w:rFonts w:ascii="宋体" w:hAnsi="宋体" w:cs="Arial"/>
          <w:kern w:val="0"/>
          <w:sz w:val="24"/>
        </w:rPr>
        <w:t>.</w:t>
      </w:r>
      <w:r>
        <w:rPr>
          <w:rFonts w:hint="eastAsia" w:ascii="宋体" w:hAnsi="宋体" w:cs="Arial"/>
          <w:kern w:val="0"/>
          <w:sz w:val="24"/>
        </w:rPr>
        <w:t>2.1</w:t>
      </w:r>
      <w:r>
        <w:rPr>
          <w:rFonts w:ascii="宋体" w:hAnsi="宋体" w:cs="Arial"/>
          <w:kern w:val="0"/>
          <w:sz w:val="24"/>
        </w:rPr>
        <w:t xml:space="preserve"> </w:t>
      </w:r>
      <w:r>
        <w:rPr>
          <w:rFonts w:hint="eastAsia" w:ascii="宋体" w:hAnsi="宋体" w:cs="Arial"/>
          <w:sz w:val="24"/>
        </w:rPr>
        <w:t>施工过程中，</w:t>
      </w:r>
      <w:r>
        <w:rPr>
          <w:rFonts w:ascii="宋体" w:hAnsi="宋体" w:cs="Arial"/>
          <w:sz w:val="24"/>
        </w:rPr>
        <w:t>承包人应向监理人指定的代表</w:t>
      </w:r>
      <w:r>
        <w:rPr>
          <w:rFonts w:hint="eastAsia" w:ascii="宋体" w:hAnsi="宋体" w:cs="Arial"/>
          <w:sz w:val="24"/>
        </w:rPr>
        <w:t>按监理人的要求提供日进度报表、周进度报表、月进度报表。</w:t>
      </w:r>
    </w:p>
    <w:p>
      <w:pPr>
        <w:spacing w:after="120" w:afterLines="50" w:line="460" w:lineRule="exact"/>
        <w:rPr>
          <w:rFonts w:ascii="宋体" w:hAnsi="宋体" w:cs="Arial"/>
          <w:sz w:val="24"/>
        </w:rPr>
      </w:pPr>
      <w:r>
        <w:rPr>
          <w:rFonts w:ascii="宋体" w:hAnsi="宋体" w:cs="Arial"/>
          <w:sz w:val="24"/>
        </w:rPr>
        <w:t>1</w:t>
      </w:r>
      <w:r>
        <w:rPr>
          <w:rFonts w:hint="eastAsia" w:ascii="宋体" w:hAnsi="宋体" w:cs="Arial"/>
          <w:sz w:val="24"/>
        </w:rPr>
        <w:t>2</w:t>
      </w:r>
      <w:r>
        <w:rPr>
          <w:rFonts w:ascii="宋体" w:hAnsi="宋体" w:cs="Arial"/>
          <w:sz w:val="24"/>
        </w:rPr>
        <w:t>.</w:t>
      </w:r>
      <w:r>
        <w:rPr>
          <w:rFonts w:hint="eastAsia" w:ascii="宋体" w:hAnsi="宋体" w:cs="Arial"/>
          <w:sz w:val="24"/>
        </w:rPr>
        <w:t>2.</w:t>
      </w:r>
      <w:r>
        <w:rPr>
          <w:rFonts w:ascii="宋体" w:hAnsi="宋体" w:cs="Arial"/>
          <w:sz w:val="24"/>
        </w:rPr>
        <w:t>2 日</w:t>
      </w:r>
      <w:r>
        <w:rPr>
          <w:rFonts w:hint="eastAsia" w:ascii="宋体" w:hAnsi="宋体" w:cs="Arial"/>
          <w:sz w:val="24"/>
        </w:rPr>
        <w:t>和</w:t>
      </w:r>
      <w:r>
        <w:rPr>
          <w:rFonts w:ascii="宋体" w:hAnsi="宋体" w:cs="Arial"/>
          <w:sz w:val="24"/>
        </w:rPr>
        <w:t>周进度报表的内容应至少包括每日在现场工作的技术管理人员数量、各工种技术工人和非技术工人数量、后勤人员数量、参观现场的人员数量，包括分包人人员数量；还应包括所使用的各种主要机械设备和车辆的型号、数量和台班，工作的区段，</w:t>
      </w:r>
      <w:r>
        <w:rPr>
          <w:rFonts w:hint="eastAsia" w:ascii="宋体" w:hAnsi="宋体" w:cs="Arial"/>
          <w:sz w:val="24"/>
        </w:rPr>
        <w:t>以及</w:t>
      </w:r>
      <w:r>
        <w:rPr>
          <w:rFonts w:ascii="宋体" w:hAnsi="宋体" w:cs="Arial"/>
          <w:sz w:val="24"/>
        </w:rPr>
        <w:t>工程进度情况、天气情况记录、停工、</w:t>
      </w:r>
      <w:r>
        <w:rPr>
          <w:rFonts w:hint="eastAsia" w:ascii="宋体" w:hAnsi="宋体" w:cs="Arial"/>
          <w:sz w:val="24"/>
        </w:rPr>
        <w:t>质量和安全</w:t>
      </w:r>
      <w:r>
        <w:rPr>
          <w:rFonts w:ascii="宋体" w:hAnsi="宋体" w:cs="Arial"/>
          <w:sz w:val="24"/>
        </w:rPr>
        <w:t>事故等特别事项说明</w:t>
      </w:r>
      <w:r>
        <w:rPr>
          <w:rFonts w:hint="eastAsia" w:ascii="宋体" w:hAnsi="宋体" w:cs="Arial"/>
          <w:sz w:val="24"/>
        </w:rPr>
        <w:t>。</w:t>
      </w:r>
      <w:r>
        <w:rPr>
          <w:rFonts w:ascii="宋体" w:hAnsi="宋体" w:cs="Arial"/>
          <w:sz w:val="24"/>
        </w:rPr>
        <w:t xml:space="preserve"> </w:t>
      </w:r>
    </w:p>
    <w:p>
      <w:pPr>
        <w:spacing w:after="120" w:afterLines="50" w:line="460" w:lineRule="exact"/>
        <w:rPr>
          <w:rFonts w:ascii="宋体" w:hAnsi="宋体" w:cs="Arial"/>
          <w:sz w:val="24"/>
        </w:rPr>
      </w:pPr>
      <w:r>
        <w:rPr>
          <w:rFonts w:ascii="宋体" w:hAnsi="宋体" w:cs="Arial"/>
          <w:sz w:val="24"/>
        </w:rPr>
        <w:t>1</w:t>
      </w:r>
      <w:r>
        <w:rPr>
          <w:rFonts w:hint="eastAsia" w:ascii="宋体" w:hAnsi="宋体" w:cs="Arial"/>
          <w:sz w:val="24"/>
        </w:rPr>
        <w:t>2</w:t>
      </w:r>
      <w:r>
        <w:rPr>
          <w:rFonts w:ascii="宋体" w:hAnsi="宋体" w:cs="Arial"/>
          <w:sz w:val="24"/>
        </w:rPr>
        <w:t>.</w:t>
      </w:r>
      <w:r>
        <w:rPr>
          <w:rFonts w:hint="eastAsia" w:ascii="宋体" w:hAnsi="宋体" w:cs="Arial"/>
          <w:sz w:val="24"/>
        </w:rPr>
        <w:t>2.</w:t>
      </w:r>
      <w:r>
        <w:rPr>
          <w:rFonts w:ascii="宋体" w:hAnsi="宋体" w:cs="Arial"/>
          <w:sz w:val="24"/>
        </w:rPr>
        <w:t>3</w:t>
      </w:r>
      <w:r>
        <w:rPr>
          <w:rFonts w:hint="eastAsia" w:ascii="宋体" w:hAnsi="宋体" w:cs="Arial"/>
          <w:sz w:val="24"/>
        </w:rPr>
        <w:t xml:space="preserve"> 月进度报表应当反映月完成工程量和累计完成工程量（包括永久工程和临时工程）、材料实际进货、消耗和库存量、现场施工设备的投运数量和运行状况、工程设备的到货情况、劳动力数量（本月及预计未来三个月劳动力的数量）、当前影响施工进度计划的因素和采取的改进措施、进度计划调整及其说明、质量事故和质量缺陷处理纪录、质量状况评价、安全施工措施计划实施情况、安全事故以及人员伤亡和财产损失情况（如果有）、环境保护措施实施和文明施工措施实施情况。</w:t>
      </w:r>
    </w:p>
    <w:p>
      <w:pPr>
        <w:spacing w:after="120" w:afterLines="50" w:line="460" w:lineRule="exact"/>
        <w:rPr>
          <w:rFonts w:ascii="宋体" w:hAnsi="宋体" w:cs="Arial"/>
          <w:sz w:val="24"/>
        </w:rPr>
      </w:pPr>
      <w:r>
        <w:rPr>
          <w:rFonts w:hint="eastAsia" w:ascii="宋体" w:hAnsi="宋体" w:cs="Arial"/>
          <w:sz w:val="24"/>
        </w:rPr>
        <w:t>12.2.4</w:t>
      </w:r>
      <w:r>
        <w:rPr>
          <w:rFonts w:ascii="宋体" w:hAnsi="宋体" w:cs="Arial"/>
          <w:sz w:val="24"/>
        </w:rPr>
        <w:t xml:space="preserve"> </w:t>
      </w:r>
      <w:r>
        <w:rPr>
          <w:rFonts w:hint="eastAsia" w:ascii="宋体" w:hAnsi="宋体" w:cs="Arial"/>
          <w:sz w:val="24"/>
        </w:rPr>
        <w:t>月进度报告还应附有一组充分显示工程形象进度的定点摄影照片。照片应当</w:t>
      </w:r>
      <w:r>
        <w:rPr>
          <w:rFonts w:ascii="宋体" w:hAnsi="宋体" w:cs="Arial"/>
          <w:sz w:val="24"/>
        </w:rPr>
        <w:t>在经监理人批准的不同位置定期拍摄，每张照片都应标上相应的拍摄日期和简要文字说明</w:t>
      </w:r>
      <w:r>
        <w:rPr>
          <w:rFonts w:hint="eastAsia" w:ascii="宋体" w:hAnsi="宋体" w:cs="Arial"/>
          <w:sz w:val="24"/>
        </w:rPr>
        <w:t>，</w:t>
      </w:r>
      <w:r>
        <w:rPr>
          <w:rFonts w:ascii="宋体" w:hAnsi="宋体" w:cs="Arial"/>
          <w:sz w:val="24"/>
        </w:rPr>
        <w:t>且应用经发包人和监理人批准的标准或格式装裱后呈交。</w:t>
      </w:r>
    </w:p>
    <w:p>
      <w:pPr>
        <w:spacing w:after="120" w:afterLines="50" w:line="460" w:lineRule="exact"/>
        <w:rPr>
          <w:rFonts w:ascii="宋体" w:hAnsi="宋体" w:cs="Arial"/>
          <w:sz w:val="24"/>
        </w:rPr>
      </w:pPr>
      <w:r>
        <w:rPr>
          <w:rFonts w:ascii="宋体" w:hAnsi="宋体" w:cs="Arial"/>
          <w:sz w:val="24"/>
        </w:rPr>
        <w:t>1</w:t>
      </w:r>
      <w:r>
        <w:rPr>
          <w:rFonts w:hint="eastAsia" w:ascii="宋体" w:hAnsi="宋体" w:cs="Arial"/>
          <w:sz w:val="24"/>
        </w:rPr>
        <w:t>2</w:t>
      </w:r>
      <w:r>
        <w:rPr>
          <w:rFonts w:ascii="宋体" w:hAnsi="宋体" w:cs="Arial"/>
          <w:sz w:val="24"/>
        </w:rPr>
        <w:t>.</w:t>
      </w:r>
      <w:r>
        <w:rPr>
          <w:rFonts w:hint="eastAsia" w:ascii="宋体" w:hAnsi="宋体" w:cs="Arial"/>
          <w:sz w:val="24"/>
        </w:rPr>
        <w:t>2.</w:t>
      </w:r>
      <w:r>
        <w:rPr>
          <w:rFonts w:ascii="宋体" w:hAnsi="宋体" w:cs="Arial"/>
          <w:sz w:val="24"/>
        </w:rPr>
        <w:t xml:space="preserve">5 </w:t>
      </w:r>
      <w:r>
        <w:rPr>
          <w:rFonts w:hint="eastAsia" w:ascii="宋体" w:hAnsi="宋体" w:cs="Arial"/>
          <w:sz w:val="24"/>
        </w:rPr>
        <w:t>各个</w:t>
      </w:r>
      <w:r>
        <w:rPr>
          <w:rFonts w:ascii="宋体" w:hAnsi="宋体" w:cs="Arial"/>
          <w:sz w:val="24"/>
        </w:rPr>
        <w:t>进度报表的格式和内容应经过监理人的审批。进度报表应如实填写，由承包人授权代表签名，并报监理人的指定代表签名确认后再行分发。</w:t>
      </w:r>
    </w:p>
    <w:p>
      <w:pPr>
        <w:spacing w:after="120" w:afterLines="50" w:line="460" w:lineRule="exact"/>
        <w:rPr>
          <w:rFonts w:ascii="宋体" w:hAnsi="宋体" w:cs="Arial"/>
          <w:sz w:val="24"/>
        </w:rPr>
      </w:pPr>
      <w:r>
        <w:rPr>
          <w:rFonts w:ascii="宋体" w:hAnsi="宋体" w:cs="Arial"/>
          <w:sz w:val="24"/>
        </w:rPr>
        <w:t>1</w:t>
      </w:r>
      <w:r>
        <w:rPr>
          <w:rFonts w:hint="eastAsia" w:ascii="宋体" w:hAnsi="宋体" w:cs="Arial"/>
          <w:sz w:val="24"/>
        </w:rPr>
        <w:t>2</w:t>
      </w:r>
      <w:r>
        <w:rPr>
          <w:rFonts w:ascii="宋体" w:hAnsi="宋体" w:cs="Arial"/>
          <w:sz w:val="24"/>
        </w:rPr>
        <w:t>.</w:t>
      </w:r>
      <w:r>
        <w:rPr>
          <w:rFonts w:hint="eastAsia" w:ascii="宋体" w:hAnsi="宋体" w:cs="Arial"/>
          <w:sz w:val="24"/>
        </w:rPr>
        <w:t>2.</w:t>
      </w:r>
      <w:r>
        <w:rPr>
          <w:rFonts w:ascii="宋体" w:hAnsi="宋体" w:cs="Arial"/>
          <w:sz w:val="24"/>
        </w:rPr>
        <w:t xml:space="preserve">6 </w:t>
      </w:r>
      <w:r>
        <w:rPr>
          <w:rFonts w:hint="eastAsia" w:ascii="宋体" w:hAnsi="宋体" w:cs="Arial"/>
          <w:sz w:val="24"/>
        </w:rPr>
        <w:t>如果监理人认为必要，</w:t>
      </w:r>
      <w:r>
        <w:rPr>
          <w:rFonts w:ascii="宋体" w:hAnsi="宋体" w:cs="Arial"/>
          <w:sz w:val="24"/>
        </w:rPr>
        <w:t>进度报告和进度照片应同时以存储在磁盘或光盘中的数据文件的形式递交给发包人和监理人。数据文件采用的应用软件及其版本应经过监理人的审批。</w:t>
      </w:r>
    </w:p>
    <w:p>
      <w:pPr>
        <w:spacing w:after="120" w:afterLines="50" w:line="460" w:lineRule="exact"/>
        <w:ind w:left="840" w:hanging="840" w:hangingChars="350"/>
        <w:rPr>
          <w:rFonts w:ascii="宋体" w:hAnsi="宋体" w:cs="Arial"/>
          <w:sz w:val="24"/>
        </w:rPr>
      </w:pPr>
      <w:r>
        <w:rPr>
          <w:rFonts w:ascii="宋体" w:hAnsi="宋体" w:cs="Arial"/>
          <w:sz w:val="24"/>
        </w:rPr>
        <w:t>1</w:t>
      </w:r>
      <w:r>
        <w:rPr>
          <w:rFonts w:hint="eastAsia" w:ascii="宋体" w:hAnsi="宋体" w:cs="Arial"/>
          <w:sz w:val="24"/>
        </w:rPr>
        <w:t>2</w:t>
      </w:r>
      <w:r>
        <w:rPr>
          <w:rFonts w:ascii="宋体" w:hAnsi="宋体" w:cs="Arial"/>
          <w:sz w:val="24"/>
        </w:rPr>
        <w:t>.</w:t>
      </w:r>
      <w:r>
        <w:rPr>
          <w:rFonts w:hint="eastAsia" w:ascii="宋体" w:hAnsi="宋体" w:cs="Arial"/>
          <w:sz w:val="24"/>
        </w:rPr>
        <w:t>2.</w:t>
      </w:r>
      <w:r>
        <w:rPr>
          <w:rFonts w:ascii="宋体" w:hAnsi="宋体" w:cs="Arial"/>
          <w:sz w:val="24"/>
        </w:rPr>
        <w:t xml:space="preserve">7 </w:t>
      </w:r>
      <w:r>
        <w:rPr>
          <w:rFonts w:hint="eastAsia" w:ascii="宋体" w:hAnsi="宋体" w:cs="Arial"/>
          <w:sz w:val="24"/>
        </w:rPr>
        <w:t>有关进度报告的其他要求：</w:t>
      </w:r>
    </w:p>
    <w:p>
      <w:pPr>
        <w:spacing w:after="120" w:afterLines="50" w:line="460" w:lineRule="exact"/>
        <w:ind w:left="600" w:hanging="600" w:hangingChars="250"/>
        <w:rPr>
          <w:rFonts w:ascii="宋体" w:hAnsi="宋体" w:cs="Arial"/>
          <w:sz w:val="24"/>
        </w:rPr>
      </w:pPr>
      <w:r>
        <w:rPr>
          <w:rFonts w:hint="eastAsia" w:ascii="宋体" w:hAnsi="宋体"/>
          <w:sz w:val="24"/>
          <w:u w:val="single"/>
        </w:rPr>
        <w:t xml:space="preserve">                                                                      </w:t>
      </w:r>
      <w:r>
        <w:rPr>
          <w:rFonts w:hint="eastAsia" w:ascii="宋体" w:hAnsi="宋体"/>
          <w:sz w:val="24"/>
        </w:rPr>
        <w:t>。</w:t>
      </w:r>
    </w:p>
    <w:p>
      <w:pPr>
        <w:spacing w:line="460" w:lineRule="exact"/>
        <w:rPr>
          <w:rFonts w:ascii="宋体" w:hAnsi="宋体"/>
          <w:b/>
          <w:sz w:val="24"/>
        </w:rPr>
      </w:pPr>
      <w:bookmarkStart w:id="1417" w:name="_Toc263259823"/>
      <w:r>
        <w:rPr>
          <w:rFonts w:ascii="宋体" w:hAnsi="宋体"/>
          <w:b/>
          <w:sz w:val="24"/>
        </w:rPr>
        <w:t>1</w:t>
      </w:r>
      <w:r>
        <w:rPr>
          <w:rFonts w:hint="eastAsia" w:ascii="宋体" w:hAnsi="宋体"/>
          <w:b/>
          <w:sz w:val="24"/>
        </w:rPr>
        <w:t>2</w:t>
      </w:r>
      <w:r>
        <w:rPr>
          <w:rFonts w:ascii="宋体" w:hAnsi="宋体"/>
          <w:b/>
          <w:sz w:val="24"/>
        </w:rPr>
        <w:t>.</w:t>
      </w:r>
      <w:bookmarkEnd w:id="1417"/>
      <w:r>
        <w:rPr>
          <w:rFonts w:hint="eastAsia" w:ascii="宋体" w:hAnsi="宋体"/>
          <w:b/>
          <w:sz w:val="24"/>
        </w:rPr>
        <w:t>3</w:t>
      </w:r>
      <w:r>
        <w:rPr>
          <w:rFonts w:ascii="宋体" w:hAnsi="宋体"/>
          <w:b/>
          <w:sz w:val="24"/>
        </w:rPr>
        <w:t xml:space="preserve"> </w:t>
      </w:r>
      <w:bookmarkStart w:id="1418" w:name="_Toc263259824"/>
      <w:r>
        <w:rPr>
          <w:rFonts w:hint="eastAsia" w:ascii="宋体" w:hAnsi="宋体"/>
          <w:b/>
          <w:sz w:val="24"/>
        </w:rPr>
        <w:t xml:space="preserve">  进度例会</w:t>
      </w:r>
      <w:bookmarkEnd w:id="1418"/>
    </w:p>
    <w:p>
      <w:pPr>
        <w:spacing w:after="120" w:afterLines="50" w:line="460" w:lineRule="exact"/>
        <w:rPr>
          <w:rFonts w:ascii="宋体" w:hAnsi="宋体" w:cs="Arial"/>
          <w:sz w:val="24"/>
        </w:rPr>
      </w:pPr>
      <w:r>
        <w:rPr>
          <w:rFonts w:ascii="宋体" w:hAnsi="宋体" w:cs="Arial"/>
          <w:sz w:val="24"/>
        </w:rPr>
        <w:t>1</w:t>
      </w:r>
      <w:r>
        <w:rPr>
          <w:rFonts w:hint="eastAsia" w:ascii="宋体" w:hAnsi="宋体" w:cs="Arial"/>
          <w:sz w:val="24"/>
        </w:rPr>
        <w:t>2</w:t>
      </w:r>
      <w:r>
        <w:rPr>
          <w:rFonts w:ascii="宋体" w:hAnsi="宋体" w:cs="Arial"/>
          <w:sz w:val="24"/>
        </w:rPr>
        <w:t>.</w:t>
      </w:r>
      <w:r>
        <w:rPr>
          <w:rFonts w:hint="eastAsia" w:ascii="宋体" w:hAnsi="宋体" w:cs="Arial"/>
          <w:sz w:val="24"/>
        </w:rPr>
        <w:t>3.</w:t>
      </w:r>
      <w:r>
        <w:rPr>
          <w:rFonts w:ascii="宋体" w:hAnsi="宋体" w:cs="Arial"/>
          <w:sz w:val="24"/>
        </w:rPr>
        <w:t xml:space="preserve">1 </w:t>
      </w:r>
      <w:r>
        <w:rPr>
          <w:rFonts w:hint="eastAsia" w:ascii="宋体" w:hAnsi="宋体" w:cs="Arial"/>
          <w:sz w:val="24"/>
        </w:rPr>
        <w:t>监理人将主持召开有发包人、承包人、分包人等与本工程建设有关各方出席的每周一次的进度例会。承包人应保证能代表其当场作出决定的高级管理人员出席会议。</w:t>
      </w:r>
    </w:p>
    <w:p>
      <w:pPr>
        <w:spacing w:after="120" w:afterLines="50" w:line="460" w:lineRule="exact"/>
        <w:rPr>
          <w:rFonts w:ascii="宋体" w:hAnsi="宋体" w:cs="Arial"/>
          <w:sz w:val="24"/>
        </w:rPr>
      </w:pPr>
      <w:r>
        <w:rPr>
          <w:rFonts w:ascii="宋体" w:hAnsi="宋体" w:cs="Arial"/>
          <w:sz w:val="24"/>
        </w:rPr>
        <w:t>1</w:t>
      </w:r>
      <w:r>
        <w:rPr>
          <w:rFonts w:hint="eastAsia" w:ascii="宋体" w:hAnsi="宋体" w:cs="Arial"/>
          <w:sz w:val="24"/>
        </w:rPr>
        <w:t>2</w:t>
      </w:r>
      <w:r>
        <w:rPr>
          <w:rFonts w:ascii="宋体" w:hAnsi="宋体" w:cs="Arial"/>
          <w:sz w:val="24"/>
        </w:rPr>
        <w:t>.</w:t>
      </w:r>
      <w:r>
        <w:rPr>
          <w:rFonts w:hint="eastAsia" w:ascii="宋体" w:hAnsi="宋体" w:cs="Arial"/>
          <w:sz w:val="24"/>
        </w:rPr>
        <w:t>3.</w:t>
      </w:r>
      <w:r>
        <w:rPr>
          <w:rFonts w:ascii="宋体" w:hAnsi="宋体" w:cs="Arial"/>
          <w:sz w:val="24"/>
        </w:rPr>
        <w:t xml:space="preserve">2 </w:t>
      </w:r>
      <w:r>
        <w:rPr>
          <w:rFonts w:hint="eastAsia" w:ascii="宋体" w:hAnsi="宋体" w:cs="Arial"/>
          <w:sz w:val="24"/>
        </w:rPr>
        <w:t>进度例会的内容将涉及合同管理、进度协调和工程管理的各个方面，由监理人准备的会议议题将随会议通知在会议召开前至少24小时发给各参会方。</w:t>
      </w:r>
    </w:p>
    <w:p>
      <w:pPr>
        <w:spacing w:after="120" w:afterLines="50" w:line="460" w:lineRule="exact"/>
        <w:rPr>
          <w:rFonts w:ascii="宋体" w:hAnsi="宋体" w:cs="Arial"/>
          <w:sz w:val="24"/>
        </w:rPr>
      </w:pPr>
      <w:r>
        <w:rPr>
          <w:rFonts w:ascii="宋体" w:hAnsi="宋体" w:cs="Arial"/>
          <w:sz w:val="24"/>
        </w:rPr>
        <w:t>1</w:t>
      </w:r>
      <w:r>
        <w:rPr>
          <w:rFonts w:hint="eastAsia" w:ascii="宋体" w:hAnsi="宋体" w:cs="Arial"/>
          <w:sz w:val="24"/>
        </w:rPr>
        <w:t>2</w:t>
      </w:r>
      <w:r>
        <w:rPr>
          <w:rFonts w:ascii="宋体" w:hAnsi="宋体" w:cs="Arial"/>
          <w:sz w:val="24"/>
        </w:rPr>
        <w:t>.</w:t>
      </w:r>
      <w:r>
        <w:rPr>
          <w:rFonts w:hint="eastAsia" w:ascii="宋体" w:hAnsi="宋体" w:cs="Arial"/>
          <w:sz w:val="24"/>
        </w:rPr>
        <w:t>3.</w:t>
      </w:r>
      <w:r>
        <w:rPr>
          <w:rFonts w:ascii="宋体" w:hAnsi="宋体" w:cs="Arial"/>
          <w:sz w:val="24"/>
        </w:rPr>
        <w:t xml:space="preserve">3 </w:t>
      </w:r>
      <w:r>
        <w:rPr>
          <w:rFonts w:hint="eastAsia" w:ascii="宋体" w:hAnsi="宋体" w:cs="Arial"/>
          <w:sz w:val="24"/>
        </w:rPr>
        <w:t>监理人应当做好会议记录，并在会议结束时由与会各方签字确认。监理人应根据会议记录整理出会议纪要，并在相应会议后24小时内分发给出席会议的各方。会议纪要应当如实反映会议记录的内容，包括任何决定、存在的问题、责任方、有关工作的时间目标等等。各方在收到会议纪要后24小时内给予签字确认，如有任何异议，应将有关异议以书面形式通知监理人，由监理人与有异议一方或各方共同核对会议记录，有异议的一方或者各方对与会议记录内容一致的会议纪要必须给予签字确认，否则监理人可以用会议记录作为会议纪要。经参会各方签字认可的会议纪要对各方有合同约束力。</w:t>
      </w:r>
    </w:p>
    <w:p>
      <w:pPr>
        <w:spacing w:after="120" w:afterLines="50" w:line="460" w:lineRule="exact"/>
        <w:ind w:left="600" w:hanging="600" w:hangingChars="250"/>
        <w:rPr>
          <w:rFonts w:ascii="宋体" w:hAnsi="宋体" w:cs="Arial"/>
          <w:sz w:val="24"/>
        </w:rPr>
      </w:pPr>
      <w:r>
        <w:rPr>
          <w:rFonts w:ascii="宋体" w:hAnsi="宋体" w:cs="Arial"/>
          <w:sz w:val="24"/>
        </w:rPr>
        <w:t>1</w:t>
      </w:r>
      <w:r>
        <w:rPr>
          <w:rFonts w:hint="eastAsia" w:ascii="宋体" w:hAnsi="宋体" w:cs="Arial"/>
          <w:sz w:val="24"/>
        </w:rPr>
        <w:t>2</w:t>
      </w:r>
      <w:r>
        <w:rPr>
          <w:rFonts w:ascii="宋体" w:hAnsi="宋体" w:cs="Arial"/>
          <w:sz w:val="24"/>
        </w:rPr>
        <w:t>.</w:t>
      </w:r>
      <w:r>
        <w:rPr>
          <w:rFonts w:hint="eastAsia" w:ascii="宋体" w:hAnsi="宋体" w:cs="Arial"/>
          <w:sz w:val="24"/>
        </w:rPr>
        <w:t>3.</w:t>
      </w:r>
      <w:r>
        <w:rPr>
          <w:rFonts w:ascii="宋体" w:hAnsi="宋体" w:cs="Arial"/>
          <w:sz w:val="24"/>
        </w:rPr>
        <w:t xml:space="preserve">4 </w:t>
      </w:r>
      <w:r>
        <w:rPr>
          <w:rFonts w:hint="eastAsia" w:ascii="宋体" w:hAnsi="宋体" w:cs="Arial"/>
          <w:sz w:val="24"/>
        </w:rPr>
        <w:t>有关进度例会的其他要求：</w:t>
      </w:r>
    </w:p>
    <w:p>
      <w:pPr>
        <w:spacing w:after="120" w:afterLines="50" w:line="460" w:lineRule="exact"/>
        <w:ind w:left="600" w:hanging="600" w:hangingChars="250"/>
        <w:rPr>
          <w:rFonts w:ascii="宋体" w:hAnsi="宋体"/>
          <w:sz w:val="24"/>
          <w:u w:val="single"/>
        </w:rPr>
      </w:pPr>
      <w:r>
        <w:rPr>
          <w:rFonts w:hint="eastAsia" w:ascii="宋体" w:hAnsi="宋体"/>
          <w:sz w:val="24"/>
          <w:u w:val="single"/>
        </w:rPr>
        <w:t xml:space="preserve">                                                                      </w:t>
      </w:r>
      <w:r>
        <w:rPr>
          <w:rFonts w:hint="eastAsia" w:ascii="宋体" w:hAnsi="宋体"/>
          <w:sz w:val="24"/>
        </w:rPr>
        <w:t xml:space="preserve">。 </w:t>
      </w:r>
    </w:p>
    <w:p>
      <w:pPr>
        <w:keepNext/>
        <w:keepLines/>
        <w:tabs>
          <w:tab w:val="left" w:pos="851"/>
        </w:tabs>
        <w:spacing w:before="260" w:after="156" w:line="460" w:lineRule="exact"/>
        <w:ind w:left="602" w:hanging="602" w:hangingChars="250"/>
        <w:outlineLvl w:val="2"/>
        <w:rPr>
          <w:rFonts w:ascii="宋体" w:hAnsi="宋体" w:cs="Arial"/>
          <w:b/>
          <w:bCs/>
          <w:sz w:val="24"/>
        </w:rPr>
      </w:pPr>
      <w:bookmarkStart w:id="1419" w:name="_Toc342296558"/>
      <w:bookmarkStart w:id="1420" w:name="_Toc241459801"/>
      <w:bookmarkStart w:id="1421" w:name="_Toc362253024"/>
      <w:r>
        <w:rPr>
          <w:rFonts w:hint="eastAsia" w:ascii="宋体" w:hAnsi="宋体" w:cs="Arial"/>
          <w:b/>
          <w:bCs/>
          <w:sz w:val="24"/>
        </w:rPr>
        <w:t>13. 试验和检验</w:t>
      </w:r>
    </w:p>
    <w:p>
      <w:pPr>
        <w:adjustRightInd w:val="0"/>
        <w:spacing w:after="120" w:afterLines="50" w:line="460" w:lineRule="exact"/>
        <w:ind w:left="1"/>
        <w:rPr>
          <w:rFonts w:ascii="宋体" w:hAnsi="宋体"/>
          <w:sz w:val="24"/>
        </w:rPr>
      </w:pPr>
      <w:r>
        <w:rPr>
          <w:rFonts w:hint="eastAsia" w:ascii="宋体" w:hAnsi="宋体" w:cs="Arial"/>
          <w:sz w:val="24"/>
        </w:rPr>
        <w:t>13</w:t>
      </w:r>
      <w:r>
        <w:rPr>
          <w:rFonts w:ascii="宋体" w:hAnsi="宋体" w:cs="Arial"/>
          <w:sz w:val="24"/>
        </w:rPr>
        <w:t>.</w:t>
      </w:r>
      <w:r>
        <w:rPr>
          <w:rFonts w:hint="eastAsia" w:ascii="宋体" w:hAnsi="宋体" w:cs="Arial"/>
          <w:sz w:val="24"/>
        </w:rPr>
        <w:t xml:space="preserve">1   </w:t>
      </w:r>
      <w:r>
        <w:rPr>
          <w:rFonts w:hint="eastAsia" w:ascii="宋体" w:hAnsi="宋体" w:cs="Arial"/>
          <w:kern w:val="0"/>
          <w:sz w:val="24"/>
        </w:rPr>
        <w:t>承包人应当按照</w:t>
      </w:r>
      <w:r>
        <w:rPr>
          <w:rFonts w:hint="eastAsia" w:ascii="宋体" w:hAnsi="宋体"/>
          <w:sz w:val="24"/>
        </w:rPr>
        <w:t>国家行业和北京市相关园林绿化工程施工及相关施工验收规范</w:t>
      </w:r>
      <w:r>
        <w:rPr>
          <w:rFonts w:hint="eastAsia" w:ascii="宋体" w:hAnsi="宋体" w:cs="Arial"/>
          <w:kern w:val="0"/>
          <w:sz w:val="24"/>
        </w:rPr>
        <w:t>和标准的规定和合同条款的约定，对用于永久工程的主要材料（含苗木及种子）、半成品、成品、建筑构配件、工程设备等进行试验和检验。</w:t>
      </w:r>
      <w:r>
        <w:rPr>
          <w:rFonts w:hint="eastAsia" w:ascii="宋体" w:hAnsi="宋体"/>
          <w:sz w:val="24"/>
        </w:rPr>
        <w:t>监理人可以根据工程需要，指示承包人进行其他现场材料和工艺的试验和检验。</w:t>
      </w:r>
    </w:p>
    <w:p>
      <w:pPr>
        <w:adjustRightInd w:val="0"/>
        <w:spacing w:after="120" w:afterLines="50" w:line="460" w:lineRule="exact"/>
        <w:ind w:left="1"/>
        <w:rPr>
          <w:rFonts w:ascii="宋体" w:hAnsi="宋体" w:cs="Arial"/>
          <w:kern w:val="0"/>
          <w:sz w:val="24"/>
        </w:rPr>
      </w:pPr>
      <w:r>
        <w:rPr>
          <w:rFonts w:hint="eastAsia" w:ascii="宋体" w:hAnsi="宋体" w:cs="Arial"/>
          <w:sz w:val="24"/>
        </w:rPr>
        <w:t>13.2</w:t>
      </w:r>
      <w:r>
        <w:rPr>
          <w:rFonts w:ascii="宋体" w:hAnsi="宋体" w:cs="Arial"/>
          <w:sz w:val="24"/>
        </w:rPr>
        <w:t xml:space="preserve"> </w:t>
      </w:r>
      <w:r>
        <w:rPr>
          <w:rFonts w:hint="eastAsia" w:ascii="宋体" w:hAnsi="宋体" w:cs="Arial"/>
          <w:sz w:val="24"/>
        </w:rPr>
        <w:t xml:space="preserve">  </w:t>
      </w:r>
      <w:r>
        <w:rPr>
          <w:rFonts w:hint="eastAsia" w:ascii="宋体" w:hAnsi="宋体" w:cs="Arial"/>
          <w:kern w:val="0"/>
          <w:sz w:val="24"/>
        </w:rPr>
        <w:t>园林绿化工程灌溉的非饮用水、种植土（含种植基质）、种子、钢筋、水泥、砂、卵石、碎石、混凝土、 木材、防水材料（含防水毯及耐根穿刺防水材料）等材料或产品需根据</w:t>
      </w:r>
      <w:r>
        <w:rPr>
          <w:rFonts w:hint="eastAsia" w:ascii="宋体" w:hAnsi="宋体"/>
          <w:sz w:val="24"/>
        </w:rPr>
        <w:t>国家行业和北京市相关园林绿化工程施工及相关施工验收规范</w:t>
      </w:r>
      <w:r>
        <w:rPr>
          <w:rFonts w:hint="eastAsia" w:ascii="宋体" w:hAnsi="宋体" w:cs="Arial"/>
          <w:kern w:val="0"/>
          <w:sz w:val="24"/>
        </w:rPr>
        <w:t>的要求进行见证取样，送有相应检测资质的检测单位进行检测，并取得试（检）验报告。</w:t>
      </w:r>
    </w:p>
    <w:p>
      <w:pPr>
        <w:adjustRightInd w:val="0"/>
        <w:spacing w:after="120" w:afterLines="50" w:line="460" w:lineRule="exact"/>
        <w:ind w:left="2"/>
        <w:rPr>
          <w:rFonts w:ascii="宋体" w:hAnsi="宋体" w:cs="Arial"/>
          <w:kern w:val="0"/>
          <w:sz w:val="24"/>
        </w:rPr>
      </w:pPr>
      <w:r>
        <w:rPr>
          <w:rFonts w:ascii="宋体" w:hAnsi="宋体" w:cs="Arial"/>
          <w:kern w:val="0"/>
          <w:sz w:val="24"/>
        </w:rPr>
        <w:t>1</w:t>
      </w:r>
      <w:r>
        <w:rPr>
          <w:rFonts w:hint="eastAsia" w:ascii="宋体" w:hAnsi="宋体" w:cs="Arial"/>
          <w:kern w:val="0"/>
          <w:sz w:val="24"/>
        </w:rPr>
        <w:t>3</w:t>
      </w:r>
      <w:r>
        <w:rPr>
          <w:rFonts w:ascii="宋体" w:hAnsi="宋体" w:cs="Arial"/>
          <w:kern w:val="0"/>
          <w:sz w:val="24"/>
        </w:rPr>
        <w:t xml:space="preserve">.3 </w:t>
      </w:r>
      <w:r>
        <w:rPr>
          <w:rFonts w:hint="eastAsia" w:ascii="宋体" w:hAnsi="宋体" w:cs="Arial"/>
          <w:kern w:val="0"/>
          <w:sz w:val="24"/>
        </w:rPr>
        <w:t xml:space="preserve">  本工程需要由监理人和承包人共同进行试验和检验的材料、工程设备和工艺如下：</w:t>
      </w:r>
    </w:p>
    <w:p>
      <w:pPr>
        <w:adjustRightInd w:val="0"/>
        <w:spacing w:after="120" w:afterLines="50" w:line="460" w:lineRule="exact"/>
        <w:ind w:left="600" w:hanging="600" w:hangingChars="250"/>
        <w:rPr>
          <w:rFonts w:ascii="宋体" w:hAnsi="宋体" w:cs="Arial"/>
          <w:kern w:val="0"/>
          <w:sz w:val="24"/>
        </w:rPr>
      </w:pPr>
      <w:r>
        <w:rPr>
          <w:rFonts w:hint="eastAsia" w:ascii="宋体" w:hAnsi="宋体" w:cs="Arial"/>
          <w:kern w:val="0"/>
          <w:sz w:val="24"/>
          <w:u w:val="single"/>
        </w:rPr>
        <w:t xml:space="preserve">                                                                      </w:t>
      </w:r>
      <w:r>
        <w:rPr>
          <w:rFonts w:hint="eastAsia" w:ascii="宋体" w:hAnsi="宋体" w:cs="Arial"/>
          <w:kern w:val="0"/>
          <w:sz w:val="24"/>
        </w:rPr>
        <w:t xml:space="preserve">。 </w:t>
      </w:r>
    </w:p>
    <w:p>
      <w:pPr>
        <w:spacing w:after="120" w:afterLines="50" w:line="460" w:lineRule="exact"/>
        <w:ind w:left="2"/>
        <w:rPr>
          <w:rFonts w:ascii="宋体" w:hAnsi="宋体" w:cs="Arial"/>
          <w:sz w:val="24"/>
        </w:rPr>
      </w:pPr>
      <w:r>
        <w:rPr>
          <w:rFonts w:ascii="宋体" w:hAnsi="宋体" w:cs="Arial"/>
          <w:sz w:val="24"/>
        </w:rPr>
        <w:t>1</w:t>
      </w:r>
      <w:r>
        <w:rPr>
          <w:rFonts w:hint="eastAsia" w:ascii="宋体" w:hAnsi="宋体" w:cs="Arial"/>
          <w:sz w:val="24"/>
        </w:rPr>
        <w:t>3</w:t>
      </w:r>
      <w:r>
        <w:rPr>
          <w:rFonts w:ascii="宋体" w:hAnsi="宋体" w:cs="Arial"/>
          <w:sz w:val="24"/>
        </w:rPr>
        <w:t xml:space="preserve">.4 </w:t>
      </w:r>
      <w:r>
        <w:rPr>
          <w:rFonts w:hint="eastAsia" w:ascii="宋体" w:hAnsi="宋体" w:cs="Arial"/>
          <w:sz w:val="24"/>
        </w:rPr>
        <w:t xml:space="preserve">  本条上述</w:t>
      </w:r>
      <w:r>
        <w:rPr>
          <w:rFonts w:ascii="宋体" w:hAnsi="宋体" w:cs="Arial"/>
          <w:sz w:val="24"/>
        </w:rPr>
        <w:t>约定</w:t>
      </w:r>
      <w:r>
        <w:rPr>
          <w:rFonts w:hint="eastAsia" w:ascii="宋体" w:hAnsi="宋体" w:cs="Arial"/>
          <w:sz w:val="24"/>
        </w:rPr>
        <w:t>需要</w:t>
      </w:r>
      <w:r>
        <w:rPr>
          <w:rFonts w:ascii="宋体" w:hAnsi="宋体" w:cs="Arial"/>
          <w:sz w:val="24"/>
        </w:rPr>
        <w:t>进行检验的材料</w:t>
      </w:r>
      <w:r>
        <w:rPr>
          <w:rFonts w:hint="eastAsia" w:ascii="宋体" w:hAnsi="宋体" w:cs="Arial"/>
          <w:sz w:val="24"/>
        </w:rPr>
        <w:t>、</w:t>
      </w:r>
      <w:r>
        <w:rPr>
          <w:rFonts w:ascii="宋体" w:hAnsi="宋体" w:cs="Arial"/>
          <w:sz w:val="24"/>
        </w:rPr>
        <w:t>工程设备</w:t>
      </w:r>
      <w:r>
        <w:rPr>
          <w:rFonts w:hint="eastAsia" w:ascii="宋体" w:hAnsi="宋体" w:cs="Arial"/>
          <w:sz w:val="24"/>
        </w:rPr>
        <w:t>和工艺</w:t>
      </w:r>
      <w:r>
        <w:rPr>
          <w:rFonts w:ascii="宋体" w:hAnsi="宋体" w:cs="Arial"/>
          <w:sz w:val="24"/>
        </w:rPr>
        <w:t>在经过检验并获得监理人批准以前，不得用于任何永久工程。</w:t>
      </w:r>
    </w:p>
    <w:p>
      <w:pPr>
        <w:spacing w:after="120" w:afterLines="50" w:line="460" w:lineRule="exact"/>
        <w:ind w:left="1"/>
        <w:rPr>
          <w:rFonts w:ascii="宋体" w:hAnsi="宋体" w:cs="Arial"/>
          <w:sz w:val="24"/>
        </w:rPr>
      </w:pPr>
      <w:r>
        <w:rPr>
          <w:rFonts w:ascii="宋体" w:hAnsi="宋体" w:cs="Arial"/>
          <w:sz w:val="24"/>
        </w:rPr>
        <w:t>1</w:t>
      </w:r>
      <w:r>
        <w:rPr>
          <w:rFonts w:hint="eastAsia" w:ascii="宋体" w:hAnsi="宋体" w:cs="Arial"/>
          <w:sz w:val="24"/>
        </w:rPr>
        <w:t>3</w:t>
      </w:r>
      <w:r>
        <w:rPr>
          <w:rFonts w:ascii="宋体" w:hAnsi="宋体" w:cs="Arial"/>
          <w:sz w:val="24"/>
        </w:rPr>
        <w:t>.</w:t>
      </w:r>
      <w:r>
        <w:rPr>
          <w:rFonts w:hint="eastAsia" w:ascii="宋体" w:hAnsi="宋体" w:cs="Arial"/>
          <w:sz w:val="24"/>
        </w:rPr>
        <w:t>5</w:t>
      </w:r>
      <w:r>
        <w:rPr>
          <w:rFonts w:ascii="宋体" w:hAnsi="宋体" w:cs="Arial"/>
          <w:sz w:val="24"/>
        </w:rPr>
        <w:t xml:space="preserve"> </w:t>
      </w:r>
      <w:r>
        <w:rPr>
          <w:rFonts w:hint="eastAsia" w:ascii="宋体" w:hAnsi="宋体" w:cs="Arial"/>
          <w:sz w:val="24"/>
        </w:rPr>
        <w:t xml:space="preserve">  </w:t>
      </w:r>
      <w:r>
        <w:rPr>
          <w:rFonts w:ascii="宋体" w:hAnsi="宋体" w:cs="Arial"/>
          <w:sz w:val="24"/>
        </w:rPr>
        <w:t>承包人应为材料</w:t>
      </w:r>
      <w:r>
        <w:rPr>
          <w:rFonts w:hint="eastAsia" w:ascii="宋体" w:hAnsi="宋体" w:cs="Arial"/>
          <w:sz w:val="24"/>
        </w:rPr>
        <w:t>、</w:t>
      </w:r>
      <w:r>
        <w:rPr>
          <w:rFonts w:ascii="宋体" w:hAnsi="宋体" w:cs="Arial"/>
          <w:sz w:val="24"/>
        </w:rPr>
        <w:t>工程设备</w:t>
      </w:r>
      <w:r>
        <w:rPr>
          <w:rFonts w:hint="eastAsia" w:ascii="宋体" w:hAnsi="宋体" w:cs="Arial"/>
          <w:sz w:val="24"/>
        </w:rPr>
        <w:t>和工艺</w:t>
      </w:r>
      <w:r>
        <w:rPr>
          <w:rFonts w:ascii="宋体" w:hAnsi="宋体" w:cs="Arial"/>
          <w:sz w:val="24"/>
        </w:rPr>
        <w:t>的检查、检测和检验提供劳务、电力、燃料、备用品、</w:t>
      </w:r>
      <w:r>
        <w:rPr>
          <w:rFonts w:hint="eastAsia" w:ascii="宋体" w:hAnsi="宋体" w:cs="Arial"/>
          <w:sz w:val="24"/>
        </w:rPr>
        <w:t>设备和</w:t>
      </w:r>
      <w:r>
        <w:rPr>
          <w:rFonts w:ascii="宋体" w:hAnsi="宋体" w:cs="Arial"/>
          <w:sz w:val="24"/>
        </w:rPr>
        <w:t>仪器</w:t>
      </w:r>
      <w:r>
        <w:rPr>
          <w:rFonts w:hint="eastAsia" w:ascii="宋体" w:hAnsi="宋体" w:cs="Arial"/>
          <w:sz w:val="24"/>
        </w:rPr>
        <w:t>以</w:t>
      </w:r>
      <w:r>
        <w:rPr>
          <w:rFonts w:ascii="宋体" w:hAnsi="宋体" w:cs="Arial"/>
          <w:sz w:val="24"/>
        </w:rPr>
        <w:t>及必要的协助。</w:t>
      </w:r>
    </w:p>
    <w:p>
      <w:pPr>
        <w:spacing w:after="120" w:afterLines="50" w:line="460" w:lineRule="exact"/>
        <w:ind w:left="1"/>
        <w:rPr>
          <w:rFonts w:ascii="宋体" w:hAnsi="宋体" w:cs="Arial"/>
          <w:sz w:val="24"/>
        </w:rPr>
      </w:pPr>
      <w:r>
        <w:rPr>
          <w:rFonts w:ascii="宋体" w:hAnsi="宋体" w:cs="Arial"/>
          <w:sz w:val="24"/>
        </w:rPr>
        <w:t>1</w:t>
      </w:r>
      <w:r>
        <w:rPr>
          <w:rFonts w:hint="eastAsia" w:ascii="宋体" w:hAnsi="宋体" w:cs="Arial"/>
          <w:sz w:val="24"/>
        </w:rPr>
        <w:t>3</w:t>
      </w:r>
      <w:r>
        <w:rPr>
          <w:rFonts w:ascii="宋体" w:hAnsi="宋体" w:cs="Arial"/>
          <w:sz w:val="24"/>
        </w:rPr>
        <w:t>.</w:t>
      </w:r>
      <w:r>
        <w:rPr>
          <w:rFonts w:hint="eastAsia" w:ascii="宋体" w:hAnsi="宋体" w:cs="Arial"/>
          <w:sz w:val="24"/>
        </w:rPr>
        <w:t>6</w:t>
      </w:r>
      <w:r>
        <w:rPr>
          <w:rFonts w:ascii="宋体" w:hAnsi="宋体" w:cs="Arial"/>
          <w:sz w:val="24"/>
        </w:rPr>
        <w:t xml:space="preserve"> </w:t>
      </w:r>
      <w:r>
        <w:rPr>
          <w:rFonts w:hint="eastAsia" w:ascii="宋体" w:hAnsi="宋体" w:cs="Arial"/>
          <w:sz w:val="24"/>
        </w:rPr>
        <w:t xml:space="preserve">  </w:t>
      </w:r>
      <w:r>
        <w:rPr>
          <w:rFonts w:ascii="宋体" w:hAnsi="宋体" w:cs="Arial"/>
          <w:sz w:val="24"/>
        </w:rPr>
        <w:t>如果检查、检测、检验或试验的结果表明，材料</w:t>
      </w:r>
      <w:r>
        <w:rPr>
          <w:rFonts w:hint="eastAsia" w:ascii="宋体" w:hAnsi="宋体" w:cs="Arial"/>
          <w:sz w:val="24"/>
        </w:rPr>
        <w:t>、</w:t>
      </w:r>
      <w:r>
        <w:rPr>
          <w:rFonts w:ascii="宋体" w:hAnsi="宋体" w:cs="Arial"/>
          <w:sz w:val="24"/>
        </w:rPr>
        <w:t>工程设备</w:t>
      </w:r>
      <w:r>
        <w:rPr>
          <w:rFonts w:hint="eastAsia" w:ascii="宋体" w:hAnsi="宋体" w:cs="Arial"/>
          <w:sz w:val="24"/>
        </w:rPr>
        <w:t>和工艺</w:t>
      </w:r>
      <w:r>
        <w:rPr>
          <w:rFonts w:ascii="宋体" w:hAnsi="宋体" w:cs="Arial"/>
          <w:sz w:val="24"/>
        </w:rPr>
        <w:t>有缺陷或不符合合同约定，监理人</w:t>
      </w:r>
      <w:r>
        <w:rPr>
          <w:rFonts w:hint="eastAsia" w:ascii="宋体" w:hAnsi="宋体" w:cs="Arial"/>
          <w:sz w:val="24"/>
        </w:rPr>
        <w:t>和</w:t>
      </w:r>
      <w:r>
        <w:rPr>
          <w:rFonts w:ascii="宋体" w:hAnsi="宋体" w:cs="Arial"/>
          <w:sz w:val="24"/>
        </w:rPr>
        <w:t>发包人可拒收此类材料</w:t>
      </w:r>
      <w:r>
        <w:rPr>
          <w:rFonts w:hint="eastAsia" w:ascii="宋体" w:hAnsi="宋体" w:cs="Arial"/>
          <w:sz w:val="24"/>
        </w:rPr>
        <w:t>、</w:t>
      </w:r>
      <w:r>
        <w:rPr>
          <w:rFonts w:ascii="宋体" w:hAnsi="宋体" w:cs="Arial"/>
          <w:sz w:val="24"/>
        </w:rPr>
        <w:t>工程设备</w:t>
      </w:r>
      <w:r>
        <w:rPr>
          <w:rFonts w:hint="eastAsia" w:ascii="宋体" w:hAnsi="宋体" w:cs="Arial"/>
          <w:sz w:val="24"/>
        </w:rPr>
        <w:t>和工艺</w:t>
      </w:r>
      <w:r>
        <w:rPr>
          <w:rFonts w:ascii="宋体" w:hAnsi="宋体" w:cs="Arial"/>
          <w:sz w:val="24"/>
        </w:rPr>
        <w:t>，并应立即通知承包人同时说明理由。承包人应立即修复上述缺陷并保证其符合合同约定。若监理人或发包人要求对此类工程设备、材料、设计或工艺</w:t>
      </w:r>
      <w:r>
        <w:rPr>
          <w:rFonts w:hint="eastAsia" w:ascii="宋体" w:hAnsi="宋体" w:cs="Arial"/>
          <w:sz w:val="24"/>
        </w:rPr>
        <w:t>重新</w:t>
      </w:r>
      <w:r>
        <w:rPr>
          <w:rFonts w:ascii="宋体" w:hAnsi="宋体" w:cs="Arial"/>
          <w:sz w:val="24"/>
        </w:rPr>
        <w:t>进行检验，则此类检验应按相同条款和条件重新进行。如果此类拒收和</w:t>
      </w:r>
      <w:r>
        <w:rPr>
          <w:rFonts w:hint="eastAsia" w:ascii="宋体" w:hAnsi="宋体" w:cs="Arial"/>
          <w:sz w:val="24"/>
        </w:rPr>
        <w:t>重新</w:t>
      </w:r>
      <w:r>
        <w:rPr>
          <w:rFonts w:ascii="宋体" w:hAnsi="宋体" w:cs="Arial"/>
          <w:sz w:val="24"/>
        </w:rPr>
        <w:t>检验致使发包人产生了</w:t>
      </w:r>
      <w:r>
        <w:rPr>
          <w:rFonts w:hint="eastAsia" w:ascii="宋体" w:hAnsi="宋体" w:cs="Arial"/>
          <w:sz w:val="24"/>
        </w:rPr>
        <w:t>额外</w:t>
      </w:r>
      <w:r>
        <w:rPr>
          <w:rFonts w:ascii="宋体" w:hAnsi="宋体" w:cs="Arial"/>
          <w:sz w:val="24"/>
        </w:rPr>
        <w:t>费用，则此类费用应由承包人支付给发包人，或从</w:t>
      </w:r>
      <w:r>
        <w:rPr>
          <w:rFonts w:hint="eastAsia" w:ascii="宋体" w:hAnsi="宋体" w:cs="Arial"/>
          <w:sz w:val="24"/>
        </w:rPr>
        <w:t>发包人应支付给</w:t>
      </w:r>
      <w:r>
        <w:rPr>
          <w:rFonts w:ascii="宋体" w:hAnsi="宋体" w:cs="Arial"/>
          <w:sz w:val="24"/>
        </w:rPr>
        <w:t>承包人的款项中扣除。</w:t>
      </w:r>
    </w:p>
    <w:p>
      <w:pPr>
        <w:spacing w:after="120" w:afterLines="50" w:line="460" w:lineRule="exact"/>
        <w:ind w:left="2"/>
        <w:rPr>
          <w:rFonts w:ascii="宋体" w:hAnsi="宋体" w:cs="Arial"/>
          <w:sz w:val="24"/>
        </w:rPr>
      </w:pPr>
      <w:r>
        <w:rPr>
          <w:rFonts w:ascii="宋体" w:hAnsi="宋体" w:cs="Arial"/>
          <w:sz w:val="24"/>
        </w:rPr>
        <w:t>1</w:t>
      </w:r>
      <w:r>
        <w:rPr>
          <w:rFonts w:hint="eastAsia" w:ascii="宋体" w:hAnsi="宋体" w:cs="Arial"/>
          <w:sz w:val="24"/>
        </w:rPr>
        <w:t>3</w:t>
      </w:r>
      <w:r>
        <w:rPr>
          <w:rFonts w:ascii="宋体" w:hAnsi="宋体" w:cs="Arial"/>
          <w:sz w:val="24"/>
        </w:rPr>
        <w:t>.</w:t>
      </w:r>
      <w:r>
        <w:rPr>
          <w:rFonts w:hint="eastAsia" w:ascii="宋体" w:hAnsi="宋体" w:cs="Arial"/>
          <w:sz w:val="24"/>
        </w:rPr>
        <w:t>7</w:t>
      </w:r>
      <w:r>
        <w:rPr>
          <w:rFonts w:ascii="宋体" w:hAnsi="宋体" w:cs="Arial"/>
          <w:sz w:val="24"/>
        </w:rPr>
        <w:t xml:space="preserve"> </w:t>
      </w:r>
      <w:r>
        <w:rPr>
          <w:rFonts w:hint="eastAsia" w:ascii="宋体" w:hAnsi="宋体" w:cs="Arial"/>
          <w:sz w:val="24"/>
        </w:rPr>
        <w:t xml:space="preserve">  除合同另有约定外，</w:t>
      </w:r>
      <w:r>
        <w:rPr>
          <w:rFonts w:ascii="宋体" w:hAnsi="宋体" w:cs="Arial"/>
          <w:sz w:val="24"/>
        </w:rPr>
        <w:t>承包人应负担本合同项下的所有材料</w:t>
      </w:r>
      <w:r>
        <w:rPr>
          <w:rFonts w:hint="eastAsia" w:ascii="宋体" w:hAnsi="宋体" w:cs="Arial"/>
          <w:sz w:val="24"/>
        </w:rPr>
        <w:t>、</w:t>
      </w:r>
      <w:r>
        <w:rPr>
          <w:rFonts w:ascii="宋体" w:hAnsi="宋体" w:cs="Arial"/>
          <w:sz w:val="24"/>
        </w:rPr>
        <w:t>工程设备</w:t>
      </w:r>
      <w:r>
        <w:rPr>
          <w:rFonts w:hint="eastAsia" w:ascii="宋体" w:hAnsi="宋体" w:cs="Arial"/>
          <w:sz w:val="24"/>
        </w:rPr>
        <w:t>和工艺</w:t>
      </w:r>
      <w:r>
        <w:rPr>
          <w:rFonts w:ascii="宋体" w:hAnsi="宋体" w:cs="Arial"/>
          <w:sz w:val="24"/>
        </w:rPr>
        <w:t>检验的费用。</w:t>
      </w:r>
    </w:p>
    <w:p>
      <w:pPr>
        <w:keepNext/>
        <w:keepLines/>
        <w:spacing w:before="260" w:after="156" w:line="460" w:lineRule="exact"/>
        <w:ind w:left="602" w:hanging="602" w:hangingChars="250"/>
        <w:outlineLvl w:val="2"/>
        <w:rPr>
          <w:rFonts w:ascii="宋体" w:hAnsi="宋体"/>
          <w:b/>
          <w:sz w:val="24"/>
        </w:rPr>
      </w:pPr>
      <w:r>
        <w:rPr>
          <w:rFonts w:hint="eastAsia" w:ascii="宋体" w:hAnsi="宋体" w:cs="Arial"/>
          <w:b/>
          <w:bCs/>
          <w:sz w:val="24"/>
        </w:rPr>
        <w:t xml:space="preserve">14. </w:t>
      </w:r>
      <w:bookmarkEnd w:id="1419"/>
      <w:bookmarkEnd w:id="1420"/>
      <w:bookmarkEnd w:id="1421"/>
      <w:r>
        <w:rPr>
          <w:rFonts w:hint="eastAsia" w:ascii="宋体" w:hAnsi="宋体"/>
          <w:b/>
          <w:sz w:val="24"/>
        </w:rPr>
        <w:t>暂列金额、暂估价、计日工、总包服务费</w:t>
      </w:r>
    </w:p>
    <w:p>
      <w:pPr>
        <w:tabs>
          <w:tab w:val="left" w:pos="709"/>
        </w:tabs>
        <w:spacing w:after="120" w:afterLines="50" w:line="460" w:lineRule="exact"/>
        <w:ind w:left="1" w:firstLine="40" w:firstLineChars="17"/>
        <w:rPr>
          <w:rFonts w:ascii="宋体" w:hAnsi="宋体"/>
          <w:sz w:val="24"/>
        </w:rPr>
      </w:pPr>
      <w:r>
        <w:rPr>
          <w:rFonts w:hint="eastAsia" w:ascii="宋体" w:hAnsi="宋体"/>
          <w:sz w:val="24"/>
        </w:rPr>
        <w:t>14.1  暂列金额是招标人用于工程合同签订时尚未确定或者不可预见的所需材料、工程设备、服务的采购，施工中可能发生的工程变更、合同约定调整因素出现时的合同价款调整以及发生的索赔、现场签证等确认的费用。</w:t>
      </w:r>
    </w:p>
    <w:p>
      <w:pPr>
        <w:spacing w:after="120" w:afterLines="50" w:line="460" w:lineRule="exact"/>
        <w:ind w:left="2"/>
        <w:rPr>
          <w:rFonts w:ascii="宋体" w:hAnsi="宋体"/>
          <w:sz w:val="24"/>
        </w:rPr>
      </w:pPr>
      <w:r>
        <w:rPr>
          <w:rFonts w:hint="eastAsia" w:ascii="宋体" w:hAnsi="宋体"/>
          <w:sz w:val="24"/>
        </w:rPr>
        <w:t>14.2   暂估价是招标人在工程量清单中提供的用于支付必然发生但暂时不能确定价格的材料、工程设备的单价以及专业工程的金额。暂估价包括材料暂估单价、工程设备暂估单价、专业工程暂估价。暂估价中的材料、工程设备暂估单价应根据工程造价信息或参考市场价格的估算，列出明细表；专业工程暂估价应分不同专业，按有关计价规定估算，列出明细表。</w:t>
      </w:r>
    </w:p>
    <w:p>
      <w:pPr>
        <w:spacing w:after="120" w:afterLines="50" w:line="460" w:lineRule="exact"/>
        <w:ind w:left="1"/>
        <w:rPr>
          <w:rFonts w:ascii="宋体" w:hAnsi="宋体"/>
          <w:sz w:val="24"/>
        </w:rPr>
      </w:pPr>
      <w:r>
        <w:rPr>
          <w:rFonts w:hint="eastAsia" w:ascii="宋体" w:hAnsi="宋体"/>
          <w:sz w:val="24"/>
        </w:rPr>
        <w:t>14.3   计日工是指在施工过程中，承包人完成发包人提出的工程合同范围以外的零星工程或工作，按合同中约定的单价计价的一种方式。计日工应列出工程名称、计量单位和暂估数量。</w:t>
      </w:r>
    </w:p>
    <w:p>
      <w:pPr>
        <w:spacing w:after="120" w:afterLines="50" w:line="460" w:lineRule="exact"/>
        <w:ind w:left="1"/>
        <w:rPr>
          <w:rFonts w:ascii="宋体" w:hAnsi="宋体"/>
          <w:sz w:val="24"/>
        </w:rPr>
      </w:pPr>
      <w:r>
        <w:rPr>
          <w:rFonts w:hint="eastAsia" w:ascii="宋体" w:hAnsi="宋体"/>
          <w:sz w:val="24"/>
        </w:rPr>
        <w:t>14.4   总承包服务费是总承包人为配合协调发包人进行的专业工程发包，对发包人自行采购的材料、工程设备等进行保管以及施工现场管理、竣工资料汇总整理等服务所需的费用。</w:t>
      </w:r>
    </w:p>
    <w:p>
      <w:pPr>
        <w:keepNext/>
        <w:keepLines/>
        <w:tabs>
          <w:tab w:val="left" w:pos="851"/>
        </w:tabs>
        <w:spacing w:before="260" w:after="156" w:line="460" w:lineRule="exact"/>
        <w:ind w:left="602" w:hanging="602" w:hangingChars="250"/>
        <w:outlineLvl w:val="2"/>
        <w:rPr>
          <w:rFonts w:ascii="宋体" w:hAnsi="宋体" w:cs="Arial"/>
          <w:b/>
          <w:bCs/>
          <w:sz w:val="24"/>
        </w:rPr>
      </w:pPr>
      <w:bookmarkStart w:id="1422" w:name="_Toc342296561"/>
      <w:bookmarkStart w:id="1423" w:name="_Toc241459804"/>
      <w:bookmarkStart w:id="1424" w:name="_Toc362253027"/>
      <w:r>
        <w:rPr>
          <w:rFonts w:hint="eastAsia" w:ascii="宋体" w:hAnsi="宋体" w:cs="Arial"/>
          <w:b/>
          <w:bCs/>
          <w:sz w:val="24"/>
        </w:rPr>
        <w:t>15. 计量与支付</w:t>
      </w:r>
    </w:p>
    <w:p>
      <w:pPr>
        <w:tabs>
          <w:tab w:val="left" w:pos="851"/>
        </w:tabs>
        <w:spacing w:after="120" w:afterLines="50" w:line="460" w:lineRule="exact"/>
        <w:rPr>
          <w:rFonts w:ascii="宋体" w:hAnsi="宋体"/>
          <w:b/>
          <w:sz w:val="24"/>
        </w:rPr>
      </w:pPr>
      <w:r>
        <w:rPr>
          <w:rFonts w:hint="eastAsia" w:ascii="宋体" w:hAnsi="宋体"/>
          <w:b/>
          <w:sz w:val="24"/>
        </w:rPr>
        <w:t>15.1   工程计量</w:t>
      </w:r>
    </w:p>
    <w:p>
      <w:pPr>
        <w:spacing w:after="120" w:afterLines="50" w:line="460" w:lineRule="exact"/>
        <w:ind w:left="2" w:firstLine="480" w:firstLineChars="200"/>
        <w:rPr>
          <w:rFonts w:ascii="宋体" w:hAnsi="宋体"/>
          <w:sz w:val="24"/>
        </w:rPr>
      </w:pPr>
      <w:r>
        <w:rPr>
          <w:rFonts w:hint="eastAsia" w:ascii="宋体" w:hAnsi="宋体"/>
          <w:sz w:val="24"/>
        </w:rPr>
        <w:t>工程计量必须按照相关工程现行国家计量规范规定的工程量计算规则计算。工程计量可选择按月或按工程形象进度分段计量，具体计量周期在合同中约定。</w:t>
      </w:r>
    </w:p>
    <w:p>
      <w:pPr>
        <w:spacing w:after="120" w:afterLines="50" w:line="460" w:lineRule="exact"/>
        <w:rPr>
          <w:rFonts w:ascii="宋体" w:hAnsi="宋体"/>
          <w:sz w:val="24"/>
        </w:rPr>
      </w:pPr>
      <w:r>
        <w:rPr>
          <w:rFonts w:hint="eastAsia" w:ascii="宋体" w:hAnsi="宋体"/>
          <w:b/>
          <w:sz w:val="24"/>
        </w:rPr>
        <w:t>15.2   工程款支付</w:t>
      </w:r>
    </w:p>
    <w:p>
      <w:pPr>
        <w:spacing w:after="120" w:afterLines="50" w:line="460" w:lineRule="exact"/>
        <w:ind w:left="2"/>
        <w:rPr>
          <w:rFonts w:ascii="宋体" w:hAnsi="宋体"/>
          <w:sz w:val="24"/>
        </w:rPr>
      </w:pPr>
      <w:r>
        <w:rPr>
          <w:rFonts w:hint="eastAsia" w:ascii="宋体" w:hAnsi="宋体"/>
          <w:sz w:val="24"/>
        </w:rPr>
        <w:t>15.2.1 发包人根据工程的特点、工期长短、市场行情、供求规律等因素，招标时在合同条件中约定工程预付款的百分比。预付款的比例原则上不得低于合同金额（扣除暂列金额）的10%，不宜高于合同金额（扣除暂列金额）的30%。</w:t>
      </w:r>
    </w:p>
    <w:p>
      <w:pPr>
        <w:spacing w:after="120" w:afterLines="50" w:line="460" w:lineRule="exact"/>
        <w:ind w:left="2"/>
        <w:rPr>
          <w:rFonts w:ascii="宋体" w:hAnsi="宋体"/>
          <w:sz w:val="24"/>
        </w:rPr>
      </w:pPr>
      <w:r>
        <w:rPr>
          <w:rFonts w:hint="eastAsia" w:ascii="宋体" w:hAnsi="宋体"/>
          <w:sz w:val="24"/>
        </w:rPr>
        <w:t>15.2.2 发承包双方应按照合同约定的时间、程序和方法，根据工程计量结果，办理期中价款结算，支付工程进度款。进度款支付周期，应与合同约定的工程计量周期一致。</w:t>
      </w:r>
    </w:p>
    <w:p>
      <w:pPr>
        <w:spacing w:after="120" w:afterLines="50" w:line="460" w:lineRule="exact"/>
        <w:ind w:left="809" w:hanging="808" w:hangingChars="337"/>
        <w:rPr>
          <w:rFonts w:ascii="宋体" w:hAnsi="宋体"/>
          <w:sz w:val="24"/>
        </w:rPr>
      </w:pPr>
      <w:r>
        <w:rPr>
          <w:rFonts w:hint="eastAsia" w:ascii="宋体" w:hAnsi="宋体"/>
          <w:sz w:val="24"/>
        </w:rPr>
        <w:t>15.2.3 工程完工后，发承包双方必须在合同约定时间内办理工程竣工结算。</w:t>
      </w:r>
    </w:p>
    <w:p>
      <w:pPr>
        <w:spacing w:after="120" w:afterLines="50" w:line="460" w:lineRule="exact"/>
        <w:ind w:left="2"/>
        <w:rPr>
          <w:rFonts w:ascii="宋体" w:hAnsi="宋体"/>
          <w:sz w:val="24"/>
        </w:rPr>
      </w:pPr>
      <w:r>
        <w:rPr>
          <w:rFonts w:hint="eastAsia" w:ascii="宋体" w:hAnsi="宋体"/>
          <w:sz w:val="24"/>
        </w:rPr>
        <w:t>15.2.4 发包人应按照合同约定的质量保证金比例从结算款中预留质量保证金。在合同约定的缺陷责任期终止后，发包人应将剩余的质量保证金返还给承包人。</w:t>
      </w:r>
    </w:p>
    <w:p>
      <w:pPr>
        <w:keepNext/>
        <w:keepLines/>
        <w:tabs>
          <w:tab w:val="left" w:pos="851"/>
        </w:tabs>
        <w:spacing w:before="260" w:after="156" w:line="460" w:lineRule="exact"/>
        <w:outlineLvl w:val="2"/>
        <w:rPr>
          <w:rFonts w:ascii="宋体" w:hAnsi="宋体" w:cs="Arial"/>
          <w:b/>
          <w:bCs/>
          <w:sz w:val="24"/>
        </w:rPr>
      </w:pPr>
      <w:r>
        <w:rPr>
          <w:rFonts w:hint="eastAsia" w:ascii="宋体" w:hAnsi="宋体" w:cs="Arial"/>
          <w:b/>
          <w:bCs/>
          <w:sz w:val="24"/>
        </w:rPr>
        <w:t>16. 工程验收和工程移交</w:t>
      </w:r>
      <w:bookmarkEnd w:id="1422"/>
      <w:bookmarkEnd w:id="1423"/>
      <w:bookmarkEnd w:id="1424"/>
    </w:p>
    <w:p>
      <w:pPr>
        <w:spacing w:after="120" w:afterLines="50" w:line="460" w:lineRule="exact"/>
        <w:ind w:left="812" w:hanging="811" w:hangingChars="337"/>
        <w:rPr>
          <w:rFonts w:ascii="宋体" w:hAnsi="宋体"/>
          <w:b/>
          <w:sz w:val="24"/>
        </w:rPr>
      </w:pPr>
      <w:r>
        <w:rPr>
          <w:rFonts w:hint="eastAsia" w:ascii="宋体" w:hAnsi="宋体"/>
          <w:b/>
          <w:sz w:val="24"/>
        </w:rPr>
        <w:t>16.1   验收基本要求</w:t>
      </w:r>
    </w:p>
    <w:p>
      <w:pPr>
        <w:spacing w:after="120" w:afterLines="50" w:line="460" w:lineRule="exact"/>
        <w:ind w:firstLine="480" w:firstLineChars="200"/>
        <w:jc w:val="left"/>
        <w:rPr>
          <w:rFonts w:ascii="宋体" w:hAnsi="宋体"/>
          <w:sz w:val="24"/>
        </w:rPr>
      </w:pPr>
      <w:r>
        <w:rPr>
          <w:rFonts w:hint="eastAsia" w:ascii="宋体" w:hAnsi="宋体"/>
          <w:sz w:val="24"/>
        </w:rPr>
        <w:t>工程验收需满足以下基本要求：</w:t>
      </w:r>
    </w:p>
    <w:p>
      <w:pPr>
        <w:spacing w:after="120" w:afterLines="50" w:line="460" w:lineRule="exact"/>
        <w:ind w:firstLine="480" w:firstLineChars="200"/>
        <w:jc w:val="left"/>
        <w:rPr>
          <w:rFonts w:ascii="宋体" w:hAnsi="宋体"/>
          <w:sz w:val="24"/>
        </w:rPr>
      </w:pPr>
      <w:r>
        <w:rPr>
          <w:rFonts w:hint="eastAsia" w:ascii="宋体" w:hAnsi="宋体"/>
          <w:sz w:val="24"/>
        </w:rPr>
        <w:t>工程质量应符合本规范和相关专业验收规范的规定。</w:t>
      </w:r>
    </w:p>
    <w:p>
      <w:pPr>
        <w:spacing w:after="120" w:afterLines="50" w:line="460" w:lineRule="exact"/>
        <w:ind w:firstLine="480" w:firstLineChars="200"/>
        <w:jc w:val="left"/>
        <w:rPr>
          <w:rFonts w:ascii="宋体" w:hAnsi="宋体"/>
          <w:sz w:val="24"/>
        </w:rPr>
      </w:pPr>
      <w:r>
        <w:rPr>
          <w:rFonts w:hint="eastAsia" w:ascii="宋体" w:hAnsi="宋体"/>
          <w:sz w:val="24"/>
        </w:rPr>
        <w:t>工程施工应符合工程勘察、设计文件的要求。</w:t>
      </w:r>
    </w:p>
    <w:p>
      <w:pPr>
        <w:spacing w:after="120" w:afterLines="50" w:line="460" w:lineRule="exact"/>
        <w:ind w:firstLine="480" w:firstLineChars="200"/>
        <w:jc w:val="left"/>
        <w:rPr>
          <w:rFonts w:ascii="宋体" w:hAnsi="宋体"/>
          <w:sz w:val="24"/>
        </w:rPr>
      </w:pPr>
      <w:r>
        <w:rPr>
          <w:rFonts w:hint="eastAsia" w:ascii="宋体" w:hAnsi="宋体"/>
          <w:sz w:val="24"/>
        </w:rPr>
        <w:t>参加工程验收的人员应具备相应的资格。</w:t>
      </w:r>
    </w:p>
    <w:p>
      <w:pPr>
        <w:spacing w:after="120" w:afterLines="50" w:line="460" w:lineRule="exact"/>
        <w:ind w:firstLine="480" w:firstLineChars="200"/>
        <w:jc w:val="left"/>
        <w:rPr>
          <w:rFonts w:ascii="宋体" w:hAnsi="宋体"/>
          <w:sz w:val="24"/>
        </w:rPr>
      </w:pPr>
      <w:r>
        <w:rPr>
          <w:rFonts w:hint="eastAsia" w:ascii="宋体" w:hAnsi="宋体"/>
          <w:sz w:val="24"/>
        </w:rPr>
        <w:t>工程质量的验收应在承包人自行检查评定的基础上进行。</w:t>
      </w:r>
    </w:p>
    <w:p>
      <w:pPr>
        <w:spacing w:after="120" w:afterLines="50" w:line="460" w:lineRule="exact"/>
        <w:ind w:firstLine="480" w:firstLineChars="200"/>
        <w:jc w:val="left"/>
        <w:rPr>
          <w:rFonts w:ascii="宋体" w:hAnsi="宋体"/>
          <w:sz w:val="24"/>
        </w:rPr>
      </w:pPr>
      <w:r>
        <w:rPr>
          <w:rFonts w:hint="eastAsia" w:ascii="宋体" w:hAnsi="宋体"/>
          <w:sz w:val="24"/>
        </w:rPr>
        <w:t>隐蔽工程在隐蔽前应由承包人通知有关单位进行验收，并应形成验收文件。</w:t>
      </w:r>
    </w:p>
    <w:p>
      <w:pPr>
        <w:spacing w:after="120" w:afterLines="50" w:line="460" w:lineRule="exact"/>
        <w:ind w:firstLine="480" w:firstLineChars="200"/>
        <w:jc w:val="left"/>
        <w:rPr>
          <w:rFonts w:ascii="宋体" w:hAnsi="宋体"/>
          <w:sz w:val="24"/>
        </w:rPr>
      </w:pPr>
      <w:r>
        <w:rPr>
          <w:rFonts w:hint="eastAsia" w:ascii="宋体" w:hAnsi="宋体"/>
          <w:sz w:val="24"/>
        </w:rPr>
        <w:t>关系植物成活的水、土、基质，涉及结构安全的试块、试件以及有关材料，应按规定进行见证取样检测。</w:t>
      </w:r>
    </w:p>
    <w:p>
      <w:pPr>
        <w:spacing w:after="120" w:afterLines="50" w:line="460" w:lineRule="exact"/>
        <w:ind w:firstLine="480" w:firstLineChars="200"/>
        <w:rPr>
          <w:rFonts w:ascii="宋体" w:hAnsi="宋体"/>
          <w:sz w:val="24"/>
        </w:rPr>
      </w:pPr>
      <w:r>
        <w:rPr>
          <w:rFonts w:hint="eastAsia" w:ascii="宋体" w:hAnsi="宋体"/>
          <w:sz w:val="24"/>
        </w:rPr>
        <w:t>检验批的质量应按主控工程和一般工程验收。</w:t>
      </w:r>
    </w:p>
    <w:p>
      <w:pPr>
        <w:spacing w:after="120" w:afterLines="50" w:line="460" w:lineRule="exact"/>
        <w:ind w:firstLine="480" w:firstLineChars="200"/>
        <w:rPr>
          <w:rFonts w:ascii="宋体" w:hAnsi="宋体"/>
          <w:sz w:val="24"/>
        </w:rPr>
      </w:pPr>
      <w:r>
        <w:rPr>
          <w:rFonts w:hint="eastAsia" w:ascii="宋体" w:hAnsi="宋体"/>
          <w:sz w:val="24"/>
        </w:rPr>
        <w:t>对涉及植物成活、结构安全和使用功能的重要分部工程应进行抽样检测。</w:t>
      </w:r>
    </w:p>
    <w:p>
      <w:pPr>
        <w:spacing w:after="120" w:afterLines="50" w:line="460" w:lineRule="exact"/>
        <w:ind w:firstLine="480" w:firstLineChars="200"/>
        <w:rPr>
          <w:rFonts w:ascii="宋体" w:hAnsi="宋体"/>
          <w:sz w:val="24"/>
        </w:rPr>
      </w:pPr>
      <w:r>
        <w:rPr>
          <w:rFonts w:hint="eastAsia" w:ascii="宋体" w:hAnsi="宋体"/>
          <w:sz w:val="24"/>
        </w:rPr>
        <w:t>承担见证取样检测及有关结构安全检测的单位应具有相应资格。</w:t>
      </w:r>
    </w:p>
    <w:p>
      <w:pPr>
        <w:spacing w:after="120" w:afterLines="50" w:line="460" w:lineRule="exact"/>
        <w:ind w:firstLine="480" w:firstLineChars="200"/>
        <w:rPr>
          <w:rFonts w:ascii="宋体" w:hAnsi="宋体"/>
          <w:sz w:val="24"/>
        </w:rPr>
      </w:pPr>
      <w:r>
        <w:rPr>
          <w:rFonts w:hint="eastAsia" w:ascii="宋体" w:hAnsi="宋体"/>
          <w:sz w:val="24"/>
        </w:rPr>
        <w:t>工程的观感质量应由验收人员通过现场检查，共同确认。</w:t>
      </w:r>
    </w:p>
    <w:p>
      <w:pPr>
        <w:spacing w:after="120" w:afterLines="50" w:line="460" w:lineRule="exact"/>
        <w:ind w:left="812" w:hanging="811" w:hangingChars="337"/>
        <w:rPr>
          <w:rFonts w:ascii="宋体" w:hAnsi="宋体"/>
          <w:b/>
          <w:sz w:val="24"/>
        </w:rPr>
      </w:pPr>
      <w:r>
        <w:rPr>
          <w:rFonts w:hint="eastAsia" w:ascii="宋体" w:hAnsi="宋体"/>
          <w:b/>
          <w:sz w:val="24"/>
        </w:rPr>
        <w:t>16.2</w:t>
      </w:r>
      <w:r>
        <w:rPr>
          <w:rFonts w:ascii="宋体" w:hAnsi="宋体"/>
          <w:b/>
          <w:sz w:val="24"/>
        </w:rPr>
        <w:t xml:space="preserve"> </w:t>
      </w:r>
      <w:r>
        <w:rPr>
          <w:rFonts w:hint="eastAsia" w:ascii="宋体" w:hAnsi="宋体"/>
          <w:b/>
          <w:sz w:val="24"/>
        </w:rPr>
        <w:t xml:space="preserve">  工程验收的划分及相应规定</w:t>
      </w:r>
    </w:p>
    <w:p>
      <w:pPr>
        <w:spacing w:after="120" w:afterLines="50" w:line="460" w:lineRule="exact"/>
        <w:ind w:left="1"/>
        <w:rPr>
          <w:rFonts w:ascii="宋体" w:hAnsi="宋体"/>
          <w:sz w:val="24"/>
        </w:rPr>
      </w:pPr>
      <w:r>
        <w:rPr>
          <w:rFonts w:hint="eastAsia" w:ascii="宋体" w:hAnsi="宋体"/>
          <w:sz w:val="24"/>
        </w:rPr>
        <w:t>16.2.1 园林绿化工程质量验收应划分为：单位（子单位）工程、分部（子分部）工程、分项工程和检验批。</w:t>
      </w:r>
    </w:p>
    <w:p>
      <w:pPr>
        <w:spacing w:after="120" w:afterLines="50" w:line="460" w:lineRule="exact"/>
        <w:ind w:left="809" w:hanging="808" w:hangingChars="337"/>
        <w:rPr>
          <w:rFonts w:ascii="宋体" w:hAnsi="宋体"/>
          <w:sz w:val="24"/>
        </w:rPr>
      </w:pPr>
      <w:r>
        <w:rPr>
          <w:rFonts w:hint="eastAsia" w:ascii="宋体" w:hAnsi="宋体"/>
          <w:sz w:val="24"/>
        </w:rPr>
        <w:t>16.2.2 检验批合格质量应符合下列规定：　</w:t>
      </w:r>
    </w:p>
    <w:p>
      <w:pPr>
        <w:spacing w:after="120" w:afterLines="50" w:line="460" w:lineRule="exact"/>
        <w:ind w:firstLine="480" w:firstLineChars="200"/>
        <w:rPr>
          <w:rFonts w:ascii="宋体" w:hAnsi="宋体"/>
          <w:sz w:val="24"/>
        </w:rPr>
      </w:pPr>
      <w:r>
        <w:rPr>
          <w:rFonts w:hint="eastAsia" w:ascii="宋体" w:hAnsi="宋体"/>
          <w:sz w:val="24"/>
        </w:rPr>
        <w:t>主控工程和一般工程的质量经抽样检验合格。</w:t>
      </w:r>
    </w:p>
    <w:p>
      <w:pPr>
        <w:spacing w:after="120" w:afterLines="50" w:line="460" w:lineRule="exact"/>
        <w:ind w:firstLine="480" w:firstLineChars="200"/>
        <w:rPr>
          <w:rFonts w:ascii="宋体" w:hAnsi="宋体"/>
          <w:sz w:val="24"/>
        </w:rPr>
      </w:pPr>
      <w:r>
        <w:rPr>
          <w:rFonts w:hint="eastAsia" w:ascii="宋体" w:hAnsi="宋体"/>
          <w:sz w:val="24"/>
        </w:rPr>
        <w:t>具有完整的施工操作依据、质量检查记录。</w:t>
      </w:r>
    </w:p>
    <w:p>
      <w:pPr>
        <w:spacing w:after="120" w:afterLines="50" w:line="460" w:lineRule="exact"/>
        <w:ind w:left="809" w:hanging="808" w:hangingChars="337"/>
        <w:rPr>
          <w:rFonts w:ascii="宋体" w:hAnsi="宋体"/>
          <w:sz w:val="24"/>
        </w:rPr>
      </w:pPr>
      <w:r>
        <w:rPr>
          <w:rFonts w:hint="eastAsia" w:ascii="宋体" w:hAnsi="宋体"/>
          <w:sz w:val="24"/>
        </w:rPr>
        <w:t>16.2.3 分项工程质量验收合格应符合下列规定：</w:t>
      </w:r>
    </w:p>
    <w:p>
      <w:pPr>
        <w:spacing w:after="120" w:afterLines="50" w:line="460" w:lineRule="exact"/>
        <w:ind w:firstLine="480" w:firstLineChars="200"/>
        <w:rPr>
          <w:rFonts w:ascii="宋体" w:hAnsi="宋体"/>
          <w:sz w:val="24"/>
        </w:rPr>
      </w:pPr>
      <w:r>
        <w:rPr>
          <w:rFonts w:hint="eastAsia" w:ascii="宋体" w:hAnsi="宋体"/>
          <w:sz w:val="24"/>
        </w:rPr>
        <w:t>分项工程所含的检验批均应符合合格质量的规定。</w:t>
      </w:r>
    </w:p>
    <w:p>
      <w:pPr>
        <w:spacing w:after="120" w:afterLines="50" w:line="460" w:lineRule="exact"/>
        <w:ind w:firstLine="480" w:firstLineChars="200"/>
        <w:rPr>
          <w:rFonts w:ascii="宋体" w:hAnsi="宋体"/>
          <w:sz w:val="24"/>
        </w:rPr>
      </w:pPr>
      <w:r>
        <w:rPr>
          <w:rFonts w:hint="eastAsia" w:ascii="宋体" w:hAnsi="宋体"/>
          <w:sz w:val="24"/>
        </w:rPr>
        <w:t>分项工程所含的检验批的质量验收记录应完整。</w:t>
      </w:r>
    </w:p>
    <w:p>
      <w:pPr>
        <w:spacing w:after="120" w:afterLines="50" w:line="460" w:lineRule="exact"/>
        <w:ind w:left="809" w:hanging="808" w:hangingChars="337"/>
        <w:rPr>
          <w:rFonts w:ascii="宋体" w:hAnsi="宋体"/>
          <w:sz w:val="24"/>
        </w:rPr>
      </w:pPr>
      <w:r>
        <w:rPr>
          <w:rFonts w:hint="eastAsia" w:ascii="宋体" w:hAnsi="宋体"/>
          <w:sz w:val="24"/>
        </w:rPr>
        <w:t>16.2.4 分部（子分部）工程质量验收合格应符合下列规定：</w:t>
      </w:r>
    </w:p>
    <w:p>
      <w:pPr>
        <w:spacing w:after="120" w:afterLines="50" w:line="460" w:lineRule="exact"/>
        <w:ind w:firstLine="480" w:firstLineChars="200"/>
        <w:rPr>
          <w:rFonts w:ascii="宋体" w:hAnsi="宋体"/>
          <w:sz w:val="24"/>
        </w:rPr>
      </w:pPr>
      <w:r>
        <w:rPr>
          <w:rFonts w:hint="eastAsia" w:ascii="宋体" w:hAnsi="宋体"/>
          <w:sz w:val="24"/>
        </w:rPr>
        <w:t>分部（子分部）工程所含工程的质量均应验收合格。</w:t>
      </w:r>
    </w:p>
    <w:p>
      <w:pPr>
        <w:spacing w:after="120" w:afterLines="50" w:line="460" w:lineRule="exact"/>
        <w:ind w:firstLine="480" w:firstLineChars="200"/>
        <w:rPr>
          <w:rFonts w:ascii="宋体" w:hAnsi="宋体"/>
          <w:sz w:val="24"/>
        </w:rPr>
      </w:pPr>
      <w:r>
        <w:rPr>
          <w:rFonts w:hint="eastAsia" w:ascii="宋体" w:hAnsi="宋体"/>
          <w:sz w:val="24"/>
        </w:rPr>
        <w:t>质量控制资料应完整。</w:t>
      </w:r>
    </w:p>
    <w:p>
      <w:pPr>
        <w:spacing w:after="120" w:afterLines="50" w:line="460" w:lineRule="exact"/>
        <w:ind w:firstLine="480" w:firstLineChars="200"/>
        <w:rPr>
          <w:rFonts w:ascii="宋体" w:hAnsi="宋体"/>
          <w:sz w:val="24"/>
        </w:rPr>
      </w:pPr>
      <w:r>
        <w:rPr>
          <w:rFonts w:hint="eastAsia" w:ascii="宋体" w:hAnsi="宋体"/>
          <w:sz w:val="24"/>
        </w:rPr>
        <w:t>分部工程各有关安全、功能及涉及植物成活要素的检验和抽样检测结果应符合有关规定。</w:t>
      </w:r>
    </w:p>
    <w:p>
      <w:pPr>
        <w:spacing w:after="120" w:afterLines="50" w:line="460" w:lineRule="exact"/>
        <w:ind w:left="809" w:hanging="808" w:hangingChars="337"/>
        <w:rPr>
          <w:rFonts w:ascii="宋体" w:hAnsi="宋体"/>
          <w:sz w:val="24"/>
        </w:rPr>
      </w:pPr>
      <w:r>
        <w:rPr>
          <w:rFonts w:hint="eastAsia" w:ascii="宋体" w:hAnsi="宋体"/>
          <w:sz w:val="24"/>
        </w:rPr>
        <w:t>观感质量验收应符合要求。</w:t>
      </w:r>
    </w:p>
    <w:p>
      <w:pPr>
        <w:spacing w:after="120" w:afterLines="50" w:line="460" w:lineRule="exact"/>
        <w:ind w:left="809" w:hanging="808" w:hangingChars="337"/>
        <w:rPr>
          <w:rFonts w:ascii="宋体" w:hAnsi="宋体"/>
          <w:sz w:val="24"/>
        </w:rPr>
      </w:pPr>
      <w:r>
        <w:rPr>
          <w:rFonts w:hint="eastAsia" w:ascii="宋体" w:hAnsi="宋体"/>
          <w:sz w:val="24"/>
        </w:rPr>
        <w:t>16.2.5 单位（子单位）工程质量验收合格应符合下列规定：</w:t>
      </w:r>
    </w:p>
    <w:p>
      <w:pPr>
        <w:spacing w:after="120" w:afterLines="50" w:line="460" w:lineRule="exact"/>
        <w:ind w:firstLine="480" w:firstLineChars="200"/>
        <w:rPr>
          <w:rFonts w:ascii="宋体" w:hAnsi="宋体"/>
          <w:sz w:val="24"/>
        </w:rPr>
      </w:pPr>
      <w:r>
        <w:rPr>
          <w:rFonts w:hint="eastAsia" w:ascii="宋体" w:hAnsi="宋体"/>
          <w:sz w:val="24"/>
        </w:rPr>
        <w:t>单位（子单位）工程所含分部（子分部）工程的质量均应验收合格。</w:t>
      </w:r>
    </w:p>
    <w:p>
      <w:pPr>
        <w:spacing w:after="120" w:afterLines="50" w:line="460" w:lineRule="exact"/>
        <w:ind w:firstLine="480" w:firstLineChars="200"/>
        <w:rPr>
          <w:rFonts w:ascii="宋体" w:hAnsi="宋体"/>
          <w:sz w:val="24"/>
        </w:rPr>
      </w:pPr>
      <w:r>
        <w:rPr>
          <w:rFonts w:hint="eastAsia" w:ascii="宋体" w:hAnsi="宋体"/>
          <w:sz w:val="24"/>
        </w:rPr>
        <w:t>质量控制资料应完整。</w:t>
      </w:r>
    </w:p>
    <w:p>
      <w:pPr>
        <w:spacing w:after="120" w:afterLines="50" w:line="460" w:lineRule="exact"/>
        <w:ind w:firstLine="480" w:firstLineChars="200"/>
        <w:rPr>
          <w:rFonts w:ascii="宋体" w:hAnsi="宋体"/>
          <w:sz w:val="24"/>
        </w:rPr>
      </w:pPr>
      <w:r>
        <w:rPr>
          <w:rFonts w:hint="eastAsia" w:ascii="宋体" w:hAnsi="宋体"/>
          <w:sz w:val="24"/>
        </w:rPr>
        <w:t>单位（子单位）工程所含分部工程有关安全、功能及涉及植物成活要素的检测资料应完整。</w:t>
      </w:r>
    </w:p>
    <w:p>
      <w:pPr>
        <w:spacing w:after="120" w:afterLines="50" w:line="460" w:lineRule="exact"/>
        <w:ind w:firstLine="480" w:firstLineChars="200"/>
        <w:rPr>
          <w:rFonts w:ascii="宋体" w:hAnsi="宋体"/>
          <w:sz w:val="24"/>
        </w:rPr>
      </w:pPr>
      <w:r>
        <w:rPr>
          <w:rFonts w:hint="eastAsia" w:ascii="宋体" w:hAnsi="宋体"/>
          <w:sz w:val="24"/>
        </w:rPr>
        <w:t>主要功能工程的抽查结果应符合相关专业质量验收规范的规定。</w:t>
      </w:r>
    </w:p>
    <w:p>
      <w:pPr>
        <w:spacing w:after="120" w:afterLines="50" w:line="460" w:lineRule="exact"/>
        <w:ind w:firstLine="480" w:firstLineChars="200"/>
        <w:rPr>
          <w:rFonts w:ascii="宋体" w:hAnsi="宋体"/>
          <w:sz w:val="24"/>
        </w:rPr>
      </w:pPr>
      <w:r>
        <w:rPr>
          <w:rFonts w:hint="eastAsia" w:ascii="宋体" w:hAnsi="宋体"/>
          <w:sz w:val="24"/>
        </w:rPr>
        <w:t>观感质量验收应符合要求。</w:t>
      </w:r>
    </w:p>
    <w:p>
      <w:pPr>
        <w:spacing w:after="120" w:afterLines="50" w:line="460" w:lineRule="exact"/>
        <w:ind w:left="809" w:hanging="808" w:hangingChars="337"/>
        <w:rPr>
          <w:rFonts w:ascii="宋体" w:hAnsi="宋体"/>
          <w:sz w:val="24"/>
        </w:rPr>
      </w:pPr>
      <w:r>
        <w:rPr>
          <w:rFonts w:hint="eastAsia" w:ascii="宋体" w:hAnsi="宋体"/>
          <w:sz w:val="24"/>
        </w:rPr>
        <w:t>16.2.6 当工程质量不符合要求时，应按下列规定进行处理：</w:t>
      </w:r>
    </w:p>
    <w:p>
      <w:pPr>
        <w:spacing w:after="120" w:afterLines="50" w:line="460" w:lineRule="exact"/>
        <w:ind w:firstLine="480" w:firstLineChars="200"/>
        <w:rPr>
          <w:rFonts w:ascii="宋体" w:hAnsi="宋体"/>
          <w:sz w:val="24"/>
        </w:rPr>
      </w:pPr>
      <w:r>
        <w:rPr>
          <w:rFonts w:hint="eastAsia" w:ascii="宋体" w:hAnsi="宋体"/>
          <w:sz w:val="24"/>
        </w:rPr>
        <w:t>经返工重做或更换设备的检验批，应重新进行验收。</w:t>
      </w:r>
    </w:p>
    <w:p>
      <w:pPr>
        <w:spacing w:after="120" w:afterLines="50" w:line="460" w:lineRule="exact"/>
        <w:ind w:firstLine="480" w:firstLineChars="200"/>
        <w:rPr>
          <w:rFonts w:ascii="宋体" w:hAnsi="宋体"/>
          <w:sz w:val="24"/>
        </w:rPr>
      </w:pPr>
      <w:r>
        <w:rPr>
          <w:rFonts w:hint="eastAsia" w:ascii="宋体" w:hAnsi="宋体"/>
          <w:sz w:val="24"/>
        </w:rPr>
        <w:t>经有资质的检测单位检测鉴定能够达到设计要求的检验批，应予以验收。</w:t>
      </w:r>
    </w:p>
    <w:p>
      <w:pPr>
        <w:spacing w:after="120" w:afterLines="50" w:line="460" w:lineRule="exact"/>
        <w:ind w:firstLine="480" w:firstLineChars="200"/>
        <w:rPr>
          <w:rFonts w:ascii="宋体" w:hAnsi="宋体"/>
          <w:sz w:val="24"/>
        </w:rPr>
      </w:pPr>
      <w:r>
        <w:rPr>
          <w:rFonts w:hint="eastAsia" w:ascii="宋体" w:hAnsi="宋体"/>
          <w:sz w:val="24"/>
        </w:rPr>
        <w:t>经有资质的检测单位检测鉴定达不到设计要求、但经原设计单位核算认可能够满足结构安全和使用功能的检验批，可予以验收。</w:t>
      </w:r>
    </w:p>
    <w:p>
      <w:pPr>
        <w:spacing w:after="120" w:afterLines="50" w:line="460" w:lineRule="exact"/>
        <w:ind w:firstLine="480" w:firstLineChars="200"/>
        <w:rPr>
          <w:rFonts w:ascii="宋体" w:hAnsi="宋体"/>
          <w:sz w:val="24"/>
        </w:rPr>
      </w:pPr>
      <w:r>
        <w:rPr>
          <w:rFonts w:hint="eastAsia" w:ascii="宋体" w:hAnsi="宋体"/>
          <w:sz w:val="24"/>
        </w:rPr>
        <w:t>经返修或加固处理的分项、分部工程，虽然改变外形尺寸但仍能满足安全使用要求，可按技术处理方案和协商文件进行验收。</w:t>
      </w:r>
    </w:p>
    <w:p>
      <w:pPr>
        <w:spacing w:after="120" w:afterLines="50" w:line="460" w:lineRule="exact"/>
        <w:ind w:left="1"/>
        <w:rPr>
          <w:rFonts w:ascii="宋体" w:hAnsi="宋体"/>
          <w:sz w:val="24"/>
        </w:rPr>
      </w:pPr>
      <w:r>
        <w:rPr>
          <w:rFonts w:hint="eastAsia" w:ascii="宋体" w:hAnsi="宋体"/>
          <w:sz w:val="24"/>
        </w:rPr>
        <w:t>16.2.7 通过返修或加固处理仍不能满足安全使用要求的分部工程、单位（子单位）工程，不得验收。</w:t>
      </w:r>
    </w:p>
    <w:p>
      <w:pPr>
        <w:spacing w:after="120" w:afterLines="50" w:line="460" w:lineRule="exact"/>
        <w:ind w:left="812" w:hanging="811" w:hangingChars="337"/>
        <w:rPr>
          <w:rFonts w:ascii="宋体" w:hAnsi="宋体"/>
          <w:b/>
          <w:sz w:val="24"/>
        </w:rPr>
      </w:pPr>
      <w:r>
        <w:rPr>
          <w:rFonts w:hint="eastAsia" w:ascii="宋体" w:hAnsi="宋体"/>
          <w:b/>
          <w:sz w:val="24"/>
        </w:rPr>
        <w:t>16.3   验收程序和组织</w:t>
      </w:r>
    </w:p>
    <w:p>
      <w:pPr>
        <w:spacing w:after="120" w:afterLines="50" w:line="460" w:lineRule="exact"/>
        <w:ind w:left="1"/>
        <w:rPr>
          <w:rFonts w:ascii="宋体" w:hAnsi="宋体"/>
          <w:sz w:val="24"/>
        </w:rPr>
      </w:pPr>
      <w:r>
        <w:rPr>
          <w:rFonts w:hint="eastAsia" w:ascii="宋体" w:hAnsi="宋体"/>
          <w:sz w:val="24"/>
        </w:rPr>
        <w:t>16.3.1 检验批及分项工程应由监理工程师（发包人工程技术负责人）组织承包人工程专业质量（技术）负责人等进行验收。</w:t>
      </w:r>
    </w:p>
    <w:p>
      <w:pPr>
        <w:spacing w:after="120" w:afterLines="50" w:line="460" w:lineRule="exact"/>
        <w:ind w:left="1"/>
        <w:rPr>
          <w:rFonts w:ascii="宋体" w:hAnsi="宋体"/>
          <w:sz w:val="24"/>
        </w:rPr>
      </w:pPr>
      <w:r>
        <w:rPr>
          <w:rFonts w:hint="eastAsia" w:ascii="宋体" w:hAnsi="宋体"/>
          <w:sz w:val="24"/>
        </w:rPr>
        <w:t>16.3.2 分部工程应由总监理工程师（发包人项目负责人）组织承包人项目负责人和技术、质量负责人等进行验收；涉及主体结构安全的分部工程的勘察、设计单位工程项目负责人和承包人技术、质量部门负责人也应参加相关分部工程验收。</w:t>
      </w:r>
    </w:p>
    <w:p>
      <w:pPr>
        <w:spacing w:after="120" w:afterLines="50" w:line="460" w:lineRule="exact"/>
        <w:ind w:firstLine="480" w:firstLineChars="200"/>
        <w:rPr>
          <w:rFonts w:ascii="宋体" w:hAnsi="宋体"/>
          <w:sz w:val="24"/>
        </w:rPr>
      </w:pPr>
      <w:r>
        <w:rPr>
          <w:rFonts w:hint="eastAsia" w:ascii="宋体" w:hAnsi="宋体"/>
          <w:sz w:val="24"/>
        </w:rPr>
        <w:t>除合同另有约定外，承包人应提前48小时通知监理人进行检验批及分部分项工程验收。监理人不能按时进行验收的，应在验收前24小时向承包人提交书面延期要求，但延期不能超过48小时。监理人未按时进行验收，也未提出延期要求的，承包人有权自行验收，监理人应认可验收结果。</w:t>
      </w:r>
    </w:p>
    <w:p>
      <w:pPr>
        <w:spacing w:after="120" w:afterLines="50" w:line="460" w:lineRule="exact"/>
        <w:ind w:left="1"/>
        <w:rPr>
          <w:rFonts w:ascii="宋体" w:hAnsi="宋体"/>
          <w:sz w:val="24"/>
        </w:rPr>
      </w:pPr>
      <w:r>
        <w:rPr>
          <w:rFonts w:hint="eastAsia" w:ascii="宋体" w:hAnsi="宋体"/>
          <w:sz w:val="24"/>
        </w:rPr>
        <w:t>16.3.3 承包人在单位（子单位）工程完工，经自检合格并达到竣工验收条件后，填写《单位工程竣工预验收报验表》，并附相应竣工资料{《分部（子分部）工程质量验收记录表》，《单位（子单位）工程质量控制资料核查记录》，《单位（子单位）工程安全、功能及涉及植物成活要素检验资料核查及主要功能抽查记录》，《单位（子单位）工程观感质量检查记录》，《单位（子单位）工程植物成活率及地被覆盖率统计记录》}，报监理人，申请工程竣工初验收。总监理工程师组织监理工程部人员与承包人根据有关规定共同对工程进行工程竣工初验收。</w:t>
      </w:r>
    </w:p>
    <w:p>
      <w:pPr>
        <w:spacing w:after="120" w:afterLines="50" w:line="460" w:lineRule="exact"/>
        <w:ind w:firstLine="480" w:firstLineChars="200"/>
        <w:rPr>
          <w:rFonts w:ascii="宋体" w:hAnsi="宋体"/>
          <w:sz w:val="24"/>
        </w:rPr>
      </w:pPr>
      <w:r>
        <w:rPr>
          <w:rFonts w:hint="eastAsia" w:ascii="宋体" w:hAnsi="宋体"/>
          <w:sz w:val="24"/>
        </w:rPr>
        <w:t>工程预验收前承包人还应向监理人提交以下资料：</w:t>
      </w:r>
    </w:p>
    <w:p>
      <w:pPr>
        <w:spacing w:after="120" w:afterLines="50" w:line="460" w:lineRule="exact"/>
        <w:ind w:firstLine="480" w:firstLineChars="200"/>
        <w:rPr>
          <w:rFonts w:ascii="宋体" w:hAnsi="宋体"/>
          <w:sz w:val="24"/>
        </w:rPr>
      </w:pPr>
      <w:r>
        <w:rPr>
          <w:rFonts w:hint="eastAsia" w:ascii="宋体" w:hAnsi="宋体"/>
          <w:sz w:val="24"/>
        </w:rPr>
        <w:t>承包人的自行检查和评定记录文件，即除监理人、发包人同意列入缺陷责任期内完成的尾工（甩项）工程和缺陷修补工作外，合同范围内的全部单位工程以及有关工作，包括合同要求的试验、试运行以及检验和验收均已完成，并符合合同要求；</w:t>
      </w:r>
    </w:p>
    <w:p>
      <w:pPr>
        <w:spacing w:after="120" w:afterLines="50" w:line="460" w:lineRule="exact"/>
        <w:ind w:firstLine="480" w:firstLineChars="200"/>
        <w:rPr>
          <w:rFonts w:ascii="宋体" w:hAnsi="宋体"/>
          <w:sz w:val="24"/>
        </w:rPr>
      </w:pPr>
      <w:r>
        <w:rPr>
          <w:rFonts w:hint="eastAsia" w:ascii="宋体" w:hAnsi="宋体"/>
          <w:sz w:val="24"/>
        </w:rPr>
        <w:t xml:space="preserve">按合同条款约定的内容和份数整理的符合要求的竣工资料； </w:t>
      </w:r>
    </w:p>
    <w:p>
      <w:pPr>
        <w:spacing w:after="120" w:afterLines="50" w:line="460" w:lineRule="exact"/>
        <w:ind w:firstLine="480" w:firstLineChars="200"/>
        <w:rPr>
          <w:rFonts w:ascii="宋体" w:hAnsi="宋体"/>
          <w:sz w:val="24"/>
        </w:rPr>
      </w:pPr>
      <w:r>
        <w:rPr>
          <w:rFonts w:hint="eastAsia" w:ascii="宋体" w:hAnsi="宋体"/>
          <w:sz w:val="24"/>
        </w:rPr>
        <w:t>按监理人、发包人的要求编制了在缺陷责任期内完成的尾工（甩项）工程和缺陷修补工作清单以及相应施工计划；</w:t>
      </w:r>
    </w:p>
    <w:p>
      <w:pPr>
        <w:spacing w:after="120" w:afterLines="50" w:line="460" w:lineRule="exact"/>
        <w:ind w:firstLine="480" w:firstLineChars="200"/>
        <w:rPr>
          <w:rFonts w:ascii="宋体" w:hAnsi="宋体"/>
          <w:sz w:val="24"/>
        </w:rPr>
      </w:pPr>
      <w:r>
        <w:rPr>
          <w:rFonts w:hint="eastAsia" w:ascii="宋体" w:hAnsi="宋体"/>
          <w:sz w:val="24"/>
        </w:rPr>
        <w:t>监理人要求在竣工验收前应完成的其他工作的证明材料；</w:t>
      </w:r>
    </w:p>
    <w:p>
      <w:pPr>
        <w:spacing w:after="120" w:afterLines="50" w:line="460" w:lineRule="exact"/>
        <w:ind w:firstLine="480" w:firstLineChars="200"/>
        <w:rPr>
          <w:rFonts w:ascii="宋体" w:hAnsi="宋体"/>
          <w:sz w:val="24"/>
        </w:rPr>
      </w:pPr>
      <w:r>
        <w:rPr>
          <w:rFonts w:hint="eastAsia" w:ascii="宋体" w:hAnsi="宋体"/>
          <w:sz w:val="24"/>
        </w:rPr>
        <w:t>监理人要求提交的竣工验收资料清单；</w:t>
      </w:r>
    </w:p>
    <w:p>
      <w:pPr>
        <w:spacing w:after="120" w:afterLines="50" w:line="460" w:lineRule="exact"/>
        <w:ind w:firstLine="480" w:firstLineChars="200"/>
        <w:rPr>
          <w:rFonts w:ascii="宋体" w:hAnsi="宋体"/>
          <w:sz w:val="24"/>
        </w:rPr>
      </w:pPr>
      <w:r>
        <w:rPr>
          <w:rFonts w:hint="eastAsia" w:ascii="宋体" w:hAnsi="宋体"/>
          <w:sz w:val="24"/>
        </w:rPr>
        <w:t>其他资料：</w:t>
      </w:r>
      <w:r>
        <w:rPr>
          <w:rFonts w:hint="eastAsia" w:ascii="宋体" w:hAnsi="宋体"/>
          <w:sz w:val="24"/>
          <w:u w:val="single"/>
        </w:rPr>
        <w:t xml:space="preserve">                                                         </w:t>
      </w:r>
      <w:r>
        <w:rPr>
          <w:rFonts w:hint="eastAsia" w:ascii="宋体" w:hAnsi="宋体"/>
          <w:sz w:val="24"/>
        </w:rPr>
        <w:t>。</w:t>
      </w:r>
    </w:p>
    <w:p>
      <w:pPr>
        <w:spacing w:after="120" w:afterLines="50" w:line="460" w:lineRule="exact"/>
        <w:ind w:firstLine="480" w:firstLineChars="200"/>
        <w:rPr>
          <w:rFonts w:ascii="宋体" w:hAnsi="宋体"/>
          <w:sz w:val="24"/>
        </w:rPr>
      </w:pPr>
      <w:r>
        <w:rPr>
          <w:rFonts w:hint="eastAsia" w:ascii="宋体" w:hAnsi="宋体"/>
          <w:sz w:val="24"/>
        </w:rPr>
        <w:t>监理人应在收到《单位工程竣工预验收报验表》及相关资料后14天内完成组织完成申报工程的初验，并将工程初验合格信息及相关资料报送发包人。</w:t>
      </w:r>
    </w:p>
    <w:p>
      <w:pPr>
        <w:spacing w:after="120" w:afterLines="50" w:line="460" w:lineRule="exact"/>
        <w:ind w:left="1"/>
        <w:rPr>
          <w:rFonts w:ascii="宋体" w:hAnsi="宋体"/>
          <w:sz w:val="24"/>
        </w:rPr>
      </w:pPr>
      <w:r>
        <w:rPr>
          <w:rFonts w:hint="eastAsia" w:ascii="宋体" w:hAnsi="宋体"/>
          <w:sz w:val="24"/>
        </w:rPr>
        <w:t>16.3.4 工程竣工初验收合格后，发包人（工程）负责人应在收到经监理人工程初验合格的报告及相关资料后28天内审批完毕，并组织承包人（含分包单位）、设计、监理等单位（工程）负责人完成单位（子单位）工程验收，签署《单位(子单位)工程质量竣工验收记录》。</w:t>
      </w:r>
    </w:p>
    <w:p>
      <w:pPr>
        <w:spacing w:after="120" w:afterLines="50" w:line="460" w:lineRule="exact"/>
        <w:ind w:left="1"/>
        <w:rPr>
          <w:rFonts w:ascii="宋体" w:hAnsi="宋体"/>
          <w:sz w:val="24"/>
        </w:rPr>
      </w:pPr>
      <w:r>
        <w:rPr>
          <w:rFonts w:hint="eastAsia" w:ascii="宋体" w:hAnsi="宋体"/>
          <w:sz w:val="24"/>
        </w:rPr>
        <w:t>16.3.5 单位工程有分包单位施工时，分包单位对所承包的工程</w:t>
      </w:r>
      <w:r>
        <w:rPr>
          <w:rFonts w:hint="eastAsia" w:ascii="宋体" w:hAnsi="宋体"/>
          <w:strike/>
          <w:sz w:val="24"/>
        </w:rPr>
        <w:t>工程</w:t>
      </w:r>
      <w:r>
        <w:rPr>
          <w:rFonts w:hint="eastAsia" w:ascii="宋体" w:hAnsi="宋体"/>
          <w:sz w:val="24"/>
        </w:rPr>
        <w:t>应按本标准规定的程序检查评定，总包单位应派人参加。分包工程完成后，应将工程有关资料交总包单位。</w:t>
      </w:r>
    </w:p>
    <w:p>
      <w:pPr>
        <w:spacing w:after="120" w:afterLines="50" w:line="460" w:lineRule="exact"/>
        <w:ind w:left="1"/>
        <w:rPr>
          <w:rFonts w:ascii="宋体" w:hAnsi="宋体"/>
          <w:sz w:val="24"/>
        </w:rPr>
      </w:pPr>
      <w:r>
        <w:rPr>
          <w:rFonts w:hint="eastAsia" w:ascii="宋体" w:hAnsi="宋体"/>
          <w:sz w:val="24"/>
        </w:rPr>
        <w:t>16.3.6 当参加验收各方对工程质量验收意见不一致时，可请本市园林绿化行政主管部门或工程质量监督机构协调处理。</w:t>
      </w:r>
    </w:p>
    <w:p>
      <w:pPr>
        <w:spacing w:after="120" w:afterLines="50" w:line="460" w:lineRule="exact"/>
        <w:ind w:left="1"/>
        <w:rPr>
          <w:rFonts w:ascii="宋体" w:hAnsi="宋体"/>
          <w:sz w:val="24"/>
        </w:rPr>
      </w:pPr>
      <w:r>
        <w:rPr>
          <w:rFonts w:hint="eastAsia" w:ascii="宋体" w:hAnsi="宋体"/>
          <w:sz w:val="24"/>
        </w:rPr>
        <w:t>16.3.7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单位工程竣工预验收报验表》，并按16.3.3-16.3.6约定的程序重新进行验收。</w:t>
      </w:r>
    </w:p>
    <w:p>
      <w:pPr>
        <w:spacing w:after="120" w:afterLines="50" w:line="460" w:lineRule="exact"/>
        <w:ind w:left="1"/>
        <w:rPr>
          <w:rFonts w:ascii="宋体" w:hAnsi="宋体"/>
          <w:sz w:val="24"/>
        </w:rPr>
      </w:pPr>
      <w:r>
        <w:rPr>
          <w:rFonts w:hint="eastAsia" w:ascii="宋体" w:hAnsi="宋体"/>
          <w:sz w:val="24"/>
        </w:rPr>
        <w:t>16.3.8 以上16.3条中所涉及的表单格式详见《园林绿化工程施工及验收规范》(DB11/T 212) 具体以最新版本为准。</w:t>
      </w:r>
    </w:p>
    <w:p>
      <w:pPr>
        <w:spacing w:after="120" w:afterLines="50" w:line="460" w:lineRule="exact"/>
        <w:ind w:left="812" w:hanging="811" w:hangingChars="337"/>
        <w:rPr>
          <w:rFonts w:ascii="宋体" w:hAnsi="宋体"/>
          <w:b/>
          <w:sz w:val="24"/>
        </w:rPr>
      </w:pPr>
      <w:r>
        <w:rPr>
          <w:rFonts w:hint="eastAsia" w:ascii="宋体" w:hAnsi="宋体"/>
          <w:b/>
          <w:sz w:val="24"/>
        </w:rPr>
        <w:t>16.4   竣工日期</w:t>
      </w:r>
    </w:p>
    <w:p>
      <w:pPr>
        <w:spacing w:after="120" w:afterLines="50" w:line="460" w:lineRule="exact"/>
        <w:ind w:firstLine="480" w:firstLineChars="200"/>
        <w:rPr>
          <w:rFonts w:ascii="宋体" w:hAnsi="宋体"/>
          <w:sz w:val="24"/>
        </w:rPr>
      </w:pPr>
      <w:r>
        <w:rPr>
          <w:rFonts w:hint="eastAsia" w:ascii="宋体" w:hAnsi="宋体"/>
          <w:sz w:val="24"/>
        </w:rPr>
        <w:t>单位工程质量竣工验收合格并具备法律法规规定的其他条件后，建设单位应当组织勘察、设计、施工、监理等单位进行工程竣工验收；对住宅工程，工程竣工验收前建设单位应当组织施工、监理等单位进行单位工程验收。</w:t>
      </w:r>
    </w:p>
    <w:p>
      <w:pPr>
        <w:spacing w:after="120" w:afterLines="50" w:line="460" w:lineRule="exact"/>
        <w:ind w:firstLine="480" w:firstLineChars="200"/>
        <w:rPr>
          <w:rFonts w:ascii="宋体" w:hAnsi="宋体"/>
          <w:sz w:val="24"/>
        </w:rPr>
      </w:pPr>
      <w:r>
        <w:rPr>
          <w:rFonts w:hint="eastAsia" w:ascii="宋体" w:hAnsi="宋体"/>
          <w:sz w:val="24"/>
        </w:rPr>
        <w:t>工程竣工验收应当形成经建设、勘察、设计、施工、监理等单位项目负责人签署的工程竣工验收记录，作为工程竣工验收合格的证明文件。工程竣工验收记录中各方意见签署齐备的日期为工程竣工时间。</w:t>
      </w:r>
    </w:p>
    <w:p>
      <w:pPr>
        <w:spacing w:after="120" w:afterLines="50" w:line="460" w:lineRule="exact"/>
        <w:ind w:left="812" w:hanging="811" w:hangingChars="337"/>
        <w:rPr>
          <w:rFonts w:ascii="宋体" w:hAnsi="宋体"/>
          <w:b/>
          <w:sz w:val="24"/>
        </w:rPr>
      </w:pPr>
      <w:r>
        <w:rPr>
          <w:rFonts w:hint="eastAsia" w:ascii="宋体" w:hAnsi="宋体"/>
          <w:b/>
          <w:sz w:val="24"/>
        </w:rPr>
        <w:t>16.5   工程移交</w:t>
      </w:r>
    </w:p>
    <w:p>
      <w:pPr>
        <w:spacing w:after="120" w:afterLines="50" w:line="460" w:lineRule="exact"/>
        <w:ind w:firstLine="480" w:firstLineChars="200"/>
        <w:rPr>
          <w:rFonts w:ascii="宋体" w:hAnsi="宋体"/>
          <w:sz w:val="24"/>
        </w:rPr>
      </w:pPr>
      <w:r>
        <w:rPr>
          <w:rFonts w:hint="eastAsia" w:ascii="宋体" w:hAnsi="宋体"/>
          <w:sz w:val="24"/>
        </w:rPr>
        <w:t>工程竣工验收合格或视同为已竣工验收合格的，发包人应在验收合格后14天内向承包人颁发工程接收证书或签署工程移交证书。发包人无正当理由逾期不颁发工程接收证书或不签署工程移交证书的，自验收合格后第15天起视为已颁发工程接收证书或已签署工程移交证书。承包人自工程接收证书颁发日或工程移交证书签署日起，不再承担除合同约定的绿化养护工作以外的工程的照管、成品保护、保管义务。</w:t>
      </w:r>
    </w:p>
    <w:p>
      <w:pPr>
        <w:keepNext/>
        <w:keepLines/>
        <w:tabs>
          <w:tab w:val="left" w:pos="851"/>
        </w:tabs>
        <w:spacing w:before="260" w:after="156" w:line="460" w:lineRule="exact"/>
        <w:outlineLvl w:val="2"/>
        <w:rPr>
          <w:rFonts w:ascii="宋体" w:hAnsi="宋体" w:cs="Arial"/>
          <w:b/>
          <w:bCs/>
          <w:sz w:val="24"/>
        </w:rPr>
      </w:pPr>
      <w:bookmarkStart w:id="1425" w:name="_Toc342296562"/>
      <w:bookmarkStart w:id="1426" w:name="_Toc362253028"/>
      <w:bookmarkStart w:id="1427" w:name="_Toc241459805"/>
      <w:r>
        <w:rPr>
          <w:rFonts w:hint="eastAsia" w:ascii="宋体" w:hAnsi="宋体" w:cs="Arial"/>
          <w:b/>
          <w:bCs/>
          <w:sz w:val="24"/>
        </w:rPr>
        <w:t>17. 其他要求</w:t>
      </w:r>
      <w:bookmarkEnd w:id="1425"/>
      <w:bookmarkEnd w:id="1426"/>
      <w:bookmarkEnd w:id="1427"/>
    </w:p>
    <w:p>
      <w:pPr>
        <w:tabs>
          <w:tab w:val="left" w:pos="768"/>
        </w:tabs>
        <w:spacing w:after="120" w:afterLines="50" w:line="460" w:lineRule="exact"/>
        <w:rPr>
          <w:rFonts w:ascii="宋体" w:hAnsi="宋体"/>
          <w:sz w:val="24"/>
          <w:u w:val="single"/>
        </w:rPr>
      </w:pPr>
      <w:r>
        <w:rPr>
          <w:rFonts w:ascii="宋体" w:hAnsi="宋体" w:cs="Arial"/>
          <w:sz w:val="24"/>
        </w:rPr>
        <w:t xml:space="preserve"> </w:t>
      </w:r>
      <w:r>
        <w:rPr>
          <w:rFonts w:hint="eastAsia" w:ascii="宋体" w:hAnsi="宋体"/>
          <w:sz w:val="24"/>
          <w:u w:val="single"/>
        </w:rPr>
        <w:t xml:space="preserve">                                                                     </w:t>
      </w:r>
      <w:r>
        <w:rPr>
          <w:rFonts w:hint="eastAsia" w:ascii="宋体" w:hAnsi="宋体"/>
          <w:szCs w:val="21"/>
        </w:rPr>
        <w:t>。</w:t>
      </w:r>
    </w:p>
    <w:p>
      <w:pPr>
        <w:spacing w:after="120" w:afterLines="50" w:line="300" w:lineRule="auto"/>
      </w:pPr>
    </w:p>
    <w:p>
      <w:pPr>
        <w:tabs>
          <w:tab w:val="left" w:pos="567"/>
        </w:tabs>
        <w:spacing w:after="120" w:afterLines="50" w:line="300" w:lineRule="auto"/>
      </w:pPr>
    </w:p>
    <w:p>
      <w:pPr>
        <w:tabs>
          <w:tab w:val="left" w:pos="567"/>
        </w:tabs>
        <w:spacing w:after="120" w:afterLines="50" w:line="300" w:lineRule="auto"/>
        <w:ind w:firstLine="567" w:firstLineChars="270"/>
      </w:pPr>
      <w:r>
        <w:br w:type="page"/>
      </w:r>
    </w:p>
    <w:p>
      <w:pPr>
        <w:keepNext/>
        <w:keepLines/>
        <w:spacing w:before="260" w:after="156" w:line="416" w:lineRule="auto"/>
        <w:jc w:val="center"/>
        <w:outlineLvl w:val="1"/>
        <w:rPr>
          <w:rFonts w:ascii="宋体" w:hAnsi="宋体" w:cs="Arial"/>
          <w:b/>
          <w:sz w:val="24"/>
          <w:szCs w:val="32"/>
        </w:rPr>
      </w:pPr>
      <w:bookmarkStart w:id="1428" w:name="_Toc241459806"/>
      <w:bookmarkStart w:id="1429" w:name="_Toc362253029"/>
      <w:bookmarkStart w:id="1430" w:name="_Toc342296563"/>
      <w:r>
        <w:rPr>
          <w:rFonts w:hint="eastAsia" w:ascii="宋体" w:hAnsi="宋体" w:cs="Arial"/>
          <w:b/>
          <w:sz w:val="24"/>
          <w:szCs w:val="32"/>
        </w:rPr>
        <w:t>第二节 特殊技术标准和要求</w:t>
      </w:r>
      <w:bookmarkEnd w:id="1428"/>
      <w:bookmarkEnd w:id="1429"/>
      <w:bookmarkEnd w:id="1430"/>
    </w:p>
    <w:p>
      <w:pPr>
        <w:keepNext/>
        <w:keepLines/>
        <w:spacing w:before="260" w:after="156" w:line="416" w:lineRule="auto"/>
        <w:outlineLvl w:val="2"/>
        <w:rPr>
          <w:rFonts w:ascii="宋体" w:hAnsi="宋体" w:cs="Arial"/>
          <w:b/>
          <w:bCs/>
          <w:sz w:val="24"/>
        </w:rPr>
      </w:pPr>
      <w:bookmarkStart w:id="1431" w:name="_Toc362253030"/>
      <w:bookmarkStart w:id="1432" w:name="_Toc342296564"/>
      <w:bookmarkStart w:id="1433" w:name="_Toc241459807"/>
      <w:r>
        <w:rPr>
          <w:rFonts w:hint="eastAsia" w:ascii="宋体" w:hAnsi="宋体" w:cs="Arial"/>
          <w:b/>
          <w:bCs/>
          <w:sz w:val="24"/>
        </w:rPr>
        <w:t>1</w:t>
      </w:r>
      <w:bookmarkStart w:id="1434" w:name="_Toc162409191"/>
      <w:r>
        <w:rPr>
          <w:rFonts w:hint="eastAsia" w:ascii="宋体" w:hAnsi="宋体" w:cs="Arial"/>
          <w:b/>
          <w:bCs/>
          <w:sz w:val="24"/>
        </w:rPr>
        <w:t xml:space="preserve">. </w:t>
      </w:r>
      <w:r>
        <w:rPr>
          <w:rFonts w:ascii="宋体" w:hAnsi="宋体" w:cs="Arial"/>
          <w:b/>
          <w:bCs/>
          <w:sz w:val="24"/>
        </w:rPr>
        <w:t>材料和工程设备技术要求</w:t>
      </w:r>
      <w:bookmarkEnd w:id="1431"/>
      <w:bookmarkEnd w:id="1432"/>
      <w:bookmarkEnd w:id="1433"/>
      <w:bookmarkEnd w:id="1434"/>
    </w:p>
    <w:p>
      <w:pPr>
        <w:spacing w:after="120" w:afterLines="50" w:line="300" w:lineRule="auto"/>
        <w:rPr>
          <w:rFonts w:ascii="宋体" w:hAnsi="宋体" w:cs="Arial"/>
          <w:sz w:val="24"/>
        </w:rPr>
      </w:pPr>
      <w:r>
        <w:rPr>
          <w:rFonts w:hint="eastAsia" w:ascii="宋体" w:hAnsi="宋体" w:cs="Arial"/>
          <w:sz w:val="24"/>
        </w:rPr>
        <w:t>1</w:t>
      </w:r>
      <w:r>
        <w:rPr>
          <w:rFonts w:ascii="宋体" w:hAnsi="宋体" w:cs="Arial"/>
          <w:sz w:val="24"/>
        </w:rPr>
        <w:t>.</w:t>
      </w:r>
      <w:r>
        <w:rPr>
          <w:rFonts w:hint="eastAsia" w:ascii="宋体" w:hAnsi="宋体" w:cs="Arial"/>
          <w:sz w:val="24"/>
        </w:rPr>
        <w:t>1   承包人自行施工范围内的部分</w:t>
      </w:r>
      <w:r>
        <w:rPr>
          <w:rFonts w:ascii="宋体" w:hAnsi="宋体" w:cs="Arial"/>
          <w:sz w:val="24"/>
        </w:rPr>
        <w:t>材料和工程设备技术要求</w:t>
      </w:r>
      <w:r>
        <w:rPr>
          <w:rFonts w:hint="eastAsia" w:ascii="宋体" w:hAnsi="宋体" w:cs="Arial"/>
          <w:sz w:val="24"/>
        </w:rPr>
        <w:t>如下：</w:t>
      </w:r>
    </w:p>
    <w:p>
      <w:pPr>
        <w:widowControl/>
        <w:numPr>
          <w:ilvl w:val="0"/>
          <w:numId w:val="18"/>
        </w:numPr>
        <w:spacing w:after="156" w:line="360" w:lineRule="auto"/>
        <w:ind w:left="2" w:hanging="1"/>
        <w:jc w:val="left"/>
        <w:rPr>
          <w:rFonts w:ascii="宋体" w:hAnsi="宋体"/>
          <w:sz w:val="24"/>
        </w:rPr>
      </w:pPr>
      <w:r>
        <w:rPr>
          <w:rFonts w:hint="eastAsia" w:ascii="宋体" w:hAnsi="宋体"/>
          <w:sz w:val="24"/>
        </w:rPr>
        <w:t xml:space="preserve"> 在种子、苗木进场时需提供</w:t>
      </w:r>
      <w:r>
        <w:rPr>
          <w:rFonts w:hint="eastAsia" w:ascii="宋体" w:hAnsi="宋体" w:cs="Arial"/>
          <w:sz w:val="24"/>
        </w:rPr>
        <w:t xml:space="preserve">“两证一签”：种子种苗的生产经营许可证、检疫证和标签；                                                        </w:t>
      </w:r>
      <w:r>
        <w:rPr>
          <w:rFonts w:hint="eastAsia" w:ascii="宋体" w:hAnsi="宋体"/>
          <w:sz w:val="24"/>
        </w:rPr>
        <w:t xml:space="preserve"> </w:t>
      </w:r>
    </w:p>
    <w:p>
      <w:pPr>
        <w:widowControl/>
        <w:numPr>
          <w:ilvl w:val="0"/>
          <w:numId w:val="18"/>
        </w:numPr>
        <w:spacing w:after="156" w:line="360" w:lineRule="auto"/>
        <w:jc w:val="left"/>
        <w:rPr>
          <w:rFonts w:ascii="宋体" w:hAnsi="宋体"/>
          <w:sz w:val="24"/>
        </w:rPr>
      </w:pPr>
      <w:r>
        <w:rPr>
          <w:rFonts w:hint="eastAsia" w:ascii="宋体" w:hAnsi="宋体"/>
          <w:sz w:val="24"/>
        </w:rPr>
        <w:t xml:space="preserve"> 苗木病虫害控制要求： </w:t>
      </w:r>
    </w:p>
    <w:p>
      <w:pPr>
        <w:widowControl/>
        <w:numPr>
          <w:ilvl w:val="0"/>
          <w:numId w:val="19"/>
        </w:numPr>
        <w:spacing w:after="156" w:line="360" w:lineRule="auto"/>
        <w:ind w:left="567" w:hanging="254"/>
        <w:jc w:val="left"/>
        <w:rPr>
          <w:rFonts w:ascii="宋体" w:hAnsi="宋体"/>
          <w:sz w:val="24"/>
        </w:rPr>
      </w:pPr>
      <w:r>
        <w:rPr>
          <w:rFonts w:hint="eastAsia" w:ascii="宋体" w:hAnsi="宋体"/>
          <w:sz w:val="24"/>
        </w:rPr>
        <w:t xml:space="preserve">不得带有国家及本市植物检疫名录规定的植物检疫对象。 </w:t>
      </w:r>
    </w:p>
    <w:p>
      <w:pPr>
        <w:widowControl/>
        <w:numPr>
          <w:ilvl w:val="0"/>
          <w:numId w:val="19"/>
        </w:numPr>
        <w:spacing w:after="156" w:line="360" w:lineRule="auto"/>
        <w:ind w:left="567" w:hanging="254"/>
        <w:jc w:val="left"/>
        <w:rPr>
          <w:rFonts w:ascii="宋体" w:hAnsi="宋体"/>
          <w:sz w:val="24"/>
        </w:rPr>
      </w:pPr>
      <w:r>
        <w:rPr>
          <w:rFonts w:hint="eastAsia" w:ascii="宋体" w:hAnsi="宋体"/>
          <w:sz w:val="24"/>
        </w:rPr>
        <w:t xml:space="preserve">不得带有蛀干害虫，苗木根部不得有腐烂、根瘤。 </w:t>
      </w:r>
    </w:p>
    <w:p>
      <w:pPr>
        <w:widowControl/>
        <w:numPr>
          <w:ilvl w:val="0"/>
          <w:numId w:val="20"/>
        </w:numPr>
        <w:spacing w:after="156" w:line="360" w:lineRule="auto"/>
        <w:ind w:left="567" w:hanging="254"/>
        <w:jc w:val="left"/>
        <w:rPr>
          <w:rFonts w:ascii="宋体" w:hAnsi="宋体"/>
          <w:sz w:val="24"/>
          <w:u w:val="single"/>
        </w:rPr>
      </w:pPr>
      <w:r>
        <w:rPr>
          <w:rFonts w:hint="eastAsia" w:ascii="宋体" w:hAnsi="宋体"/>
          <w:sz w:val="24"/>
        </w:rPr>
        <w:t xml:space="preserve">草坪、地被无斑秃和病害，无地下害虫。                                         </w:t>
      </w:r>
      <w:r>
        <w:rPr>
          <w:rFonts w:hint="eastAsia" w:ascii="宋体" w:hAnsi="宋体"/>
          <w:sz w:val="24"/>
          <w:u w:val="single"/>
        </w:rPr>
        <w:t xml:space="preserve">                                         </w:t>
      </w:r>
    </w:p>
    <w:p>
      <w:pPr>
        <w:spacing w:after="120" w:afterLines="50" w:line="300" w:lineRule="auto"/>
        <w:ind w:left="2" w:firstLine="480" w:firstLineChars="200"/>
        <w:rPr>
          <w:rFonts w:ascii="宋体" w:hAnsi="宋体" w:cs="Arial"/>
          <w:sz w:val="24"/>
        </w:rPr>
      </w:pPr>
      <w:r>
        <w:rPr>
          <w:rFonts w:hint="eastAsia" w:ascii="宋体" w:hAnsi="宋体" w:cs="Arial"/>
          <w:sz w:val="24"/>
        </w:rPr>
        <w:t>上述</w:t>
      </w:r>
      <w:r>
        <w:rPr>
          <w:rFonts w:ascii="宋体" w:hAnsi="宋体" w:cs="Arial"/>
          <w:sz w:val="24"/>
        </w:rPr>
        <w:t>材料</w:t>
      </w:r>
      <w:r>
        <w:rPr>
          <w:rFonts w:hint="eastAsia" w:ascii="宋体" w:hAnsi="宋体" w:cs="Arial"/>
          <w:sz w:val="24"/>
        </w:rPr>
        <w:t>和工程</w:t>
      </w:r>
      <w:r>
        <w:rPr>
          <w:rFonts w:ascii="宋体" w:hAnsi="宋体" w:cs="Arial"/>
          <w:sz w:val="24"/>
        </w:rPr>
        <w:t>设备</w:t>
      </w:r>
      <w:r>
        <w:rPr>
          <w:rFonts w:hint="eastAsia" w:ascii="宋体" w:hAnsi="宋体" w:cs="Arial"/>
          <w:sz w:val="24"/>
        </w:rPr>
        <w:t>技术要求中如果出现了</w:t>
      </w:r>
      <w:r>
        <w:rPr>
          <w:rFonts w:ascii="宋体" w:hAnsi="宋体" w:cs="Arial"/>
          <w:sz w:val="24"/>
        </w:rPr>
        <w:t>参考品牌</w:t>
      </w:r>
      <w:r>
        <w:rPr>
          <w:rFonts w:hint="eastAsia" w:ascii="宋体" w:hAnsi="宋体" w:cs="Arial"/>
          <w:sz w:val="24"/>
        </w:rPr>
        <w:t>或规格型号</w:t>
      </w:r>
      <w:r>
        <w:rPr>
          <w:rFonts w:ascii="宋体" w:hAnsi="宋体" w:cs="Arial"/>
          <w:sz w:val="24"/>
        </w:rPr>
        <w:t>，其目的是为了方便承包人直观和准确地把握</w:t>
      </w:r>
      <w:r>
        <w:rPr>
          <w:rFonts w:hint="eastAsia" w:ascii="宋体" w:hAnsi="宋体" w:cs="Arial"/>
          <w:sz w:val="24"/>
        </w:rPr>
        <w:t>相应</w:t>
      </w:r>
      <w:r>
        <w:rPr>
          <w:rFonts w:ascii="宋体" w:hAnsi="宋体" w:cs="Arial"/>
          <w:sz w:val="24"/>
        </w:rPr>
        <w:t>材料和工程设备的技术标准，不</w:t>
      </w:r>
      <w:r>
        <w:rPr>
          <w:rFonts w:hint="eastAsia" w:ascii="宋体" w:hAnsi="宋体" w:cs="Arial"/>
          <w:sz w:val="24"/>
        </w:rPr>
        <w:t>具</w:t>
      </w:r>
      <w:r>
        <w:rPr>
          <w:rFonts w:ascii="宋体" w:hAnsi="宋体" w:cs="Arial"/>
          <w:sz w:val="24"/>
        </w:rPr>
        <w:t>指定或唯一的意思表示，承包人应当参考所列品牌的材料和工程设备，采购相当于或高于所列品牌技术标准的材料</w:t>
      </w:r>
      <w:r>
        <w:rPr>
          <w:rFonts w:hint="eastAsia" w:ascii="宋体" w:hAnsi="宋体" w:cs="Arial"/>
          <w:sz w:val="24"/>
        </w:rPr>
        <w:t>和工程</w:t>
      </w:r>
      <w:r>
        <w:rPr>
          <w:rFonts w:ascii="宋体" w:hAnsi="宋体" w:cs="Arial"/>
          <w:sz w:val="24"/>
        </w:rPr>
        <w:t>设备。</w:t>
      </w:r>
    </w:p>
    <w:p>
      <w:pPr>
        <w:spacing w:after="120" w:afterLines="50" w:line="300" w:lineRule="auto"/>
        <w:rPr>
          <w:rFonts w:ascii="宋体" w:hAnsi="宋体" w:cs="Arial"/>
          <w:sz w:val="24"/>
        </w:rPr>
      </w:pPr>
      <w:r>
        <w:rPr>
          <w:rFonts w:hint="eastAsia" w:ascii="宋体" w:hAnsi="宋体" w:cs="Arial"/>
          <w:sz w:val="24"/>
        </w:rPr>
        <w:t>1.2   承包人自行施工范围内的材料和工程设备选型允许的偏离如下：</w:t>
      </w:r>
    </w:p>
    <w:tbl>
      <w:tblPr>
        <w:tblStyle w:val="49"/>
        <w:tblW w:w="8420" w:type="dxa"/>
        <w:tblInd w:w="108" w:type="dxa"/>
        <w:tblLayout w:type="autofit"/>
        <w:tblCellMar>
          <w:top w:w="0" w:type="dxa"/>
          <w:left w:w="108" w:type="dxa"/>
          <w:bottom w:w="0" w:type="dxa"/>
          <w:right w:w="108" w:type="dxa"/>
        </w:tblCellMar>
      </w:tblPr>
      <w:tblGrid>
        <w:gridCol w:w="884"/>
        <w:gridCol w:w="1884"/>
        <w:gridCol w:w="1884"/>
        <w:gridCol w:w="1884"/>
        <w:gridCol w:w="1884"/>
      </w:tblGrid>
      <w:tr>
        <w:tblPrEx>
          <w:tblCellMar>
            <w:top w:w="0" w:type="dxa"/>
            <w:left w:w="108" w:type="dxa"/>
            <w:bottom w:w="0" w:type="dxa"/>
            <w:right w:w="108" w:type="dxa"/>
          </w:tblCellMar>
        </w:tblPrEx>
        <w:tc>
          <w:tcPr>
            <w:tcW w:w="884" w:type="dxa"/>
            <w:tcBorders>
              <w:top w:val="single" w:color="auto" w:sz="6" w:space="0"/>
              <w:left w:val="single" w:color="auto" w:sz="6" w:space="0"/>
              <w:bottom w:val="single" w:color="auto" w:sz="6" w:space="0"/>
              <w:right w:val="single" w:color="auto" w:sz="6" w:space="0"/>
            </w:tcBorders>
            <w:vAlign w:val="center"/>
          </w:tcPr>
          <w:p>
            <w:pPr>
              <w:spacing w:after="120" w:afterLines="50" w:line="300" w:lineRule="auto"/>
              <w:jc w:val="center"/>
              <w:rPr>
                <w:rFonts w:ascii="宋体" w:hAnsi="宋体" w:cs="Arial"/>
                <w:b/>
              </w:rPr>
            </w:pPr>
            <w:r>
              <w:rPr>
                <w:rFonts w:hint="eastAsia" w:ascii="宋体" w:hAnsi="宋体" w:cs="Arial"/>
                <w:b/>
              </w:rPr>
              <w:t>序号</w:t>
            </w:r>
          </w:p>
        </w:tc>
        <w:tc>
          <w:tcPr>
            <w:tcW w:w="1884" w:type="dxa"/>
            <w:tcBorders>
              <w:top w:val="single" w:color="auto" w:sz="6" w:space="0"/>
              <w:left w:val="single" w:color="auto" w:sz="6" w:space="0"/>
              <w:bottom w:val="single" w:color="auto" w:sz="6" w:space="0"/>
              <w:right w:val="single" w:color="auto" w:sz="4" w:space="0"/>
            </w:tcBorders>
            <w:vAlign w:val="center"/>
          </w:tcPr>
          <w:p>
            <w:pPr>
              <w:spacing w:after="120" w:afterLines="50" w:line="300" w:lineRule="auto"/>
              <w:jc w:val="center"/>
              <w:rPr>
                <w:rFonts w:ascii="宋体" w:hAnsi="宋体" w:cs="Arial"/>
                <w:b/>
              </w:rPr>
            </w:pPr>
            <w:r>
              <w:rPr>
                <w:rFonts w:hint="eastAsia" w:ascii="宋体" w:hAnsi="宋体" w:cs="Arial"/>
                <w:b/>
              </w:rPr>
              <w:t>材料和工程设备</w:t>
            </w:r>
          </w:p>
          <w:p>
            <w:pPr>
              <w:spacing w:after="120" w:afterLines="50" w:line="300" w:lineRule="auto"/>
              <w:jc w:val="center"/>
              <w:rPr>
                <w:rFonts w:ascii="宋体" w:hAnsi="宋体" w:cs="Arial"/>
                <w:b/>
              </w:rPr>
            </w:pPr>
            <w:r>
              <w:rPr>
                <w:rFonts w:hint="eastAsia" w:ascii="宋体" w:hAnsi="宋体" w:cs="Arial"/>
                <w:b/>
              </w:rPr>
              <w:t>名称</w:t>
            </w:r>
          </w:p>
        </w:tc>
        <w:tc>
          <w:tcPr>
            <w:tcW w:w="1884" w:type="dxa"/>
            <w:tcBorders>
              <w:top w:val="single" w:color="auto" w:sz="6" w:space="0"/>
              <w:left w:val="single" w:color="auto" w:sz="6" w:space="0"/>
              <w:bottom w:val="single" w:color="auto" w:sz="6" w:space="0"/>
              <w:right w:val="single" w:color="auto" w:sz="4" w:space="0"/>
            </w:tcBorders>
            <w:vAlign w:val="center"/>
          </w:tcPr>
          <w:p>
            <w:pPr>
              <w:spacing w:after="120" w:afterLines="50" w:line="300" w:lineRule="auto"/>
              <w:jc w:val="center"/>
              <w:rPr>
                <w:rFonts w:ascii="宋体" w:hAnsi="宋体" w:cs="Arial"/>
                <w:b/>
              </w:rPr>
            </w:pPr>
            <w:r>
              <w:rPr>
                <w:rFonts w:hint="eastAsia" w:ascii="宋体" w:hAnsi="宋体" w:cs="Arial"/>
                <w:b/>
              </w:rPr>
              <w:t>技术指标</w:t>
            </w:r>
          </w:p>
        </w:tc>
        <w:tc>
          <w:tcPr>
            <w:tcW w:w="1884" w:type="dxa"/>
            <w:tcBorders>
              <w:top w:val="single" w:color="auto" w:sz="6" w:space="0"/>
              <w:left w:val="single" w:color="auto" w:sz="6" w:space="0"/>
              <w:bottom w:val="single" w:color="auto" w:sz="6" w:space="0"/>
              <w:right w:val="single" w:color="auto" w:sz="4" w:space="0"/>
            </w:tcBorders>
            <w:vAlign w:val="center"/>
          </w:tcPr>
          <w:p>
            <w:pPr>
              <w:spacing w:after="120" w:afterLines="50" w:line="300" w:lineRule="auto"/>
              <w:jc w:val="center"/>
              <w:rPr>
                <w:rFonts w:ascii="宋体" w:hAnsi="宋体" w:cs="Arial"/>
                <w:b/>
              </w:rPr>
            </w:pPr>
            <w:r>
              <w:rPr>
                <w:rFonts w:hint="eastAsia" w:ascii="宋体" w:hAnsi="宋体" w:cs="Arial"/>
                <w:b/>
              </w:rPr>
              <w:t>允许偏离范围</w:t>
            </w:r>
          </w:p>
        </w:tc>
        <w:tc>
          <w:tcPr>
            <w:tcW w:w="1884" w:type="dxa"/>
            <w:tcBorders>
              <w:top w:val="single" w:color="auto" w:sz="6" w:space="0"/>
              <w:left w:val="single" w:color="auto" w:sz="6" w:space="0"/>
              <w:bottom w:val="single" w:color="auto" w:sz="6" w:space="0"/>
              <w:right w:val="single" w:color="auto" w:sz="6" w:space="0"/>
            </w:tcBorders>
            <w:vAlign w:val="center"/>
          </w:tcPr>
          <w:p>
            <w:pPr>
              <w:spacing w:after="120" w:afterLines="50" w:line="300" w:lineRule="auto"/>
              <w:jc w:val="center"/>
              <w:rPr>
                <w:rFonts w:ascii="宋体" w:hAnsi="宋体" w:cs="Arial"/>
                <w:b/>
              </w:rPr>
            </w:pPr>
            <w:r>
              <w:rPr>
                <w:rFonts w:hint="eastAsia" w:ascii="宋体" w:hAnsi="宋体" w:cs="Arial"/>
                <w:b/>
              </w:rPr>
              <w:t>备  注</w:t>
            </w:r>
          </w:p>
        </w:tc>
      </w:tr>
      <w:tr>
        <w:tblPrEx>
          <w:tblCellMar>
            <w:top w:w="0" w:type="dxa"/>
            <w:left w:w="108" w:type="dxa"/>
            <w:bottom w:w="0" w:type="dxa"/>
            <w:right w:w="108" w:type="dxa"/>
          </w:tblCellMar>
        </w:tblPrEx>
        <w:tc>
          <w:tcPr>
            <w:tcW w:w="884" w:type="dxa"/>
            <w:tcBorders>
              <w:top w:val="single" w:color="auto" w:sz="6" w:space="0"/>
              <w:left w:val="single" w:color="auto" w:sz="6" w:space="0"/>
              <w:bottom w:val="single" w:color="auto" w:sz="6" w:space="0"/>
              <w:right w:val="single" w:color="auto" w:sz="6" w:space="0"/>
            </w:tcBorders>
          </w:tcPr>
          <w:p>
            <w:pPr>
              <w:spacing w:after="120" w:afterLines="50" w:line="300" w:lineRule="auto"/>
              <w:jc w:val="center"/>
              <w:rPr>
                <w:rFonts w:ascii="宋体" w:hAnsi="宋体" w:cs="Arial"/>
              </w:rPr>
            </w:pPr>
            <w:r>
              <w:rPr>
                <w:rFonts w:hint="eastAsia" w:ascii="宋体" w:hAnsi="宋体" w:cs="Arial"/>
              </w:rPr>
              <w:t>1</w:t>
            </w:r>
          </w:p>
        </w:tc>
        <w:tc>
          <w:tcPr>
            <w:tcW w:w="1884" w:type="dxa"/>
            <w:tcBorders>
              <w:top w:val="single" w:color="auto" w:sz="6" w:space="0"/>
              <w:left w:val="single" w:color="auto" w:sz="6" w:space="0"/>
              <w:bottom w:val="single" w:color="auto" w:sz="6" w:space="0"/>
              <w:right w:val="single" w:color="auto" w:sz="4" w:space="0"/>
            </w:tcBorders>
            <w:vAlign w:val="center"/>
          </w:tcPr>
          <w:p>
            <w:pPr>
              <w:spacing w:after="156"/>
              <w:rPr>
                <w:rFonts w:ascii="宋体" w:hAnsi="宋体" w:cs="Arial"/>
              </w:rPr>
            </w:pPr>
            <w:r>
              <w:rPr>
                <w:rFonts w:hint="eastAsia" w:ascii="宋体" w:hAnsi="宋体" w:cs="Arial"/>
              </w:rPr>
              <w:t>种植土</w:t>
            </w:r>
          </w:p>
        </w:tc>
        <w:tc>
          <w:tcPr>
            <w:tcW w:w="1884" w:type="dxa"/>
            <w:tcBorders>
              <w:top w:val="single" w:color="auto" w:sz="6" w:space="0"/>
              <w:left w:val="single" w:color="auto" w:sz="6" w:space="0"/>
              <w:bottom w:val="single" w:color="auto" w:sz="6" w:space="0"/>
              <w:right w:val="single" w:color="auto" w:sz="4" w:space="0"/>
            </w:tcBorders>
            <w:vAlign w:val="center"/>
          </w:tcPr>
          <w:p>
            <w:pPr>
              <w:spacing w:after="156"/>
              <w:rPr>
                <w:rFonts w:ascii="宋体" w:hAnsi="宋体" w:cs="Arial"/>
              </w:rPr>
            </w:pPr>
            <w:r>
              <w:rPr>
                <w:rFonts w:hint="eastAsia" w:ascii="宋体" w:hAnsi="宋体" w:cs="Arial"/>
              </w:rPr>
              <w:t>容重</w:t>
            </w:r>
          </w:p>
        </w:tc>
        <w:tc>
          <w:tcPr>
            <w:tcW w:w="1884" w:type="dxa"/>
            <w:tcBorders>
              <w:top w:val="single" w:color="auto" w:sz="6" w:space="0"/>
              <w:left w:val="single" w:color="auto" w:sz="6" w:space="0"/>
              <w:bottom w:val="single" w:color="auto" w:sz="6" w:space="0"/>
              <w:right w:val="single" w:color="auto" w:sz="4" w:space="0"/>
            </w:tcBorders>
            <w:vAlign w:val="center"/>
          </w:tcPr>
          <w:p>
            <w:pPr>
              <w:spacing w:after="156"/>
              <w:rPr>
                <w:rFonts w:ascii="宋体" w:hAnsi="宋体" w:cs="Arial"/>
              </w:rPr>
            </w:pPr>
            <w:r>
              <w:rPr>
                <w:rFonts w:hint="eastAsia" w:ascii="宋体" w:hAnsi="宋体" w:cs="Arial"/>
              </w:rPr>
              <w:t>≤1.35</w:t>
            </w:r>
            <w:r>
              <w:rPr>
                <w:rFonts w:hint="eastAsia" w:ascii="宋体" w:hAnsi="宋体"/>
              </w:rPr>
              <w:t xml:space="preserve"> </w:t>
            </w:r>
            <w:r>
              <w:rPr>
                <w:rFonts w:hint="eastAsia" w:ascii="宋体" w:hAnsi="宋体" w:cs="Arial"/>
              </w:rPr>
              <w:t>g/cm3</w:t>
            </w:r>
          </w:p>
        </w:tc>
        <w:tc>
          <w:tcPr>
            <w:tcW w:w="1884" w:type="dxa"/>
            <w:tcBorders>
              <w:top w:val="single" w:color="auto" w:sz="6" w:space="0"/>
              <w:left w:val="single" w:color="auto" w:sz="6" w:space="0"/>
              <w:bottom w:val="single" w:color="auto" w:sz="6" w:space="0"/>
              <w:right w:val="single" w:color="auto" w:sz="6" w:space="0"/>
            </w:tcBorders>
            <w:vAlign w:val="center"/>
          </w:tcPr>
          <w:p>
            <w:pPr>
              <w:spacing w:after="156"/>
              <w:rPr>
                <w:rFonts w:ascii="宋体" w:hAnsi="宋体" w:cs="Arial"/>
              </w:rPr>
            </w:pPr>
            <w:r>
              <w:rPr>
                <w:rFonts w:ascii="宋体" w:hAnsi="宋体" w:cs="Arial"/>
              </w:rPr>
              <w:t>DB11/T864</w:t>
            </w:r>
            <w:r>
              <w:rPr>
                <w:rFonts w:hint="eastAsia" w:ascii="宋体" w:hAnsi="宋体" w:cs="Arial"/>
              </w:rPr>
              <w:t>-</w:t>
            </w:r>
            <w:r>
              <w:rPr>
                <w:rFonts w:ascii="宋体" w:hAnsi="宋体" w:cs="Arial"/>
              </w:rPr>
              <w:t>2012</w:t>
            </w:r>
            <w:r>
              <w:rPr>
                <w:rFonts w:hint="eastAsia" w:ascii="宋体" w:hAnsi="宋体" w:cs="Arial"/>
              </w:rPr>
              <w:t>规定之三级园林绿化种植土壤</w:t>
            </w:r>
          </w:p>
        </w:tc>
      </w:tr>
      <w:tr>
        <w:tblPrEx>
          <w:tblCellMar>
            <w:top w:w="0" w:type="dxa"/>
            <w:left w:w="108" w:type="dxa"/>
            <w:bottom w:w="0" w:type="dxa"/>
            <w:right w:w="108" w:type="dxa"/>
          </w:tblCellMar>
        </w:tblPrEx>
        <w:tc>
          <w:tcPr>
            <w:tcW w:w="884" w:type="dxa"/>
            <w:tcBorders>
              <w:top w:val="single" w:color="auto" w:sz="6" w:space="0"/>
              <w:left w:val="single" w:color="auto" w:sz="6" w:space="0"/>
              <w:bottom w:val="single" w:color="auto" w:sz="6" w:space="0"/>
              <w:right w:val="single" w:color="auto" w:sz="6" w:space="0"/>
            </w:tcBorders>
          </w:tcPr>
          <w:p>
            <w:pPr>
              <w:spacing w:after="120" w:afterLines="50" w:line="300" w:lineRule="auto"/>
              <w:jc w:val="center"/>
              <w:rPr>
                <w:rFonts w:ascii="宋体" w:hAnsi="宋体" w:cs="Arial"/>
              </w:rPr>
            </w:pPr>
            <w:r>
              <w:rPr>
                <w:rFonts w:hint="eastAsia" w:ascii="宋体" w:hAnsi="宋体" w:cs="Arial"/>
              </w:rPr>
              <w:t>2</w:t>
            </w:r>
          </w:p>
        </w:tc>
        <w:tc>
          <w:tcPr>
            <w:tcW w:w="1884" w:type="dxa"/>
            <w:tcBorders>
              <w:top w:val="single" w:color="auto" w:sz="6" w:space="0"/>
              <w:left w:val="single" w:color="auto" w:sz="6" w:space="0"/>
              <w:bottom w:val="single" w:color="auto" w:sz="6" w:space="0"/>
              <w:right w:val="single" w:color="auto" w:sz="4" w:space="0"/>
            </w:tcBorders>
            <w:vAlign w:val="center"/>
          </w:tcPr>
          <w:p>
            <w:pPr>
              <w:spacing w:after="156"/>
              <w:rPr>
                <w:rFonts w:ascii="宋体" w:hAnsi="宋体" w:cs="Arial"/>
              </w:rPr>
            </w:pPr>
            <w:r>
              <w:rPr>
                <w:rFonts w:hint="eastAsia" w:ascii="宋体" w:hAnsi="宋体" w:cs="Arial"/>
              </w:rPr>
              <w:t>种植土</w:t>
            </w:r>
          </w:p>
        </w:tc>
        <w:tc>
          <w:tcPr>
            <w:tcW w:w="1884" w:type="dxa"/>
            <w:tcBorders>
              <w:top w:val="single" w:color="auto" w:sz="6" w:space="0"/>
              <w:left w:val="single" w:color="auto" w:sz="6" w:space="0"/>
              <w:bottom w:val="single" w:color="auto" w:sz="6" w:space="0"/>
              <w:right w:val="single" w:color="auto" w:sz="4" w:space="0"/>
            </w:tcBorders>
            <w:vAlign w:val="center"/>
          </w:tcPr>
          <w:p>
            <w:pPr>
              <w:spacing w:after="156"/>
              <w:rPr>
                <w:rFonts w:ascii="宋体" w:hAnsi="宋体" w:cs="Arial"/>
              </w:rPr>
            </w:pPr>
            <w:r>
              <w:rPr>
                <w:rFonts w:hint="eastAsia" w:ascii="宋体" w:hAnsi="宋体" w:cs="Arial"/>
              </w:rPr>
              <w:t>含盐量</w:t>
            </w:r>
          </w:p>
        </w:tc>
        <w:tc>
          <w:tcPr>
            <w:tcW w:w="1884" w:type="dxa"/>
            <w:tcBorders>
              <w:top w:val="single" w:color="auto" w:sz="6" w:space="0"/>
              <w:left w:val="single" w:color="auto" w:sz="6" w:space="0"/>
              <w:bottom w:val="single" w:color="auto" w:sz="6" w:space="0"/>
              <w:right w:val="single" w:color="auto" w:sz="4" w:space="0"/>
            </w:tcBorders>
            <w:vAlign w:val="center"/>
          </w:tcPr>
          <w:p>
            <w:pPr>
              <w:spacing w:after="156"/>
              <w:rPr>
                <w:rFonts w:ascii="宋体" w:hAnsi="宋体" w:cs="Arial"/>
              </w:rPr>
            </w:pPr>
            <w:r>
              <w:rPr>
                <w:rFonts w:hint="eastAsia" w:ascii="宋体" w:hAnsi="宋体" w:cs="Arial"/>
              </w:rPr>
              <w:t>≤0.12%</w:t>
            </w:r>
          </w:p>
        </w:tc>
        <w:tc>
          <w:tcPr>
            <w:tcW w:w="1884" w:type="dxa"/>
            <w:tcBorders>
              <w:top w:val="single" w:color="auto" w:sz="6" w:space="0"/>
              <w:left w:val="single" w:color="auto" w:sz="6" w:space="0"/>
              <w:bottom w:val="single" w:color="auto" w:sz="6" w:space="0"/>
              <w:right w:val="single" w:color="auto" w:sz="6" w:space="0"/>
            </w:tcBorders>
            <w:vAlign w:val="center"/>
          </w:tcPr>
          <w:p>
            <w:pPr>
              <w:spacing w:after="156"/>
              <w:rPr>
                <w:rFonts w:ascii="宋体" w:hAnsi="宋体" w:cs="Arial"/>
              </w:rPr>
            </w:pPr>
            <w:r>
              <w:rPr>
                <w:rFonts w:ascii="宋体" w:hAnsi="宋体" w:cs="Arial"/>
              </w:rPr>
              <w:t>DB11/T864</w:t>
            </w:r>
            <w:r>
              <w:rPr>
                <w:rFonts w:hint="eastAsia" w:ascii="宋体" w:hAnsi="宋体" w:cs="Arial"/>
              </w:rPr>
              <w:t>-</w:t>
            </w:r>
            <w:r>
              <w:rPr>
                <w:rFonts w:ascii="宋体" w:hAnsi="宋体" w:cs="Arial"/>
              </w:rPr>
              <w:t>2012</w:t>
            </w:r>
            <w:r>
              <w:rPr>
                <w:rFonts w:hint="eastAsia" w:ascii="宋体" w:hAnsi="宋体" w:cs="Arial"/>
              </w:rPr>
              <w:t>规定</w:t>
            </w:r>
          </w:p>
        </w:tc>
      </w:tr>
      <w:tr>
        <w:tc>
          <w:tcPr>
            <w:tcW w:w="884" w:type="dxa"/>
            <w:tcBorders>
              <w:top w:val="single" w:color="auto" w:sz="6" w:space="0"/>
              <w:left w:val="single" w:color="auto" w:sz="6" w:space="0"/>
              <w:bottom w:val="single" w:color="auto" w:sz="6" w:space="0"/>
              <w:right w:val="single" w:color="auto" w:sz="6" w:space="0"/>
            </w:tcBorders>
          </w:tcPr>
          <w:p>
            <w:pPr>
              <w:spacing w:after="120" w:afterLines="50" w:line="300" w:lineRule="auto"/>
              <w:rPr>
                <w:rFonts w:ascii="宋体" w:hAnsi="宋体" w:cs="Arial"/>
              </w:rPr>
            </w:pPr>
            <w:r>
              <w:rPr>
                <w:rFonts w:ascii="宋体" w:hAnsi="宋体" w:cs="Arial"/>
              </w:rPr>
              <w:t>……</w:t>
            </w:r>
          </w:p>
        </w:tc>
        <w:tc>
          <w:tcPr>
            <w:tcW w:w="1884" w:type="dxa"/>
            <w:tcBorders>
              <w:top w:val="single" w:color="auto" w:sz="6" w:space="0"/>
              <w:left w:val="single" w:color="auto" w:sz="6" w:space="0"/>
              <w:bottom w:val="single" w:color="auto" w:sz="6" w:space="0"/>
              <w:right w:val="single" w:color="auto" w:sz="4" w:space="0"/>
            </w:tcBorders>
          </w:tcPr>
          <w:p>
            <w:pPr>
              <w:spacing w:after="120" w:afterLines="50" w:line="300" w:lineRule="auto"/>
              <w:rPr>
                <w:rFonts w:ascii="宋体" w:hAnsi="宋体" w:cs="Arial"/>
              </w:rPr>
            </w:pPr>
          </w:p>
        </w:tc>
        <w:tc>
          <w:tcPr>
            <w:tcW w:w="1884" w:type="dxa"/>
            <w:tcBorders>
              <w:top w:val="single" w:color="auto" w:sz="6" w:space="0"/>
              <w:left w:val="single" w:color="auto" w:sz="6" w:space="0"/>
              <w:bottom w:val="single" w:color="auto" w:sz="6" w:space="0"/>
              <w:right w:val="single" w:color="auto" w:sz="4" w:space="0"/>
            </w:tcBorders>
          </w:tcPr>
          <w:p>
            <w:pPr>
              <w:spacing w:after="120" w:afterLines="50" w:line="300" w:lineRule="auto"/>
              <w:rPr>
                <w:rFonts w:ascii="宋体" w:hAnsi="宋体" w:cs="Arial"/>
              </w:rPr>
            </w:pPr>
          </w:p>
        </w:tc>
        <w:tc>
          <w:tcPr>
            <w:tcW w:w="1884" w:type="dxa"/>
            <w:tcBorders>
              <w:top w:val="single" w:color="auto" w:sz="6" w:space="0"/>
              <w:left w:val="single" w:color="auto" w:sz="6" w:space="0"/>
              <w:bottom w:val="single" w:color="auto" w:sz="6" w:space="0"/>
              <w:right w:val="single" w:color="auto" w:sz="4" w:space="0"/>
            </w:tcBorders>
          </w:tcPr>
          <w:p>
            <w:pPr>
              <w:spacing w:after="120" w:afterLines="50" w:line="300" w:lineRule="auto"/>
              <w:rPr>
                <w:rFonts w:ascii="宋体" w:hAnsi="宋体" w:cs="Arial"/>
              </w:rPr>
            </w:pPr>
          </w:p>
        </w:tc>
        <w:tc>
          <w:tcPr>
            <w:tcW w:w="1884" w:type="dxa"/>
            <w:tcBorders>
              <w:top w:val="single" w:color="auto" w:sz="6" w:space="0"/>
              <w:left w:val="single" w:color="auto" w:sz="6" w:space="0"/>
              <w:bottom w:val="single" w:color="auto" w:sz="6" w:space="0"/>
              <w:right w:val="single" w:color="auto" w:sz="6" w:space="0"/>
            </w:tcBorders>
          </w:tcPr>
          <w:p>
            <w:pPr>
              <w:spacing w:after="120" w:afterLines="50" w:line="300" w:lineRule="auto"/>
              <w:rPr>
                <w:rFonts w:ascii="宋体" w:hAnsi="宋体" w:cs="Arial"/>
              </w:rPr>
            </w:pPr>
          </w:p>
        </w:tc>
      </w:tr>
      <w:tr>
        <w:tblPrEx>
          <w:tblCellMar>
            <w:top w:w="0" w:type="dxa"/>
            <w:left w:w="108" w:type="dxa"/>
            <w:bottom w:w="0" w:type="dxa"/>
            <w:right w:w="108" w:type="dxa"/>
          </w:tblCellMar>
        </w:tblPrEx>
        <w:tc>
          <w:tcPr>
            <w:tcW w:w="884" w:type="dxa"/>
            <w:tcBorders>
              <w:top w:val="single" w:color="auto" w:sz="6" w:space="0"/>
              <w:left w:val="single" w:color="auto" w:sz="6" w:space="0"/>
              <w:bottom w:val="single" w:color="auto" w:sz="6" w:space="0"/>
              <w:right w:val="single" w:color="auto" w:sz="6" w:space="0"/>
            </w:tcBorders>
          </w:tcPr>
          <w:p>
            <w:pPr>
              <w:spacing w:after="120" w:afterLines="50" w:line="300" w:lineRule="auto"/>
              <w:rPr>
                <w:rFonts w:ascii="宋体" w:hAnsi="宋体" w:cs="Arial"/>
              </w:rPr>
            </w:pPr>
          </w:p>
        </w:tc>
        <w:tc>
          <w:tcPr>
            <w:tcW w:w="1884" w:type="dxa"/>
            <w:tcBorders>
              <w:top w:val="single" w:color="auto" w:sz="6" w:space="0"/>
              <w:left w:val="single" w:color="auto" w:sz="6" w:space="0"/>
              <w:bottom w:val="single" w:color="auto" w:sz="6" w:space="0"/>
              <w:right w:val="single" w:color="auto" w:sz="4" w:space="0"/>
            </w:tcBorders>
          </w:tcPr>
          <w:p>
            <w:pPr>
              <w:spacing w:after="120" w:afterLines="50" w:line="300" w:lineRule="auto"/>
              <w:rPr>
                <w:rFonts w:ascii="宋体" w:hAnsi="宋体" w:cs="Arial"/>
              </w:rPr>
            </w:pPr>
          </w:p>
        </w:tc>
        <w:tc>
          <w:tcPr>
            <w:tcW w:w="1884" w:type="dxa"/>
            <w:tcBorders>
              <w:top w:val="single" w:color="auto" w:sz="6" w:space="0"/>
              <w:left w:val="single" w:color="auto" w:sz="6" w:space="0"/>
              <w:bottom w:val="single" w:color="auto" w:sz="6" w:space="0"/>
              <w:right w:val="single" w:color="auto" w:sz="4" w:space="0"/>
            </w:tcBorders>
          </w:tcPr>
          <w:p>
            <w:pPr>
              <w:spacing w:after="120" w:afterLines="50" w:line="300" w:lineRule="auto"/>
              <w:rPr>
                <w:rFonts w:ascii="宋体" w:hAnsi="宋体" w:cs="Arial"/>
              </w:rPr>
            </w:pPr>
          </w:p>
        </w:tc>
        <w:tc>
          <w:tcPr>
            <w:tcW w:w="1884" w:type="dxa"/>
            <w:tcBorders>
              <w:top w:val="single" w:color="auto" w:sz="6" w:space="0"/>
              <w:left w:val="single" w:color="auto" w:sz="6" w:space="0"/>
              <w:bottom w:val="single" w:color="auto" w:sz="6" w:space="0"/>
              <w:right w:val="single" w:color="auto" w:sz="4" w:space="0"/>
            </w:tcBorders>
          </w:tcPr>
          <w:p>
            <w:pPr>
              <w:spacing w:after="120" w:afterLines="50" w:line="300" w:lineRule="auto"/>
              <w:rPr>
                <w:rFonts w:ascii="宋体" w:hAnsi="宋体" w:cs="Arial"/>
              </w:rPr>
            </w:pPr>
          </w:p>
        </w:tc>
        <w:tc>
          <w:tcPr>
            <w:tcW w:w="1884" w:type="dxa"/>
            <w:tcBorders>
              <w:top w:val="single" w:color="auto" w:sz="6" w:space="0"/>
              <w:left w:val="single" w:color="auto" w:sz="6" w:space="0"/>
              <w:bottom w:val="single" w:color="auto" w:sz="6" w:space="0"/>
              <w:right w:val="single" w:color="auto" w:sz="6" w:space="0"/>
            </w:tcBorders>
          </w:tcPr>
          <w:p>
            <w:pPr>
              <w:spacing w:after="120" w:afterLines="50" w:line="300" w:lineRule="auto"/>
              <w:rPr>
                <w:rFonts w:ascii="宋体" w:hAnsi="宋体" w:cs="Arial"/>
              </w:rPr>
            </w:pPr>
          </w:p>
        </w:tc>
      </w:tr>
    </w:tbl>
    <w:p>
      <w:pPr>
        <w:spacing w:after="120" w:afterLines="50" w:line="300" w:lineRule="auto"/>
        <w:ind w:firstLine="480" w:firstLineChars="200"/>
        <w:rPr>
          <w:rFonts w:ascii="宋体" w:hAnsi="宋体" w:cs="Arial"/>
          <w:sz w:val="24"/>
        </w:rPr>
      </w:pPr>
      <w:r>
        <w:rPr>
          <w:rFonts w:hint="eastAsia" w:ascii="宋体" w:hAnsi="宋体" w:cs="Arial"/>
          <w:sz w:val="24"/>
        </w:rPr>
        <w:t>上表中未列出的苗木，设计也未明确要求时，其允许偏差须符合DB11/T 211的有关要求。</w:t>
      </w:r>
    </w:p>
    <w:p>
      <w:pPr>
        <w:spacing w:after="120" w:afterLines="50" w:line="300" w:lineRule="auto"/>
        <w:rPr>
          <w:rFonts w:ascii="宋体" w:hAnsi="宋体" w:cs="Arial"/>
          <w:sz w:val="24"/>
        </w:rPr>
      </w:pPr>
      <w:r>
        <w:rPr>
          <w:rFonts w:hint="eastAsia" w:ascii="宋体" w:hAnsi="宋体" w:cs="Arial"/>
          <w:sz w:val="24"/>
        </w:rPr>
        <w:t>1</w:t>
      </w:r>
      <w:r>
        <w:rPr>
          <w:rFonts w:ascii="宋体" w:hAnsi="宋体" w:cs="Arial"/>
          <w:sz w:val="24"/>
        </w:rPr>
        <w:t>.</w:t>
      </w:r>
      <w:r>
        <w:rPr>
          <w:rFonts w:hint="eastAsia" w:ascii="宋体" w:hAnsi="宋体" w:cs="Arial"/>
          <w:sz w:val="24"/>
        </w:rPr>
        <w:t xml:space="preserve">3   </w:t>
      </w:r>
      <w:r>
        <w:rPr>
          <w:rFonts w:ascii="宋体" w:hAnsi="宋体" w:cs="Arial"/>
          <w:sz w:val="24"/>
        </w:rPr>
        <w:t>本工程施工现场所用</w:t>
      </w:r>
      <w:r>
        <w:rPr>
          <w:rFonts w:hint="eastAsia" w:ascii="宋体" w:hAnsi="宋体" w:cs="Arial"/>
          <w:sz w:val="24"/>
        </w:rPr>
        <w:t>混凝土</w:t>
      </w:r>
      <w:r>
        <w:rPr>
          <w:rFonts w:ascii="宋体" w:hAnsi="宋体" w:cs="Arial"/>
          <w:sz w:val="24"/>
        </w:rPr>
        <w:t>或砂浆的供应方式</w:t>
      </w:r>
      <w:r>
        <w:rPr>
          <w:rFonts w:hint="eastAsia" w:ascii="宋体" w:hAnsi="宋体" w:cs="Arial"/>
          <w:sz w:val="24"/>
        </w:rPr>
        <w:t>为</w:t>
      </w:r>
      <w:r>
        <w:rPr>
          <w:rFonts w:hint="eastAsia" w:ascii="宋体" w:hAnsi="宋体" w:cs="Arial"/>
          <w:sz w:val="24"/>
          <w:u w:val="single"/>
        </w:rPr>
        <w:t xml:space="preserve">                </w:t>
      </w:r>
      <w:r>
        <w:rPr>
          <w:rFonts w:ascii="宋体" w:hAnsi="宋体" w:cs="Arial"/>
          <w:sz w:val="24"/>
        </w:rPr>
        <w:t>。</w:t>
      </w:r>
    </w:p>
    <w:p>
      <w:pPr>
        <w:keepNext/>
        <w:keepLines/>
        <w:spacing w:before="260" w:after="156" w:line="416" w:lineRule="auto"/>
        <w:outlineLvl w:val="2"/>
        <w:rPr>
          <w:rFonts w:ascii="宋体" w:hAnsi="宋体" w:cs="Arial"/>
          <w:b/>
          <w:bCs/>
          <w:sz w:val="24"/>
        </w:rPr>
      </w:pPr>
      <w:bookmarkStart w:id="1435" w:name="_Toc362253031"/>
      <w:bookmarkStart w:id="1436" w:name="_Toc241459808"/>
      <w:bookmarkStart w:id="1437" w:name="_Toc342296565"/>
      <w:r>
        <w:rPr>
          <w:rFonts w:hint="eastAsia" w:ascii="宋体" w:hAnsi="宋体" w:cs="Arial"/>
          <w:b/>
          <w:bCs/>
          <w:sz w:val="24"/>
        </w:rPr>
        <w:t xml:space="preserve">2. </w:t>
      </w:r>
      <w:r>
        <w:rPr>
          <w:rFonts w:ascii="宋体" w:hAnsi="宋体" w:cs="Arial"/>
          <w:b/>
          <w:bCs/>
          <w:sz w:val="24"/>
        </w:rPr>
        <w:t>特殊技术要求</w:t>
      </w:r>
      <w:bookmarkEnd w:id="1435"/>
      <w:bookmarkEnd w:id="1436"/>
      <w:bookmarkEnd w:id="1437"/>
    </w:p>
    <w:p>
      <w:pPr>
        <w:spacing w:after="120" w:afterLines="50" w:line="300" w:lineRule="auto"/>
        <w:ind w:firstLine="360" w:firstLineChars="150"/>
        <w:rPr>
          <w:rFonts w:ascii="宋体" w:hAnsi="宋体" w:cs="Arial"/>
          <w:sz w:val="24"/>
        </w:rPr>
      </w:pPr>
      <w:r>
        <w:rPr>
          <w:rFonts w:ascii="宋体" w:hAnsi="宋体" w:cs="Arial"/>
          <w:sz w:val="24"/>
        </w:rPr>
        <w:t xml:space="preserve"> </w:t>
      </w:r>
      <w:r>
        <w:rPr>
          <w:rFonts w:hint="eastAsia" w:ascii="宋体" w:hAnsi="宋体" w:cs="Arial"/>
          <w:sz w:val="24"/>
        </w:rPr>
        <w:t xml:space="preserve"> </w:t>
      </w:r>
      <w:r>
        <w:rPr>
          <w:rFonts w:ascii="宋体" w:hAnsi="宋体" w:cs="Arial"/>
          <w:sz w:val="24"/>
        </w:rPr>
        <w:t>除合同约定的技术要求外，本工程的特殊技术要求</w:t>
      </w:r>
      <w:r>
        <w:rPr>
          <w:rFonts w:hint="eastAsia" w:ascii="宋体" w:hAnsi="宋体" w:cs="Arial"/>
          <w:sz w:val="24"/>
        </w:rPr>
        <w:t>如下：</w:t>
      </w:r>
    </w:p>
    <w:p>
      <w:pPr>
        <w:spacing w:after="120" w:afterLines="50" w:line="300" w:lineRule="auto"/>
        <w:rPr>
          <w:rFonts w:ascii="宋体" w:hAnsi="宋体"/>
          <w:sz w:val="24"/>
          <w:u w:val="single"/>
        </w:rPr>
      </w:pPr>
      <w:r>
        <w:rPr>
          <w:rFonts w:hint="eastAsia" w:ascii="宋体" w:hAnsi="宋体"/>
          <w:sz w:val="24"/>
          <w:u w:val="single"/>
        </w:rPr>
        <w:t xml:space="preserve">                                                                      </w:t>
      </w:r>
      <w:r>
        <w:rPr>
          <w:rFonts w:hint="eastAsia" w:ascii="宋体" w:hAnsi="宋体"/>
          <w:sz w:val="24"/>
        </w:rPr>
        <w:t>。</w:t>
      </w:r>
    </w:p>
    <w:p>
      <w:pPr>
        <w:keepNext/>
        <w:keepLines/>
        <w:spacing w:before="260" w:after="156" w:line="416" w:lineRule="auto"/>
        <w:outlineLvl w:val="2"/>
        <w:rPr>
          <w:rFonts w:ascii="宋体" w:hAnsi="宋体" w:cs="Arial"/>
          <w:b/>
          <w:bCs/>
          <w:sz w:val="24"/>
        </w:rPr>
      </w:pPr>
      <w:bookmarkStart w:id="1438" w:name="_Toc241459809"/>
      <w:bookmarkStart w:id="1439" w:name="_Toc342296566"/>
      <w:bookmarkStart w:id="1440" w:name="_Toc362253032"/>
      <w:r>
        <w:rPr>
          <w:rFonts w:hint="eastAsia" w:ascii="宋体" w:hAnsi="宋体" w:cs="Arial"/>
          <w:b/>
          <w:bCs/>
          <w:sz w:val="24"/>
        </w:rPr>
        <w:t xml:space="preserve">3. </w:t>
      </w:r>
      <w:r>
        <w:rPr>
          <w:rFonts w:ascii="宋体" w:hAnsi="宋体" w:cs="Arial"/>
          <w:b/>
          <w:bCs/>
          <w:sz w:val="24"/>
        </w:rPr>
        <w:t>新技术、新工艺和新材料</w:t>
      </w:r>
      <w:bookmarkEnd w:id="1438"/>
      <w:bookmarkEnd w:id="1439"/>
      <w:bookmarkEnd w:id="1440"/>
    </w:p>
    <w:p>
      <w:pPr>
        <w:spacing w:after="120" w:afterLines="50" w:line="300" w:lineRule="auto"/>
        <w:ind w:left="420" w:leftChars="200"/>
        <w:rPr>
          <w:rFonts w:ascii="宋体" w:hAnsi="宋体" w:cs="Arial"/>
          <w:sz w:val="24"/>
        </w:rPr>
      </w:pPr>
      <w:r>
        <w:rPr>
          <w:rFonts w:hint="eastAsia" w:ascii="宋体" w:hAnsi="宋体" w:cs="Arial"/>
          <w:sz w:val="24"/>
        </w:rPr>
        <w:t xml:space="preserve"> 本工程涉及的</w:t>
      </w:r>
      <w:r>
        <w:rPr>
          <w:rFonts w:ascii="宋体" w:hAnsi="宋体" w:cs="Arial"/>
          <w:sz w:val="24"/>
        </w:rPr>
        <w:t>新技术、新工艺和新材料</w:t>
      </w:r>
      <w:r>
        <w:rPr>
          <w:rFonts w:hint="eastAsia" w:ascii="宋体" w:hAnsi="宋体" w:cs="Arial"/>
          <w:sz w:val="24"/>
        </w:rPr>
        <w:t>及</w:t>
      </w:r>
      <w:r>
        <w:rPr>
          <w:rFonts w:ascii="宋体" w:hAnsi="宋体" w:cs="Arial"/>
          <w:sz w:val="24"/>
        </w:rPr>
        <w:t>相应使用</w:t>
      </w:r>
      <w:r>
        <w:rPr>
          <w:rFonts w:hint="eastAsia" w:ascii="宋体" w:hAnsi="宋体" w:cs="Arial"/>
          <w:sz w:val="24"/>
        </w:rPr>
        <w:t>和操作</w:t>
      </w:r>
      <w:r>
        <w:rPr>
          <w:rFonts w:ascii="宋体" w:hAnsi="宋体" w:cs="Arial"/>
          <w:sz w:val="24"/>
        </w:rPr>
        <w:t>说明</w:t>
      </w:r>
      <w:r>
        <w:rPr>
          <w:rFonts w:hint="eastAsia" w:ascii="宋体" w:hAnsi="宋体" w:cs="Arial"/>
          <w:sz w:val="24"/>
        </w:rPr>
        <w:t>如下：</w:t>
      </w:r>
    </w:p>
    <w:p>
      <w:pPr>
        <w:spacing w:after="120" w:afterLines="50" w:line="300" w:lineRule="auto"/>
        <w:rPr>
          <w:rFonts w:ascii="宋体" w:hAnsi="宋体"/>
          <w:sz w:val="24"/>
          <w:u w:val="single"/>
        </w:rPr>
      </w:pPr>
      <w:r>
        <w:rPr>
          <w:rFonts w:hint="eastAsia" w:ascii="宋体" w:hAnsi="宋体"/>
          <w:sz w:val="24"/>
          <w:u w:val="single"/>
        </w:rPr>
        <w:t xml:space="preserve">                                                                      </w:t>
      </w:r>
      <w:r>
        <w:rPr>
          <w:rFonts w:hint="eastAsia" w:ascii="宋体" w:hAnsi="宋体"/>
          <w:sz w:val="24"/>
        </w:rPr>
        <w:t>。</w:t>
      </w:r>
    </w:p>
    <w:p>
      <w:pPr>
        <w:keepNext/>
        <w:keepLines/>
        <w:spacing w:before="260" w:after="156" w:line="416" w:lineRule="auto"/>
        <w:outlineLvl w:val="2"/>
        <w:rPr>
          <w:rFonts w:ascii="宋体" w:hAnsi="宋体" w:cs="Arial"/>
          <w:b/>
          <w:bCs/>
          <w:sz w:val="24"/>
        </w:rPr>
      </w:pPr>
      <w:bookmarkStart w:id="1441" w:name="_Toc342296567"/>
      <w:bookmarkStart w:id="1442" w:name="_Toc241459810"/>
      <w:bookmarkStart w:id="1443" w:name="_Toc362253033"/>
      <w:r>
        <w:rPr>
          <w:rFonts w:hint="eastAsia" w:ascii="宋体" w:hAnsi="宋体" w:cs="Arial"/>
          <w:b/>
          <w:bCs/>
          <w:sz w:val="24"/>
        </w:rPr>
        <w:t>4. 其他特殊技术标准和要求</w:t>
      </w:r>
      <w:bookmarkEnd w:id="1441"/>
      <w:bookmarkEnd w:id="1442"/>
      <w:bookmarkEnd w:id="1443"/>
      <w:bookmarkStart w:id="1444" w:name="_Toc362253034"/>
      <w:bookmarkStart w:id="1445" w:name="_Toc241459811"/>
      <w:bookmarkStart w:id="1446" w:name="_Toc342296568"/>
      <w:bookmarkStart w:id="1447" w:name="_Toc403059871"/>
      <w:bookmarkStart w:id="1448" w:name="_Toc403052929"/>
    </w:p>
    <w:p>
      <w:pPr>
        <w:keepNext/>
        <w:keepLines/>
        <w:spacing w:before="260" w:after="156" w:line="416" w:lineRule="auto"/>
        <w:jc w:val="center"/>
        <w:outlineLvl w:val="1"/>
        <w:rPr>
          <w:rFonts w:ascii="宋体" w:hAnsi="宋体" w:cs="Arial"/>
          <w:b/>
          <w:bCs/>
          <w:sz w:val="24"/>
          <w:szCs w:val="32"/>
        </w:rPr>
      </w:pPr>
      <w:r>
        <w:rPr>
          <w:rFonts w:hint="eastAsia" w:ascii="宋体" w:hAnsi="宋体" w:cs="Arial"/>
          <w:b/>
          <w:bCs/>
          <w:sz w:val="24"/>
          <w:szCs w:val="32"/>
        </w:rPr>
        <w:t>第三节 适用的国家、行业以及地方规范、标准和规程</w:t>
      </w:r>
      <w:bookmarkEnd w:id="1444"/>
      <w:bookmarkEnd w:id="1445"/>
      <w:bookmarkEnd w:id="1446"/>
      <w:bookmarkEnd w:id="1447"/>
      <w:bookmarkEnd w:id="1448"/>
    </w:p>
    <w:p>
      <w:pPr>
        <w:spacing w:after="156" w:line="400" w:lineRule="exact"/>
        <w:rPr>
          <w:rFonts w:ascii="宋体" w:hAnsi="宋体"/>
          <w:sz w:val="24"/>
        </w:rPr>
      </w:pPr>
      <w:r>
        <w:rPr>
          <w:rFonts w:hint="eastAsia" w:ascii="宋体" w:hAnsi="宋体"/>
          <w:sz w:val="24"/>
        </w:rPr>
        <w:t>说明：本节内容只需列出规范、标准、规程等的名称、编号等内容。本节由招标人根据国家、行业和地方现行标准、规范和规程等，以及工程具体情况摘录。</w:t>
      </w:r>
    </w:p>
    <w:tbl>
      <w:tblPr>
        <w:tblStyle w:val="49"/>
        <w:tblW w:w="8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315" w:type="dxa"/>
          </w:tcPr>
          <w:p>
            <w:pPr>
              <w:spacing w:after="156"/>
              <w:jc w:val="center"/>
              <w:rPr>
                <w:b/>
              </w:rPr>
            </w:pPr>
            <w:bookmarkStart w:id="1449" w:name="_Toc455410458"/>
            <w:bookmarkStart w:id="1450" w:name="_Toc403059872"/>
            <w:bookmarkStart w:id="1451" w:name="_Toc342296569"/>
            <w:bookmarkStart w:id="1452" w:name="_Toc455410295"/>
            <w:bookmarkStart w:id="1453" w:name="_Toc470011348"/>
            <w:bookmarkStart w:id="1454" w:name="_Toc403052930"/>
            <w:bookmarkStart w:id="1455" w:name="_Toc362253035"/>
            <w:r>
              <w:rPr>
                <w:rFonts w:hint="eastAsia"/>
                <w:b/>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建设工程工程量清单计价规范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园林绿化工程工程量计算规范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建设工程施工现场供用电安全规范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建设工程监理规范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建设工程施工现场供用电安全规范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建设工程施工项目管理规范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建设项目工程总承包管理规范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建设工程项目管理规范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建设工程文件归档整理规范 附条文说明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工程建设施工企业质量管理规范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建设工程施工现场消防安全技术规范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最新建筑消防技术标准规范与建筑防火安全技术操作规程及消防安全强制性条文(2006)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砌体结构工程施工质量验收规范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混凝土结构工程施工质量验收规范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城市污水再生利用 景观环境用水水质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地下工程防水技术规范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建筑工程施工质量验收统一标准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地下防水工程质量验收规范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屋面工程技术规范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屋面工程质量验收规范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建筑地基基础工程施工质量验收规范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建筑地面工程施工质量验收规范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混凝土结构工程施工质量验收规范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建筑给水排水及采暖工程施工质量验收规范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砌体结构工程施工规范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钢结构工程施工质量验收规范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水泥混凝土路面施工及验收规范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天然花岗石建筑板材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高密度聚乙烯外护管硬质聚氨酯泡沫塑料预制直埋保温管及管件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干混砂浆物理性能试验方法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节水灌溉工程技术规范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环氧树脂自流平地面工程技术规范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园林绿化工程施工及验收规范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园林基本术语标准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种植屋面工程技术规程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城市园林苗圃育苗技术规程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绿化种植土壤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建设工程劳动定额 园林绿化工程-绿化工程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农药安全使用规范 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建设工程劳动定额 建筑工程-人工土石方工程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建设工程劳动定额 建筑工程-混凝土工程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建设工程劳动定额 安装工程-管道安装工程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建设工程劳动定额 安装工程-刷油、防腐蚀与绝热工程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 xml:space="preserve">工程建设施工现场焊接目视检验规范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建筑排水塑料管道工程技术规程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建筑给水聚乙烯类管道工程技术规程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城镇环境卫生设施设置标准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城市道路彩色沥青混凝土路面技术规程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天然花岗石建筑板材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天然石材装饰工程技术规程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干混砂浆生产工艺与应用技术规范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混凝土路面砖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建筑基坑支护技术规程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外墙饰面砖工程施工及验收规程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建筑涂饰工程施工及验收规程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建筑工程冬期施工规程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自流平地面工程技术规程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建筑材料术语标准 附条文说明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预拌砂浆应用技术规程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砌筑砂浆配合比设计规程(完整版)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建设工程施工现场安全资料管理规程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施工现场临时用电安全技术规范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施工现场临时用电安全技术规范图解(建筑业协会编2009)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建筑工程资料管理规程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施工企业安全生产评价标准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施工企业安全生产评价标准实施手册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tcPr>
          <w:p>
            <w:pPr>
              <w:spacing w:after="156"/>
              <w:jc w:val="center"/>
              <w:rPr>
                <w:b/>
              </w:rPr>
            </w:pPr>
            <w:r>
              <w:rPr>
                <w:rFonts w:hint="eastAsia"/>
                <w:b/>
              </w:rPr>
              <w:t>北京市地方标准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园林铺地分项工程施工工艺规程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城镇绿地养护技术规范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园林绿化工程竣工图编制规范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绿化种植分项工程施工工艺规程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园林绿化工程监理规程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园林绿化种植土壤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双条杉天牛监测与防治技术规程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大规格苗木移植技术规程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园林绿化工程施工及验收规范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再生水灌溉绿地技术规范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种植屋面防水施工技术规程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屋顶绿化规范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城市园林绿化用植物材料木本苗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竹子栽植及养护技术规范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观赏灌木修剪规范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古树名木健康快速诊断技术规程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柳枝稷繁殖栽培技术规程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榆叶梅繁殖与栽培养护技术规程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封山育林技术规程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节水耐旱型树种选择技术规程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森林土壤调查技术规程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低效生态公益林改造技术规程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园林绿化废弃物堆肥技术规程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草履蚧监测与防治技术规程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油松毛虫监测与防治技术规程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行道树修剪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丰花月季和大花月季栽培养护管理技术规程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草坪节水灌溉技术规定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春尺蠖监测与防治技术规程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古树名木保护复壮技术规程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古树名木评价标准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古树名木日常养护管理标准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花卉栽培基质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露地花卉布置技术规程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美国白蛾综合防控技术规程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木本观赏植物栽植与管理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 xml:space="preserve"> 建筑基坑支护技术规程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315" w:type="dxa"/>
            <w:noWrap/>
          </w:tcPr>
          <w:p>
            <w:pPr>
              <w:spacing w:after="156"/>
            </w:pPr>
            <w:r>
              <w:rPr>
                <w:rFonts w:hint="eastAsia"/>
              </w:rPr>
              <w:t>建筑施工测量技术规程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北京市建筑工程施工技术管理规程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干拌砂浆应用技术规程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透水砖路面施工与验收规程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城市雕塑工程建设质量技术规范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膜结构施工质量验收规范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透水混凝土路面技术规程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自流平地面施工技术规程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城市道路混凝土路面砖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高密度聚乙烯室外排水管道工程技术规程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干拌砂浆应用技术规程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建设工程施工现场安全资料管理规程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建设工程临建房屋应用技术标准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建设工程施工现场安全防护、场容卫生及消防保卫标准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建筑工程施工组织设计管理规程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建筑工程资料管理规程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北京市建筑工程施工组织设计管理规程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tcPr>
          <w:p>
            <w:pPr>
              <w:spacing w:after="156"/>
            </w:pPr>
            <w:r>
              <w:rPr>
                <w:rFonts w:hint="eastAsia"/>
              </w:rPr>
              <w:t>北京市建设工程安全生产管理标准化手册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15" w:type="dxa"/>
            <w:noWrap/>
            <w:vAlign w:val="center"/>
          </w:tcPr>
          <w:p>
            <w:pPr>
              <w:spacing w:after="156"/>
              <w:jc w:val="left"/>
            </w:pPr>
            <w:r>
              <w:rPr>
                <w:rFonts w:hint="eastAsia"/>
              </w:rPr>
              <w:t>关于印发《北京市建设工程施工现场安全生产标准化管理图集（2019版）》的通知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315" w:type="dxa"/>
            <w:noWrap/>
            <w:vAlign w:val="center"/>
          </w:tcPr>
          <w:p>
            <w:pPr>
              <w:spacing w:after="156"/>
              <w:jc w:val="left"/>
            </w:pPr>
            <w:r>
              <w:rPr>
                <w:rFonts w:hint="eastAsia"/>
              </w:rPr>
              <w:t>北京市住房和城乡建设委员会关于印发《北京市建设工程安全文明施工费管理办法（试行）》的通知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315" w:type="dxa"/>
            <w:noWrap/>
            <w:vAlign w:val="center"/>
          </w:tcPr>
          <w:p>
            <w:pPr>
              <w:spacing w:after="156"/>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315" w:type="dxa"/>
            <w:noWrap/>
            <w:vAlign w:val="center"/>
          </w:tcPr>
          <w:p>
            <w:pPr>
              <w:spacing w:after="156"/>
              <w:jc w:val="left"/>
            </w:pPr>
            <w:r>
              <w:rPr>
                <w:rFonts w:hint="eastAsia"/>
              </w:rPr>
              <w:t>……</w:t>
            </w:r>
          </w:p>
        </w:tc>
      </w:tr>
    </w:tbl>
    <w:p>
      <w:r>
        <w:br w:type="page"/>
      </w:r>
    </w:p>
    <w:p>
      <w:pPr>
        <w:pStyle w:val="144"/>
        <w:spacing w:before="120" w:beforeLines="50" w:after="120" w:afterLines="50"/>
        <w:rPr>
          <w:rFonts w:ascii="宋体" w:hAnsi="宋体" w:eastAsia="宋体"/>
        </w:rPr>
      </w:pPr>
      <w:bookmarkStart w:id="1456" w:name="_Toc23757457"/>
      <w:r>
        <w:rPr>
          <w:rFonts w:hint="eastAsia" w:ascii="宋体" w:hAnsi="宋体" w:eastAsia="宋体"/>
        </w:rPr>
        <w:t>附件A：</w:t>
      </w:r>
      <w:commentRangeStart w:id="4"/>
      <w:r>
        <w:rPr>
          <w:rFonts w:hint="eastAsia" w:ascii="宋体" w:hAnsi="宋体" w:eastAsia="宋体"/>
        </w:rPr>
        <w:t>施工现场现状平面图</w:t>
      </w:r>
      <w:bookmarkEnd w:id="1449"/>
      <w:bookmarkEnd w:id="1450"/>
      <w:bookmarkEnd w:id="1451"/>
      <w:bookmarkEnd w:id="1452"/>
      <w:bookmarkEnd w:id="1453"/>
      <w:bookmarkEnd w:id="1454"/>
      <w:bookmarkEnd w:id="1455"/>
      <w:bookmarkEnd w:id="1456"/>
      <w:commentRangeEnd w:id="4"/>
      <w:r>
        <w:rPr>
          <w:rStyle w:val="57"/>
          <w:rFonts w:eastAsia="宋体"/>
          <w:kern w:val="0"/>
        </w:rPr>
        <w:commentReference w:id="4"/>
      </w:r>
    </w:p>
    <w:p>
      <w:pPr>
        <w:spacing w:after="120" w:afterLines="50" w:line="300" w:lineRule="auto"/>
      </w:pPr>
    </w:p>
    <w:p>
      <w:pPr>
        <w:jc w:val="center"/>
        <w:rPr>
          <w:sz w:val="24"/>
        </w:rPr>
      </w:pPr>
      <w:r>
        <w:rPr>
          <w:rFonts w:hint="eastAsia" w:ascii="宋体" w:hAnsi="宋体"/>
          <w:sz w:val="24"/>
        </w:rPr>
        <w:t>说明：该图由招标人准备，并作为招标文件本章的组成内容提供给投标人。图中应当标示本章第一节第1.2.1项规定的内容，并做必要的文字说明。</w:t>
      </w: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pStyle w:val="4"/>
      </w:pPr>
      <w:r>
        <w:br w:type="page"/>
      </w:r>
    </w:p>
    <w:p>
      <w:pPr>
        <w:rPr>
          <w:sz w:val="24"/>
        </w:rPr>
      </w:pPr>
    </w:p>
    <w:p>
      <w:pPr>
        <w:pStyle w:val="2"/>
        <w:spacing w:before="120" w:after="120" w:line="360" w:lineRule="auto"/>
        <w:ind w:left="431" w:right="46" w:rightChars="22" w:hanging="431"/>
        <w:rPr>
          <w:rFonts w:ascii="宋体" w:hAnsi="宋体" w:eastAsia="宋体"/>
          <w:b/>
          <w:sz w:val="48"/>
          <w:szCs w:val="48"/>
        </w:rPr>
      </w:pPr>
      <w:bookmarkStart w:id="1457" w:name="_Toc470011349"/>
      <w:r>
        <w:rPr>
          <w:rFonts w:hint="eastAsia" w:ascii="宋体" w:hAnsi="宋体" w:eastAsia="宋体"/>
          <w:b/>
          <w:sz w:val="48"/>
          <w:szCs w:val="48"/>
        </w:rPr>
        <w:t>第八章</w:t>
      </w:r>
      <w:r>
        <w:rPr>
          <w:rFonts w:ascii="宋体" w:hAnsi="宋体" w:eastAsia="宋体"/>
          <w:b/>
          <w:sz w:val="48"/>
          <w:szCs w:val="48"/>
        </w:rPr>
        <w:tab/>
      </w:r>
      <w:bookmarkEnd w:id="216"/>
      <w:bookmarkEnd w:id="217"/>
      <w:r>
        <w:rPr>
          <w:rFonts w:hint="eastAsia" w:ascii="宋体" w:hAnsi="宋体" w:eastAsia="宋体"/>
          <w:b/>
          <w:sz w:val="48"/>
          <w:szCs w:val="48"/>
        </w:rPr>
        <w:t>投标文件格式</w:t>
      </w:r>
      <w:bookmarkEnd w:id="1457"/>
    </w:p>
    <w:p>
      <w:pPr>
        <w:jc w:val="center"/>
        <w:rPr>
          <w:sz w:val="32"/>
          <w:szCs w:val="32"/>
        </w:rPr>
      </w:pPr>
      <w:r>
        <w:rPr>
          <w:b/>
          <w:sz w:val="48"/>
          <w:szCs w:val="48"/>
        </w:rPr>
        <w:br w:type="page"/>
      </w:r>
      <w:r>
        <w:rPr>
          <w:sz w:val="28"/>
          <w:szCs w:val="28"/>
          <w:u w:val="single"/>
        </w:rPr>
        <w:t xml:space="preserve"> </w:t>
      </w:r>
      <w:r>
        <w:rPr>
          <w:sz w:val="32"/>
          <w:szCs w:val="32"/>
          <w:u w:val="single"/>
        </w:rPr>
        <w:t xml:space="preserve">                  </w:t>
      </w:r>
      <w:r>
        <w:rPr>
          <w:sz w:val="32"/>
          <w:szCs w:val="32"/>
        </w:rPr>
        <w:t>（工程名称）施工招标</w:t>
      </w:r>
    </w:p>
    <w:p>
      <w:pPr>
        <w:jc w:val="center"/>
        <w:rPr>
          <w:rFonts w:ascii="宋体"/>
          <w:sz w:val="20"/>
          <w:szCs w:val="20"/>
        </w:rPr>
      </w:pPr>
    </w:p>
    <w:p>
      <w:pPr>
        <w:rPr>
          <w:rFonts w:ascii="宋体"/>
          <w:sz w:val="20"/>
          <w:szCs w:val="20"/>
        </w:rPr>
      </w:pPr>
    </w:p>
    <w:p>
      <w:pPr>
        <w:rPr>
          <w:rFonts w:ascii="宋体"/>
          <w:sz w:val="20"/>
          <w:szCs w:val="20"/>
        </w:rPr>
      </w:pPr>
    </w:p>
    <w:p>
      <w:pPr>
        <w:rPr>
          <w:rFonts w:ascii="宋体"/>
          <w:sz w:val="20"/>
          <w:szCs w:val="20"/>
        </w:rPr>
      </w:pPr>
    </w:p>
    <w:p>
      <w:pPr>
        <w:rPr>
          <w:rFonts w:ascii="宋体"/>
          <w:sz w:val="20"/>
          <w:szCs w:val="20"/>
        </w:rPr>
      </w:pPr>
    </w:p>
    <w:p>
      <w:pPr>
        <w:rPr>
          <w:rFonts w:ascii="宋体"/>
          <w:sz w:val="20"/>
          <w:szCs w:val="20"/>
        </w:rPr>
      </w:pPr>
    </w:p>
    <w:p>
      <w:pPr>
        <w:jc w:val="center"/>
        <w:rPr>
          <w:rFonts w:ascii="宋体"/>
          <w:b/>
          <w:sz w:val="52"/>
          <w:szCs w:val="52"/>
        </w:rPr>
      </w:pPr>
      <w:r>
        <w:rPr>
          <w:rFonts w:hint="eastAsia" w:ascii="宋体" w:hAnsi="宋体"/>
          <w:b/>
          <w:sz w:val="52"/>
          <w:szCs w:val="52"/>
        </w:rPr>
        <w:t>投</w:t>
      </w:r>
      <w:r>
        <w:rPr>
          <w:rFonts w:ascii="宋体" w:hAnsi="宋体"/>
          <w:b/>
          <w:sz w:val="52"/>
          <w:szCs w:val="52"/>
        </w:rPr>
        <w:t xml:space="preserve">  </w:t>
      </w:r>
      <w:r>
        <w:rPr>
          <w:rFonts w:hint="eastAsia" w:ascii="宋体" w:hAnsi="宋体"/>
          <w:b/>
          <w:sz w:val="52"/>
          <w:szCs w:val="52"/>
        </w:rPr>
        <w:t>标</w:t>
      </w:r>
      <w:r>
        <w:rPr>
          <w:rFonts w:ascii="宋体" w:hAnsi="宋体"/>
          <w:b/>
          <w:sz w:val="52"/>
          <w:szCs w:val="52"/>
        </w:rPr>
        <w:t xml:space="preserve">  </w:t>
      </w:r>
      <w:r>
        <w:rPr>
          <w:rFonts w:hint="eastAsia" w:ascii="宋体" w:hAnsi="宋体"/>
          <w:b/>
          <w:sz w:val="52"/>
          <w:szCs w:val="52"/>
        </w:rPr>
        <w:t>文</w:t>
      </w:r>
      <w:r>
        <w:rPr>
          <w:rFonts w:ascii="宋体" w:hAnsi="宋体"/>
          <w:b/>
          <w:sz w:val="52"/>
          <w:szCs w:val="52"/>
        </w:rPr>
        <w:t xml:space="preserve">  </w:t>
      </w:r>
      <w:r>
        <w:rPr>
          <w:rFonts w:hint="eastAsia" w:ascii="宋体" w:hAnsi="宋体"/>
          <w:b/>
          <w:sz w:val="52"/>
          <w:szCs w:val="52"/>
        </w:rPr>
        <w:t>件</w:t>
      </w: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rPr>
          <w:rFonts w:ascii="宋体"/>
          <w:sz w:val="28"/>
          <w:szCs w:val="28"/>
        </w:rPr>
      </w:pPr>
    </w:p>
    <w:p>
      <w:pPr>
        <w:spacing w:line="480" w:lineRule="auto"/>
        <w:jc w:val="center"/>
        <w:rPr>
          <w:rFonts w:ascii="宋体"/>
          <w:sz w:val="28"/>
          <w:szCs w:val="28"/>
          <w:u w:val="single"/>
        </w:rPr>
      </w:pPr>
      <w:r>
        <w:rPr>
          <w:rFonts w:hint="eastAsia" w:ascii="宋体" w:hAnsi="宋体"/>
          <w:sz w:val="28"/>
          <w:szCs w:val="28"/>
        </w:rPr>
        <w:t>投标人：</w:t>
      </w:r>
      <w:r>
        <w:rPr>
          <w:rFonts w:ascii="宋体" w:hAnsi="宋体"/>
          <w:sz w:val="28"/>
          <w:szCs w:val="28"/>
          <w:u w:val="single"/>
        </w:rPr>
        <w:t xml:space="preserve">                              </w:t>
      </w:r>
      <w:r>
        <w:rPr>
          <w:rFonts w:hint="eastAsia" w:ascii="宋体" w:hAnsi="宋体"/>
          <w:sz w:val="28"/>
          <w:szCs w:val="28"/>
        </w:rPr>
        <w:t>（盖企业</w:t>
      </w:r>
      <w:r>
        <w:rPr>
          <w:rFonts w:ascii="宋体" w:hAnsi="宋体"/>
          <w:sz w:val="28"/>
          <w:szCs w:val="28"/>
        </w:rPr>
        <w:t>CA</w:t>
      </w:r>
      <w:r>
        <w:rPr>
          <w:rFonts w:hint="eastAsia" w:ascii="宋体" w:hAnsi="宋体"/>
          <w:sz w:val="28"/>
          <w:szCs w:val="28"/>
        </w:rPr>
        <w:t>电子印章）</w:t>
      </w:r>
    </w:p>
    <w:p>
      <w:pPr>
        <w:spacing w:line="480" w:lineRule="auto"/>
        <w:jc w:val="center"/>
        <w:rPr>
          <w:rFonts w:ascii="宋体"/>
          <w:sz w:val="28"/>
          <w:szCs w:val="28"/>
        </w:rPr>
      </w:pPr>
      <w:r>
        <w:rPr>
          <w:rFonts w:hint="eastAsia" w:ascii="宋体" w:hAnsi="宋体"/>
          <w:sz w:val="28"/>
          <w:szCs w:val="28"/>
        </w:rPr>
        <w:t>法定代表人或其委托代理人：</w:t>
      </w:r>
      <w:r>
        <w:rPr>
          <w:rFonts w:ascii="宋体" w:hAnsi="宋体"/>
          <w:sz w:val="28"/>
          <w:szCs w:val="28"/>
          <w:u w:val="single"/>
        </w:rPr>
        <w:t xml:space="preserve">            </w:t>
      </w:r>
      <w:r>
        <w:rPr>
          <w:rFonts w:hint="eastAsia" w:ascii="宋体" w:hAnsi="宋体"/>
          <w:sz w:val="28"/>
          <w:szCs w:val="28"/>
        </w:rPr>
        <w:t>（盖个人</w:t>
      </w:r>
      <w:r>
        <w:rPr>
          <w:rFonts w:ascii="宋体" w:hAnsi="宋体"/>
          <w:sz w:val="28"/>
          <w:szCs w:val="28"/>
        </w:rPr>
        <w:t>CA</w:t>
      </w:r>
      <w:r>
        <w:rPr>
          <w:rFonts w:hint="eastAsia" w:ascii="宋体" w:hAnsi="宋体"/>
          <w:sz w:val="28"/>
          <w:szCs w:val="28"/>
        </w:rPr>
        <w:t>电子印章）</w:t>
      </w:r>
    </w:p>
    <w:p>
      <w:pPr>
        <w:spacing w:line="480" w:lineRule="auto"/>
        <w:jc w:val="center"/>
        <w:rPr>
          <w:rFonts w:ascii="宋体"/>
          <w:sz w:val="28"/>
          <w:szCs w:val="28"/>
          <w:u w:val="single"/>
        </w:rPr>
      </w:pPr>
    </w:p>
    <w:p>
      <w:pPr>
        <w:spacing w:line="480" w:lineRule="auto"/>
        <w:jc w:val="center"/>
        <w:rPr>
          <w:rFonts w:ascii="宋体"/>
          <w:sz w:val="28"/>
          <w:szCs w:val="28"/>
        </w:rPr>
      </w:pP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pPr>
        <w:pStyle w:val="83"/>
        <w:ind w:right="46" w:rightChars="22"/>
        <w:jc w:val="center"/>
        <w:rPr>
          <w:rFonts w:ascii="Times New Roman" w:hAnsi="Times New Roman"/>
          <w:b/>
          <w:sz w:val="30"/>
          <w:szCs w:val="30"/>
        </w:rPr>
      </w:pPr>
    </w:p>
    <w:p>
      <w:pPr>
        <w:pStyle w:val="4"/>
        <w:ind w:firstLine="0"/>
      </w:pPr>
    </w:p>
    <w:p>
      <w:pPr>
        <w:pStyle w:val="4"/>
      </w:pPr>
      <w:r>
        <w:br w:type="page"/>
      </w:r>
    </w:p>
    <w:p>
      <w:pPr>
        <w:pStyle w:val="3"/>
        <w:rPr>
          <w:rFonts w:hAnsi="宋体"/>
          <w:sz w:val="36"/>
          <w:szCs w:val="36"/>
        </w:rPr>
      </w:pPr>
      <w:bookmarkStart w:id="1458" w:name="_Toc419547942"/>
      <w:bookmarkStart w:id="1459" w:name="_Toc396818240"/>
      <w:bookmarkStart w:id="1460" w:name="_Toc470011350"/>
      <w:bookmarkStart w:id="1461" w:name="_Toc419547396"/>
      <w:bookmarkStart w:id="1462" w:name="_Toc455409874"/>
      <w:bookmarkStart w:id="1463" w:name="_Toc111482810"/>
      <w:bookmarkStart w:id="1464" w:name="_Toc247566600"/>
      <w:bookmarkStart w:id="1465" w:name="_Toc249901959"/>
      <w:bookmarkStart w:id="1466" w:name="_Toc258414746"/>
      <w:bookmarkStart w:id="1467" w:name="_Toc381265958"/>
      <w:r>
        <w:rPr>
          <w:rFonts w:hint="eastAsia" w:hAnsi="宋体"/>
          <w:sz w:val="36"/>
          <w:szCs w:val="36"/>
        </w:rPr>
        <w:t>第一部分</w:t>
      </w:r>
      <w:bookmarkEnd w:id="1458"/>
      <w:bookmarkEnd w:id="1459"/>
      <w:bookmarkEnd w:id="1460"/>
      <w:bookmarkEnd w:id="1461"/>
      <w:bookmarkEnd w:id="1462"/>
      <w:r>
        <w:rPr>
          <w:sz w:val="36"/>
          <w:szCs w:val="36"/>
        </w:rPr>
        <w:t xml:space="preserve"> </w:t>
      </w:r>
      <w:bookmarkEnd w:id="1463"/>
      <w:bookmarkEnd w:id="1464"/>
      <w:bookmarkEnd w:id="1465"/>
      <w:bookmarkEnd w:id="1466"/>
      <w:bookmarkEnd w:id="1467"/>
      <w:r>
        <w:rPr>
          <w:sz w:val="36"/>
          <w:szCs w:val="36"/>
        </w:rPr>
        <w:t>商务部分</w:t>
      </w:r>
    </w:p>
    <w:p>
      <w:pPr>
        <w:pStyle w:val="4"/>
      </w:pPr>
    </w:p>
    <w:p>
      <w:pPr>
        <w:jc w:val="center"/>
      </w:pPr>
    </w:p>
    <w:p>
      <w:pPr>
        <w:spacing w:line="560" w:lineRule="exact"/>
        <w:ind w:left="2195" w:leftChars="68" w:hanging="2052" w:hangingChars="855"/>
        <w:jc w:val="left"/>
        <w:rPr>
          <w:sz w:val="24"/>
        </w:rPr>
      </w:pPr>
      <w:r>
        <w:rPr>
          <w:rFonts w:hint="eastAsia" w:hAnsi="宋体"/>
          <w:sz w:val="24"/>
        </w:rPr>
        <w:t>一、投标函</w:t>
      </w:r>
    </w:p>
    <w:p>
      <w:pPr>
        <w:spacing w:line="560" w:lineRule="exact"/>
        <w:ind w:left="2195" w:leftChars="68" w:hanging="2052" w:hangingChars="855"/>
        <w:jc w:val="left"/>
        <w:rPr>
          <w:sz w:val="24"/>
        </w:rPr>
      </w:pPr>
      <w:r>
        <w:rPr>
          <w:rFonts w:hint="eastAsia" w:hAnsi="宋体"/>
          <w:sz w:val="24"/>
        </w:rPr>
        <w:t>二、投标函附录</w:t>
      </w:r>
    </w:p>
    <w:p>
      <w:pPr>
        <w:spacing w:line="560" w:lineRule="exact"/>
        <w:ind w:left="2195" w:leftChars="68" w:hanging="2052" w:hangingChars="855"/>
        <w:jc w:val="left"/>
        <w:rPr>
          <w:sz w:val="24"/>
        </w:rPr>
      </w:pPr>
      <w:r>
        <w:rPr>
          <w:rFonts w:hint="eastAsia" w:hAnsi="宋体"/>
          <w:sz w:val="24"/>
        </w:rPr>
        <w:t>三、法定代表人身份证明书</w:t>
      </w:r>
    </w:p>
    <w:p>
      <w:pPr>
        <w:spacing w:line="560" w:lineRule="exact"/>
        <w:ind w:left="2195" w:leftChars="68" w:hanging="2052" w:hangingChars="855"/>
        <w:jc w:val="left"/>
        <w:rPr>
          <w:sz w:val="24"/>
        </w:rPr>
      </w:pPr>
      <w:r>
        <w:rPr>
          <w:rFonts w:hint="eastAsia" w:hAnsi="宋体"/>
          <w:sz w:val="24"/>
        </w:rPr>
        <w:t>四、投标文件签署授权委托书</w:t>
      </w:r>
    </w:p>
    <w:p>
      <w:pPr>
        <w:spacing w:line="560" w:lineRule="exact"/>
        <w:ind w:left="2195" w:leftChars="68" w:hanging="2052" w:hangingChars="855"/>
        <w:jc w:val="left"/>
        <w:rPr>
          <w:rFonts w:hAnsi="宋体"/>
          <w:sz w:val="24"/>
        </w:rPr>
      </w:pPr>
      <w:r>
        <w:rPr>
          <w:rFonts w:hint="eastAsia" w:hAnsi="宋体"/>
          <w:sz w:val="24"/>
        </w:rPr>
        <w:t>五、联合体协议书</w:t>
      </w:r>
    </w:p>
    <w:p>
      <w:pPr>
        <w:spacing w:line="560" w:lineRule="exact"/>
        <w:ind w:left="2195" w:leftChars="68" w:hanging="2052" w:hangingChars="855"/>
        <w:jc w:val="left"/>
        <w:rPr>
          <w:rFonts w:hAnsi="宋体"/>
          <w:sz w:val="24"/>
        </w:rPr>
      </w:pPr>
      <w:r>
        <w:rPr>
          <w:rFonts w:hint="eastAsia" w:hAnsi="宋体"/>
          <w:sz w:val="24"/>
        </w:rPr>
        <w:t>六、投标担保</w:t>
      </w:r>
    </w:p>
    <w:p>
      <w:pPr>
        <w:spacing w:line="560" w:lineRule="exact"/>
        <w:ind w:left="2195" w:leftChars="68" w:hanging="2052" w:hangingChars="855"/>
        <w:jc w:val="left"/>
        <w:rPr>
          <w:rFonts w:hAnsi="宋体"/>
          <w:sz w:val="24"/>
        </w:rPr>
      </w:pPr>
      <w:r>
        <w:rPr>
          <w:rFonts w:hint="eastAsia" w:hAnsi="宋体"/>
          <w:sz w:val="24"/>
        </w:rPr>
        <w:t>七、资格审查资料</w:t>
      </w:r>
    </w:p>
    <w:p>
      <w:pPr>
        <w:spacing w:line="560" w:lineRule="exact"/>
        <w:ind w:left="2195" w:leftChars="68" w:hanging="2052" w:hangingChars="855"/>
        <w:jc w:val="left"/>
        <w:rPr>
          <w:rFonts w:hAnsi="宋体"/>
          <w:sz w:val="24"/>
        </w:rPr>
      </w:pPr>
      <w:r>
        <w:rPr>
          <w:rFonts w:hint="eastAsia" w:hAnsi="宋体"/>
          <w:sz w:val="24"/>
        </w:rPr>
        <w:t>八、拟分包工程情况</w:t>
      </w:r>
    </w:p>
    <w:p>
      <w:pPr>
        <w:spacing w:line="560" w:lineRule="exact"/>
        <w:ind w:left="2195" w:leftChars="68" w:hanging="2052" w:hangingChars="855"/>
        <w:jc w:val="left"/>
        <w:rPr>
          <w:rFonts w:hAnsi="宋体"/>
          <w:sz w:val="24"/>
        </w:rPr>
      </w:pPr>
      <w:r>
        <w:rPr>
          <w:rFonts w:hint="eastAsia" w:hAnsi="宋体"/>
          <w:sz w:val="24"/>
        </w:rPr>
        <w:t>九、声明及承诺</w:t>
      </w:r>
    </w:p>
    <w:p>
      <w:pPr>
        <w:spacing w:line="560" w:lineRule="exact"/>
        <w:ind w:left="2195" w:leftChars="68" w:hanging="2052" w:hangingChars="855"/>
        <w:jc w:val="left"/>
        <w:rPr>
          <w:rFonts w:hAnsi="宋体"/>
          <w:sz w:val="24"/>
        </w:rPr>
      </w:pPr>
      <w:r>
        <w:rPr>
          <w:rFonts w:hint="eastAsia" w:hAnsi="宋体"/>
          <w:sz w:val="24"/>
        </w:rPr>
        <w:t>十、中小企业声明函格式（适用于政府采购工程）</w:t>
      </w:r>
    </w:p>
    <w:p>
      <w:pPr>
        <w:spacing w:line="560" w:lineRule="exact"/>
        <w:ind w:left="2195" w:leftChars="68" w:hanging="2052" w:hangingChars="855"/>
        <w:jc w:val="left"/>
        <w:rPr>
          <w:rFonts w:hAnsi="宋体"/>
          <w:sz w:val="24"/>
        </w:rPr>
      </w:pPr>
      <w:r>
        <w:rPr>
          <w:rFonts w:hint="eastAsia" w:hAnsi="宋体"/>
          <w:sz w:val="24"/>
        </w:rPr>
        <w:t>十一、拟分包情况说明（适用于政府采购工程）</w:t>
      </w:r>
    </w:p>
    <w:p>
      <w:pPr>
        <w:spacing w:line="560" w:lineRule="exact"/>
        <w:ind w:left="2195" w:leftChars="68" w:hanging="2052" w:hangingChars="855"/>
        <w:jc w:val="left"/>
        <w:rPr>
          <w:rFonts w:hAnsi="宋体"/>
          <w:sz w:val="24"/>
        </w:rPr>
      </w:pPr>
      <w:r>
        <w:rPr>
          <w:rFonts w:hint="eastAsia" w:hAnsi="宋体"/>
          <w:sz w:val="24"/>
        </w:rPr>
        <w:t>十二、其他落实政府采购政策的资格要求（如有）</w:t>
      </w:r>
    </w:p>
    <w:p>
      <w:pPr>
        <w:spacing w:line="560" w:lineRule="exact"/>
        <w:ind w:left="2195" w:leftChars="68" w:hanging="2052" w:hangingChars="855"/>
        <w:jc w:val="left"/>
        <w:rPr>
          <w:rFonts w:hAnsi="宋体"/>
          <w:sz w:val="24"/>
        </w:rPr>
      </w:pPr>
      <w:r>
        <w:rPr>
          <w:rFonts w:hint="eastAsia" w:hAnsi="宋体"/>
          <w:sz w:val="24"/>
        </w:rPr>
        <w:t>十三、联合协议（适用于政府采购工程 如有）</w:t>
      </w:r>
    </w:p>
    <w:p>
      <w:pPr>
        <w:spacing w:line="560" w:lineRule="exact"/>
        <w:ind w:left="2195" w:leftChars="68" w:hanging="2052" w:hangingChars="855"/>
        <w:jc w:val="left"/>
        <w:rPr>
          <w:sz w:val="24"/>
        </w:rPr>
      </w:pPr>
      <w:r>
        <w:rPr>
          <w:rFonts w:hint="eastAsia" w:hAnsi="宋体"/>
          <w:sz w:val="24"/>
        </w:rPr>
        <w:t>十四、其他</w:t>
      </w:r>
    </w:p>
    <w:p>
      <w:pPr>
        <w:pStyle w:val="5"/>
        <w:spacing w:before="0"/>
        <w:ind w:left="-57"/>
        <w:rPr>
          <w:rFonts w:hAnsi="宋体"/>
          <w:sz w:val="30"/>
          <w:szCs w:val="30"/>
        </w:rPr>
      </w:pPr>
      <w:r>
        <w:br w:type="page"/>
      </w:r>
      <w:bookmarkStart w:id="1468" w:name="_Toc455409875"/>
      <w:bookmarkStart w:id="1469" w:name="_Toc470011351"/>
      <w:bookmarkStart w:id="1470" w:name="_Toc419547397"/>
      <w:bookmarkStart w:id="1471" w:name="_Toc419547943"/>
      <w:bookmarkStart w:id="1472" w:name="_Toc258414747"/>
      <w:bookmarkStart w:id="1473" w:name="_Toc396818241"/>
      <w:bookmarkStart w:id="1474" w:name="_Toc381265959"/>
      <w:bookmarkStart w:id="1475" w:name="_Toc249901960"/>
      <w:bookmarkStart w:id="1476" w:name="_Toc247566601"/>
      <w:r>
        <w:rPr>
          <w:rFonts w:hint="eastAsia" w:hAnsi="宋体"/>
          <w:sz w:val="30"/>
          <w:szCs w:val="30"/>
        </w:rPr>
        <w:t>一、投标函</w:t>
      </w:r>
      <w:bookmarkEnd w:id="1468"/>
      <w:bookmarkEnd w:id="1469"/>
      <w:bookmarkEnd w:id="1470"/>
      <w:bookmarkEnd w:id="1471"/>
      <w:bookmarkEnd w:id="1472"/>
      <w:bookmarkEnd w:id="1473"/>
      <w:bookmarkEnd w:id="1474"/>
      <w:bookmarkEnd w:id="1475"/>
      <w:bookmarkEnd w:id="1476"/>
    </w:p>
    <w:p>
      <w:pPr>
        <w:spacing w:line="360" w:lineRule="auto"/>
        <w:rPr>
          <w:sz w:val="24"/>
          <w:u w:val="single"/>
        </w:rPr>
      </w:pPr>
      <w:r>
        <w:rPr>
          <w:rFonts w:hint="eastAsia" w:hAnsi="宋体"/>
          <w:sz w:val="24"/>
        </w:rPr>
        <w:t>致：</w:t>
      </w:r>
      <w:r>
        <w:rPr>
          <w:sz w:val="24"/>
          <w:u w:val="single"/>
        </w:rPr>
        <w:t xml:space="preserve">      {</w:t>
      </w:r>
      <w:r>
        <w:rPr>
          <w:rFonts w:hint="eastAsia" w:hAnsi="宋体"/>
          <w:sz w:val="24"/>
          <w:u w:val="single"/>
        </w:rPr>
        <w:t>招标人名称</w:t>
      </w:r>
      <w:r>
        <w:rPr>
          <w:sz w:val="24"/>
          <w:u w:val="single"/>
        </w:rPr>
        <w:t xml:space="preserve">}            </w:t>
      </w:r>
    </w:p>
    <w:p>
      <w:pPr>
        <w:spacing w:line="380" w:lineRule="exact"/>
        <w:ind w:firstLine="480" w:firstLineChars="200"/>
        <w:rPr>
          <w:sz w:val="24"/>
        </w:rPr>
      </w:pPr>
      <w:r>
        <w:rPr>
          <w:sz w:val="24"/>
        </w:rPr>
        <w:t xml:space="preserve">1. </w:t>
      </w:r>
      <w:r>
        <w:rPr>
          <w:rFonts w:hint="eastAsia"/>
          <w:sz w:val="24"/>
        </w:rPr>
        <w:t>根据你方招标工程工程编号为</w:t>
      </w:r>
      <w:r>
        <w:rPr>
          <w:sz w:val="24"/>
          <w:u w:val="single"/>
        </w:rPr>
        <w:t xml:space="preserve">         </w:t>
      </w:r>
      <w:r>
        <w:rPr>
          <w:rFonts w:hint="eastAsia"/>
          <w:sz w:val="24"/>
        </w:rPr>
        <w:t>的</w:t>
      </w:r>
      <w:r>
        <w:rPr>
          <w:sz w:val="24"/>
          <w:u w:val="single"/>
        </w:rPr>
        <w:t xml:space="preserve">         </w:t>
      </w:r>
      <w:r>
        <w:rPr>
          <w:sz w:val="24"/>
        </w:rPr>
        <w:t>{</w:t>
      </w:r>
      <w:r>
        <w:rPr>
          <w:rFonts w:hint="eastAsia"/>
          <w:sz w:val="24"/>
        </w:rPr>
        <w:t>招标工程名称</w:t>
      </w:r>
      <w:r>
        <w:rPr>
          <w:sz w:val="24"/>
        </w:rPr>
        <w:t>}</w:t>
      </w:r>
      <w:r>
        <w:rPr>
          <w:rFonts w:hint="eastAsia"/>
          <w:sz w:val="24"/>
        </w:rPr>
        <w:t>工程施工招标文件，在考察现场和研究上述招标文件（包括修改和补充文件）后，我方愿以人民币</w:t>
      </w:r>
      <w:r>
        <w:rPr>
          <w:sz w:val="24"/>
        </w:rPr>
        <w:t>(</w:t>
      </w:r>
      <w:r>
        <w:rPr>
          <w:rFonts w:hint="eastAsia"/>
          <w:sz w:val="24"/>
        </w:rPr>
        <w:t>大写</w:t>
      </w:r>
      <w:r>
        <w:rPr>
          <w:sz w:val="24"/>
        </w:rPr>
        <w:t>)</w:t>
      </w:r>
      <w:r>
        <w:rPr>
          <w:sz w:val="24"/>
          <w:u w:val="single"/>
        </w:rPr>
        <w:t xml:space="preserve">     </w:t>
      </w:r>
      <w:r>
        <w:rPr>
          <w:rFonts w:hint="eastAsia"/>
          <w:sz w:val="24"/>
        </w:rPr>
        <w:t>元（</w:t>
      </w:r>
      <w:r>
        <w:rPr>
          <w:sz w:val="24"/>
        </w:rPr>
        <w:t>RMB</w:t>
      </w:r>
      <w:r>
        <w:rPr>
          <w:rFonts w:hint="eastAsia"/>
          <w:sz w:val="24"/>
        </w:rPr>
        <w:t>￥</w:t>
      </w:r>
      <w:r>
        <w:rPr>
          <w:sz w:val="24"/>
          <w:u w:val="single"/>
        </w:rPr>
        <w:t xml:space="preserve">       </w:t>
      </w:r>
      <w:r>
        <w:rPr>
          <w:rFonts w:hint="eastAsia"/>
          <w:sz w:val="24"/>
        </w:rPr>
        <w:t>元）的投标报价，按照合同约定施工、竣工和交付工程，并承担质量缺陷保修和养护责任。在我方的上述投标报价中，包括：</w:t>
      </w:r>
    </w:p>
    <w:p>
      <w:pPr>
        <w:spacing w:line="380" w:lineRule="exact"/>
        <w:ind w:firstLine="488"/>
        <w:rPr>
          <w:sz w:val="24"/>
        </w:rPr>
      </w:pPr>
      <w:r>
        <w:rPr>
          <w:rFonts w:hint="eastAsia"/>
          <w:sz w:val="24"/>
        </w:rPr>
        <w:t>安全文明施工费（含税）</w:t>
      </w:r>
      <w:r>
        <w:rPr>
          <w:sz w:val="24"/>
        </w:rPr>
        <w:t>RMB</w:t>
      </w:r>
      <w:r>
        <w:rPr>
          <w:rFonts w:hint="eastAsia"/>
          <w:sz w:val="24"/>
        </w:rPr>
        <w:t>￥：</w:t>
      </w:r>
      <w:r>
        <w:rPr>
          <w:sz w:val="24"/>
          <w:u w:val="single"/>
        </w:rPr>
        <w:t xml:space="preserve">                                   </w:t>
      </w:r>
      <w:r>
        <w:rPr>
          <w:rFonts w:hint="eastAsia"/>
          <w:sz w:val="24"/>
        </w:rPr>
        <w:t>元</w:t>
      </w:r>
    </w:p>
    <w:p>
      <w:pPr>
        <w:spacing w:line="380" w:lineRule="exact"/>
        <w:ind w:firstLine="488"/>
        <w:rPr>
          <w:sz w:val="24"/>
        </w:rPr>
      </w:pPr>
      <w:r>
        <w:rPr>
          <w:rFonts w:hint="eastAsia"/>
          <w:sz w:val="24"/>
        </w:rPr>
        <w:t>农民工工伤保险费（含税）</w:t>
      </w:r>
      <w:r>
        <w:rPr>
          <w:sz w:val="24"/>
        </w:rPr>
        <w:t>RMB</w:t>
      </w:r>
      <w:r>
        <w:rPr>
          <w:rFonts w:hint="eastAsia"/>
          <w:sz w:val="24"/>
        </w:rPr>
        <w:t>￥：</w:t>
      </w:r>
      <w:r>
        <w:rPr>
          <w:sz w:val="24"/>
          <w:u w:val="single"/>
        </w:rPr>
        <w:t xml:space="preserve">                                  </w:t>
      </w:r>
      <w:r>
        <w:rPr>
          <w:rFonts w:hint="eastAsia"/>
          <w:sz w:val="24"/>
        </w:rPr>
        <w:t>元</w:t>
      </w:r>
    </w:p>
    <w:p>
      <w:pPr>
        <w:spacing w:line="380" w:lineRule="exact"/>
        <w:ind w:firstLine="488"/>
        <w:rPr>
          <w:sz w:val="24"/>
        </w:rPr>
      </w:pPr>
      <w:r>
        <w:rPr>
          <w:rFonts w:hint="eastAsia"/>
          <w:sz w:val="24"/>
        </w:rPr>
        <w:t>暂列金额（不包括计日工部分）（含税）合计金额</w:t>
      </w:r>
      <w:r>
        <w:rPr>
          <w:sz w:val="24"/>
        </w:rPr>
        <w:t>RMB</w:t>
      </w:r>
      <w:r>
        <w:rPr>
          <w:rFonts w:hint="eastAsia"/>
          <w:sz w:val="24"/>
        </w:rPr>
        <w:t>￥：</w:t>
      </w:r>
      <w:r>
        <w:rPr>
          <w:sz w:val="24"/>
          <w:u w:val="single"/>
        </w:rPr>
        <w:t xml:space="preserve">             </w:t>
      </w:r>
      <w:r>
        <w:rPr>
          <w:rFonts w:hint="eastAsia"/>
          <w:sz w:val="24"/>
        </w:rPr>
        <w:t>元</w:t>
      </w:r>
    </w:p>
    <w:p>
      <w:pPr>
        <w:spacing w:line="380" w:lineRule="exact"/>
        <w:ind w:firstLine="488"/>
        <w:rPr>
          <w:sz w:val="24"/>
        </w:rPr>
      </w:pPr>
      <w:r>
        <w:rPr>
          <w:rFonts w:hint="eastAsia"/>
          <w:sz w:val="24"/>
        </w:rPr>
        <w:t>专业工程暂估价（含税）合计金额</w:t>
      </w:r>
      <w:r>
        <w:rPr>
          <w:sz w:val="24"/>
        </w:rPr>
        <w:t>RMB</w:t>
      </w:r>
      <w:r>
        <w:rPr>
          <w:rFonts w:hint="eastAsia"/>
          <w:sz w:val="24"/>
        </w:rPr>
        <w:t>￥：</w:t>
      </w:r>
      <w:r>
        <w:rPr>
          <w:sz w:val="24"/>
          <w:u w:val="single"/>
        </w:rPr>
        <w:t xml:space="preserve">                         </w:t>
      </w:r>
      <w:r>
        <w:rPr>
          <w:sz w:val="24"/>
        </w:rPr>
        <w:t xml:space="preserve"> </w:t>
      </w:r>
      <w:r>
        <w:rPr>
          <w:rFonts w:hint="eastAsia"/>
          <w:sz w:val="24"/>
        </w:rPr>
        <w:t>元</w:t>
      </w:r>
    </w:p>
    <w:p>
      <w:pPr>
        <w:spacing w:line="380" w:lineRule="exact"/>
        <w:ind w:firstLine="488"/>
        <w:rPr>
          <w:sz w:val="24"/>
        </w:rPr>
      </w:pPr>
      <w:r>
        <w:rPr>
          <w:rFonts w:hint="eastAsia"/>
          <w:sz w:val="24"/>
        </w:rPr>
        <w:t>材料和设备暂估价（含税）合计金额</w:t>
      </w:r>
      <w:r>
        <w:rPr>
          <w:sz w:val="24"/>
        </w:rPr>
        <w:t>RMB</w:t>
      </w:r>
      <w:r>
        <w:rPr>
          <w:rFonts w:hint="eastAsia"/>
          <w:sz w:val="24"/>
        </w:rPr>
        <w:t>￥：</w:t>
      </w:r>
      <w:r>
        <w:rPr>
          <w:sz w:val="24"/>
          <w:u w:val="single"/>
        </w:rPr>
        <w:t xml:space="preserve">                        </w:t>
      </w:r>
      <w:r>
        <w:rPr>
          <w:rFonts w:hint="eastAsia"/>
          <w:sz w:val="24"/>
        </w:rPr>
        <w:t>元</w:t>
      </w:r>
    </w:p>
    <w:p>
      <w:pPr>
        <w:spacing w:line="380" w:lineRule="exact"/>
        <w:ind w:firstLine="488"/>
        <w:rPr>
          <w:sz w:val="24"/>
        </w:rPr>
      </w:pPr>
      <w:r>
        <w:rPr>
          <w:rFonts w:hint="eastAsia"/>
          <w:sz w:val="24"/>
        </w:rPr>
        <w:t>建筑垃圾运输处置费（含税）（元）：</w:t>
      </w:r>
      <w:r>
        <w:rPr>
          <w:sz w:val="24"/>
          <w:u w:val="single"/>
        </w:rPr>
        <w:t xml:space="preserve">                                    </w:t>
      </w:r>
    </w:p>
    <w:p>
      <w:pPr>
        <w:spacing w:line="380" w:lineRule="exact"/>
        <w:ind w:firstLine="488"/>
        <w:rPr>
          <w:sz w:val="24"/>
          <w:u w:val="single"/>
        </w:rPr>
      </w:pPr>
      <w:r>
        <w:rPr>
          <w:sz w:val="24"/>
          <w:u w:val="single"/>
        </w:rPr>
        <w:t xml:space="preserve">                                                                 </w:t>
      </w:r>
      <w:r>
        <w:rPr>
          <w:rFonts w:hint="eastAsia"/>
          <w:sz w:val="24"/>
          <w:u w:val="single"/>
        </w:rPr>
        <w:t xml:space="preserve">   </w:t>
      </w:r>
    </w:p>
    <w:p>
      <w:pPr>
        <w:tabs>
          <w:tab w:val="left" w:pos="7560"/>
        </w:tabs>
        <w:spacing w:line="380" w:lineRule="exact"/>
        <w:ind w:firstLine="488"/>
        <w:rPr>
          <w:sz w:val="24"/>
          <w:u w:val="single"/>
        </w:rPr>
      </w:pPr>
      <w:r>
        <w:rPr>
          <w:rFonts w:hint="eastAsia" w:hAnsi="宋体"/>
          <w:sz w:val="24"/>
        </w:rPr>
        <w:t>我方确认我方所提交的投标报价不低于成本。</w:t>
      </w:r>
    </w:p>
    <w:p>
      <w:pPr>
        <w:spacing w:line="380" w:lineRule="exact"/>
        <w:ind w:firstLine="424" w:firstLineChars="177"/>
        <w:jc w:val="left"/>
        <w:rPr>
          <w:sz w:val="24"/>
        </w:rPr>
      </w:pPr>
      <w:r>
        <w:rPr>
          <w:sz w:val="24"/>
        </w:rPr>
        <w:t>2</w:t>
      </w:r>
      <w:r>
        <w:rPr>
          <w:rFonts w:hAnsi="宋体"/>
          <w:sz w:val="24"/>
        </w:rPr>
        <w:t xml:space="preserve">. </w:t>
      </w:r>
      <w:r>
        <w:rPr>
          <w:rFonts w:hint="eastAsia" w:hAnsi="宋体"/>
          <w:sz w:val="24"/>
        </w:rPr>
        <w:t>如果我方中标，我方保证在</w:t>
      </w:r>
      <w:r>
        <w:rPr>
          <w:sz w:val="24"/>
          <w:u w:val="single"/>
        </w:rPr>
        <w:t xml:space="preserve">    </w:t>
      </w:r>
      <w:r>
        <w:rPr>
          <w:rFonts w:hint="eastAsia" w:hAnsi="宋体"/>
          <w:sz w:val="24"/>
        </w:rPr>
        <w:t>日历天内完成本工程，并确保工程质量达到</w:t>
      </w:r>
      <w:r>
        <w:rPr>
          <w:rFonts w:hAnsi="宋体"/>
          <w:sz w:val="24"/>
          <w:u w:val="single"/>
        </w:rPr>
        <w:t xml:space="preserve">      </w:t>
      </w:r>
      <w:r>
        <w:rPr>
          <w:rFonts w:hint="eastAsia" w:hAnsi="宋体"/>
          <w:sz w:val="24"/>
        </w:rPr>
        <w:t>标准。</w:t>
      </w:r>
    </w:p>
    <w:p>
      <w:pPr>
        <w:spacing w:line="380" w:lineRule="exact"/>
        <w:ind w:firstLine="488"/>
        <w:rPr>
          <w:sz w:val="24"/>
        </w:rPr>
      </w:pPr>
      <w:r>
        <w:rPr>
          <w:sz w:val="24"/>
        </w:rPr>
        <w:t>3</w:t>
      </w:r>
      <w:r>
        <w:rPr>
          <w:rFonts w:hAnsi="宋体"/>
          <w:sz w:val="24"/>
        </w:rPr>
        <w:t xml:space="preserve">. </w:t>
      </w:r>
      <w:r>
        <w:rPr>
          <w:rFonts w:hint="eastAsia" w:ascii="宋体" w:hAnsi="宋体"/>
          <w:sz w:val="24"/>
        </w:rPr>
        <w:t>本投标有效期为自提交投标文件的截止之日起</w:t>
      </w:r>
      <w:r>
        <w:rPr>
          <w:rFonts w:hint="eastAsia" w:ascii="宋体" w:hAnsi="宋体"/>
          <w:sz w:val="24"/>
          <w:u w:val="single"/>
        </w:rPr>
        <w:t xml:space="preserve">_  </w:t>
      </w:r>
      <w:r>
        <w:rPr>
          <w:rFonts w:hint="eastAsia" w:ascii="宋体" w:hAnsi="宋体"/>
          <w:sz w:val="24"/>
        </w:rPr>
        <w:t>个日历天，</w:t>
      </w:r>
      <w:r>
        <w:rPr>
          <w:rFonts w:hint="eastAsia" w:hAnsi="宋体"/>
          <w:sz w:val="24"/>
        </w:rPr>
        <w:t>我方同意本投标函和我方所提交的投标文件在招标文件中规定的投标有效期内有效，在此期间内如果我方中标，我方将受此约束。</w:t>
      </w:r>
    </w:p>
    <w:p>
      <w:pPr>
        <w:spacing w:line="380" w:lineRule="exact"/>
        <w:ind w:firstLine="488"/>
        <w:rPr>
          <w:sz w:val="24"/>
        </w:rPr>
      </w:pPr>
      <w:r>
        <w:rPr>
          <w:sz w:val="24"/>
        </w:rPr>
        <w:t xml:space="preserve">4. </w:t>
      </w:r>
      <w:r>
        <w:rPr>
          <w:rFonts w:hint="eastAsia"/>
          <w:sz w:val="24"/>
        </w:rPr>
        <w:t>随本投标函递交的投标函附录是本投标函的组成部分，对我方构成约束力。</w:t>
      </w:r>
    </w:p>
    <w:p>
      <w:pPr>
        <w:spacing w:line="380" w:lineRule="exact"/>
        <w:ind w:firstLine="488"/>
        <w:rPr>
          <w:sz w:val="24"/>
        </w:rPr>
      </w:pPr>
      <w:r>
        <w:rPr>
          <w:sz w:val="24"/>
        </w:rPr>
        <w:t xml:space="preserve">5. </w:t>
      </w:r>
      <w:r>
        <w:rPr>
          <w:rFonts w:hint="eastAsia"/>
          <w:sz w:val="24"/>
        </w:rPr>
        <w:t>随本投标函一起，我方递交投标担保一份，金额为人民币</w:t>
      </w:r>
      <w:r>
        <w:rPr>
          <w:sz w:val="24"/>
          <w:u w:val="single"/>
        </w:rPr>
        <w:t xml:space="preserve">        </w:t>
      </w:r>
      <w:r>
        <w:rPr>
          <w:rFonts w:hint="eastAsia"/>
          <w:sz w:val="24"/>
        </w:rPr>
        <w:t>元。</w:t>
      </w:r>
    </w:p>
    <w:p>
      <w:pPr>
        <w:spacing w:line="380" w:lineRule="exact"/>
        <w:ind w:firstLine="488"/>
        <w:rPr>
          <w:sz w:val="24"/>
        </w:rPr>
      </w:pPr>
      <w:r>
        <w:rPr>
          <w:sz w:val="24"/>
        </w:rPr>
        <w:t xml:space="preserve">6. </w:t>
      </w:r>
      <w:r>
        <w:rPr>
          <w:rFonts w:hint="eastAsia"/>
          <w:sz w:val="24"/>
        </w:rPr>
        <w:t>除非另外达成协议并生效，你方的中标通知书连同本投标函，包括投标函附录，对双方具有约束力。</w:t>
      </w:r>
    </w:p>
    <w:p>
      <w:pPr>
        <w:spacing w:line="380" w:lineRule="exact"/>
        <w:ind w:firstLine="488"/>
        <w:rPr>
          <w:sz w:val="24"/>
        </w:rPr>
      </w:pPr>
      <w:r>
        <w:rPr>
          <w:sz w:val="24"/>
        </w:rPr>
        <w:t>7</w:t>
      </w:r>
      <w:r>
        <w:rPr>
          <w:rFonts w:hAnsi="宋体"/>
          <w:sz w:val="24"/>
        </w:rPr>
        <w:t xml:space="preserve">. </w:t>
      </w:r>
      <w:r>
        <w:rPr>
          <w:rFonts w:hint="eastAsia" w:hAnsi="宋体"/>
          <w:sz w:val="24"/>
        </w:rPr>
        <w:t>我方承诺我方所提供的投标文件中证明文件是真实有效的，无弄虚作假现象。</w:t>
      </w:r>
    </w:p>
    <w:p>
      <w:pPr>
        <w:spacing w:line="380" w:lineRule="exact"/>
        <w:ind w:firstLine="488"/>
        <w:rPr>
          <w:sz w:val="24"/>
        </w:rPr>
      </w:pPr>
      <w:r>
        <w:rPr>
          <w:sz w:val="24"/>
        </w:rPr>
        <w:t xml:space="preserve">8. </w:t>
      </w:r>
      <w:r>
        <w:rPr>
          <w:rFonts w:hint="eastAsia"/>
          <w:sz w:val="24"/>
        </w:rPr>
        <w:t>我方承诺：我方拟派到本招标工程的项目负责人姓名</w:t>
      </w:r>
      <w:r>
        <w:rPr>
          <w:sz w:val="24"/>
          <w:u w:val="single"/>
        </w:rPr>
        <w:t xml:space="preserve">            </w:t>
      </w:r>
      <w:r>
        <w:rPr>
          <w:rFonts w:hint="eastAsia"/>
          <w:sz w:val="24"/>
        </w:rPr>
        <w:t>，与下载招标文件时所报人员一致，未经招标人同意在工程施工过程中不更换，且不再在其他工程中任职。若我方未经招标人批准更换项目负责人或项目负责人在其他工程任职，我方愿承担相应的违约责任，并同意招标人可据此情况解除施工合同。</w:t>
      </w:r>
    </w:p>
    <w:p>
      <w:pPr>
        <w:spacing w:line="380" w:lineRule="exact"/>
        <w:ind w:firstLine="991" w:firstLineChars="413"/>
        <w:rPr>
          <w:sz w:val="24"/>
          <w:u w:val="single"/>
        </w:rPr>
      </w:pPr>
      <w:r>
        <w:rPr>
          <w:rFonts w:hint="eastAsia" w:hAnsi="宋体"/>
          <w:sz w:val="24"/>
        </w:rPr>
        <w:t>投</w:t>
      </w:r>
      <w:r>
        <w:rPr>
          <w:sz w:val="24"/>
        </w:rPr>
        <w:t xml:space="preserve"> </w:t>
      </w:r>
      <w:r>
        <w:rPr>
          <w:rFonts w:hint="eastAsia" w:hAnsi="宋体"/>
          <w:sz w:val="24"/>
        </w:rPr>
        <w:t>标</w:t>
      </w:r>
      <w:r>
        <w:rPr>
          <w:sz w:val="24"/>
        </w:rPr>
        <w:t xml:space="preserve"> </w:t>
      </w:r>
      <w:r>
        <w:rPr>
          <w:rFonts w:hint="eastAsia" w:hAnsi="宋体"/>
          <w:sz w:val="24"/>
        </w:rPr>
        <w:t>人：</w:t>
      </w:r>
      <w:r>
        <w:rPr>
          <w:sz w:val="24"/>
          <w:u w:val="single"/>
        </w:rPr>
        <w:t xml:space="preserve">     </w:t>
      </w:r>
      <w:r>
        <w:rPr>
          <w:rFonts w:hint="eastAsia" w:hAnsi="宋体"/>
          <w:sz w:val="24"/>
          <w:u w:val="single"/>
        </w:rPr>
        <w:t>（盖企业</w:t>
      </w:r>
      <w:r>
        <w:rPr>
          <w:rFonts w:hAnsi="宋体"/>
          <w:sz w:val="24"/>
          <w:u w:val="single"/>
        </w:rPr>
        <w:t>CA</w:t>
      </w:r>
      <w:r>
        <w:rPr>
          <w:rFonts w:hint="eastAsia" w:hAnsi="宋体"/>
          <w:sz w:val="24"/>
          <w:u w:val="single"/>
        </w:rPr>
        <w:t>电子印章）</w:t>
      </w:r>
      <w:r>
        <w:rPr>
          <w:sz w:val="24"/>
          <w:u w:val="single"/>
        </w:rPr>
        <w:t xml:space="preserve">               </w:t>
      </w:r>
    </w:p>
    <w:p>
      <w:pPr>
        <w:spacing w:line="380" w:lineRule="exact"/>
        <w:ind w:left="1000"/>
        <w:rPr>
          <w:sz w:val="24"/>
          <w:u w:val="single"/>
        </w:rPr>
      </w:pPr>
      <w:r>
        <w:rPr>
          <w:rFonts w:hint="eastAsia" w:hAnsi="宋体"/>
          <w:sz w:val="24"/>
        </w:rPr>
        <w:t>单位地址：</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 xml:space="preserve">                      </w:t>
      </w:r>
    </w:p>
    <w:p>
      <w:pPr>
        <w:spacing w:line="380" w:lineRule="exact"/>
        <w:ind w:left="1000"/>
        <w:rPr>
          <w:sz w:val="24"/>
          <w:u w:val="single"/>
        </w:rPr>
      </w:pPr>
      <w:r>
        <w:rPr>
          <w:rFonts w:hint="eastAsia" w:hAnsi="宋体"/>
          <w:sz w:val="24"/>
        </w:rPr>
        <w:t>法定代表人或其委托代理人：</w:t>
      </w:r>
      <w:r>
        <w:rPr>
          <w:sz w:val="24"/>
          <w:u w:val="single"/>
        </w:rPr>
        <w:t xml:space="preserve">   </w:t>
      </w:r>
      <w:r>
        <w:rPr>
          <w:rFonts w:hint="eastAsia" w:hAnsi="宋体"/>
          <w:sz w:val="24"/>
          <w:u w:val="single"/>
        </w:rPr>
        <w:t>（盖个人</w:t>
      </w:r>
      <w:r>
        <w:rPr>
          <w:rFonts w:hAnsi="宋体"/>
          <w:sz w:val="24"/>
          <w:u w:val="single"/>
        </w:rPr>
        <w:t>CA</w:t>
      </w:r>
      <w:r>
        <w:rPr>
          <w:rFonts w:hint="eastAsia" w:hAnsi="宋体"/>
          <w:sz w:val="24"/>
          <w:u w:val="single"/>
        </w:rPr>
        <w:t>电子印章）</w:t>
      </w:r>
      <w:r>
        <w:rPr>
          <w:sz w:val="24"/>
          <w:u w:val="single"/>
        </w:rPr>
        <w:t xml:space="preserve"> </w:t>
      </w:r>
    </w:p>
    <w:p>
      <w:pPr>
        <w:spacing w:line="380" w:lineRule="exact"/>
        <w:ind w:left="1000"/>
        <w:rPr>
          <w:sz w:val="24"/>
        </w:rPr>
      </w:pPr>
      <w:r>
        <w:rPr>
          <w:rFonts w:hint="eastAsia" w:hAnsi="宋体"/>
          <w:sz w:val="24"/>
        </w:rPr>
        <w:t>邮政编码：</w:t>
      </w:r>
      <w:r>
        <w:rPr>
          <w:sz w:val="24"/>
          <w:u w:val="single"/>
        </w:rPr>
        <w:tab/>
      </w:r>
      <w:r>
        <w:rPr>
          <w:sz w:val="24"/>
          <w:u w:val="single"/>
        </w:rPr>
        <w:tab/>
      </w:r>
      <w:r>
        <w:rPr>
          <w:rFonts w:hint="eastAsia" w:hAnsi="宋体"/>
          <w:sz w:val="24"/>
        </w:rPr>
        <w:t>电话：</w:t>
      </w:r>
      <w:r>
        <w:rPr>
          <w:sz w:val="24"/>
          <w:u w:val="single"/>
        </w:rPr>
        <w:tab/>
      </w:r>
      <w:r>
        <w:rPr>
          <w:sz w:val="24"/>
          <w:u w:val="single"/>
        </w:rPr>
        <w:t xml:space="preserve">    </w:t>
      </w:r>
      <w:r>
        <w:rPr>
          <w:sz w:val="24"/>
          <w:u w:val="single"/>
        </w:rPr>
        <w:tab/>
      </w:r>
      <w:r>
        <w:rPr>
          <w:sz w:val="24"/>
        </w:rPr>
        <w:t xml:space="preserve"> </w:t>
      </w:r>
      <w:r>
        <w:rPr>
          <w:rFonts w:hint="eastAsia" w:hAnsi="宋体"/>
          <w:sz w:val="24"/>
        </w:rPr>
        <w:t>传真：</w:t>
      </w:r>
      <w:r>
        <w:rPr>
          <w:sz w:val="24"/>
          <w:u w:val="single"/>
        </w:rPr>
        <w:tab/>
      </w:r>
      <w:r>
        <w:rPr>
          <w:sz w:val="24"/>
          <w:u w:val="single"/>
        </w:rPr>
        <w:t xml:space="preserve">    </w:t>
      </w:r>
      <w:r>
        <w:rPr>
          <w:sz w:val="24"/>
          <w:u w:val="single"/>
        </w:rPr>
        <w:tab/>
      </w:r>
    </w:p>
    <w:p>
      <w:pPr>
        <w:spacing w:line="380" w:lineRule="exact"/>
        <w:ind w:left="1000"/>
        <w:rPr>
          <w:sz w:val="24"/>
        </w:rPr>
      </w:pPr>
      <w:r>
        <w:rPr>
          <w:rFonts w:hint="eastAsia" w:hAnsi="宋体"/>
          <w:sz w:val="24"/>
        </w:rPr>
        <w:t>开户银行名称：</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pPr>
        <w:spacing w:line="380" w:lineRule="exact"/>
        <w:ind w:left="1000"/>
        <w:rPr>
          <w:sz w:val="24"/>
        </w:rPr>
      </w:pPr>
      <w:r>
        <w:rPr>
          <w:rFonts w:hint="eastAsia" w:hAnsi="宋体"/>
          <w:sz w:val="24"/>
        </w:rPr>
        <w:t>开户银行帐号：</w:t>
      </w:r>
      <w:r>
        <w:rPr>
          <w:sz w:val="24"/>
          <w:u w:val="single"/>
        </w:rPr>
        <w:tab/>
      </w:r>
      <w:r>
        <w:rPr>
          <w:sz w:val="24"/>
          <w:u w:val="single"/>
        </w:rPr>
        <w:tab/>
      </w:r>
      <w:r>
        <w:rPr>
          <w:sz w:val="24"/>
          <w:u w:val="single"/>
        </w:rPr>
        <w:tab/>
      </w:r>
      <w:r>
        <w:rPr>
          <w:sz w:val="24"/>
          <w:u w:val="single"/>
        </w:rPr>
        <w:tab/>
      </w:r>
      <w:r>
        <w:rPr>
          <w:sz w:val="24"/>
          <w:u w:val="single"/>
        </w:rPr>
        <w:t xml:space="preserve">  </w:t>
      </w:r>
      <w:r>
        <w:rPr>
          <w:sz w:val="24"/>
          <w:u w:val="single"/>
        </w:rPr>
        <w:tab/>
      </w:r>
      <w:r>
        <w:rPr>
          <w:sz w:val="24"/>
          <w:u w:val="single"/>
        </w:rPr>
        <w:tab/>
      </w:r>
      <w:r>
        <w:rPr>
          <w:sz w:val="24"/>
          <w:u w:val="single"/>
        </w:rPr>
        <w:tab/>
      </w:r>
    </w:p>
    <w:p>
      <w:pPr>
        <w:spacing w:before="60" w:beforeLines="25" w:after="60" w:afterLines="25"/>
        <w:ind w:firstLine="5040" w:firstLineChars="2100"/>
        <w:rPr>
          <w:rFonts w:hAnsi="宋体"/>
          <w:sz w:val="24"/>
        </w:rPr>
      </w:pPr>
      <w:r>
        <w:rPr>
          <w:rFonts w:hint="eastAsia" w:hAnsi="宋体"/>
          <w:sz w:val="24"/>
        </w:rPr>
        <w:t>日期：</w:t>
      </w:r>
      <w:r>
        <w:rPr>
          <w:sz w:val="24"/>
        </w:rPr>
        <w:t>_____</w:t>
      </w:r>
      <w:r>
        <w:rPr>
          <w:rFonts w:hint="eastAsia" w:hAnsi="宋体"/>
          <w:sz w:val="24"/>
        </w:rPr>
        <w:t>年</w:t>
      </w:r>
      <w:r>
        <w:rPr>
          <w:sz w:val="24"/>
        </w:rPr>
        <w:t>____</w:t>
      </w:r>
      <w:r>
        <w:rPr>
          <w:rFonts w:hint="eastAsia" w:hAnsi="宋体"/>
          <w:sz w:val="24"/>
        </w:rPr>
        <w:t>月</w:t>
      </w:r>
      <w:r>
        <w:rPr>
          <w:sz w:val="24"/>
        </w:rPr>
        <w:t>____</w:t>
      </w:r>
      <w:r>
        <w:rPr>
          <w:rFonts w:hint="eastAsia" w:hAnsi="宋体"/>
          <w:sz w:val="24"/>
        </w:rPr>
        <w:t>日</w:t>
      </w:r>
    </w:p>
    <w:p>
      <w:pPr>
        <w:pStyle w:val="5"/>
        <w:ind w:left="-59"/>
        <w:rPr>
          <w:sz w:val="30"/>
          <w:szCs w:val="30"/>
        </w:rPr>
      </w:pPr>
      <w:bookmarkStart w:id="1477" w:name="_Toc249901961"/>
      <w:bookmarkStart w:id="1478" w:name="_Toc455409876"/>
      <w:bookmarkStart w:id="1479" w:name="_Toc258414748"/>
      <w:bookmarkStart w:id="1480" w:name="_Toc419547944"/>
      <w:bookmarkStart w:id="1481" w:name="_Toc247566602"/>
      <w:bookmarkStart w:id="1482" w:name="_Toc396818242"/>
      <w:bookmarkStart w:id="1483" w:name="_Toc470011352"/>
      <w:bookmarkStart w:id="1484" w:name="_Toc419547398"/>
      <w:bookmarkStart w:id="1485" w:name="_Toc381265960"/>
      <w:r>
        <w:rPr>
          <w:rFonts w:hint="eastAsia"/>
          <w:sz w:val="30"/>
          <w:szCs w:val="30"/>
        </w:rPr>
        <w:t>二、投标函附录</w:t>
      </w:r>
      <w:bookmarkEnd w:id="1477"/>
      <w:bookmarkEnd w:id="1478"/>
      <w:bookmarkEnd w:id="1479"/>
      <w:bookmarkEnd w:id="1480"/>
      <w:bookmarkEnd w:id="1481"/>
      <w:bookmarkEnd w:id="1482"/>
      <w:bookmarkEnd w:id="1483"/>
      <w:bookmarkEnd w:id="1484"/>
      <w:bookmarkEnd w:id="1485"/>
    </w:p>
    <w:tbl>
      <w:tblPr>
        <w:tblStyle w:val="49"/>
        <w:tblW w:w="8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0"/>
        <w:gridCol w:w="6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20" w:type="dxa"/>
          </w:tcPr>
          <w:p>
            <w:pPr>
              <w:tabs>
                <w:tab w:val="left" w:pos="3780"/>
              </w:tabs>
              <w:snapToGrid w:val="0"/>
              <w:spacing w:before="120" w:beforeLines="50" w:after="120" w:afterLines="50"/>
              <w:rPr>
                <w:szCs w:val="21"/>
              </w:rPr>
            </w:pPr>
            <w:r>
              <w:rPr>
                <w:rFonts w:hint="eastAsia" w:hAnsi="宋体"/>
                <w:szCs w:val="21"/>
              </w:rPr>
              <w:t>工程名称</w:t>
            </w:r>
          </w:p>
        </w:tc>
        <w:tc>
          <w:tcPr>
            <w:tcW w:w="6759" w:type="dxa"/>
          </w:tcPr>
          <w:p>
            <w:pPr>
              <w:tabs>
                <w:tab w:val="left" w:pos="3780"/>
              </w:tabs>
              <w:spacing w:before="60" w:beforeLines="25" w:after="60" w:afterLines="25"/>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0" w:type="dxa"/>
          </w:tcPr>
          <w:p>
            <w:pPr>
              <w:tabs>
                <w:tab w:val="left" w:pos="3780"/>
              </w:tabs>
              <w:snapToGrid w:val="0"/>
              <w:spacing w:before="120" w:beforeLines="50" w:after="120" w:afterLines="50"/>
              <w:rPr>
                <w:szCs w:val="21"/>
              </w:rPr>
            </w:pPr>
            <w:r>
              <w:rPr>
                <w:rFonts w:hint="eastAsia" w:hAnsi="宋体"/>
                <w:szCs w:val="21"/>
              </w:rPr>
              <w:t>工程规模</w:t>
            </w:r>
          </w:p>
        </w:tc>
        <w:tc>
          <w:tcPr>
            <w:tcW w:w="6759" w:type="dxa"/>
          </w:tcPr>
          <w:p>
            <w:pPr>
              <w:tabs>
                <w:tab w:val="left" w:pos="3780"/>
              </w:tabs>
              <w:spacing w:before="60" w:beforeLines="25" w:after="60" w:afterLines="25"/>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0" w:type="dxa"/>
            <w:vAlign w:val="center"/>
          </w:tcPr>
          <w:p>
            <w:pPr>
              <w:tabs>
                <w:tab w:val="left" w:pos="3780"/>
              </w:tabs>
              <w:snapToGrid w:val="0"/>
              <w:spacing w:before="120" w:beforeLines="50" w:after="120" w:afterLines="50"/>
              <w:rPr>
                <w:szCs w:val="21"/>
              </w:rPr>
            </w:pPr>
            <w:r>
              <w:rPr>
                <w:rFonts w:hint="eastAsia" w:hAnsi="宋体"/>
                <w:szCs w:val="21"/>
              </w:rPr>
              <w:t>计划开工日期</w:t>
            </w:r>
          </w:p>
        </w:tc>
        <w:tc>
          <w:tcPr>
            <w:tcW w:w="6759" w:type="dxa"/>
            <w:vAlign w:val="center"/>
          </w:tcPr>
          <w:p>
            <w:pPr>
              <w:tabs>
                <w:tab w:val="left" w:pos="3780"/>
              </w:tabs>
              <w:spacing w:before="60" w:beforeLines="25" w:after="60" w:afterLines="25"/>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0" w:type="dxa"/>
          </w:tcPr>
          <w:p>
            <w:pPr>
              <w:tabs>
                <w:tab w:val="left" w:pos="3780"/>
              </w:tabs>
              <w:snapToGrid w:val="0"/>
              <w:spacing w:before="120" w:beforeLines="50" w:after="120" w:afterLines="50"/>
              <w:rPr>
                <w:rFonts w:hAnsi="宋体"/>
                <w:szCs w:val="21"/>
              </w:rPr>
            </w:pPr>
            <w:r>
              <w:rPr>
                <w:rFonts w:hint="eastAsia" w:hAnsi="宋体"/>
                <w:szCs w:val="21"/>
              </w:rPr>
              <w:t>总工期</w:t>
            </w:r>
          </w:p>
        </w:tc>
        <w:tc>
          <w:tcPr>
            <w:tcW w:w="6759" w:type="dxa"/>
            <w:vAlign w:val="center"/>
          </w:tcPr>
          <w:p>
            <w:pPr>
              <w:tabs>
                <w:tab w:val="left" w:pos="3780"/>
              </w:tabs>
              <w:spacing w:before="60" w:beforeLines="25" w:after="60" w:afterLines="25"/>
              <w:ind w:left="-55" w:leftChars="-26"/>
              <w:rPr>
                <w:rFonts w:ascii="宋体"/>
                <w:szCs w:val="21"/>
              </w:rPr>
            </w:pPr>
            <w:r>
              <w:rPr>
                <w:rFonts w:ascii="宋体" w:hAnsi="宋体"/>
                <w:szCs w:val="21"/>
              </w:rPr>
              <w:t xml:space="preserve"> </w:t>
            </w:r>
            <w:r>
              <w:rPr>
                <w:rFonts w:ascii="宋体" w:hAnsi="宋体"/>
                <w:szCs w:val="21"/>
                <w:u w:val="single"/>
              </w:rPr>
              <w:t xml:space="preserve">           </w:t>
            </w:r>
            <w:r>
              <w:rPr>
                <w:rFonts w:hint="eastAsia" w:ascii="宋体" w:hAnsi="宋体"/>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0" w:type="dxa"/>
          </w:tcPr>
          <w:p>
            <w:pPr>
              <w:tabs>
                <w:tab w:val="center" w:pos="31"/>
              </w:tabs>
              <w:snapToGrid w:val="0"/>
              <w:spacing w:before="120" w:beforeLines="50" w:after="120" w:afterLines="50"/>
              <w:jc w:val="left"/>
              <w:rPr>
                <w:szCs w:val="21"/>
              </w:rPr>
            </w:pPr>
            <w:r>
              <w:rPr>
                <w:rFonts w:hAnsi="宋体"/>
                <w:szCs w:val="21"/>
              </w:rPr>
              <w:tab/>
            </w:r>
            <w:r>
              <w:rPr>
                <w:rFonts w:hint="eastAsia" w:hAnsi="宋体"/>
                <w:szCs w:val="21"/>
              </w:rPr>
              <w:t>养护期</w:t>
            </w:r>
          </w:p>
        </w:tc>
        <w:tc>
          <w:tcPr>
            <w:tcW w:w="6759" w:type="dxa"/>
            <w:vAlign w:val="center"/>
          </w:tcPr>
          <w:p>
            <w:pPr>
              <w:tabs>
                <w:tab w:val="left" w:pos="3780"/>
              </w:tabs>
              <w:spacing w:before="60" w:beforeLines="25" w:after="60" w:afterLines="25"/>
              <w:ind w:left="-2" w:leftChars="-6" w:hanging="10" w:hangingChars="5"/>
              <w:rPr>
                <w:rFonts w:ascii="宋体"/>
                <w:szCs w:val="21"/>
              </w:rPr>
            </w:pPr>
            <w:r>
              <w:rPr>
                <w:rFonts w:ascii="宋体" w:hAnsi="宋体"/>
                <w:szCs w:val="21"/>
                <w:u w:val="single"/>
              </w:rPr>
              <w:t xml:space="preserve">           </w:t>
            </w:r>
            <w:r>
              <w:rPr>
                <w:rFonts w:hint="eastAsia" w:ascii="宋体" w:hAnsi="宋体"/>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0" w:type="dxa"/>
          </w:tcPr>
          <w:p>
            <w:pPr>
              <w:tabs>
                <w:tab w:val="left" w:pos="3780"/>
              </w:tabs>
              <w:snapToGrid w:val="0"/>
              <w:spacing w:before="120" w:beforeLines="50" w:after="120" w:afterLines="50"/>
              <w:rPr>
                <w:szCs w:val="21"/>
              </w:rPr>
            </w:pPr>
            <w:r>
              <w:rPr>
                <w:rFonts w:hint="eastAsia" w:hAnsi="宋体"/>
                <w:szCs w:val="21"/>
              </w:rPr>
              <w:t>工程质量标准</w:t>
            </w:r>
          </w:p>
        </w:tc>
        <w:tc>
          <w:tcPr>
            <w:tcW w:w="6759" w:type="dxa"/>
          </w:tcPr>
          <w:p>
            <w:pPr>
              <w:tabs>
                <w:tab w:val="left" w:pos="3780"/>
              </w:tabs>
              <w:spacing w:before="60" w:beforeLines="25" w:after="60" w:afterLines="25"/>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0" w:type="dxa"/>
          </w:tcPr>
          <w:p>
            <w:pPr>
              <w:tabs>
                <w:tab w:val="left" w:pos="3780"/>
              </w:tabs>
              <w:snapToGrid w:val="0"/>
              <w:spacing w:before="120" w:beforeLines="50" w:after="120" w:afterLines="50"/>
              <w:rPr>
                <w:rFonts w:hAnsi="宋体"/>
                <w:szCs w:val="21"/>
              </w:rPr>
            </w:pPr>
            <w:r>
              <w:rPr>
                <w:rFonts w:hint="eastAsia" w:hAnsi="宋体"/>
                <w:szCs w:val="21"/>
              </w:rPr>
              <w:t>养护等级</w:t>
            </w:r>
          </w:p>
        </w:tc>
        <w:tc>
          <w:tcPr>
            <w:tcW w:w="6759" w:type="dxa"/>
          </w:tcPr>
          <w:p>
            <w:pPr>
              <w:tabs>
                <w:tab w:val="left" w:pos="3780"/>
              </w:tabs>
              <w:spacing w:before="60" w:beforeLines="25" w:after="60" w:afterLines="25"/>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920" w:type="dxa"/>
            <w:vAlign w:val="center"/>
          </w:tcPr>
          <w:p>
            <w:pPr>
              <w:tabs>
                <w:tab w:val="left" w:pos="3780"/>
              </w:tabs>
              <w:spacing w:before="60" w:beforeLines="25" w:after="60" w:afterLines="25"/>
              <w:rPr>
                <w:szCs w:val="21"/>
              </w:rPr>
            </w:pPr>
            <w:r>
              <w:rPr>
                <w:rFonts w:hint="eastAsia" w:hAnsi="宋体"/>
                <w:szCs w:val="21"/>
              </w:rPr>
              <w:t>对招标文件的确认和意见</w:t>
            </w:r>
          </w:p>
        </w:tc>
        <w:tc>
          <w:tcPr>
            <w:tcW w:w="6759" w:type="dxa"/>
            <w:vAlign w:val="center"/>
          </w:tcPr>
          <w:p>
            <w:pPr>
              <w:tabs>
                <w:tab w:val="left" w:pos="3780"/>
              </w:tabs>
              <w:spacing w:before="60" w:beforeLines="25" w:after="60" w:afterLines="25"/>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920" w:type="dxa"/>
            <w:vAlign w:val="center"/>
          </w:tcPr>
          <w:p>
            <w:pPr>
              <w:tabs>
                <w:tab w:val="left" w:pos="3780"/>
              </w:tabs>
              <w:spacing w:before="60" w:beforeLines="25" w:after="60" w:afterLines="25"/>
              <w:rPr>
                <w:szCs w:val="21"/>
              </w:rPr>
            </w:pPr>
            <w:r>
              <w:rPr>
                <w:rFonts w:hint="eastAsia" w:hAnsi="宋体"/>
                <w:szCs w:val="21"/>
              </w:rPr>
              <w:t>报价中未包含内容及要求招标人的配合条件</w:t>
            </w:r>
          </w:p>
        </w:tc>
        <w:tc>
          <w:tcPr>
            <w:tcW w:w="6759" w:type="dxa"/>
            <w:vAlign w:val="center"/>
          </w:tcPr>
          <w:p>
            <w:pPr>
              <w:tabs>
                <w:tab w:val="left" w:pos="3780"/>
              </w:tabs>
              <w:spacing w:before="60" w:beforeLines="25" w:after="60" w:afterLines="25"/>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1920" w:type="dxa"/>
            <w:vAlign w:val="center"/>
          </w:tcPr>
          <w:p>
            <w:pPr>
              <w:tabs>
                <w:tab w:val="left" w:pos="3780"/>
              </w:tabs>
              <w:spacing w:before="60" w:beforeLines="25" w:after="60" w:afterLines="25"/>
              <w:rPr>
                <w:szCs w:val="21"/>
              </w:rPr>
            </w:pPr>
            <w:r>
              <w:rPr>
                <w:rFonts w:hint="eastAsia" w:hAnsi="宋体"/>
                <w:szCs w:val="21"/>
              </w:rPr>
              <w:t>投标报价需要说明的问题</w:t>
            </w:r>
          </w:p>
        </w:tc>
        <w:tc>
          <w:tcPr>
            <w:tcW w:w="6759" w:type="dxa"/>
            <w:vAlign w:val="center"/>
          </w:tcPr>
          <w:p>
            <w:pPr>
              <w:tabs>
                <w:tab w:val="left" w:pos="321"/>
                <w:tab w:val="left" w:pos="3780"/>
              </w:tabs>
              <w:spacing w:before="60" w:beforeLines="25" w:after="60" w:afterLines="25"/>
              <w:rPr>
                <w:strike/>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jc w:val="center"/>
        </w:trPr>
        <w:tc>
          <w:tcPr>
            <w:tcW w:w="1920" w:type="dxa"/>
          </w:tcPr>
          <w:p>
            <w:pPr>
              <w:tabs>
                <w:tab w:val="left" w:pos="3780"/>
              </w:tabs>
              <w:spacing w:before="60" w:beforeLines="25" w:after="60" w:afterLines="25"/>
              <w:rPr>
                <w:szCs w:val="21"/>
              </w:rPr>
            </w:pPr>
            <w:r>
              <w:rPr>
                <w:rFonts w:hint="eastAsia" w:hAnsi="宋体"/>
                <w:szCs w:val="21"/>
              </w:rPr>
              <w:t>备注</w:t>
            </w:r>
          </w:p>
        </w:tc>
        <w:tc>
          <w:tcPr>
            <w:tcW w:w="6759" w:type="dxa"/>
          </w:tcPr>
          <w:p>
            <w:pPr>
              <w:tabs>
                <w:tab w:val="left" w:pos="3780"/>
              </w:tabs>
              <w:spacing w:before="60" w:beforeLines="25" w:after="60" w:afterLines="25"/>
              <w:rPr>
                <w:szCs w:val="21"/>
              </w:rPr>
            </w:pPr>
          </w:p>
        </w:tc>
      </w:tr>
    </w:tbl>
    <w:p>
      <w:pPr>
        <w:tabs>
          <w:tab w:val="left" w:pos="3780"/>
        </w:tabs>
      </w:pPr>
    </w:p>
    <w:p>
      <w:pPr>
        <w:tabs>
          <w:tab w:val="left" w:pos="3780"/>
        </w:tabs>
        <w:spacing w:line="460" w:lineRule="exact"/>
        <w:rPr>
          <w:szCs w:val="21"/>
        </w:rPr>
      </w:pPr>
      <w:r>
        <w:rPr>
          <w:rFonts w:hint="eastAsia" w:hAnsi="宋体"/>
          <w:szCs w:val="21"/>
        </w:rPr>
        <w:t>投标人：</w:t>
      </w:r>
      <w:r>
        <w:rPr>
          <w:szCs w:val="21"/>
          <w:u w:val="single"/>
        </w:rPr>
        <w:t xml:space="preserve">                               </w:t>
      </w:r>
      <w:r>
        <w:rPr>
          <w:rFonts w:hint="eastAsia" w:hAnsi="宋体"/>
          <w:szCs w:val="21"/>
          <w:u w:val="single"/>
        </w:rPr>
        <w:t>（盖企业</w:t>
      </w:r>
      <w:r>
        <w:rPr>
          <w:rFonts w:hAnsi="宋体"/>
          <w:szCs w:val="21"/>
          <w:u w:val="single"/>
        </w:rPr>
        <w:t>CA</w:t>
      </w:r>
      <w:r>
        <w:rPr>
          <w:rFonts w:hint="eastAsia" w:hAnsi="宋体"/>
          <w:szCs w:val="21"/>
          <w:u w:val="single"/>
        </w:rPr>
        <w:t>电子印章）</w:t>
      </w:r>
      <w:r>
        <w:rPr>
          <w:szCs w:val="21"/>
          <w:u w:val="single"/>
        </w:rPr>
        <w:t xml:space="preserve">       </w:t>
      </w:r>
    </w:p>
    <w:p>
      <w:pPr>
        <w:tabs>
          <w:tab w:val="left" w:pos="3780"/>
        </w:tabs>
        <w:spacing w:line="460" w:lineRule="exact"/>
        <w:rPr>
          <w:szCs w:val="21"/>
        </w:rPr>
      </w:pPr>
      <w:r>
        <w:rPr>
          <w:rFonts w:hint="eastAsia" w:hAnsi="宋体"/>
          <w:szCs w:val="21"/>
        </w:rPr>
        <w:t>法定代表人或其委托代理人：</w:t>
      </w:r>
      <w:r>
        <w:rPr>
          <w:szCs w:val="21"/>
          <w:u w:val="single"/>
        </w:rPr>
        <w:t xml:space="preserve">             </w:t>
      </w:r>
      <w:r>
        <w:rPr>
          <w:rFonts w:hint="eastAsia" w:hAnsi="宋体"/>
          <w:szCs w:val="21"/>
          <w:u w:val="single"/>
        </w:rPr>
        <w:t>（盖个人</w:t>
      </w:r>
      <w:r>
        <w:rPr>
          <w:rFonts w:hAnsi="宋体"/>
          <w:szCs w:val="21"/>
          <w:u w:val="single"/>
        </w:rPr>
        <w:t>CA</w:t>
      </w:r>
      <w:r>
        <w:rPr>
          <w:rFonts w:hint="eastAsia" w:hAnsi="宋体"/>
          <w:szCs w:val="21"/>
          <w:u w:val="single"/>
        </w:rPr>
        <w:t>电子印章）</w:t>
      </w:r>
      <w:r>
        <w:rPr>
          <w:szCs w:val="21"/>
          <w:u w:val="single"/>
        </w:rPr>
        <w:t xml:space="preserve">       </w:t>
      </w:r>
    </w:p>
    <w:p>
      <w:pPr>
        <w:tabs>
          <w:tab w:val="left" w:pos="3780"/>
        </w:tabs>
        <w:spacing w:line="460" w:lineRule="exact"/>
        <w:rPr>
          <w:szCs w:val="21"/>
        </w:rPr>
      </w:pPr>
      <w:r>
        <w:rPr>
          <w:rFonts w:hint="eastAsia" w:hAnsi="宋体"/>
          <w:szCs w:val="21"/>
        </w:rPr>
        <w:t>日期：</w:t>
      </w:r>
      <w:r>
        <w:rPr>
          <w:szCs w:val="21"/>
          <w:u w:val="single"/>
        </w:rPr>
        <w:t xml:space="preserve">       </w:t>
      </w:r>
      <w:r>
        <w:rPr>
          <w:rFonts w:hint="eastAsia" w:hAnsi="宋体"/>
          <w:szCs w:val="21"/>
        </w:rPr>
        <w:t>年</w:t>
      </w:r>
      <w:r>
        <w:rPr>
          <w:szCs w:val="21"/>
          <w:u w:val="single"/>
        </w:rPr>
        <w:t xml:space="preserve">   </w:t>
      </w:r>
      <w:r>
        <w:rPr>
          <w:rFonts w:hint="eastAsia" w:hAnsi="宋体"/>
          <w:szCs w:val="21"/>
        </w:rPr>
        <w:t>月</w:t>
      </w:r>
      <w:r>
        <w:rPr>
          <w:szCs w:val="21"/>
          <w:u w:val="single"/>
        </w:rPr>
        <w:t xml:space="preserve">   </w:t>
      </w:r>
      <w:r>
        <w:rPr>
          <w:rFonts w:hint="eastAsia" w:hAnsi="宋体"/>
          <w:szCs w:val="21"/>
        </w:rPr>
        <w:t>日</w:t>
      </w:r>
    </w:p>
    <w:p>
      <w:r>
        <w:br w:type="page"/>
      </w:r>
    </w:p>
    <w:p>
      <w:pPr>
        <w:pStyle w:val="5"/>
        <w:ind w:left="-59"/>
        <w:rPr>
          <w:rFonts w:hAnsi="宋体"/>
          <w:sz w:val="30"/>
          <w:szCs w:val="30"/>
        </w:rPr>
      </w:pPr>
      <w:bookmarkStart w:id="1486" w:name="_Toc381265961"/>
      <w:bookmarkStart w:id="1487" w:name="_Toc247388149"/>
      <w:bookmarkStart w:id="1488" w:name="_Toc247566603"/>
      <w:bookmarkStart w:id="1489" w:name="_Toc111482811"/>
      <w:bookmarkStart w:id="1490" w:name="_Toc396818243"/>
      <w:bookmarkStart w:id="1491" w:name="_Toc258414749"/>
      <w:bookmarkStart w:id="1492" w:name="_Toc419547945"/>
      <w:bookmarkStart w:id="1493" w:name="_Toc419547399"/>
      <w:bookmarkStart w:id="1494" w:name="_Toc249901962"/>
      <w:bookmarkStart w:id="1495" w:name="_Toc455409877"/>
      <w:bookmarkStart w:id="1496" w:name="_Toc470011353"/>
      <w:r>
        <w:rPr>
          <w:rFonts w:hint="eastAsia" w:hAnsi="宋体"/>
          <w:sz w:val="30"/>
          <w:szCs w:val="30"/>
        </w:rPr>
        <w:t>三、法定代表人身份证明书</w:t>
      </w:r>
      <w:bookmarkEnd w:id="1486"/>
      <w:bookmarkEnd w:id="1487"/>
      <w:bookmarkEnd w:id="1488"/>
      <w:bookmarkEnd w:id="1489"/>
      <w:bookmarkEnd w:id="1490"/>
      <w:bookmarkEnd w:id="1491"/>
      <w:bookmarkEnd w:id="1492"/>
      <w:bookmarkEnd w:id="1493"/>
      <w:bookmarkEnd w:id="1494"/>
      <w:bookmarkEnd w:id="1495"/>
      <w:bookmarkEnd w:id="1496"/>
    </w:p>
    <w:p>
      <w:pPr>
        <w:jc w:val="center"/>
        <w:rPr>
          <w:b/>
          <w:sz w:val="36"/>
        </w:rPr>
      </w:pPr>
    </w:p>
    <w:p>
      <w:pPr>
        <w:rPr>
          <w:b/>
        </w:rPr>
      </w:pPr>
    </w:p>
    <w:p>
      <w:pPr>
        <w:spacing w:line="480" w:lineRule="auto"/>
        <w:ind w:firstLine="612"/>
        <w:rPr>
          <w:sz w:val="24"/>
        </w:rPr>
      </w:pPr>
      <w:r>
        <w:rPr>
          <w:rFonts w:hint="eastAsia" w:hAnsi="宋体"/>
          <w:sz w:val="24"/>
        </w:rPr>
        <w:t>单位名称：</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pPr>
        <w:spacing w:line="480" w:lineRule="auto"/>
        <w:ind w:firstLine="610"/>
        <w:rPr>
          <w:sz w:val="24"/>
          <w:u w:val="single"/>
        </w:rPr>
      </w:pPr>
      <w:r>
        <w:rPr>
          <w:rFonts w:hint="eastAsia" w:hAnsi="宋体"/>
          <w:sz w:val="24"/>
        </w:rPr>
        <w:t>单位性质：</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pPr>
        <w:spacing w:line="480" w:lineRule="auto"/>
        <w:ind w:firstLine="610"/>
        <w:rPr>
          <w:sz w:val="24"/>
          <w:u w:val="single"/>
        </w:rPr>
      </w:pPr>
      <w:r>
        <w:rPr>
          <w:rFonts w:hint="eastAsia" w:hAnsi="宋体"/>
          <w:sz w:val="24"/>
        </w:rPr>
        <w:t>地</w:t>
      </w:r>
      <w:r>
        <w:rPr>
          <w:sz w:val="24"/>
        </w:rPr>
        <w:t xml:space="preserve">    </w:t>
      </w:r>
      <w:r>
        <w:rPr>
          <w:rFonts w:hint="eastAsia" w:hAnsi="宋体"/>
          <w:sz w:val="24"/>
        </w:rPr>
        <w:t>址：</w:t>
      </w:r>
      <w:r>
        <w:rPr>
          <w:sz w:val="24"/>
          <w:u w:val="single"/>
        </w:rPr>
        <w:tab/>
      </w:r>
      <w:r>
        <w:rPr>
          <w:sz w:val="24"/>
          <w:u w:val="single"/>
        </w:rPr>
        <w:tab/>
      </w:r>
      <w:r>
        <w:rPr>
          <w:sz w:val="24"/>
          <w:u w:val="single"/>
        </w:rPr>
        <w:t xml:space="preserve">  </w:t>
      </w:r>
      <w:r>
        <w:rPr>
          <w:sz w:val="24"/>
          <w:u w:val="single"/>
        </w:rPr>
        <w:tab/>
      </w:r>
      <w:r>
        <w:rPr>
          <w:sz w:val="24"/>
          <w:u w:val="single"/>
        </w:rPr>
        <w:tab/>
      </w:r>
      <w:r>
        <w:rPr>
          <w:sz w:val="24"/>
          <w:u w:val="single"/>
        </w:rPr>
        <w:tab/>
      </w:r>
      <w:r>
        <w:rPr>
          <w:sz w:val="24"/>
          <w:u w:val="single"/>
        </w:rPr>
        <w:t xml:space="preserve">       </w:t>
      </w:r>
      <w:r>
        <w:rPr>
          <w:sz w:val="24"/>
          <w:u w:val="single"/>
        </w:rPr>
        <w:tab/>
      </w:r>
      <w:r>
        <w:rPr>
          <w:sz w:val="24"/>
          <w:u w:val="single"/>
        </w:rPr>
        <w:tab/>
      </w:r>
    </w:p>
    <w:p>
      <w:pPr>
        <w:spacing w:line="480" w:lineRule="auto"/>
        <w:ind w:firstLine="610"/>
        <w:rPr>
          <w:sz w:val="24"/>
        </w:rPr>
      </w:pPr>
      <w:r>
        <w:rPr>
          <w:rFonts w:hint="eastAsia" w:hAnsi="宋体"/>
          <w:sz w:val="24"/>
        </w:rPr>
        <w:t>成立时间：</w:t>
      </w:r>
      <w:r>
        <w:rPr>
          <w:sz w:val="24"/>
          <w:u w:val="single"/>
        </w:rPr>
        <w:t xml:space="preserve">            </w:t>
      </w:r>
      <w:r>
        <w:rPr>
          <w:rFonts w:hint="eastAsia" w:hAnsi="宋体"/>
          <w:sz w:val="24"/>
        </w:rPr>
        <w:t>年</w:t>
      </w:r>
      <w:r>
        <w:rPr>
          <w:sz w:val="24"/>
          <w:u w:val="single"/>
        </w:rPr>
        <w:t xml:space="preserve">      </w:t>
      </w:r>
      <w:r>
        <w:rPr>
          <w:rFonts w:hint="eastAsia" w:hAnsi="宋体"/>
          <w:sz w:val="24"/>
        </w:rPr>
        <w:t>月</w:t>
      </w:r>
      <w:r>
        <w:rPr>
          <w:sz w:val="24"/>
          <w:u w:val="single"/>
        </w:rPr>
        <w:t xml:space="preserve">       </w:t>
      </w:r>
      <w:r>
        <w:rPr>
          <w:rFonts w:hint="eastAsia" w:hAnsi="宋体"/>
          <w:sz w:val="24"/>
        </w:rPr>
        <w:t>日</w:t>
      </w:r>
    </w:p>
    <w:p>
      <w:pPr>
        <w:spacing w:line="480" w:lineRule="auto"/>
        <w:ind w:firstLine="610"/>
        <w:rPr>
          <w:sz w:val="24"/>
          <w:u w:val="single"/>
        </w:rPr>
      </w:pPr>
      <w:r>
        <w:rPr>
          <w:rFonts w:hint="eastAsia" w:hAnsi="宋体"/>
          <w:sz w:val="24"/>
        </w:rPr>
        <w:t>经营期限：</w:t>
      </w:r>
      <w:r>
        <w:rPr>
          <w:sz w:val="24"/>
          <w:u w:val="single"/>
        </w:rPr>
        <w:tab/>
      </w:r>
      <w:r>
        <w:rPr>
          <w:sz w:val="24"/>
          <w:u w:val="single"/>
        </w:rPr>
        <w:t xml:space="preserve">                            </w:t>
      </w:r>
    </w:p>
    <w:p>
      <w:pPr>
        <w:spacing w:line="480" w:lineRule="auto"/>
        <w:ind w:firstLine="610"/>
        <w:rPr>
          <w:sz w:val="24"/>
          <w:u w:val="single"/>
        </w:rPr>
      </w:pPr>
      <w:r>
        <w:rPr>
          <w:rFonts w:hint="eastAsia" w:hAnsi="宋体"/>
          <w:sz w:val="24"/>
        </w:rPr>
        <w:t>姓</w:t>
      </w:r>
      <w:r>
        <w:rPr>
          <w:sz w:val="24"/>
        </w:rPr>
        <w:t xml:space="preserve">    </w:t>
      </w:r>
      <w:r>
        <w:rPr>
          <w:rFonts w:hint="eastAsia" w:hAnsi="宋体"/>
          <w:sz w:val="24"/>
        </w:rPr>
        <w:t>名：</w:t>
      </w:r>
      <w:r>
        <w:rPr>
          <w:sz w:val="24"/>
          <w:u w:val="single"/>
        </w:rPr>
        <w:t xml:space="preserve">        </w:t>
      </w:r>
      <w:r>
        <w:rPr>
          <w:sz w:val="24"/>
        </w:rPr>
        <w:t xml:space="preserve"> </w:t>
      </w:r>
      <w:r>
        <w:rPr>
          <w:rFonts w:hint="eastAsia" w:hAnsi="宋体"/>
          <w:sz w:val="24"/>
        </w:rPr>
        <w:t>性别：</w:t>
      </w:r>
      <w:r>
        <w:rPr>
          <w:sz w:val="24"/>
          <w:u w:val="single"/>
        </w:rPr>
        <w:t xml:space="preserve">      </w:t>
      </w:r>
      <w:r>
        <w:rPr>
          <w:rFonts w:hint="eastAsia" w:hAnsi="宋体"/>
          <w:sz w:val="24"/>
        </w:rPr>
        <w:t>年龄：</w:t>
      </w:r>
      <w:r>
        <w:rPr>
          <w:sz w:val="24"/>
          <w:u w:val="single"/>
        </w:rPr>
        <w:t xml:space="preserve">        </w:t>
      </w:r>
      <w:r>
        <w:rPr>
          <w:rFonts w:hint="eastAsia" w:hAnsi="宋体"/>
          <w:sz w:val="24"/>
        </w:rPr>
        <w:t>职务：</w:t>
      </w:r>
      <w:r>
        <w:rPr>
          <w:sz w:val="24"/>
          <w:u w:val="single"/>
        </w:rPr>
        <w:tab/>
      </w:r>
      <w:r>
        <w:rPr>
          <w:sz w:val="24"/>
          <w:u w:val="single"/>
        </w:rPr>
        <w:t xml:space="preserve">       </w:t>
      </w:r>
    </w:p>
    <w:p>
      <w:pPr>
        <w:spacing w:line="480" w:lineRule="auto"/>
        <w:ind w:firstLine="610"/>
        <w:rPr>
          <w:sz w:val="24"/>
          <w:u w:val="single"/>
        </w:rPr>
      </w:pPr>
      <w:r>
        <w:rPr>
          <w:rFonts w:hint="eastAsia" w:hAnsi="宋体"/>
          <w:sz w:val="24"/>
        </w:rPr>
        <w:t>身份证号码：</w:t>
      </w:r>
      <w:r>
        <w:rPr>
          <w:sz w:val="24"/>
          <w:u w:val="single"/>
        </w:rPr>
        <w:t xml:space="preserve">           </w:t>
      </w:r>
      <w:r>
        <w:rPr>
          <w:rFonts w:hint="eastAsia" w:hAnsi="宋体"/>
          <w:sz w:val="24"/>
          <w:u w:val="single"/>
        </w:rPr>
        <w:t>（请随附身份证复印件，并加盖单位公章）</w:t>
      </w:r>
      <w:r>
        <w:rPr>
          <w:sz w:val="24"/>
        </w:rPr>
        <w:t xml:space="preserve"> </w:t>
      </w:r>
    </w:p>
    <w:p>
      <w:pPr>
        <w:spacing w:line="480" w:lineRule="auto"/>
        <w:ind w:firstLine="610"/>
        <w:rPr>
          <w:sz w:val="24"/>
        </w:rPr>
      </w:pPr>
      <w:r>
        <w:rPr>
          <w:rFonts w:hint="eastAsia" w:hAnsi="宋体"/>
          <w:sz w:val="24"/>
        </w:rPr>
        <w:t>系</w:t>
      </w:r>
      <w:r>
        <w:rPr>
          <w:sz w:val="24"/>
          <w:u w:val="single"/>
        </w:rPr>
        <w:t xml:space="preserve">           </w:t>
      </w:r>
      <w:r>
        <w:rPr>
          <w:rFonts w:hint="eastAsia" w:hAnsi="宋体"/>
          <w:sz w:val="24"/>
          <w:u w:val="single"/>
        </w:rPr>
        <w:t>（投标人单位名称）</w:t>
      </w:r>
      <w:r>
        <w:rPr>
          <w:sz w:val="24"/>
          <w:u w:val="single"/>
        </w:rPr>
        <w:t xml:space="preserve">         </w:t>
      </w:r>
      <w:r>
        <w:rPr>
          <w:rFonts w:hint="eastAsia" w:hAnsi="宋体"/>
          <w:sz w:val="24"/>
        </w:rPr>
        <w:t>的法定代表人。</w:t>
      </w:r>
    </w:p>
    <w:p>
      <w:pPr>
        <w:spacing w:line="360" w:lineRule="auto"/>
        <w:ind w:firstLine="610"/>
        <w:rPr>
          <w:sz w:val="24"/>
        </w:rPr>
      </w:pPr>
    </w:p>
    <w:p>
      <w:pPr>
        <w:spacing w:line="360" w:lineRule="auto"/>
        <w:ind w:firstLine="610"/>
        <w:rPr>
          <w:sz w:val="24"/>
        </w:rPr>
      </w:pPr>
      <w:r>
        <w:rPr>
          <w:rFonts w:hint="eastAsia" w:hAnsi="宋体"/>
          <w:sz w:val="24"/>
        </w:rPr>
        <w:t>特此证明。</w:t>
      </w:r>
    </w:p>
    <w:p>
      <w:pPr>
        <w:tabs>
          <w:tab w:val="left" w:pos="720"/>
          <w:tab w:val="left" w:pos="900"/>
        </w:tabs>
        <w:spacing w:line="360" w:lineRule="auto"/>
        <w:ind w:firstLine="480" w:firstLineChars="200"/>
        <w:rPr>
          <w:sz w:val="24"/>
        </w:rPr>
      </w:pPr>
    </w:p>
    <w:p>
      <w:pPr>
        <w:tabs>
          <w:tab w:val="left" w:pos="720"/>
          <w:tab w:val="left" w:pos="900"/>
        </w:tabs>
        <w:spacing w:line="360" w:lineRule="auto"/>
        <w:ind w:firstLine="480" w:firstLineChars="200"/>
        <w:rPr>
          <w:sz w:val="24"/>
        </w:rPr>
      </w:pPr>
    </w:p>
    <w:p>
      <w:pPr>
        <w:tabs>
          <w:tab w:val="left" w:pos="720"/>
          <w:tab w:val="left" w:pos="900"/>
        </w:tabs>
        <w:spacing w:line="360" w:lineRule="auto"/>
        <w:ind w:firstLine="480" w:firstLineChars="200"/>
        <w:rPr>
          <w:sz w:val="24"/>
        </w:rPr>
      </w:pPr>
    </w:p>
    <w:p>
      <w:pPr>
        <w:tabs>
          <w:tab w:val="left" w:pos="720"/>
          <w:tab w:val="left" w:pos="900"/>
        </w:tabs>
        <w:spacing w:line="360" w:lineRule="auto"/>
        <w:ind w:firstLine="4560" w:firstLineChars="1900"/>
        <w:rPr>
          <w:sz w:val="24"/>
        </w:rPr>
      </w:pPr>
    </w:p>
    <w:p>
      <w:pPr>
        <w:tabs>
          <w:tab w:val="left" w:pos="720"/>
          <w:tab w:val="left" w:pos="900"/>
        </w:tabs>
        <w:spacing w:line="360" w:lineRule="auto"/>
        <w:ind w:firstLine="4560" w:firstLineChars="1900"/>
        <w:rPr>
          <w:sz w:val="24"/>
        </w:rPr>
      </w:pPr>
    </w:p>
    <w:p>
      <w:pPr>
        <w:tabs>
          <w:tab w:val="left" w:pos="720"/>
          <w:tab w:val="left" w:pos="900"/>
          <w:tab w:val="left" w:pos="4552"/>
          <w:tab w:val="left" w:pos="4772"/>
          <w:tab w:val="left" w:pos="5872"/>
        </w:tabs>
        <w:spacing w:line="480" w:lineRule="auto"/>
        <w:ind w:left="4532" w:leftChars="2158"/>
        <w:rPr>
          <w:sz w:val="24"/>
        </w:rPr>
      </w:pPr>
      <w:r>
        <w:rPr>
          <w:rFonts w:hint="eastAsia" w:hAnsi="宋体"/>
          <w:sz w:val="24"/>
        </w:rPr>
        <w:t>投标人：</w:t>
      </w:r>
      <w:r>
        <w:rPr>
          <w:sz w:val="24"/>
          <w:u w:val="single"/>
        </w:rPr>
        <w:t xml:space="preserve">   </w:t>
      </w:r>
      <w:r>
        <w:rPr>
          <w:rFonts w:hint="eastAsia" w:hAnsi="宋体"/>
          <w:sz w:val="24"/>
          <w:u w:val="single"/>
        </w:rPr>
        <w:t>（盖企业</w:t>
      </w:r>
      <w:r>
        <w:rPr>
          <w:rFonts w:hAnsi="宋体"/>
          <w:sz w:val="24"/>
          <w:u w:val="single"/>
        </w:rPr>
        <w:t>CA</w:t>
      </w:r>
      <w:r>
        <w:rPr>
          <w:rFonts w:hint="eastAsia" w:hAnsi="宋体"/>
          <w:sz w:val="24"/>
          <w:u w:val="single"/>
        </w:rPr>
        <w:t>电子印章）</w:t>
      </w:r>
    </w:p>
    <w:p>
      <w:pPr>
        <w:tabs>
          <w:tab w:val="left" w:pos="720"/>
          <w:tab w:val="left" w:pos="900"/>
        </w:tabs>
        <w:spacing w:line="480" w:lineRule="auto"/>
        <w:ind w:firstLine="4521" w:firstLineChars="1884"/>
      </w:pPr>
      <w:r>
        <w:rPr>
          <w:rFonts w:hint="eastAsia" w:hAnsi="宋体"/>
          <w:sz w:val="24"/>
        </w:rPr>
        <w:t>日</w:t>
      </w:r>
      <w:r>
        <w:rPr>
          <w:sz w:val="24"/>
        </w:rPr>
        <w:t xml:space="preserve">  </w:t>
      </w:r>
      <w:r>
        <w:rPr>
          <w:rFonts w:hint="eastAsia" w:hAnsi="宋体"/>
          <w:sz w:val="24"/>
        </w:rPr>
        <w:t>期：</w:t>
      </w:r>
      <w:r>
        <w:rPr>
          <w:sz w:val="24"/>
          <w:u w:val="single"/>
        </w:rPr>
        <w:t xml:space="preserve">       </w:t>
      </w:r>
      <w:r>
        <w:rPr>
          <w:rFonts w:hint="eastAsia" w:hAnsi="宋体"/>
          <w:sz w:val="24"/>
        </w:rPr>
        <w:t>年</w:t>
      </w:r>
      <w:r>
        <w:rPr>
          <w:sz w:val="24"/>
          <w:u w:val="single"/>
        </w:rPr>
        <w:t xml:space="preserve">     </w:t>
      </w:r>
      <w:r>
        <w:rPr>
          <w:rFonts w:hint="eastAsia" w:hAnsi="宋体"/>
          <w:sz w:val="24"/>
        </w:rPr>
        <w:t>月</w:t>
      </w:r>
      <w:r>
        <w:rPr>
          <w:sz w:val="24"/>
          <w:u w:val="single"/>
        </w:rPr>
        <w:t xml:space="preserve">     </w:t>
      </w:r>
      <w:r>
        <w:rPr>
          <w:rFonts w:hint="eastAsia" w:hAnsi="宋体"/>
          <w:sz w:val="24"/>
        </w:rPr>
        <w:t>日</w:t>
      </w:r>
    </w:p>
    <w:p>
      <w:pPr>
        <w:sectPr>
          <w:pgSz w:w="11906" w:h="16838"/>
          <w:pgMar w:top="1361" w:right="1644" w:bottom="851" w:left="1644" w:header="504" w:footer="792" w:gutter="0"/>
          <w:cols w:space="425" w:num="1"/>
          <w:docGrid w:linePitch="312" w:charSpace="0"/>
        </w:sectPr>
      </w:pPr>
    </w:p>
    <w:p>
      <w:pPr>
        <w:pStyle w:val="5"/>
        <w:ind w:left="-59"/>
        <w:rPr>
          <w:rFonts w:hAnsi="宋体"/>
          <w:sz w:val="30"/>
          <w:szCs w:val="30"/>
        </w:rPr>
      </w:pPr>
      <w:bookmarkStart w:id="1497" w:name="_Toc419547400"/>
      <w:bookmarkStart w:id="1498" w:name="_Toc396818244"/>
      <w:bookmarkStart w:id="1499" w:name="_Toc249901963"/>
      <w:bookmarkStart w:id="1500" w:name="_Toc455409878"/>
      <w:bookmarkStart w:id="1501" w:name="_Toc470011354"/>
      <w:bookmarkStart w:id="1502" w:name="_Toc419547946"/>
      <w:bookmarkStart w:id="1503" w:name="_Toc247388150"/>
      <w:bookmarkStart w:id="1504" w:name="_Toc111482812"/>
      <w:bookmarkStart w:id="1505" w:name="_Toc258414750"/>
      <w:bookmarkStart w:id="1506" w:name="_Toc381265962"/>
      <w:bookmarkStart w:id="1507" w:name="_Toc247566604"/>
      <w:r>
        <w:rPr>
          <w:rFonts w:hint="eastAsia" w:hAnsi="宋体"/>
          <w:sz w:val="30"/>
          <w:szCs w:val="30"/>
        </w:rPr>
        <w:t>四、投标文件签署授权委托书</w:t>
      </w:r>
      <w:bookmarkEnd w:id="1497"/>
      <w:bookmarkEnd w:id="1498"/>
      <w:bookmarkEnd w:id="1499"/>
      <w:bookmarkEnd w:id="1500"/>
      <w:bookmarkEnd w:id="1501"/>
      <w:bookmarkEnd w:id="1502"/>
      <w:bookmarkEnd w:id="1503"/>
      <w:bookmarkEnd w:id="1504"/>
      <w:bookmarkEnd w:id="1505"/>
      <w:bookmarkEnd w:id="1506"/>
      <w:bookmarkEnd w:id="1507"/>
    </w:p>
    <w:p>
      <w:pPr>
        <w:spacing w:after="156" w:line="360" w:lineRule="auto"/>
        <w:rPr>
          <w:b/>
          <w:sz w:val="10"/>
        </w:rPr>
      </w:pPr>
    </w:p>
    <w:p>
      <w:pPr>
        <w:spacing w:line="440" w:lineRule="exact"/>
      </w:pPr>
    </w:p>
    <w:p>
      <w:pPr>
        <w:topLinePunct/>
        <w:spacing w:line="440" w:lineRule="exact"/>
        <w:ind w:firstLine="480" w:firstLineChars="200"/>
        <w:rPr>
          <w:sz w:val="24"/>
        </w:rPr>
      </w:pPr>
      <w:r>
        <w:rPr>
          <w:rFonts w:hint="eastAsia"/>
          <w:sz w:val="24"/>
        </w:rPr>
        <w:t>本授权委托书由</w:t>
      </w:r>
      <w:r>
        <w:rPr>
          <w:sz w:val="24"/>
          <w:u w:val="single"/>
        </w:rPr>
        <w:t xml:space="preserve">        </w:t>
      </w:r>
      <w:r>
        <w:rPr>
          <w:rFonts w:hint="eastAsia"/>
          <w:sz w:val="24"/>
        </w:rPr>
        <w:t>（投标人名称）出具，</w:t>
      </w:r>
      <w:r>
        <w:rPr>
          <w:sz w:val="24"/>
          <w:u w:val="single"/>
        </w:rPr>
        <w:t xml:space="preserve">       </w:t>
      </w:r>
      <w:r>
        <w:rPr>
          <w:rFonts w:hint="eastAsia"/>
          <w:sz w:val="24"/>
        </w:rPr>
        <w:t>（姓名）系我方的法定代表人（单位负责人）。现委托</w:t>
      </w:r>
      <w:r>
        <w:rPr>
          <w:sz w:val="24"/>
          <w:u w:val="single"/>
        </w:rPr>
        <w:t xml:space="preserve">        </w:t>
      </w:r>
      <w:r>
        <w:rPr>
          <w:rFonts w:hint="eastAsia"/>
          <w:sz w:val="24"/>
        </w:rPr>
        <w:t>（姓名）为我方代理人。代理人根据授权，以我方名义签署、澄清、说明、补正、递交、撤回、修改</w:t>
      </w:r>
      <w:r>
        <w:rPr>
          <w:sz w:val="24"/>
          <w:u w:val="single"/>
        </w:rPr>
        <w:t xml:space="preserve">           </w:t>
      </w:r>
      <w:r>
        <w:rPr>
          <w:rFonts w:hint="eastAsia"/>
          <w:sz w:val="24"/>
        </w:rPr>
        <w:t>（工程名称）</w:t>
      </w:r>
      <w:r>
        <w:rPr>
          <w:sz w:val="24"/>
          <w:u w:val="single"/>
        </w:rPr>
        <w:t xml:space="preserve">               </w:t>
      </w:r>
      <w:r>
        <w:rPr>
          <w:rFonts w:hint="eastAsia"/>
          <w:sz w:val="24"/>
        </w:rPr>
        <w:t>（标段）投标文件、</w:t>
      </w:r>
      <w:r>
        <w:rPr>
          <w:rFonts w:hint="eastAsia" w:hAnsi="宋体"/>
          <w:sz w:val="24"/>
        </w:rPr>
        <w:t>参加开标会议、</w:t>
      </w:r>
      <w:r>
        <w:rPr>
          <w:rFonts w:hint="eastAsia"/>
          <w:sz w:val="24"/>
        </w:rPr>
        <w:t>签订合同和处理有关事宜，其法律后果由我方承担。</w:t>
      </w:r>
    </w:p>
    <w:p>
      <w:pPr>
        <w:topLinePunct/>
        <w:spacing w:line="440" w:lineRule="exact"/>
        <w:ind w:firstLine="480" w:firstLineChars="200"/>
        <w:rPr>
          <w:sz w:val="24"/>
        </w:rPr>
      </w:pPr>
      <w:r>
        <w:rPr>
          <w:rFonts w:hint="eastAsia"/>
          <w:sz w:val="24"/>
        </w:rPr>
        <w:t>其他事项：</w:t>
      </w:r>
      <w:r>
        <w:rPr>
          <w:sz w:val="24"/>
          <w:u w:val="single"/>
        </w:rPr>
        <w:t xml:space="preserve">             </w:t>
      </w:r>
      <w:r>
        <w:rPr>
          <w:rFonts w:hint="eastAsia"/>
          <w:sz w:val="24"/>
        </w:rPr>
        <w:t>。</w:t>
      </w:r>
    </w:p>
    <w:p>
      <w:pPr>
        <w:spacing w:line="440" w:lineRule="exact"/>
        <w:rPr>
          <w:sz w:val="24"/>
        </w:rPr>
      </w:pPr>
      <w:r>
        <w:rPr>
          <w:sz w:val="24"/>
        </w:rPr>
        <w:t xml:space="preserve">    </w:t>
      </w:r>
      <w:r>
        <w:rPr>
          <w:rFonts w:hint="eastAsia"/>
          <w:sz w:val="24"/>
        </w:rPr>
        <w:t>委托期限：</w:t>
      </w:r>
      <w:r>
        <w:rPr>
          <w:sz w:val="24"/>
          <w:u w:val="single"/>
        </w:rPr>
        <w:t xml:space="preserve">             </w:t>
      </w:r>
      <w:r>
        <w:rPr>
          <w:rFonts w:hint="eastAsia"/>
          <w:sz w:val="24"/>
        </w:rPr>
        <w:t>。</w:t>
      </w:r>
    </w:p>
    <w:p>
      <w:pPr>
        <w:spacing w:line="440" w:lineRule="exact"/>
        <w:ind w:firstLine="480" w:firstLineChars="200"/>
        <w:rPr>
          <w:sz w:val="24"/>
        </w:rPr>
      </w:pPr>
      <w:r>
        <w:rPr>
          <w:rFonts w:hint="eastAsia"/>
          <w:sz w:val="24"/>
        </w:rPr>
        <w:t>代理人无转委托权。</w:t>
      </w:r>
    </w:p>
    <w:p>
      <w:pPr>
        <w:spacing w:line="440" w:lineRule="exact"/>
        <w:ind w:firstLine="480" w:firstLineChars="200"/>
        <w:rPr>
          <w:sz w:val="24"/>
        </w:rPr>
      </w:pPr>
    </w:p>
    <w:p>
      <w:pPr>
        <w:spacing w:line="440" w:lineRule="exact"/>
        <w:ind w:firstLine="480" w:firstLineChars="200"/>
        <w:rPr>
          <w:strike/>
          <w:sz w:val="24"/>
        </w:rPr>
      </w:pPr>
    </w:p>
    <w:p>
      <w:pPr>
        <w:spacing w:line="440" w:lineRule="exact"/>
        <w:ind w:firstLine="480" w:firstLineChars="200"/>
        <w:rPr>
          <w:strike/>
          <w:sz w:val="24"/>
        </w:rPr>
      </w:pPr>
    </w:p>
    <w:p>
      <w:pPr>
        <w:spacing w:line="360" w:lineRule="auto"/>
        <w:ind w:left="1260"/>
        <w:rPr>
          <w:sz w:val="24"/>
        </w:rPr>
      </w:pPr>
    </w:p>
    <w:p>
      <w:pPr>
        <w:spacing w:line="360" w:lineRule="auto"/>
        <w:ind w:firstLine="1800" w:firstLineChars="750"/>
        <w:rPr>
          <w:sz w:val="24"/>
          <w:u w:val="single"/>
        </w:rPr>
      </w:pPr>
      <w:r>
        <w:rPr>
          <w:rFonts w:hint="eastAsia" w:hAnsi="宋体"/>
          <w:sz w:val="24"/>
        </w:rPr>
        <w:t>代理人：</w:t>
      </w:r>
      <w:r>
        <w:rPr>
          <w:sz w:val="24"/>
          <w:u w:val="single"/>
        </w:rPr>
        <w:t xml:space="preserve">   </w:t>
      </w:r>
      <w:r>
        <w:rPr>
          <w:rFonts w:hint="eastAsia" w:hAnsi="宋体"/>
          <w:sz w:val="24"/>
          <w:u w:val="single"/>
        </w:rPr>
        <w:t>（签字）</w:t>
      </w:r>
      <w:r>
        <w:rPr>
          <w:sz w:val="24"/>
          <w:u w:val="single"/>
        </w:rPr>
        <w:t xml:space="preserve">   </w:t>
      </w:r>
      <w:r>
        <w:rPr>
          <w:rFonts w:hint="eastAsia" w:hAnsi="宋体"/>
          <w:sz w:val="24"/>
        </w:rPr>
        <w:t>性别</w:t>
      </w:r>
      <w:r>
        <w:rPr>
          <w:sz w:val="24"/>
        </w:rPr>
        <w:t xml:space="preserve"> </w:t>
      </w:r>
      <w:r>
        <w:rPr>
          <w:rFonts w:hint="eastAsia" w:hAnsi="宋体"/>
          <w:sz w:val="24"/>
        </w:rPr>
        <w:t>：</w:t>
      </w:r>
      <w:r>
        <w:rPr>
          <w:sz w:val="24"/>
          <w:u w:val="single"/>
        </w:rPr>
        <w:t xml:space="preserve">         </w:t>
      </w:r>
      <w:r>
        <w:rPr>
          <w:rFonts w:hint="eastAsia" w:hAnsi="宋体"/>
          <w:sz w:val="24"/>
        </w:rPr>
        <w:t>年龄：</w:t>
      </w:r>
      <w:r>
        <w:rPr>
          <w:sz w:val="24"/>
          <w:u w:val="single"/>
        </w:rPr>
        <w:t xml:space="preserve">          </w:t>
      </w:r>
    </w:p>
    <w:p>
      <w:pPr>
        <w:spacing w:line="360" w:lineRule="auto"/>
        <w:ind w:firstLine="1800" w:firstLineChars="750"/>
        <w:rPr>
          <w:sz w:val="24"/>
        </w:rPr>
      </w:pPr>
    </w:p>
    <w:p>
      <w:pPr>
        <w:spacing w:line="360" w:lineRule="auto"/>
        <w:ind w:firstLine="1800" w:firstLineChars="750"/>
        <w:rPr>
          <w:sz w:val="24"/>
          <w:u w:val="single"/>
        </w:rPr>
      </w:pPr>
      <w:r>
        <w:rPr>
          <w:rFonts w:hint="eastAsia" w:hAnsi="宋体"/>
          <w:sz w:val="24"/>
        </w:rPr>
        <w:t>身份证号码：</w:t>
      </w:r>
      <w:r>
        <w:rPr>
          <w:sz w:val="24"/>
          <w:u w:val="single"/>
        </w:rPr>
        <w:t xml:space="preserve">                    </w:t>
      </w:r>
      <w:r>
        <w:rPr>
          <w:rFonts w:hint="eastAsia" w:hAnsi="宋体"/>
          <w:sz w:val="24"/>
        </w:rPr>
        <w:t>职务：</w:t>
      </w:r>
      <w:r>
        <w:rPr>
          <w:sz w:val="24"/>
          <w:u w:val="single"/>
        </w:rPr>
        <w:t xml:space="preserve">                </w:t>
      </w:r>
    </w:p>
    <w:p>
      <w:pPr>
        <w:spacing w:line="360" w:lineRule="auto"/>
        <w:ind w:firstLine="1800" w:firstLineChars="750"/>
        <w:rPr>
          <w:sz w:val="24"/>
        </w:rPr>
      </w:pPr>
    </w:p>
    <w:p>
      <w:pPr>
        <w:spacing w:line="360" w:lineRule="auto"/>
        <w:ind w:firstLine="1800" w:firstLineChars="750"/>
        <w:rPr>
          <w:sz w:val="24"/>
        </w:rPr>
      </w:pPr>
      <w:r>
        <w:rPr>
          <w:rFonts w:hint="eastAsia" w:hAnsi="宋体"/>
          <w:sz w:val="24"/>
        </w:rPr>
        <w:t>投标人：</w:t>
      </w:r>
      <w:r>
        <w:rPr>
          <w:sz w:val="24"/>
          <w:u w:val="single"/>
        </w:rPr>
        <w:t xml:space="preserve">                        </w:t>
      </w:r>
      <w:r>
        <w:rPr>
          <w:rFonts w:hint="eastAsia" w:hAnsi="宋体"/>
          <w:sz w:val="24"/>
          <w:u w:val="single"/>
        </w:rPr>
        <w:t>（盖企业</w:t>
      </w:r>
      <w:r>
        <w:rPr>
          <w:rFonts w:hAnsi="宋体"/>
          <w:sz w:val="24"/>
          <w:u w:val="single"/>
        </w:rPr>
        <w:t>CA</w:t>
      </w:r>
      <w:r>
        <w:rPr>
          <w:rFonts w:hint="eastAsia" w:hAnsi="宋体"/>
          <w:sz w:val="24"/>
          <w:u w:val="single"/>
        </w:rPr>
        <w:t>电子印章）</w:t>
      </w:r>
    </w:p>
    <w:p>
      <w:pPr>
        <w:spacing w:line="360" w:lineRule="auto"/>
        <w:ind w:firstLine="1800" w:firstLineChars="750"/>
        <w:rPr>
          <w:sz w:val="24"/>
        </w:rPr>
      </w:pPr>
    </w:p>
    <w:p>
      <w:pPr>
        <w:spacing w:line="360" w:lineRule="auto"/>
        <w:ind w:firstLine="1800" w:firstLineChars="750"/>
        <w:rPr>
          <w:sz w:val="24"/>
        </w:rPr>
      </w:pPr>
      <w:r>
        <w:rPr>
          <w:rFonts w:hint="eastAsia" w:hAnsi="宋体"/>
          <w:sz w:val="24"/>
        </w:rPr>
        <w:t>法定代表人：</w:t>
      </w:r>
      <w:r>
        <w:rPr>
          <w:sz w:val="24"/>
          <w:u w:val="single"/>
        </w:rPr>
        <w:t xml:space="preserve">                     </w:t>
      </w:r>
      <w:r>
        <w:rPr>
          <w:rFonts w:hint="eastAsia" w:hAnsi="宋体"/>
          <w:sz w:val="24"/>
          <w:u w:val="single"/>
        </w:rPr>
        <w:t>（盖个人</w:t>
      </w:r>
      <w:r>
        <w:rPr>
          <w:rFonts w:hAnsi="宋体"/>
          <w:sz w:val="24"/>
          <w:u w:val="single"/>
        </w:rPr>
        <w:t>CA</w:t>
      </w:r>
      <w:r>
        <w:rPr>
          <w:rFonts w:hint="eastAsia" w:hAnsi="宋体"/>
          <w:sz w:val="24"/>
          <w:u w:val="single"/>
        </w:rPr>
        <w:t>电子印章）</w:t>
      </w:r>
    </w:p>
    <w:p>
      <w:pPr>
        <w:rPr>
          <w:sz w:val="24"/>
        </w:rPr>
      </w:pPr>
    </w:p>
    <w:p>
      <w:pPr>
        <w:ind w:firstLine="1800" w:firstLineChars="750"/>
        <w:rPr>
          <w:sz w:val="24"/>
        </w:rPr>
      </w:pPr>
      <w:r>
        <w:rPr>
          <w:rFonts w:hint="eastAsia" w:hAnsi="宋体"/>
          <w:sz w:val="24"/>
        </w:rPr>
        <w:t>授权委托日期：</w:t>
      </w:r>
      <w:r>
        <w:rPr>
          <w:sz w:val="24"/>
          <w:u w:val="single"/>
        </w:rPr>
        <w:t xml:space="preserve">     </w:t>
      </w:r>
      <w:r>
        <w:rPr>
          <w:rFonts w:hint="eastAsia" w:hAnsi="宋体"/>
          <w:sz w:val="24"/>
        </w:rPr>
        <w:t>年</w:t>
      </w:r>
      <w:r>
        <w:rPr>
          <w:sz w:val="24"/>
        </w:rPr>
        <w:t xml:space="preserve"> </w:t>
      </w:r>
      <w:r>
        <w:rPr>
          <w:sz w:val="24"/>
          <w:u w:val="single"/>
        </w:rPr>
        <w:t xml:space="preserve">    </w:t>
      </w:r>
      <w:r>
        <w:rPr>
          <w:rFonts w:hint="eastAsia" w:hAnsi="宋体"/>
          <w:sz w:val="24"/>
        </w:rPr>
        <w:t>月</w:t>
      </w:r>
      <w:r>
        <w:rPr>
          <w:sz w:val="24"/>
          <w:u w:val="single"/>
        </w:rPr>
        <w:t xml:space="preserve">     </w:t>
      </w:r>
      <w:r>
        <w:rPr>
          <w:rFonts w:hint="eastAsia" w:hAnsi="宋体"/>
          <w:sz w:val="24"/>
        </w:rPr>
        <w:t>日</w:t>
      </w:r>
    </w:p>
    <w:p>
      <w:pPr>
        <w:ind w:firstLine="1800" w:firstLineChars="750"/>
        <w:rPr>
          <w:sz w:val="24"/>
        </w:rPr>
      </w:pPr>
    </w:p>
    <w:p>
      <w:pPr>
        <w:ind w:firstLine="1800" w:firstLineChars="750"/>
        <w:rPr>
          <w:sz w:val="24"/>
        </w:rPr>
      </w:pPr>
      <w:r>
        <w:rPr>
          <w:rFonts w:hint="eastAsia" w:hAnsi="宋体"/>
          <w:sz w:val="24"/>
        </w:rPr>
        <w:t>有效期至：</w:t>
      </w:r>
      <w:r>
        <w:rPr>
          <w:sz w:val="24"/>
          <w:u w:val="single"/>
        </w:rPr>
        <w:t xml:space="preserve">      </w:t>
      </w:r>
      <w:r>
        <w:rPr>
          <w:rFonts w:hint="eastAsia" w:hAnsi="宋体"/>
          <w:sz w:val="24"/>
        </w:rPr>
        <w:t>年</w:t>
      </w:r>
      <w:r>
        <w:rPr>
          <w:sz w:val="24"/>
          <w:u w:val="single"/>
        </w:rPr>
        <w:t xml:space="preserve">    </w:t>
      </w:r>
      <w:r>
        <w:rPr>
          <w:rFonts w:hint="eastAsia" w:hAnsi="宋体"/>
          <w:sz w:val="24"/>
        </w:rPr>
        <w:t>月</w:t>
      </w:r>
      <w:r>
        <w:rPr>
          <w:sz w:val="24"/>
          <w:u w:val="single"/>
        </w:rPr>
        <w:t xml:space="preserve">    </w:t>
      </w:r>
      <w:r>
        <w:rPr>
          <w:rFonts w:hint="eastAsia" w:hAnsi="宋体"/>
          <w:sz w:val="24"/>
        </w:rPr>
        <w:t>日</w:t>
      </w:r>
    </w:p>
    <w:p>
      <w:pPr>
        <w:ind w:firstLine="1800" w:firstLineChars="750"/>
        <w:rPr>
          <w:sz w:val="24"/>
        </w:rPr>
      </w:pPr>
    </w:p>
    <w:p>
      <w:pPr>
        <w:pStyle w:val="5"/>
        <w:ind w:left="-59"/>
        <w:rPr>
          <w:rFonts w:hAnsi="宋体"/>
          <w:sz w:val="30"/>
          <w:szCs w:val="30"/>
        </w:rPr>
      </w:pPr>
      <w:r>
        <w:br w:type="page"/>
      </w:r>
      <w:bookmarkStart w:id="1508" w:name="_Toc419547947"/>
      <w:bookmarkStart w:id="1509" w:name="_Toc455409879"/>
      <w:bookmarkStart w:id="1510" w:name="_Toc396818245"/>
      <w:bookmarkStart w:id="1511" w:name="_Toc470011355"/>
      <w:bookmarkStart w:id="1512" w:name="_Toc419547401"/>
      <w:r>
        <w:rPr>
          <w:rFonts w:hint="eastAsia" w:hAnsi="宋体"/>
          <w:sz w:val="30"/>
          <w:szCs w:val="30"/>
        </w:rPr>
        <w:t>五、联合体协议书</w:t>
      </w:r>
      <w:bookmarkEnd w:id="1508"/>
      <w:bookmarkEnd w:id="1509"/>
      <w:bookmarkEnd w:id="1510"/>
      <w:bookmarkEnd w:id="1511"/>
      <w:bookmarkEnd w:id="1512"/>
    </w:p>
    <w:p>
      <w:pPr>
        <w:topLinePunct/>
        <w:spacing w:line="400" w:lineRule="exact"/>
        <w:rPr>
          <w:rFonts w:ascii="宋体"/>
          <w:snapToGrid w:val="0"/>
          <w:kern w:val="0"/>
          <w:szCs w:val="21"/>
        </w:rPr>
      </w:pPr>
      <w:r>
        <w:rPr>
          <w:rFonts w:hint="eastAsia" w:ascii="宋体" w:hAnsi="宋体"/>
          <w:snapToGrid w:val="0"/>
          <w:kern w:val="0"/>
          <w:szCs w:val="21"/>
        </w:rPr>
        <w:t>牵头人名称：</w:t>
      </w:r>
      <w:r>
        <w:rPr>
          <w:rFonts w:ascii="宋体" w:hAnsi="宋体"/>
          <w:snapToGrid w:val="0"/>
          <w:kern w:val="0"/>
          <w:szCs w:val="21"/>
          <w:u w:val="single"/>
        </w:rPr>
        <w:t xml:space="preserve">                                                 </w:t>
      </w:r>
    </w:p>
    <w:p>
      <w:pPr>
        <w:topLinePunct/>
        <w:spacing w:line="400" w:lineRule="exact"/>
        <w:rPr>
          <w:rFonts w:ascii="宋体"/>
          <w:snapToGrid w:val="0"/>
          <w:kern w:val="0"/>
          <w:szCs w:val="21"/>
        </w:rPr>
      </w:pPr>
      <w:r>
        <w:rPr>
          <w:rFonts w:hint="eastAsia" w:ascii="宋体" w:hAnsi="宋体"/>
          <w:snapToGrid w:val="0"/>
          <w:kern w:val="0"/>
          <w:szCs w:val="21"/>
        </w:rPr>
        <w:t>法定代表人：</w:t>
      </w:r>
      <w:r>
        <w:rPr>
          <w:rFonts w:ascii="宋体" w:hAnsi="宋体"/>
          <w:snapToGrid w:val="0"/>
          <w:kern w:val="0"/>
          <w:szCs w:val="21"/>
          <w:u w:val="single"/>
        </w:rPr>
        <w:t xml:space="preserve">                                                 </w:t>
      </w:r>
    </w:p>
    <w:p>
      <w:pPr>
        <w:topLinePunct/>
        <w:spacing w:line="400" w:lineRule="exact"/>
        <w:rPr>
          <w:rFonts w:ascii="宋体"/>
          <w:snapToGrid w:val="0"/>
          <w:kern w:val="0"/>
          <w:szCs w:val="21"/>
        </w:rPr>
      </w:pPr>
      <w:r>
        <w:rPr>
          <w:rFonts w:hint="eastAsia" w:ascii="宋体" w:hAnsi="宋体"/>
          <w:snapToGrid w:val="0"/>
          <w:kern w:val="0"/>
          <w:szCs w:val="21"/>
        </w:rPr>
        <w:t>法定住所：</w:t>
      </w:r>
      <w:r>
        <w:rPr>
          <w:rFonts w:ascii="宋体" w:hAnsi="宋体"/>
          <w:snapToGrid w:val="0"/>
          <w:kern w:val="0"/>
          <w:szCs w:val="21"/>
          <w:u w:val="single"/>
        </w:rPr>
        <w:t xml:space="preserve">                                                   </w:t>
      </w:r>
    </w:p>
    <w:p>
      <w:pPr>
        <w:topLinePunct/>
        <w:spacing w:line="400" w:lineRule="exact"/>
        <w:rPr>
          <w:rFonts w:ascii="宋体"/>
          <w:snapToGrid w:val="0"/>
          <w:kern w:val="0"/>
          <w:szCs w:val="21"/>
        </w:rPr>
      </w:pPr>
      <w:r>
        <w:rPr>
          <w:rFonts w:hint="eastAsia" w:ascii="宋体" w:hAnsi="宋体"/>
          <w:snapToGrid w:val="0"/>
          <w:kern w:val="0"/>
          <w:szCs w:val="21"/>
        </w:rPr>
        <w:t>成员二名称：</w:t>
      </w:r>
      <w:r>
        <w:rPr>
          <w:rFonts w:ascii="宋体" w:hAnsi="宋体"/>
          <w:snapToGrid w:val="0"/>
          <w:kern w:val="0"/>
          <w:szCs w:val="21"/>
          <w:u w:val="single"/>
        </w:rPr>
        <w:t xml:space="preserve">                                                 </w:t>
      </w:r>
    </w:p>
    <w:p>
      <w:pPr>
        <w:topLinePunct/>
        <w:spacing w:line="400" w:lineRule="exact"/>
        <w:rPr>
          <w:rFonts w:ascii="宋体"/>
          <w:snapToGrid w:val="0"/>
          <w:kern w:val="0"/>
          <w:szCs w:val="21"/>
        </w:rPr>
      </w:pPr>
      <w:r>
        <w:rPr>
          <w:rFonts w:hint="eastAsia" w:ascii="宋体" w:hAnsi="宋体"/>
          <w:snapToGrid w:val="0"/>
          <w:kern w:val="0"/>
          <w:szCs w:val="21"/>
        </w:rPr>
        <w:t>法定代表人：</w:t>
      </w:r>
      <w:r>
        <w:rPr>
          <w:rFonts w:ascii="宋体" w:hAnsi="宋体"/>
          <w:snapToGrid w:val="0"/>
          <w:kern w:val="0"/>
          <w:szCs w:val="21"/>
          <w:u w:val="single"/>
        </w:rPr>
        <w:t xml:space="preserve">                                                 </w:t>
      </w:r>
    </w:p>
    <w:p>
      <w:pPr>
        <w:topLinePunct/>
        <w:spacing w:line="400" w:lineRule="exact"/>
        <w:rPr>
          <w:rFonts w:ascii="宋体"/>
          <w:snapToGrid w:val="0"/>
          <w:kern w:val="0"/>
          <w:szCs w:val="21"/>
        </w:rPr>
      </w:pPr>
      <w:r>
        <w:rPr>
          <w:rFonts w:hint="eastAsia" w:ascii="宋体" w:hAnsi="宋体"/>
          <w:snapToGrid w:val="0"/>
          <w:kern w:val="0"/>
          <w:szCs w:val="21"/>
        </w:rPr>
        <w:t>法定住所：</w:t>
      </w:r>
      <w:r>
        <w:rPr>
          <w:rFonts w:ascii="宋体" w:hAnsi="宋体"/>
          <w:snapToGrid w:val="0"/>
          <w:kern w:val="0"/>
          <w:szCs w:val="21"/>
          <w:u w:val="single"/>
        </w:rPr>
        <w:t xml:space="preserve">                                                   </w:t>
      </w:r>
    </w:p>
    <w:p>
      <w:pPr>
        <w:topLinePunct/>
        <w:spacing w:line="400" w:lineRule="exact"/>
        <w:ind w:firstLine="420" w:firstLineChars="200"/>
        <w:rPr>
          <w:rFonts w:ascii="宋体"/>
          <w:snapToGrid w:val="0"/>
          <w:kern w:val="0"/>
          <w:szCs w:val="21"/>
          <w:u w:val="single"/>
        </w:rPr>
      </w:pPr>
      <w:r>
        <w:rPr>
          <w:rFonts w:hint="eastAsia" w:ascii="宋体"/>
          <w:snapToGrid w:val="0"/>
          <w:kern w:val="0"/>
          <w:szCs w:val="21"/>
        </w:rPr>
        <w:t>……</w:t>
      </w:r>
    </w:p>
    <w:p>
      <w:pPr>
        <w:topLinePunct/>
        <w:snapToGrid w:val="0"/>
        <w:spacing w:line="380" w:lineRule="exact"/>
        <w:ind w:firstLine="420" w:firstLineChars="200"/>
        <w:rPr>
          <w:rFonts w:ascii="宋体"/>
          <w:snapToGrid w:val="0"/>
          <w:kern w:val="0"/>
          <w:szCs w:val="21"/>
        </w:rPr>
      </w:pPr>
      <w:r>
        <w:rPr>
          <w:rFonts w:hint="eastAsia" w:ascii="宋体" w:hAnsi="宋体"/>
          <w:snapToGrid w:val="0"/>
          <w:kern w:val="0"/>
          <w:szCs w:val="21"/>
        </w:rPr>
        <w:t>鉴于上述各成员单位经过友好协商，自愿组成</w:t>
      </w:r>
      <w:r>
        <w:rPr>
          <w:rFonts w:ascii="宋体" w:hAnsi="宋体"/>
          <w:snapToGrid w:val="0"/>
          <w:kern w:val="0"/>
          <w:szCs w:val="21"/>
          <w:u w:val="single"/>
        </w:rPr>
        <w:t xml:space="preserve">          </w:t>
      </w:r>
      <w:r>
        <w:rPr>
          <w:rFonts w:hint="eastAsia" w:ascii="宋体" w:hAnsi="宋体"/>
          <w:snapToGrid w:val="0"/>
          <w:kern w:val="0"/>
          <w:szCs w:val="21"/>
        </w:rPr>
        <w:t>（联合体名称）联合体，共同参加</w:t>
      </w:r>
      <w:r>
        <w:rPr>
          <w:rFonts w:ascii="宋体" w:hAnsi="宋体"/>
          <w:snapToGrid w:val="0"/>
          <w:kern w:val="0"/>
          <w:szCs w:val="21"/>
          <w:u w:val="single"/>
        </w:rPr>
        <w:t xml:space="preserve">                </w:t>
      </w:r>
      <w:r>
        <w:rPr>
          <w:rFonts w:hint="eastAsia" w:ascii="宋体" w:hAnsi="宋体"/>
          <w:snapToGrid w:val="0"/>
          <w:kern w:val="0"/>
          <w:szCs w:val="21"/>
        </w:rPr>
        <w:t>（招标人名称）（以下简称招标人）</w:t>
      </w:r>
      <w:r>
        <w:rPr>
          <w:rFonts w:ascii="宋体" w:hAnsi="宋体"/>
          <w:snapToGrid w:val="0"/>
          <w:kern w:val="0"/>
          <w:szCs w:val="21"/>
          <w:u w:val="single"/>
        </w:rPr>
        <w:t xml:space="preserve">        </w:t>
      </w:r>
      <w:r>
        <w:rPr>
          <w:rFonts w:hint="eastAsia" w:ascii="宋体" w:hAnsi="宋体"/>
          <w:snapToGrid w:val="0"/>
          <w:kern w:val="0"/>
          <w:szCs w:val="21"/>
        </w:rPr>
        <w:t>（工程名称）</w:t>
      </w:r>
      <w:r>
        <w:rPr>
          <w:rFonts w:ascii="宋体" w:hAnsi="宋体"/>
          <w:snapToGrid w:val="0"/>
          <w:kern w:val="0"/>
          <w:szCs w:val="21"/>
          <w:u w:val="single"/>
        </w:rPr>
        <w:t xml:space="preserve">   </w:t>
      </w:r>
      <w:r>
        <w:rPr>
          <w:rFonts w:ascii="宋体" w:hAnsi="宋体"/>
          <w:snapToGrid w:val="0"/>
          <w:kern w:val="0"/>
          <w:szCs w:val="21"/>
        </w:rPr>
        <w:t xml:space="preserve"> (</w:t>
      </w:r>
      <w:r>
        <w:rPr>
          <w:rFonts w:hint="eastAsia" w:ascii="宋体" w:hAnsi="宋体"/>
          <w:snapToGrid w:val="0"/>
          <w:kern w:val="0"/>
          <w:szCs w:val="21"/>
        </w:rPr>
        <w:t>以下简称本工程</w:t>
      </w:r>
      <w:r>
        <w:rPr>
          <w:rFonts w:ascii="宋体" w:hAnsi="宋体"/>
          <w:snapToGrid w:val="0"/>
          <w:kern w:val="0"/>
          <w:szCs w:val="21"/>
        </w:rPr>
        <w:t>)</w:t>
      </w:r>
      <w:r>
        <w:rPr>
          <w:rFonts w:hint="eastAsia" w:ascii="宋体" w:hAnsi="宋体"/>
          <w:snapToGrid w:val="0"/>
          <w:kern w:val="0"/>
          <w:szCs w:val="21"/>
        </w:rPr>
        <w:t>的施工投标并争取赢得本工程施工承包合同（以下简称合同）。现就联合体投标事宜订立如下协议：</w:t>
      </w:r>
    </w:p>
    <w:p>
      <w:pPr>
        <w:topLinePunct/>
        <w:snapToGrid w:val="0"/>
        <w:spacing w:line="380" w:lineRule="exact"/>
        <w:ind w:firstLine="420" w:firstLineChars="200"/>
        <w:rPr>
          <w:rFonts w:ascii="宋体"/>
          <w:snapToGrid w:val="0"/>
          <w:kern w:val="0"/>
          <w:szCs w:val="21"/>
        </w:rPr>
      </w:pPr>
      <w:r>
        <w:rPr>
          <w:rFonts w:ascii="宋体" w:hAnsi="宋体"/>
          <w:snapToGrid w:val="0"/>
          <w:kern w:val="0"/>
          <w:szCs w:val="21"/>
        </w:rPr>
        <w:t xml:space="preserve">1. </w:t>
      </w:r>
      <w:r>
        <w:rPr>
          <w:rFonts w:ascii="宋体" w:hAnsi="宋体"/>
          <w:snapToGrid w:val="0"/>
          <w:kern w:val="0"/>
          <w:szCs w:val="21"/>
          <w:u w:val="single"/>
        </w:rPr>
        <w:t xml:space="preserve">         </w:t>
      </w:r>
      <w:r>
        <w:rPr>
          <w:rFonts w:hint="eastAsia" w:ascii="宋体" w:hAnsi="宋体"/>
          <w:snapToGrid w:val="0"/>
          <w:kern w:val="0"/>
          <w:szCs w:val="21"/>
        </w:rPr>
        <w:t>（某成员单位名称）为</w:t>
      </w:r>
      <w:r>
        <w:rPr>
          <w:rFonts w:ascii="宋体" w:hAnsi="宋体"/>
          <w:snapToGrid w:val="0"/>
          <w:kern w:val="0"/>
          <w:szCs w:val="21"/>
          <w:u w:val="single"/>
        </w:rPr>
        <w:t xml:space="preserve">             </w:t>
      </w:r>
      <w:r>
        <w:rPr>
          <w:rFonts w:hint="eastAsia" w:ascii="宋体" w:hAnsi="宋体"/>
          <w:snapToGrid w:val="0"/>
          <w:kern w:val="0"/>
          <w:szCs w:val="21"/>
        </w:rPr>
        <w:t>（联合体名称）牵头人。</w:t>
      </w:r>
    </w:p>
    <w:p>
      <w:pPr>
        <w:topLinePunct/>
        <w:snapToGrid w:val="0"/>
        <w:spacing w:line="380" w:lineRule="exact"/>
        <w:ind w:firstLine="420" w:firstLineChars="200"/>
        <w:rPr>
          <w:rFonts w:ascii="宋体"/>
          <w:snapToGrid w:val="0"/>
          <w:kern w:val="0"/>
          <w:szCs w:val="21"/>
        </w:rPr>
      </w:pPr>
      <w:r>
        <w:rPr>
          <w:rFonts w:ascii="宋体" w:hAnsi="宋体"/>
          <w:snapToGrid w:val="0"/>
          <w:kern w:val="0"/>
          <w:szCs w:val="21"/>
        </w:rPr>
        <w:t>2</w:t>
      </w:r>
      <w:r>
        <w:rPr>
          <w:rFonts w:ascii="宋体"/>
          <w:snapToGrid w:val="0"/>
          <w:kern w:val="0"/>
          <w:szCs w:val="21"/>
        </w:rPr>
        <w:t>.</w:t>
      </w:r>
      <w:r>
        <w:rPr>
          <w:rFonts w:hint="eastAsia" w:ascii="宋体" w:hAnsi="宋体"/>
          <w:snapToGrid w:val="0"/>
          <w:kern w:val="0"/>
          <w:szCs w:val="21"/>
        </w:rPr>
        <w:t>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pPr>
        <w:topLinePunct/>
        <w:snapToGrid w:val="0"/>
        <w:spacing w:line="380" w:lineRule="exact"/>
        <w:ind w:firstLine="420" w:firstLineChars="200"/>
        <w:rPr>
          <w:rFonts w:ascii="宋体"/>
          <w:snapToGrid w:val="0"/>
          <w:kern w:val="0"/>
          <w:szCs w:val="21"/>
        </w:rPr>
      </w:pPr>
      <w:r>
        <w:rPr>
          <w:rFonts w:ascii="宋体" w:hAnsi="宋体"/>
          <w:snapToGrid w:val="0"/>
          <w:kern w:val="0"/>
          <w:szCs w:val="21"/>
        </w:rPr>
        <w:t>3</w:t>
      </w:r>
      <w:r>
        <w:rPr>
          <w:rFonts w:ascii="宋体"/>
          <w:snapToGrid w:val="0"/>
          <w:kern w:val="0"/>
          <w:szCs w:val="21"/>
        </w:rPr>
        <w:t>.</w:t>
      </w:r>
      <w:r>
        <w:rPr>
          <w:rFonts w:hint="eastAsia" w:ascii="宋体" w:hAnsi="宋体"/>
          <w:snapToGrid w:val="0"/>
          <w:kern w:val="0"/>
          <w:szCs w:val="21"/>
        </w:rPr>
        <w:t>联合体将严格按照招标文件的各项要求，递交投标文件，履行投标义务和中标后的合同，共同承担合同规定的一切义务和责任，联合体各成员单位按照内部职责的划分，承担各自所负的责任和风险，并向招标人承担连带责任。</w:t>
      </w:r>
    </w:p>
    <w:p>
      <w:pPr>
        <w:topLinePunct/>
        <w:snapToGrid w:val="0"/>
        <w:spacing w:line="380" w:lineRule="exact"/>
        <w:ind w:firstLine="420" w:firstLineChars="200"/>
        <w:rPr>
          <w:rFonts w:ascii="宋体"/>
          <w:snapToGrid w:val="0"/>
          <w:kern w:val="0"/>
          <w:szCs w:val="21"/>
        </w:rPr>
      </w:pPr>
      <w:r>
        <w:rPr>
          <w:rFonts w:ascii="宋体" w:hAnsi="宋体"/>
          <w:snapToGrid w:val="0"/>
          <w:kern w:val="0"/>
          <w:szCs w:val="21"/>
        </w:rPr>
        <w:t>4.</w:t>
      </w:r>
      <w:r>
        <w:rPr>
          <w:rFonts w:hint="eastAsia" w:ascii="宋体" w:hAnsi="宋体"/>
          <w:snapToGrid w:val="0"/>
          <w:kern w:val="0"/>
          <w:szCs w:val="21"/>
        </w:rPr>
        <w:t>联合体各成员单位内部的职责分工如下：</w:t>
      </w:r>
      <w:r>
        <w:rPr>
          <w:rFonts w:ascii="宋体" w:hAnsi="宋体"/>
          <w:snapToGrid w:val="0"/>
          <w:kern w:val="0"/>
          <w:szCs w:val="21"/>
          <w:u w:val="single"/>
        </w:rPr>
        <w:t xml:space="preserve">                            </w:t>
      </w:r>
      <w:r>
        <w:rPr>
          <w:rFonts w:hint="eastAsia" w:ascii="宋体" w:hAnsi="宋体"/>
          <w:snapToGrid w:val="0"/>
          <w:kern w:val="0"/>
          <w:szCs w:val="21"/>
        </w:rPr>
        <w:t>。按照本条上述分工，联合体成员单位各自所承担的合同工作量比例如下：</w:t>
      </w:r>
      <w:r>
        <w:rPr>
          <w:rFonts w:ascii="宋体" w:hAnsi="宋体"/>
          <w:snapToGrid w:val="0"/>
          <w:kern w:val="0"/>
          <w:szCs w:val="21"/>
          <w:u w:val="single"/>
        </w:rPr>
        <w:t xml:space="preserve">                 </w:t>
      </w:r>
      <w:r>
        <w:rPr>
          <w:rFonts w:hint="eastAsia" w:ascii="宋体" w:hAnsi="宋体"/>
          <w:snapToGrid w:val="0"/>
          <w:kern w:val="0"/>
          <w:szCs w:val="21"/>
        </w:rPr>
        <w:t>。</w:t>
      </w:r>
    </w:p>
    <w:p>
      <w:pPr>
        <w:topLinePunct/>
        <w:snapToGrid w:val="0"/>
        <w:spacing w:line="380" w:lineRule="exact"/>
        <w:ind w:firstLine="420" w:firstLineChars="200"/>
        <w:rPr>
          <w:rFonts w:ascii="宋体"/>
          <w:snapToGrid w:val="0"/>
          <w:kern w:val="0"/>
          <w:szCs w:val="21"/>
        </w:rPr>
      </w:pPr>
      <w:r>
        <w:rPr>
          <w:rFonts w:ascii="宋体" w:hAnsi="宋体"/>
          <w:snapToGrid w:val="0"/>
          <w:kern w:val="0"/>
          <w:szCs w:val="21"/>
        </w:rPr>
        <w:t>5.</w:t>
      </w:r>
      <w:r>
        <w:rPr>
          <w:rFonts w:hint="eastAsia" w:ascii="宋体" w:hAnsi="宋体"/>
          <w:snapToGrid w:val="0"/>
          <w:kern w:val="0"/>
          <w:szCs w:val="21"/>
        </w:rPr>
        <w:t>投标工作和联合体在中标后工程实施过程中的有关费用按各自承担的工作量分摊。</w:t>
      </w:r>
    </w:p>
    <w:p>
      <w:pPr>
        <w:topLinePunct/>
        <w:snapToGrid w:val="0"/>
        <w:spacing w:line="380" w:lineRule="exact"/>
        <w:ind w:firstLine="420" w:firstLineChars="200"/>
        <w:rPr>
          <w:rFonts w:ascii="宋体"/>
          <w:snapToGrid w:val="0"/>
          <w:kern w:val="0"/>
          <w:szCs w:val="21"/>
        </w:rPr>
      </w:pPr>
      <w:r>
        <w:rPr>
          <w:rFonts w:ascii="宋体" w:hAnsi="宋体"/>
          <w:snapToGrid w:val="0"/>
          <w:kern w:val="0"/>
          <w:szCs w:val="21"/>
        </w:rPr>
        <w:t>6.</w:t>
      </w:r>
      <w:r>
        <w:rPr>
          <w:rFonts w:hint="eastAsia" w:ascii="宋体" w:hAnsi="宋体"/>
          <w:snapToGrid w:val="0"/>
          <w:kern w:val="0"/>
          <w:szCs w:val="21"/>
        </w:rPr>
        <w:t>联合体中标后，本联合体协议是合同的附件，对联合体各成员单位有合同约束力。</w:t>
      </w:r>
    </w:p>
    <w:p>
      <w:pPr>
        <w:topLinePunct/>
        <w:snapToGrid w:val="0"/>
        <w:spacing w:line="380" w:lineRule="exact"/>
        <w:ind w:firstLine="420" w:firstLineChars="200"/>
        <w:rPr>
          <w:rFonts w:ascii="宋体"/>
          <w:snapToGrid w:val="0"/>
          <w:kern w:val="0"/>
          <w:szCs w:val="21"/>
        </w:rPr>
      </w:pPr>
      <w:r>
        <w:rPr>
          <w:rFonts w:ascii="宋体" w:hAnsi="宋体"/>
          <w:snapToGrid w:val="0"/>
          <w:kern w:val="0"/>
          <w:szCs w:val="21"/>
        </w:rPr>
        <w:t>7.</w:t>
      </w:r>
      <w:r>
        <w:rPr>
          <w:rFonts w:hint="eastAsia" w:ascii="宋体" w:hAnsi="宋体"/>
          <w:snapToGrid w:val="0"/>
          <w:kern w:val="0"/>
          <w:szCs w:val="21"/>
        </w:rPr>
        <w:t>本协议书自签署之日起生效，联合体未中标或者中标时合同履行完毕后自动失效。</w:t>
      </w:r>
    </w:p>
    <w:p>
      <w:pPr>
        <w:topLinePunct/>
        <w:snapToGrid w:val="0"/>
        <w:spacing w:line="380" w:lineRule="exact"/>
        <w:ind w:firstLine="420" w:firstLineChars="200"/>
        <w:rPr>
          <w:rFonts w:ascii="宋体"/>
          <w:snapToGrid w:val="0"/>
          <w:kern w:val="0"/>
          <w:szCs w:val="21"/>
        </w:rPr>
      </w:pPr>
      <w:r>
        <w:rPr>
          <w:rFonts w:ascii="宋体" w:hAnsi="宋体"/>
          <w:snapToGrid w:val="0"/>
          <w:kern w:val="0"/>
          <w:szCs w:val="21"/>
        </w:rPr>
        <w:t>8.</w:t>
      </w:r>
      <w:r>
        <w:rPr>
          <w:rFonts w:hint="eastAsia" w:ascii="宋体" w:hAnsi="宋体"/>
          <w:snapToGrid w:val="0"/>
          <w:kern w:val="0"/>
          <w:szCs w:val="21"/>
        </w:rPr>
        <w:t>本协议书一式</w:t>
      </w:r>
      <w:r>
        <w:rPr>
          <w:rFonts w:ascii="宋体" w:hAnsi="宋体"/>
          <w:snapToGrid w:val="0"/>
          <w:kern w:val="0"/>
          <w:szCs w:val="21"/>
          <w:u w:val="single"/>
        </w:rPr>
        <w:t xml:space="preserve">           </w:t>
      </w:r>
      <w:r>
        <w:rPr>
          <w:rFonts w:hint="eastAsia" w:ascii="宋体" w:hAnsi="宋体"/>
          <w:snapToGrid w:val="0"/>
          <w:kern w:val="0"/>
          <w:szCs w:val="21"/>
        </w:rPr>
        <w:t>份，联合体成员和招标人各执一份。</w:t>
      </w:r>
    </w:p>
    <w:p>
      <w:pPr>
        <w:topLinePunct/>
        <w:snapToGrid w:val="0"/>
        <w:spacing w:line="380" w:lineRule="exact"/>
        <w:ind w:firstLine="1995" w:firstLineChars="950"/>
        <w:rPr>
          <w:rFonts w:ascii="宋体"/>
          <w:snapToGrid w:val="0"/>
          <w:kern w:val="0"/>
          <w:szCs w:val="21"/>
        </w:rPr>
      </w:pPr>
    </w:p>
    <w:p>
      <w:pPr>
        <w:topLinePunct/>
        <w:snapToGrid w:val="0"/>
        <w:spacing w:line="380" w:lineRule="exact"/>
        <w:ind w:firstLine="1995" w:firstLineChars="950"/>
        <w:rPr>
          <w:rFonts w:ascii="宋体"/>
          <w:snapToGrid w:val="0"/>
          <w:kern w:val="0"/>
          <w:szCs w:val="21"/>
        </w:rPr>
      </w:pPr>
      <w:r>
        <w:rPr>
          <w:rFonts w:hint="eastAsia" w:ascii="宋体" w:hAnsi="宋体"/>
          <w:snapToGrid w:val="0"/>
          <w:kern w:val="0"/>
          <w:szCs w:val="21"/>
        </w:rPr>
        <w:t>牵头人名称：</w:t>
      </w:r>
      <w:r>
        <w:rPr>
          <w:rFonts w:ascii="宋体" w:hAnsi="宋体"/>
          <w:snapToGrid w:val="0"/>
          <w:kern w:val="0"/>
          <w:szCs w:val="21"/>
          <w:u w:val="single"/>
        </w:rPr>
        <w:t xml:space="preserve">                           </w:t>
      </w:r>
      <w:r>
        <w:rPr>
          <w:rFonts w:hint="eastAsia" w:ascii="宋体" w:hAnsi="宋体"/>
          <w:snapToGrid w:val="0"/>
          <w:kern w:val="0"/>
          <w:szCs w:val="21"/>
          <w:u w:val="single"/>
        </w:rPr>
        <w:t>（盖企业</w:t>
      </w:r>
      <w:r>
        <w:rPr>
          <w:rFonts w:ascii="宋体" w:hAnsi="宋体"/>
          <w:snapToGrid w:val="0"/>
          <w:kern w:val="0"/>
          <w:szCs w:val="21"/>
          <w:u w:val="single"/>
        </w:rPr>
        <w:t>CA</w:t>
      </w:r>
      <w:r>
        <w:rPr>
          <w:rFonts w:hint="eastAsia" w:ascii="宋体" w:hAnsi="宋体"/>
          <w:snapToGrid w:val="0"/>
          <w:kern w:val="0"/>
          <w:szCs w:val="21"/>
          <w:u w:val="single"/>
        </w:rPr>
        <w:t>电子印章）</w:t>
      </w:r>
    </w:p>
    <w:p>
      <w:pPr>
        <w:topLinePunct/>
        <w:snapToGrid w:val="0"/>
        <w:spacing w:line="380" w:lineRule="exact"/>
        <w:ind w:firstLine="1995" w:firstLineChars="950"/>
        <w:rPr>
          <w:rFonts w:ascii="宋体"/>
          <w:snapToGrid w:val="0"/>
          <w:kern w:val="0"/>
          <w:szCs w:val="21"/>
        </w:rPr>
      </w:pPr>
      <w:r>
        <w:rPr>
          <w:rFonts w:hint="eastAsia" w:ascii="宋体" w:hAnsi="宋体"/>
          <w:snapToGrid w:val="0"/>
          <w:kern w:val="0"/>
          <w:szCs w:val="21"/>
        </w:rPr>
        <w:t>法定代表人或其委托代理人：</w:t>
      </w:r>
      <w:r>
        <w:rPr>
          <w:rFonts w:ascii="宋体" w:hAnsi="宋体"/>
          <w:snapToGrid w:val="0"/>
          <w:kern w:val="0"/>
          <w:szCs w:val="21"/>
          <w:u w:val="single"/>
        </w:rPr>
        <w:t xml:space="preserve">             </w:t>
      </w:r>
      <w:r>
        <w:rPr>
          <w:rFonts w:hint="eastAsia" w:ascii="宋体" w:hAnsi="宋体"/>
          <w:snapToGrid w:val="0"/>
          <w:kern w:val="0"/>
          <w:szCs w:val="21"/>
          <w:u w:val="single"/>
        </w:rPr>
        <w:t>（盖个人</w:t>
      </w:r>
      <w:r>
        <w:rPr>
          <w:rFonts w:ascii="宋体" w:hAnsi="宋体"/>
          <w:snapToGrid w:val="0"/>
          <w:kern w:val="0"/>
          <w:szCs w:val="21"/>
          <w:u w:val="single"/>
        </w:rPr>
        <w:t>CA</w:t>
      </w:r>
      <w:r>
        <w:rPr>
          <w:rFonts w:hint="eastAsia" w:ascii="宋体" w:hAnsi="宋体"/>
          <w:snapToGrid w:val="0"/>
          <w:kern w:val="0"/>
          <w:szCs w:val="21"/>
          <w:u w:val="single"/>
        </w:rPr>
        <w:t>电子印章）</w:t>
      </w:r>
    </w:p>
    <w:p>
      <w:pPr>
        <w:tabs>
          <w:tab w:val="left" w:pos="5366"/>
        </w:tabs>
        <w:topLinePunct/>
        <w:snapToGrid w:val="0"/>
        <w:spacing w:line="380" w:lineRule="exact"/>
        <w:rPr>
          <w:rFonts w:ascii="宋体"/>
          <w:snapToGrid w:val="0"/>
          <w:kern w:val="0"/>
          <w:szCs w:val="21"/>
        </w:rPr>
      </w:pPr>
      <w:r>
        <w:rPr>
          <w:rFonts w:ascii="宋体"/>
          <w:snapToGrid w:val="0"/>
          <w:kern w:val="0"/>
          <w:szCs w:val="21"/>
        </w:rPr>
        <w:tab/>
      </w:r>
    </w:p>
    <w:p>
      <w:pPr>
        <w:topLinePunct/>
        <w:snapToGrid w:val="0"/>
        <w:spacing w:line="380" w:lineRule="exact"/>
        <w:ind w:firstLine="1995" w:firstLineChars="950"/>
        <w:rPr>
          <w:rFonts w:ascii="宋体"/>
          <w:snapToGrid w:val="0"/>
          <w:kern w:val="0"/>
          <w:szCs w:val="21"/>
        </w:rPr>
      </w:pPr>
      <w:r>
        <w:rPr>
          <w:rFonts w:hint="eastAsia" w:ascii="宋体" w:hAnsi="宋体"/>
          <w:snapToGrid w:val="0"/>
          <w:kern w:val="0"/>
          <w:szCs w:val="21"/>
        </w:rPr>
        <w:t>成员二名称：</w:t>
      </w:r>
      <w:r>
        <w:rPr>
          <w:rFonts w:ascii="宋体" w:hAnsi="宋体"/>
          <w:snapToGrid w:val="0"/>
          <w:kern w:val="0"/>
          <w:szCs w:val="21"/>
          <w:u w:val="single"/>
        </w:rPr>
        <w:t xml:space="preserve">                           </w:t>
      </w:r>
      <w:r>
        <w:rPr>
          <w:rFonts w:hint="eastAsia" w:ascii="宋体" w:hAnsi="宋体"/>
          <w:snapToGrid w:val="0"/>
          <w:kern w:val="0"/>
          <w:szCs w:val="21"/>
          <w:u w:val="single"/>
        </w:rPr>
        <w:t>（盖企业</w:t>
      </w:r>
      <w:r>
        <w:rPr>
          <w:rFonts w:ascii="宋体" w:hAnsi="宋体"/>
          <w:snapToGrid w:val="0"/>
          <w:kern w:val="0"/>
          <w:szCs w:val="21"/>
          <w:u w:val="single"/>
        </w:rPr>
        <w:t>CA</w:t>
      </w:r>
      <w:r>
        <w:rPr>
          <w:rFonts w:hint="eastAsia" w:ascii="宋体" w:hAnsi="宋体"/>
          <w:snapToGrid w:val="0"/>
          <w:kern w:val="0"/>
          <w:szCs w:val="21"/>
          <w:u w:val="single"/>
        </w:rPr>
        <w:t>电子印章）</w:t>
      </w:r>
    </w:p>
    <w:p>
      <w:pPr>
        <w:topLinePunct/>
        <w:snapToGrid w:val="0"/>
        <w:spacing w:line="380" w:lineRule="exact"/>
        <w:ind w:firstLine="1995" w:firstLineChars="950"/>
        <w:rPr>
          <w:rFonts w:ascii="宋体"/>
          <w:snapToGrid w:val="0"/>
          <w:kern w:val="0"/>
          <w:szCs w:val="21"/>
          <w:u w:val="single"/>
        </w:rPr>
      </w:pPr>
      <w:r>
        <w:rPr>
          <w:rFonts w:hint="eastAsia" w:ascii="宋体" w:hAnsi="宋体"/>
          <w:snapToGrid w:val="0"/>
          <w:kern w:val="0"/>
          <w:szCs w:val="21"/>
        </w:rPr>
        <w:t>法定代表人或其委托代理人：</w:t>
      </w:r>
      <w:r>
        <w:rPr>
          <w:rFonts w:ascii="宋体" w:hAnsi="宋体"/>
          <w:snapToGrid w:val="0"/>
          <w:kern w:val="0"/>
          <w:szCs w:val="21"/>
          <w:u w:val="single"/>
        </w:rPr>
        <w:t xml:space="preserve">             </w:t>
      </w:r>
      <w:r>
        <w:rPr>
          <w:rFonts w:hint="eastAsia" w:ascii="宋体" w:hAnsi="宋体"/>
          <w:snapToGrid w:val="0"/>
          <w:kern w:val="0"/>
          <w:szCs w:val="21"/>
          <w:u w:val="single"/>
        </w:rPr>
        <w:t>（盖个人</w:t>
      </w:r>
      <w:r>
        <w:rPr>
          <w:rFonts w:ascii="宋体" w:hAnsi="宋体"/>
          <w:snapToGrid w:val="0"/>
          <w:kern w:val="0"/>
          <w:szCs w:val="21"/>
          <w:u w:val="single"/>
        </w:rPr>
        <w:t>CA</w:t>
      </w:r>
      <w:r>
        <w:rPr>
          <w:rFonts w:hint="eastAsia" w:ascii="宋体" w:hAnsi="宋体"/>
          <w:snapToGrid w:val="0"/>
          <w:kern w:val="0"/>
          <w:szCs w:val="21"/>
          <w:u w:val="single"/>
        </w:rPr>
        <w:t>电子印章）</w:t>
      </w:r>
    </w:p>
    <w:p>
      <w:pPr>
        <w:topLinePunct/>
        <w:snapToGrid w:val="0"/>
        <w:spacing w:line="380" w:lineRule="exact"/>
        <w:ind w:firstLine="2310" w:firstLineChars="1100"/>
        <w:rPr>
          <w:rFonts w:ascii="宋体" w:hAnsi="宋体"/>
          <w:snapToGrid w:val="0"/>
          <w:kern w:val="0"/>
          <w:szCs w:val="21"/>
        </w:rPr>
      </w:pPr>
      <w:r>
        <w:rPr>
          <w:rFonts w:hint="eastAsia" w:ascii="宋体"/>
          <w:snapToGrid w:val="0"/>
          <w:kern w:val="0"/>
          <w:szCs w:val="21"/>
        </w:rPr>
        <w:t>……</w:t>
      </w:r>
      <w:r>
        <w:rPr>
          <w:rFonts w:ascii="宋体" w:hAnsi="宋体"/>
          <w:snapToGrid w:val="0"/>
          <w:kern w:val="0"/>
          <w:szCs w:val="21"/>
        </w:rPr>
        <w:t xml:space="preserve"> </w:t>
      </w:r>
    </w:p>
    <w:p>
      <w:pPr>
        <w:snapToGrid w:val="0"/>
        <w:spacing w:line="380" w:lineRule="exact"/>
        <w:ind w:firstLine="4452" w:firstLineChars="2120"/>
        <w:rPr>
          <w:rFonts w:ascii="宋体"/>
          <w:snapToGrid w:val="0"/>
          <w:kern w:val="0"/>
        </w:rPr>
      </w:pPr>
      <w:r>
        <w:rPr>
          <w:rFonts w:ascii="宋体" w:hAnsi="宋体"/>
          <w:snapToGrid w:val="0"/>
          <w:kern w:val="0"/>
          <w:u w:val="single"/>
        </w:rPr>
        <w:t xml:space="preserve">        </w:t>
      </w:r>
      <w:r>
        <w:rPr>
          <w:rFonts w:hint="eastAsia" w:ascii="宋体" w:hAnsi="宋体"/>
          <w:snapToGrid w:val="0"/>
          <w:kern w:val="0"/>
        </w:rPr>
        <w:t>年</w:t>
      </w:r>
      <w:r>
        <w:rPr>
          <w:rFonts w:ascii="宋体" w:hAnsi="宋体"/>
          <w:snapToGrid w:val="0"/>
          <w:kern w:val="0"/>
          <w:u w:val="single"/>
        </w:rPr>
        <w:t xml:space="preserve">       </w:t>
      </w:r>
      <w:r>
        <w:rPr>
          <w:rFonts w:hint="eastAsia" w:ascii="宋体" w:hAnsi="宋体"/>
          <w:snapToGrid w:val="0"/>
          <w:kern w:val="0"/>
        </w:rPr>
        <w:t>月</w:t>
      </w:r>
      <w:r>
        <w:rPr>
          <w:rFonts w:ascii="宋体" w:hAnsi="宋体"/>
          <w:snapToGrid w:val="0"/>
          <w:kern w:val="0"/>
          <w:u w:val="single"/>
        </w:rPr>
        <w:t xml:space="preserve">       </w:t>
      </w:r>
      <w:r>
        <w:rPr>
          <w:rFonts w:hint="eastAsia" w:ascii="宋体" w:hAnsi="宋体"/>
          <w:snapToGrid w:val="0"/>
          <w:kern w:val="0"/>
        </w:rPr>
        <w:t>日</w:t>
      </w:r>
    </w:p>
    <w:p>
      <w:pPr>
        <w:topLinePunct/>
        <w:spacing w:line="400" w:lineRule="exact"/>
        <w:rPr>
          <w:rFonts w:ascii="宋体"/>
          <w:snapToGrid w:val="0"/>
          <w:kern w:val="0"/>
          <w:szCs w:val="21"/>
        </w:rPr>
      </w:pPr>
      <w:r>
        <w:rPr>
          <w:rFonts w:hint="eastAsia" w:ascii="宋体" w:hAnsi="宋体"/>
          <w:snapToGrid w:val="0"/>
          <w:kern w:val="0"/>
          <w:szCs w:val="21"/>
        </w:rPr>
        <w:t>备注：：本协议书由委托代理人盖个人</w:t>
      </w:r>
      <w:r>
        <w:rPr>
          <w:rFonts w:ascii="宋体" w:hAnsi="宋体"/>
          <w:snapToGrid w:val="0"/>
          <w:kern w:val="0"/>
          <w:szCs w:val="21"/>
        </w:rPr>
        <w:t>CA</w:t>
      </w:r>
      <w:r>
        <w:rPr>
          <w:rFonts w:hint="eastAsia" w:ascii="宋体" w:hAnsi="宋体"/>
          <w:snapToGrid w:val="0"/>
          <w:kern w:val="0"/>
          <w:szCs w:val="21"/>
        </w:rPr>
        <w:t>电子印章的，应附法定代表人盖个人</w:t>
      </w:r>
      <w:r>
        <w:rPr>
          <w:rFonts w:ascii="宋体" w:hAnsi="宋体"/>
          <w:snapToGrid w:val="0"/>
          <w:kern w:val="0"/>
          <w:szCs w:val="21"/>
        </w:rPr>
        <w:t>CA</w:t>
      </w:r>
      <w:r>
        <w:rPr>
          <w:rFonts w:hint="eastAsia" w:ascii="宋体" w:hAnsi="宋体"/>
          <w:snapToGrid w:val="0"/>
          <w:kern w:val="0"/>
          <w:szCs w:val="21"/>
        </w:rPr>
        <w:t>电子印章的授权委托书。</w:t>
      </w:r>
    </w:p>
    <w:p>
      <w:pPr>
        <w:pStyle w:val="5"/>
        <w:ind w:left="-59"/>
        <w:rPr>
          <w:rFonts w:hAnsi="宋体"/>
          <w:sz w:val="30"/>
          <w:szCs w:val="30"/>
        </w:rPr>
      </w:pPr>
      <w:r>
        <w:rPr>
          <w:rFonts w:ascii="宋体"/>
          <w:snapToGrid w:val="0"/>
        </w:rPr>
        <w:br w:type="page"/>
      </w:r>
      <w:bookmarkStart w:id="1513" w:name="_Toc362253044"/>
      <w:bookmarkStart w:id="1514" w:name="_Toc342296578"/>
      <w:bookmarkStart w:id="1515" w:name="_Toc396818246"/>
      <w:bookmarkStart w:id="1516" w:name="_Toc419547948"/>
      <w:bookmarkStart w:id="1517" w:name="_Toc455409880"/>
      <w:bookmarkStart w:id="1518" w:name="_Toc470011356"/>
      <w:bookmarkStart w:id="1519" w:name="_Toc419547402"/>
      <w:r>
        <w:rPr>
          <w:rFonts w:hint="eastAsia" w:hAnsi="宋体"/>
          <w:sz w:val="30"/>
          <w:szCs w:val="30"/>
        </w:rPr>
        <w:t>六、投标</w:t>
      </w:r>
      <w:bookmarkEnd w:id="1513"/>
      <w:bookmarkEnd w:id="1514"/>
      <w:r>
        <w:rPr>
          <w:rFonts w:hint="eastAsia" w:hAnsi="宋体"/>
          <w:sz w:val="30"/>
          <w:szCs w:val="30"/>
        </w:rPr>
        <w:t>担保</w:t>
      </w:r>
      <w:bookmarkEnd w:id="1515"/>
      <w:bookmarkEnd w:id="1516"/>
      <w:bookmarkEnd w:id="1517"/>
      <w:bookmarkEnd w:id="1518"/>
      <w:bookmarkEnd w:id="1519"/>
    </w:p>
    <w:p>
      <w:pPr>
        <w:spacing w:line="400" w:lineRule="atLeast"/>
        <w:ind w:firstLine="508" w:firstLineChars="212"/>
        <w:rPr>
          <w:rFonts w:ascii="宋体" w:hAnsi="宋体" w:cs="Arial"/>
          <w:sz w:val="24"/>
        </w:rPr>
      </w:pPr>
      <w:r>
        <w:rPr>
          <w:rFonts w:hint="eastAsia" w:ascii="宋体" w:hAnsi="宋体" w:cs="Arial"/>
          <w:sz w:val="24"/>
        </w:rPr>
        <w:t>若采用电子保函、现金，由评标委员会直接查看北京市公共资源交易担保金融服务平台递交情况。</w:t>
      </w:r>
    </w:p>
    <w:p>
      <w:pPr>
        <w:spacing w:line="400" w:lineRule="atLeast"/>
        <w:ind w:firstLine="508" w:firstLineChars="212"/>
        <w:rPr>
          <w:rFonts w:ascii="宋体" w:hAnsi="宋体" w:cs="Arial"/>
          <w:strike/>
          <w:sz w:val="24"/>
        </w:rPr>
      </w:pPr>
      <w:r>
        <w:rPr>
          <w:rFonts w:hint="eastAsia"/>
          <w:sz w:val="24"/>
          <w:szCs w:val="20"/>
        </w:rPr>
        <w:t>若采用电汇、汇票、转账支票，投标人应在此提供</w:t>
      </w:r>
      <w:r>
        <w:rPr>
          <w:sz w:val="24"/>
          <w:szCs w:val="20"/>
        </w:rPr>
        <w:t>投标保证金</w:t>
      </w:r>
      <w:r>
        <w:rPr>
          <w:rFonts w:hint="eastAsia"/>
          <w:sz w:val="24"/>
          <w:szCs w:val="20"/>
        </w:rPr>
        <w:t>转出凭证扫描件。</w:t>
      </w:r>
    </w:p>
    <w:p>
      <w:pPr>
        <w:spacing w:line="400" w:lineRule="atLeast"/>
        <w:ind w:firstLine="508" w:firstLineChars="212"/>
        <w:rPr>
          <w:rFonts w:ascii="宋体" w:hAnsi="宋体" w:cs="Arial"/>
          <w:sz w:val="24"/>
        </w:rPr>
      </w:pPr>
      <w:r>
        <w:rPr>
          <w:rFonts w:ascii="宋体" w:hAnsi="宋体" w:cs="Arial"/>
          <w:sz w:val="24"/>
        </w:rPr>
        <w:t>若采用银行保函，投标人应在此提供银行保函</w:t>
      </w:r>
      <w:r>
        <w:rPr>
          <w:rFonts w:hint="eastAsia" w:ascii="宋体" w:hAnsi="宋体" w:cs="Arial"/>
          <w:sz w:val="24"/>
        </w:rPr>
        <w:t>扫描件，其保函可参照以下格式：</w:t>
      </w:r>
    </w:p>
    <w:p>
      <w:pPr>
        <w:spacing w:line="400" w:lineRule="atLeast"/>
        <w:ind w:firstLine="508" w:firstLineChars="212"/>
        <w:rPr>
          <w:rFonts w:ascii="宋体" w:hAnsi="宋体" w:cs="Arial"/>
          <w:sz w:val="24"/>
        </w:rPr>
      </w:pPr>
    </w:p>
    <w:p>
      <w:pPr>
        <w:spacing w:line="355" w:lineRule="auto"/>
        <w:jc w:val="center"/>
        <w:rPr>
          <w:rFonts w:ascii="宋体" w:hAnsi="宋体"/>
          <w:sz w:val="24"/>
        </w:rPr>
      </w:pPr>
      <w:r>
        <w:rPr>
          <w:rFonts w:ascii="宋体" w:hAnsi="宋体"/>
          <w:sz w:val="24"/>
        </w:rPr>
        <w:t>投标保函</w:t>
      </w:r>
    </w:p>
    <w:p>
      <w:pPr>
        <w:wordWrap w:val="0"/>
        <w:spacing w:line="360" w:lineRule="auto"/>
        <w:jc w:val="right"/>
        <w:rPr>
          <w:rFonts w:ascii="宋体" w:hAnsi="宋体"/>
          <w:szCs w:val="21"/>
        </w:rPr>
      </w:pPr>
      <w:r>
        <w:rPr>
          <w:rFonts w:hint="eastAsia" w:ascii="宋体" w:hAnsi="宋体"/>
          <w:szCs w:val="21"/>
        </w:rPr>
        <w:t>编号：</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pPr>
        <w:spacing w:line="360" w:lineRule="auto"/>
        <w:rPr>
          <w:rFonts w:ascii="宋体" w:hAnsi="宋体"/>
          <w:sz w:val="24"/>
        </w:rPr>
      </w:pPr>
      <w:r>
        <w:rPr>
          <w:rFonts w:ascii="宋体" w:hAnsi="宋体"/>
          <w:sz w:val="24"/>
        </w:rPr>
        <w:t xml:space="preserve"> </w:t>
      </w:r>
    </w:p>
    <w:p>
      <w:pPr>
        <w:spacing w:line="360" w:lineRule="auto"/>
        <w:rPr>
          <w:rFonts w:ascii="宋体" w:hAnsi="宋体"/>
          <w:sz w:val="24"/>
        </w:rPr>
      </w:pPr>
      <w:bookmarkStart w:id="1520" w:name="_Hlk40303117"/>
      <w:r>
        <w:rPr>
          <w:rFonts w:hint="eastAsia" w:ascii="宋体" w:hAnsi="宋体"/>
          <w:sz w:val="24"/>
        </w:rPr>
        <w:t>申请人：</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地址</w:t>
      </w:r>
      <w:r>
        <w:rPr>
          <w:rFonts w:ascii="宋体" w:hAnsi="宋体"/>
          <w:sz w:val="24"/>
        </w:rPr>
        <w:t>：</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受益人：</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地址：</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开立人：</w:t>
      </w:r>
      <w:r>
        <w:rPr>
          <w:rFonts w:hint="eastAsia" w:ascii="宋体" w:hAnsi="宋体"/>
          <w:sz w:val="24"/>
          <w:u w:val="single"/>
        </w:rPr>
        <w:t xml:space="preserve">                           </w:t>
      </w:r>
    </w:p>
    <w:bookmarkEnd w:id="1520"/>
    <w:p>
      <w:pPr>
        <w:spacing w:line="360" w:lineRule="auto"/>
        <w:rPr>
          <w:rFonts w:ascii="宋体" w:hAnsi="宋体"/>
          <w:sz w:val="24"/>
        </w:rPr>
      </w:pPr>
      <w:r>
        <w:rPr>
          <w:rFonts w:hint="eastAsia" w:ascii="宋体" w:hAnsi="宋体"/>
          <w:sz w:val="24"/>
        </w:rPr>
        <w:t>地址：</w:t>
      </w:r>
      <w:r>
        <w:rPr>
          <w:rFonts w:hint="eastAsia" w:ascii="宋体" w:hAnsi="宋体"/>
          <w:sz w:val="24"/>
          <w:u w:val="single"/>
        </w:rPr>
        <w:t xml:space="preserve">                             </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致：（受益人名称）</w:t>
      </w:r>
    </w:p>
    <w:p>
      <w:pPr>
        <w:spacing w:line="360" w:lineRule="auto"/>
        <w:ind w:firstLine="480"/>
        <w:rPr>
          <w:rFonts w:ascii="宋体" w:hAnsi="宋体"/>
          <w:sz w:val="24"/>
        </w:rPr>
      </w:pPr>
      <w:r>
        <w:rPr>
          <w:rFonts w:hint="eastAsia" w:ascii="宋体" w:hAnsi="宋体"/>
          <w:sz w:val="24"/>
        </w:rPr>
        <w:t>我方（即“开立人”）已获得通知，本保函申请人（即“投标人”）已响应贵方于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日就</w:t>
      </w:r>
      <w:r>
        <w:rPr>
          <w:rFonts w:hint="eastAsia" w:ascii="宋体" w:hAnsi="宋体"/>
          <w:sz w:val="24"/>
          <w:u w:val="single"/>
        </w:rPr>
        <w:t xml:space="preserve">                            </w:t>
      </w:r>
      <w:r>
        <w:rPr>
          <w:rFonts w:hint="eastAsia" w:ascii="宋体" w:hAnsi="宋体"/>
          <w:sz w:val="24"/>
        </w:rPr>
        <w:t>（以下简称“本工程”）发出的招标文件，并已向招标人（即“受益人”）提交了投标文件（即“基础交易”）。</w:t>
      </w:r>
    </w:p>
    <w:p>
      <w:pPr>
        <w:spacing w:line="360" w:lineRule="auto"/>
        <w:ind w:firstLine="480" w:firstLineChars="200"/>
        <w:rPr>
          <w:rFonts w:ascii="宋体" w:hAnsi="宋体"/>
          <w:sz w:val="24"/>
        </w:rPr>
      </w:pPr>
      <w:r>
        <w:rPr>
          <w:rFonts w:hint="eastAsia" w:ascii="宋体" w:hAnsi="宋体"/>
          <w:sz w:val="24"/>
        </w:rPr>
        <w:t>一、我方理解根据招标条件，投标人必须提交一份投标保函（以下简称“本保函”），以担保投标人诚信履行其在上述基础交易中承担的投标人义务。鉴此，应申请人要求，我方在此同意向贵方出具此投标保函，本保函担保金额最高不超过</w:t>
      </w:r>
      <w:r>
        <w:rPr>
          <w:rFonts w:ascii="宋体" w:hAnsi="宋体"/>
          <w:sz w:val="24"/>
        </w:rPr>
        <w:t>人民币（大写）</w:t>
      </w:r>
      <w:r>
        <w:rPr>
          <w:rFonts w:ascii="宋体" w:hAnsi="宋体"/>
          <w:sz w:val="24"/>
          <w:u w:val="single"/>
        </w:rPr>
        <w:t xml:space="preserve">      </w:t>
      </w:r>
      <w:r>
        <w:rPr>
          <w:rFonts w:ascii="宋体" w:hAnsi="宋体"/>
          <w:sz w:val="24"/>
        </w:rPr>
        <w:t>元（¥</w:t>
      </w:r>
      <w:r>
        <w:rPr>
          <w:rFonts w:ascii="宋体" w:hAnsi="宋体"/>
          <w:sz w:val="24"/>
          <w:u w:val="single"/>
        </w:rPr>
        <w:t xml:space="preserve">       </w:t>
      </w:r>
      <w:r>
        <w:rPr>
          <w:rFonts w:ascii="宋体" w:hAnsi="宋体"/>
          <w:sz w:val="24"/>
        </w:rPr>
        <w:t>）。</w:t>
      </w:r>
    </w:p>
    <w:p>
      <w:pPr>
        <w:spacing w:line="360" w:lineRule="auto"/>
        <w:ind w:firstLine="480" w:firstLineChars="200"/>
        <w:rPr>
          <w:rFonts w:ascii="宋体" w:hAnsi="宋体"/>
          <w:sz w:val="24"/>
        </w:rPr>
      </w:pPr>
      <w:r>
        <w:rPr>
          <w:rFonts w:hint="eastAsia" w:ascii="宋体" w:hAnsi="宋体"/>
          <w:sz w:val="24"/>
        </w:rPr>
        <w:t>二、我方在投标人发生以下情形时承担保证担保责任：</w:t>
      </w:r>
      <w:r>
        <w:rPr>
          <w:rFonts w:ascii="宋体" w:hAnsi="宋体"/>
          <w:sz w:val="24"/>
        </w:rPr>
        <w:t xml:space="preserve"> </w:t>
      </w:r>
    </w:p>
    <w:p>
      <w:pPr>
        <w:pStyle w:val="166"/>
        <w:spacing w:line="360" w:lineRule="auto"/>
        <w:ind w:left="480" w:firstLine="0" w:firstLineChars="0"/>
        <w:rPr>
          <w:rFonts w:ascii="宋体" w:hAnsi="宋体"/>
          <w:sz w:val="24"/>
        </w:rPr>
      </w:pPr>
      <w:r>
        <w:rPr>
          <w:rFonts w:hint="eastAsia" w:ascii="宋体" w:hAnsi="宋体"/>
          <w:sz w:val="24"/>
        </w:rPr>
        <w:t>（1）投标</w:t>
      </w:r>
      <w:r>
        <w:rPr>
          <w:rFonts w:ascii="宋体" w:hAnsi="宋体"/>
          <w:sz w:val="24"/>
        </w:rPr>
        <w:t xml:space="preserve">人在开标后和投标有效期满之前撤销投标的； </w:t>
      </w:r>
    </w:p>
    <w:p>
      <w:pPr>
        <w:pStyle w:val="166"/>
        <w:spacing w:line="360" w:lineRule="auto"/>
        <w:ind w:firstLine="480" w:firstLineChars="0"/>
        <w:rPr>
          <w:rFonts w:ascii="宋体" w:hAnsi="宋体"/>
          <w:sz w:val="24"/>
        </w:rPr>
      </w:pPr>
      <w:r>
        <w:rPr>
          <w:rFonts w:hint="eastAsia" w:ascii="宋体" w:hAnsi="宋体"/>
          <w:sz w:val="24"/>
        </w:rPr>
        <w:t>（2）</w:t>
      </w:r>
      <w:r>
        <w:rPr>
          <w:rFonts w:ascii="宋体" w:hAnsi="宋体"/>
          <w:sz w:val="24"/>
        </w:rPr>
        <w:t>投标人在收到中标通知后，</w:t>
      </w:r>
      <w:r>
        <w:rPr>
          <w:rFonts w:hint="eastAsia" w:ascii="宋体" w:hAnsi="宋体"/>
          <w:sz w:val="24"/>
        </w:rPr>
        <w:t>不能或拒绝</w:t>
      </w:r>
      <w:r>
        <w:rPr>
          <w:rFonts w:ascii="宋体" w:hAnsi="宋体"/>
          <w:sz w:val="24"/>
        </w:rPr>
        <w:t xml:space="preserve">在中标通知书规定的时间内与贵方签订合同； </w:t>
      </w:r>
    </w:p>
    <w:p>
      <w:pPr>
        <w:pStyle w:val="166"/>
        <w:spacing w:line="360" w:lineRule="auto"/>
        <w:ind w:firstLine="480" w:firstLineChars="0"/>
        <w:rPr>
          <w:rFonts w:ascii="宋体" w:hAnsi="宋体"/>
          <w:sz w:val="24"/>
        </w:rPr>
      </w:pPr>
      <w:r>
        <w:rPr>
          <w:rFonts w:hint="eastAsia" w:ascii="宋体" w:hAnsi="宋体"/>
          <w:sz w:val="24"/>
        </w:rPr>
        <w:t>（3）投标人在与贵方签订合同后，未在规定的时间内提交符合招标文件要求的履约担保；</w:t>
      </w:r>
    </w:p>
    <w:p>
      <w:pPr>
        <w:pStyle w:val="166"/>
        <w:spacing w:line="360" w:lineRule="auto"/>
        <w:ind w:firstLine="480" w:firstLineChars="0"/>
        <w:rPr>
          <w:rFonts w:ascii="宋体" w:hAnsi="宋体"/>
          <w:sz w:val="24"/>
        </w:rPr>
      </w:pPr>
      <w:r>
        <w:rPr>
          <w:rFonts w:hint="eastAsia" w:ascii="宋体" w:hAnsi="宋体"/>
          <w:sz w:val="24"/>
        </w:rPr>
        <w:t>（4）投标人违反</w:t>
      </w:r>
      <w:r>
        <w:rPr>
          <w:rFonts w:ascii="宋体" w:hAnsi="宋体"/>
          <w:sz w:val="24"/>
        </w:rPr>
        <w:t>招标文件规定</w:t>
      </w:r>
      <w:r>
        <w:rPr>
          <w:rFonts w:hint="eastAsia" w:ascii="宋体" w:hAnsi="宋体"/>
          <w:sz w:val="24"/>
        </w:rPr>
        <w:t>的其他</w:t>
      </w:r>
      <w:r>
        <w:rPr>
          <w:rFonts w:ascii="宋体" w:hAnsi="宋体"/>
          <w:sz w:val="24"/>
        </w:rPr>
        <w:t>情形。</w:t>
      </w:r>
    </w:p>
    <w:p>
      <w:pPr>
        <w:spacing w:line="360" w:lineRule="auto"/>
        <w:rPr>
          <w:rFonts w:ascii="宋体" w:hAnsi="宋体"/>
          <w:sz w:val="24"/>
        </w:rPr>
      </w:pPr>
      <w:r>
        <w:rPr>
          <w:rFonts w:hint="eastAsia" w:ascii="宋体" w:hAnsi="宋体"/>
          <w:sz w:val="24"/>
        </w:rPr>
        <w:t xml:space="preserve">    三、本保函为</w:t>
      </w:r>
      <w:r>
        <w:rPr>
          <w:rFonts w:ascii="宋体" w:hAnsi="宋体"/>
          <w:sz w:val="24"/>
        </w:rPr>
        <w:t>不可撤销、</w:t>
      </w:r>
      <w:r>
        <w:rPr>
          <w:rFonts w:hint="eastAsia" w:ascii="宋体" w:hAnsi="宋体"/>
          <w:sz w:val="24"/>
        </w:rPr>
        <w:t>不可转让的见索即付</w:t>
      </w:r>
      <w:r>
        <w:rPr>
          <w:rFonts w:ascii="宋体" w:hAnsi="宋体"/>
          <w:sz w:val="24"/>
        </w:rPr>
        <w:t>独立</w:t>
      </w:r>
      <w:r>
        <w:rPr>
          <w:rFonts w:hint="eastAsia" w:ascii="宋体" w:hAnsi="宋体"/>
          <w:sz w:val="24"/>
        </w:rPr>
        <w:t>保函</w:t>
      </w:r>
      <w:r>
        <w:rPr>
          <w:rFonts w:ascii="宋体" w:hAnsi="宋体"/>
          <w:sz w:val="24"/>
        </w:rPr>
        <w:t>。</w:t>
      </w:r>
      <w:r>
        <w:rPr>
          <w:rFonts w:hint="eastAsia" w:ascii="宋体" w:hAnsi="宋体"/>
          <w:sz w:val="24"/>
        </w:rPr>
        <w:t>本保函</w:t>
      </w:r>
      <w:r>
        <w:rPr>
          <w:rFonts w:ascii="宋体" w:hAnsi="宋体"/>
          <w:sz w:val="24"/>
        </w:rPr>
        <w:t>有效期自</w:t>
      </w:r>
      <w:r>
        <w:rPr>
          <w:rFonts w:hint="eastAsia" w:ascii="宋体" w:hAnsi="宋体"/>
          <w:sz w:val="24"/>
        </w:rPr>
        <w:t>开立之日起</w:t>
      </w:r>
      <w:r>
        <w:rPr>
          <w:rFonts w:ascii="宋体" w:hAnsi="宋体"/>
          <w:sz w:val="24"/>
        </w:rPr>
        <w:t>至</w:t>
      </w:r>
      <w:r>
        <w:rPr>
          <w:rFonts w:hint="eastAsia" w:ascii="宋体" w:hAnsi="宋体"/>
          <w:sz w:val="24"/>
        </w:rPr>
        <w:t>投标有效期届满之日后的</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w:t>
      </w:r>
      <w:r>
        <w:rPr>
          <w:rFonts w:ascii="宋体" w:hAnsi="宋体"/>
          <w:sz w:val="24"/>
        </w:rPr>
        <w:t>。</w:t>
      </w:r>
      <w:r>
        <w:rPr>
          <w:rFonts w:hint="eastAsia" w:ascii="宋体" w:hAnsi="宋体"/>
          <w:sz w:val="24"/>
        </w:rPr>
        <w:t>投标有效期延长的，本保函有效期相应顺延</w:t>
      </w:r>
      <w:bookmarkStart w:id="1521" w:name="_Hlk58489417"/>
      <w:r>
        <w:rPr>
          <w:rFonts w:hint="eastAsia" w:ascii="宋体" w:hAnsi="宋体"/>
          <w:sz w:val="24"/>
        </w:rPr>
        <w:t>，最迟不超过</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w:t>
      </w:r>
      <w:bookmarkEnd w:id="1521"/>
      <w:r>
        <w:rPr>
          <w:rFonts w:hint="eastAsia" w:ascii="宋体" w:hAnsi="宋体"/>
          <w:sz w:val="24"/>
        </w:rPr>
        <w:t>。</w:t>
      </w:r>
    </w:p>
    <w:p>
      <w:pPr>
        <w:spacing w:line="360" w:lineRule="auto"/>
        <w:ind w:firstLine="480"/>
        <w:rPr>
          <w:rFonts w:ascii="宋体" w:hAnsi="宋体"/>
          <w:sz w:val="24"/>
        </w:rPr>
      </w:pPr>
      <w:bookmarkStart w:id="1522" w:name="_Hlk40302764"/>
      <w:r>
        <w:rPr>
          <w:rFonts w:hint="eastAsia" w:ascii="宋体" w:hAnsi="宋体"/>
          <w:sz w:val="24"/>
        </w:rPr>
        <w:t>四、我方承诺，在收到受益人发来的书面付款通知后的</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日内无条件支付，前述书面付款通知即为付款要求之单据，且应满足以下要求：</w:t>
      </w:r>
    </w:p>
    <w:p>
      <w:pPr>
        <w:spacing w:line="360" w:lineRule="auto"/>
        <w:ind w:firstLine="480"/>
        <w:rPr>
          <w:rFonts w:ascii="宋体" w:hAnsi="宋体"/>
          <w:sz w:val="24"/>
        </w:rPr>
      </w:pPr>
      <w:r>
        <w:rPr>
          <w:rFonts w:hint="eastAsia" w:ascii="宋体" w:hAnsi="宋体"/>
          <w:sz w:val="24"/>
        </w:rPr>
        <w:t>（1）付款通知到达的日期在本保函的有效期内；</w:t>
      </w:r>
    </w:p>
    <w:p>
      <w:pPr>
        <w:spacing w:line="360" w:lineRule="auto"/>
        <w:ind w:firstLine="480"/>
        <w:rPr>
          <w:rFonts w:ascii="宋体" w:hAnsi="宋体"/>
          <w:sz w:val="24"/>
        </w:rPr>
      </w:pPr>
      <w:r>
        <w:rPr>
          <w:rFonts w:hint="eastAsia" w:ascii="宋体" w:hAnsi="宋体"/>
          <w:sz w:val="24"/>
        </w:rPr>
        <w:t>（2）载明要求支付的金额；</w:t>
      </w:r>
    </w:p>
    <w:p>
      <w:pPr>
        <w:spacing w:line="360" w:lineRule="auto"/>
        <w:ind w:firstLine="480"/>
        <w:rPr>
          <w:rFonts w:ascii="宋体" w:hAnsi="宋体"/>
          <w:sz w:val="24"/>
        </w:rPr>
      </w:pPr>
      <w:r>
        <w:rPr>
          <w:rFonts w:hint="eastAsia" w:ascii="宋体" w:hAnsi="宋体"/>
          <w:sz w:val="24"/>
        </w:rPr>
        <w:t>（3）</w:t>
      </w:r>
      <w:bookmarkStart w:id="1523" w:name="_Hlk40354215"/>
      <w:r>
        <w:rPr>
          <w:rFonts w:hint="eastAsia" w:ascii="宋体" w:hAnsi="宋体"/>
          <w:sz w:val="24"/>
        </w:rPr>
        <w:t>载明申请人违反招投标文件规定的义务内容和具体条款；</w:t>
      </w:r>
      <w:bookmarkEnd w:id="1523"/>
    </w:p>
    <w:p>
      <w:pPr>
        <w:spacing w:line="360" w:lineRule="auto"/>
        <w:ind w:firstLine="480"/>
        <w:rPr>
          <w:rFonts w:ascii="宋体" w:hAnsi="宋体"/>
          <w:sz w:val="24"/>
        </w:rPr>
      </w:pPr>
      <w:r>
        <w:rPr>
          <w:rFonts w:hint="eastAsia" w:ascii="宋体" w:hAnsi="宋体"/>
          <w:sz w:val="24"/>
        </w:rPr>
        <w:t>（4）</w:t>
      </w:r>
      <w:bookmarkStart w:id="1524" w:name="_Hlk40354839"/>
      <w:r>
        <w:rPr>
          <w:rFonts w:hint="eastAsia" w:ascii="宋体" w:hAnsi="宋体"/>
          <w:sz w:val="24"/>
        </w:rPr>
        <w:t>声明不存在招标文件规定或我国法律规定免除申请人或我方支付责任的情形；</w:t>
      </w:r>
      <w:bookmarkEnd w:id="1524"/>
    </w:p>
    <w:p>
      <w:pPr>
        <w:spacing w:line="360" w:lineRule="auto"/>
        <w:ind w:firstLine="480"/>
        <w:rPr>
          <w:rFonts w:ascii="宋体" w:hAnsi="宋体"/>
          <w:sz w:val="24"/>
        </w:rPr>
      </w:pPr>
      <w:r>
        <w:rPr>
          <w:rFonts w:hint="eastAsia" w:ascii="宋体" w:hAnsi="宋体"/>
          <w:sz w:val="24"/>
        </w:rPr>
        <w:t>（5）书面付款通知应在本保函有效期内到达的地址是：</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p>
    <w:bookmarkEnd w:id="1522"/>
    <w:p>
      <w:pPr>
        <w:spacing w:line="360" w:lineRule="auto"/>
        <w:rPr>
          <w:rFonts w:ascii="宋体" w:hAnsi="宋体"/>
          <w:sz w:val="24"/>
        </w:rPr>
      </w:pPr>
      <w:r>
        <w:rPr>
          <w:rFonts w:hint="eastAsia" w:ascii="宋体" w:hAnsi="宋体"/>
          <w:sz w:val="24"/>
        </w:rPr>
        <w:t xml:space="preserve">    </w:t>
      </w:r>
      <w:bookmarkStart w:id="1525" w:name="_Hlk40303486"/>
      <w:r>
        <w:rPr>
          <w:rFonts w:hint="eastAsia" w:ascii="宋体" w:hAnsi="宋体"/>
          <w:sz w:val="24"/>
        </w:rPr>
        <w:t>受益人发出的书面付款通知应由其为鉴明受益人法定代表人（负责人）或授权代理人签字并加盖公章。</w:t>
      </w:r>
      <w:bookmarkEnd w:id="1525"/>
    </w:p>
    <w:p>
      <w:pPr>
        <w:spacing w:line="360" w:lineRule="auto"/>
        <w:ind w:firstLine="480" w:firstLineChars="200"/>
        <w:rPr>
          <w:rFonts w:ascii="宋体" w:hAnsi="宋体"/>
          <w:sz w:val="24"/>
        </w:rPr>
      </w:pPr>
      <w:r>
        <w:rPr>
          <w:rFonts w:hint="eastAsia" w:ascii="宋体" w:hAnsi="宋体"/>
          <w:sz w:val="24"/>
        </w:rPr>
        <w:t>五、</w:t>
      </w:r>
      <w:r>
        <w:rPr>
          <w:rFonts w:ascii="宋体" w:hAnsi="宋体"/>
          <w:sz w:val="24"/>
        </w:rPr>
        <w:t>本保函项下的权利不得转让，不得设定担保。</w:t>
      </w:r>
      <w:r>
        <w:rPr>
          <w:rFonts w:hint="eastAsia" w:ascii="宋体" w:hAnsi="宋体"/>
          <w:sz w:val="24"/>
        </w:rPr>
        <w:t>贵方</w:t>
      </w:r>
      <w:r>
        <w:rPr>
          <w:rFonts w:ascii="宋体" w:hAnsi="宋体"/>
          <w:sz w:val="24"/>
        </w:rPr>
        <w:t>未经我方书面同意转让本保函或其项下任何权利，</w:t>
      </w:r>
      <w:r>
        <w:rPr>
          <w:rFonts w:hint="eastAsia" w:ascii="宋体" w:hAnsi="宋体"/>
          <w:sz w:val="24"/>
        </w:rPr>
        <w:t>对我方不发生法律效力</w:t>
      </w:r>
      <w:r>
        <w:rPr>
          <w:rFonts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六、</w:t>
      </w:r>
      <w:r>
        <w:rPr>
          <w:rFonts w:ascii="宋体" w:hAnsi="宋体"/>
          <w:sz w:val="24"/>
        </w:rPr>
        <w:t xml:space="preserve">本保函项下的基础交易不成立、不生效、无效、被撤销、被解除，不影响本保函的独立有效。 </w:t>
      </w:r>
    </w:p>
    <w:p>
      <w:pPr>
        <w:spacing w:line="360" w:lineRule="auto"/>
        <w:ind w:firstLine="480" w:firstLineChars="200"/>
        <w:rPr>
          <w:rFonts w:ascii="宋体" w:hAnsi="宋体"/>
          <w:sz w:val="24"/>
        </w:rPr>
      </w:pPr>
      <w:r>
        <w:rPr>
          <w:rFonts w:hint="eastAsia" w:ascii="宋体" w:hAnsi="宋体"/>
          <w:sz w:val="24"/>
        </w:rPr>
        <w:t>七、受益人</w:t>
      </w:r>
      <w:r>
        <w:rPr>
          <w:rFonts w:ascii="宋体" w:hAnsi="宋体"/>
          <w:sz w:val="24"/>
        </w:rPr>
        <w:t>应在本保函到期后的</w:t>
      </w:r>
      <w:r>
        <w:rPr>
          <w:rFonts w:hint="eastAsia" w:ascii="宋体" w:hAnsi="宋体"/>
          <w:sz w:val="24"/>
        </w:rPr>
        <w:t>七</w:t>
      </w:r>
      <w:r>
        <w:rPr>
          <w:rFonts w:ascii="宋体" w:hAnsi="宋体"/>
          <w:sz w:val="24"/>
        </w:rPr>
        <w:t>日内将本保函正本退回我方</w:t>
      </w:r>
      <w:r>
        <w:rPr>
          <w:rFonts w:hint="eastAsia" w:ascii="宋体" w:hAnsi="宋体"/>
          <w:sz w:val="24"/>
        </w:rPr>
        <w:t>注销</w:t>
      </w:r>
      <w:r>
        <w:rPr>
          <w:rFonts w:ascii="宋体" w:hAnsi="宋体"/>
          <w:sz w:val="24"/>
        </w:rPr>
        <w:t>，但是不论</w:t>
      </w:r>
      <w:r>
        <w:rPr>
          <w:rFonts w:hint="eastAsia" w:ascii="宋体" w:hAnsi="宋体"/>
          <w:sz w:val="24"/>
        </w:rPr>
        <w:t>受益人</w:t>
      </w:r>
      <w:r>
        <w:rPr>
          <w:rFonts w:ascii="宋体" w:hAnsi="宋体"/>
          <w:sz w:val="24"/>
        </w:rPr>
        <w:t>是否按此要求将本保函正本退回我方，我方在本保函项下的义务和责任均在保函</w:t>
      </w:r>
      <w:r>
        <w:rPr>
          <w:rFonts w:hint="eastAsia" w:ascii="宋体" w:hAnsi="宋体"/>
          <w:sz w:val="24"/>
        </w:rPr>
        <w:t>有效期</w:t>
      </w:r>
      <w:r>
        <w:rPr>
          <w:rFonts w:ascii="宋体" w:hAnsi="宋体"/>
          <w:sz w:val="24"/>
        </w:rPr>
        <w:t xml:space="preserve">到期后自动消灭。 </w:t>
      </w:r>
    </w:p>
    <w:p>
      <w:pPr>
        <w:spacing w:line="360" w:lineRule="auto"/>
        <w:ind w:firstLine="480" w:firstLineChars="200"/>
        <w:rPr>
          <w:rFonts w:ascii="宋体" w:hAnsi="宋体"/>
          <w:sz w:val="24"/>
        </w:rPr>
      </w:pPr>
      <w:bookmarkStart w:id="1526" w:name="_Hlk40303383"/>
      <w:bookmarkStart w:id="1527" w:name="_Hlk40354981"/>
      <w:r>
        <w:rPr>
          <w:rFonts w:hint="eastAsia" w:ascii="宋体" w:hAnsi="宋体"/>
          <w:sz w:val="24"/>
        </w:rPr>
        <w:t>八、</w:t>
      </w:r>
      <w:r>
        <w:rPr>
          <w:rFonts w:ascii="宋体" w:hAnsi="宋体"/>
          <w:sz w:val="24"/>
        </w:rPr>
        <w:t>本保函</w:t>
      </w:r>
      <w:r>
        <w:rPr>
          <w:rFonts w:hint="eastAsia" w:ascii="宋体" w:hAnsi="宋体"/>
          <w:sz w:val="24"/>
        </w:rPr>
        <w:t>适用的法律为中华人民共和国法律，争议裁判管辖地为中华人民共和国</w:t>
      </w:r>
      <w:bookmarkEnd w:id="1526"/>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r>
        <w:rPr>
          <w:rFonts w:ascii="宋体" w:hAnsi="宋体"/>
          <w:sz w:val="24"/>
        </w:rPr>
        <w:t xml:space="preserve"> </w:t>
      </w:r>
    </w:p>
    <w:bookmarkEnd w:id="1527"/>
    <w:p>
      <w:pPr>
        <w:spacing w:line="360" w:lineRule="auto"/>
        <w:ind w:firstLine="480" w:firstLineChars="200"/>
        <w:rPr>
          <w:rFonts w:ascii="宋体" w:hAnsi="宋体"/>
          <w:sz w:val="24"/>
        </w:rPr>
      </w:pPr>
      <w:r>
        <w:rPr>
          <w:rFonts w:hint="eastAsia" w:ascii="宋体" w:hAnsi="宋体"/>
          <w:sz w:val="24"/>
        </w:rPr>
        <w:t>九、</w:t>
      </w:r>
      <w:r>
        <w:rPr>
          <w:rFonts w:ascii="宋体" w:hAnsi="宋体"/>
          <w:sz w:val="24"/>
        </w:rPr>
        <w:t>本保函自我方法定代表人</w:t>
      </w:r>
      <w:r>
        <w:rPr>
          <w:rFonts w:hint="eastAsia" w:ascii="宋体" w:hAnsi="宋体"/>
          <w:sz w:val="24"/>
        </w:rPr>
        <w:t>或授权代表</w:t>
      </w:r>
      <w:r>
        <w:rPr>
          <w:rFonts w:ascii="宋体" w:hAnsi="宋体"/>
          <w:sz w:val="24"/>
        </w:rPr>
        <w:t>签字</w:t>
      </w:r>
      <w:r>
        <w:rPr>
          <w:rFonts w:hint="eastAsia" w:ascii="宋体" w:hAnsi="宋体"/>
          <w:sz w:val="24"/>
        </w:rPr>
        <w:t>并</w:t>
      </w:r>
      <w:r>
        <w:rPr>
          <w:rFonts w:ascii="宋体" w:hAnsi="宋体"/>
          <w:sz w:val="24"/>
        </w:rPr>
        <w:t xml:space="preserve">加盖公章之日起生效。 </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开 立 人</w:t>
      </w:r>
      <w:r>
        <w:rPr>
          <w:rFonts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w:t>
      </w:r>
      <w:r>
        <w:rPr>
          <w:rFonts w:hint="eastAsia" w:ascii="宋体" w:hAnsi="宋体"/>
          <w:sz w:val="24"/>
          <w:u w:val="single"/>
        </w:rPr>
        <w:t>公</w:t>
      </w:r>
      <w:r>
        <w:rPr>
          <w:rFonts w:ascii="宋体" w:hAnsi="宋体"/>
          <w:sz w:val="24"/>
          <w:u w:val="single"/>
        </w:rPr>
        <w:t>章）</w:t>
      </w:r>
      <w:r>
        <w:rPr>
          <w:rFonts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法定代表人（或授权代表） ：</w:t>
      </w:r>
      <w:r>
        <w:rPr>
          <w:rFonts w:ascii="宋体" w:hAnsi="宋体"/>
          <w:sz w:val="24"/>
          <w:u w:val="single"/>
        </w:rPr>
        <w:t xml:space="preserve">               （签字）</w:t>
      </w:r>
      <w:r>
        <w:rPr>
          <w:rFonts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地</w:t>
      </w:r>
      <w:r>
        <w:rPr>
          <w:rFonts w:ascii="宋体" w:hAnsi="宋体"/>
          <w:sz w:val="24"/>
        </w:rPr>
        <w:t xml:space="preserve">    址：</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邮政编码</w:t>
      </w:r>
      <w:r>
        <w:rPr>
          <w:rFonts w:hint="eastAsia" w:ascii="宋体" w:hAnsi="宋体"/>
          <w:sz w:val="24"/>
          <w:u w:val="single"/>
        </w:rPr>
        <w:t>：</w:t>
      </w:r>
      <w:r>
        <w:rPr>
          <w:rFonts w:ascii="宋体" w:hAnsi="宋体"/>
          <w:sz w:val="24"/>
          <w:u w:val="single"/>
        </w:rPr>
        <w:t xml:space="preserve">                </w:t>
      </w:r>
      <w:r>
        <w:rPr>
          <w:rFonts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电</w:t>
      </w:r>
      <w:r>
        <w:rPr>
          <w:rFonts w:ascii="宋体" w:hAnsi="宋体"/>
          <w:sz w:val="24"/>
        </w:rPr>
        <w:t xml:space="preserve">    话：</w:t>
      </w:r>
      <w:r>
        <w:rPr>
          <w:rFonts w:ascii="宋体" w:hAnsi="宋体"/>
          <w:sz w:val="24"/>
          <w:u w:val="single"/>
        </w:rPr>
        <w:t xml:space="preserve">                </w:t>
      </w:r>
      <w:r>
        <w:rPr>
          <w:rFonts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传</w:t>
      </w:r>
      <w:r>
        <w:rPr>
          <w:rFonts w:ascii="宋体" w:hAnsi="宋体"/>
          <w:sz w:val="24"/>
        </w:rPr>
        <w:t xml:space="preserve">    真：</w:t>
      </w:r>
      <w:r>
        <w:rPr>
          <w:rFonts w:ascii="宋体" w:hAnsi="宋体"/>
          <w:sz w:val="24"/>
          <w:u w:val="single"/>
        </w:rPr>
        <w:t xml:space="preserve">               </w:t>
      </w:r>
      <w:r>
        <w:rPr>
          <w:rFonts w:ascii="宋体" w:hAnsi="宋体"/>
          <w:sz w:val="24"/>
        </w:rPr>
        <w:t xml:space="preserve">  </w:t>
      </w:r>
    </w:p>
    <w:p>
      <w:pPr>
        <w:spacing w:line="360" w:lineRule="auto"/>
        <w:ind w:firstLine="480" w:firstLineChars="200"/>
      </w:pPr>
      <w:r>
        <w:rPr>
          <w:rFonts w:hint="eastAsia" w:ascii="宋体" w:hAnsi="宋体"/>
          <w:sz w:val="24"/>
        </w:rPr>
        <w:t>开立时间：</w:t>
      </w:r>
      <w:r>
        <w:rPr>
          <w:rFonts w:ascii="宋体" w:hAnsi="宋体"/>
          <w:sz w:val="24"/>
          <w:u w:val="single"/>
        </w:rPr>
        <w:t xml:space="preserve">     </w:t>
      </w:r>
      <w:r>
        <w:rPr>
          <w:rFonts w:ascii="宋体" w:hAnsi="宋体"/>
          <w:sz w:val="24"/>
        </w:rPr>
        <w:t xml:space="preserve"> 年</w:t>
      </w:r>
      <w:r>
        <w:rPr>
          <w:rFonts w:ascii="宋体" w:hAnsi="宋体"/>
          <w:sz w:val="24"/>
          <w:u w:val="single"/>
        </w:rPr>
        <w:t xml:space="preserve">     </w:t>
      </w:r>
      <w:r>
        <w:rPr>
          <w:rFonts w:ascii="宋体" w:hAnsi="宋体"/>
          <w:sz w:val="24"/>
        </w:rPr>
        <w:t xml:space="preserve"> 月</w:t>
      </w:r>
      <w:r>
        <w:rPr>
          <w:rFonts w:ascii="宋体" w:hAnsi="宋体"/>
          <w:sz w:val="24"/>
          <w:u w:val="single"/>
        </w:rPr>
        <w:t xml:space="preserve">   </w:t>
      </w:r>
      <w:r>
        <w:rPr>
          <w:rFonts w:hint="eastAsia" w:ascii="宋体" w:hAnsi="宋体"/>
          <w:sz w:val="24"/>
        </w:rPr>
        <w:t>日</w:t>
      </w:r>
    </w:p>
    <w:p>
      <w:pPr>
        <w:pStyle w:val="4"/>
        <w:spacing w:line="400" w:lineRule="exact"/>
        <w:ind w:firstLine="0"/>
        <w:rPr>
          <w:rFonts w:ascii="黑体" w:eastAsia="黑体"/>
        </w:rPr>
      </w:pPr>
    </w:p>
    <w:p>
      <w:pPr>
        <w:pStyle w:val="4"/>
        <w:spacing w:line="400" w:lineRule="exact"/>
        <w:ind w:firstLine="0"/>
        <w:rPr>
          <w:rFonts w:ascii="宋体"/>
          <w:sz w:val="21"/>
          <w:szCs w:val="21"/>
        </w:rPr>
      </w:pPr>
      <w:r>
        <w:rPr>
          <w:rFonts w:hint="eastAsia" w:ascii="宋体" w:hAnsi="宋体"/>
          <w:sz w:val="21"/>
          <w:szCs w:val="21"/>
        </w:rPr>
        <w:t>备注：经过招标人事先的书面同意，投标人可采用招标人认可的投标保函格式，但相关内容不得背离招标文件约定的实质性内容。</w:t>
      </w:r>
    </w:p>
    <w:p>
      <w:pPr>
        <w:pStyle w:val="5"/>
        <w:ind w:left="-59"/>
        <w:rPr>
          <w:rFonts w:hAnsi="宋体"/>
          <w:sz w:val="30"/>
          <w:szCs w:val="30"/>
        </w:rPr>
      </w:pPr>
      <w:r>
        <w:br w:type="page"/>
      </w:r>
      <w:bookmarkStart w:id="1528" w:name="_Toc419547949"/>
      <w:bookmarkStart w:id="1529" w:name="_Toc362253055"/>
      <w:bookmarkStart w:id="1530" w:name="_Toc419547403"/>
      <w:bookmarkStart w:id="1531" w:name="_Toc455409881"/>
      <w:bookmarkStart w:id="1532" w:name="_Toc470011357"/>
      <w:r>
        <w:rPr>
          <w:rFonts w:hint="eastAsia" w:hAnsi="宋体"/>
          <w:sz w:val="30"/>
          <w:szCs w:val="30"/>
        </w:rPr>
        <w:t>七、</w:t>
      </w:r>
      <w:bookmarkEnd w:id="1528"/>
      <w:bookmarkEnd w:id="1529"/>
      <w:bookmarkEnd w:id="1530"/>
      <w:r>
        <w:rPr>
          <w:rFonts w:hint="eastAsia" w:hAnsi="宋体"/>
          <w:sz w:val="30"/>
          <w:szCs w:val="30"/>
        </w:rPr>
        <w:t>资格审查资料</w:t>
      </w:r>
      <w:bookmarkEnd w:id="1531"/>
      <w:bookmarkEnd w:id="1532"/>
    </w:p>
    <w:p>
      <w:pPr>
        <w:pStyle w:val="4"/>
      </w:pPr>
    </w:p>
    <w:p>
      <w:pPr>
        <w:spacing w:after="109"/>
      </w:pPr>
      <w:r>
        <w:br w:type="page"/>
      </w:r>
    </w:p>
    <w:p>
      <w:pPr>
        <w:pStyle w:val="6"/>
        <w:rPr>
          <w:rStyle w:val="106"/>
          <w:rFonts w:ascii="宋体" w:hAnsi="Times New Roman"/>
          <w:b w:val="0"/>
          <w:bCs/>
          <w:sz w:val="28"/>
          <w:szCs w:val="28"/>
        </w:rPr>
      </w:pPr>
      <w:bookmarkStart w:id="1533" w:name="_Toc410849488"/>
      <w:bookmarkStart w:id="1534" w:name="_Toc455409882"/>
      <w:bookmarkStart w:id="1535" w:name="_Toc470011358"/>
      <w:r>
        <w:rPr>
          <w:rStyle w:val="106"/>
          <w:rFonts w:hint="eastAsia" w:ascii="宋体" w:hAnsi="宋体"/>
          <w:b w:val="0"/>
          <w:bCs/>
          <w:sz w:val="28"/>
          <w:szCs w:val="28"/>
        </w:rPr>
        <w:t>表</w:t>
      </w:r>
      <w:r>
        <w:rPr>
          <w:rStyle w:val="106"/>
          <w:rFonts w:ascii="宋体" w:hAnsi="宋体"/>
          <w:b w:val="0"/>
          <w:bCs/>
          <w:sz w:val="28"/>
          <w:szCs w:val="28"/>
        </w:rPr>
        <w:t>7.1--</w:t>
      </w:r>
      <w:r>
        <w:rPr>
          <w:rStyle w:val="106"/>
          <w:rFonts w:hint="eastAsia" w:ascii="宋体" w:hAnsi="宋体"/>
          <w:b w:val="0"/>
          <w:bCs/>
          <w:sz w:val="28"/>
          <w:szCs w:val="28"/>
        </w:rPr>
        <w:t>投标人基本情况表</w:t>
      </w:r>
      <w:bookmarkEnd w:id="1533"/>
      <w:bookmarkEnd w:id="1534"/>
      <w:bookmarkEnd w:id="1535"/>
    </w:p>
    <w:p>
      <w:pPr>
        <w:pStyle w:val="4"/>
      </w:pPr>
    </w:p>
    <w:tbl>
      <w:tblPr>
        <w:tblStyle w:val="4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577"/>
        <w:gridCol w:w="1309"/>
        <w:gridCol w:w="904"/>
        <w:gridCol w:w="770"/>
        <w:gridCol w:w="27"/>
        <w:gridCol w:w="463"/>
        <w:gridCol w:w="1189"/>
        <w:gridCol w:w="433"/>
        <w:gridCol w:w="57"/>
        <w:gridCol w:w="19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7" w:type="dxa"/>
            <w:tcBorders>
              <w:top w:val="single" w:color="auto" w:sz="8" w:space="0"/>
            </w:tcBorders>
            <w:vAlign w:val="center"/>
          </w:tcPr>
          <w:p>
            <w:pPr>
              <w:rPr>
                <w:szCs w:val="21"/>
              </w:rPr>
            </w:pPr>
            <w:r>
              <w:rPr>
                <w:rFonts w:hint="eastAsia"/>
                <w:szCs w:val="21"/>
              </w:rPr>
              <w:t>投标人名称</w:t>
            </w:r>
          </w:p>
        </w:tc>
        <w:tc>
          <w:tcPr>
            <w:tcW w:w="7143" w:type="dxa"/>
            <w:gridSpan w:val="9"/>
            <w:tcBorders>
              <w:top w:val="single" w:color="auto" w:sz="8" w:space="0"/>
            </w:tcBorders>
            <w:vAlign w:val="center"/>
          </w:tcPr>
          <w:p>
            <w:pP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7" w:type="dxa"/>
            <w:vAlign w:val="center"/>
          </w:tcPr>
          <w:p>
            <w:pPr>
              <w:rPr>
                <w:szCs w:val="21"/>
              </w:rPr>
            </w:pPr>
            <w:r>
              <w:rPr>
                <w:rFonts w:hint="eastAsia"/>
                <w:szCs w:val="21"/>
              </w:rPr>
              <w:t>注册地址</w:t>
            </w:r>
          </w:p>
        </w:tc>
        <w:tc>
          <w:tcPr>
            <w:tcW w:w="7143" w:type="dxa"/>
            <w:gridSpan w:val="9"/>
            <w:vAlign w:val="center"/>
          </w:tcPr>
          <w:p>
            <w:pP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7" w:type="dxa"/>
            <w:vMerge w:val="restart"/>
            <w:vAlign w:val="center"/>
          </w:tcPr>
          <w:p>
            <w:pPr>
              <w:rPr>
                <w:szCs w:val="21"/>
              </w:rPr>
            </w:pPr>
            <w:r>
              <w:rPr>
                <w:rFonts w:hint="eastAsia"/>
                <w:szCs w:val="21"/>
              </w:rPr>
              <w:t>联系方式</w:t>
            </w:r>
          </w:p>
        </w:tc>
        <w:tc>
          <w:tcPr>
            <w:tcW w:w="1309" w:type="dxa"/>
            <w:vAlign w:val="center"/>
          </w:tcPr>
          <w:p>
            <w:pPr>
              <w:rPr>
                <w:szCs w:val="21"/>
              </w:rPr>
            </w:pPr>
            <w:r>
              <w:rPr>
                <w:rFonts w:hint="eastAsia"/>
                <w:szCs w:val="21"/>
              </w:rPr>
              <w:t>联系人</w:t>
            </w:r>
          </w:p>
        </w:tc>
        <w:tc>
          <w:tcPr>
            <w:tcW w:w="2164" w:type="dxa"/>
            <w:gridSpan w:val="4"/>
            <w:vAlign w:val="center"/>
          </w:tcPr>
          <w:p>
            <w:pPr>
              <w:rPr>
                <w:szCs w:val="21"/>
              </w:rPr>
            </w:pPr>
          </w:p>
        </w:tc>
        <w:tc>
          <w:tcPr>
            <w:tcW w:w="1189" w:type="dxa"/>
            <w:vAlign w:val="center"/>
          </w:tcPr>
          <w:p>
            <w:pPr>
              <w:rPr>
                <w:szCs w:val="21"/>
              </w:rPr>
            </w:pPr>
            <w:r>
              <w:rPr>
                <w:szCs w:val="21"/>
              </w:rPr>
              <w:t xml:space="preserve"> </w:t>
            </w:r>
            <w:r>
              <w:rPr>
                <w:rFonts w:hint="eastAsia"/>
                <w:szCs w:val="21"/>
              </w:rPr>
              <w:t>办公电话</w:t>
            </w:r>
          </w:p>
        </w:tc>
        <w:tc>
          <w:tcPr>
            <w:tcW w:w="2481" w:type="dxa"/>
            <w:gridSpan w:val="3"/>
            <w:vAlign w:val="center"/>
          </w:tcPr>
          <w:p>
            <w:pP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7" w:type="dxa"/>
            <w:vMerge w:val="continue"/>
            <w:vAlign w:val="center"/>
          </w:tcPr>
          <w:p>
            <w:pPr>
              <w:rPr>
                <w:szCs w:val="21"/>
              </w:rPr>
            </w:pPr>
          </w:p>
        </w:tc>
        <w:tc>
          <w:tcPr>
            <w:tcW w:w="1309" w:type="dxa"/>
            <w:vAlign w:val="center"/>
          </w:tcPr>
          <w:p>
            <w:pPr>
              <w:rPr>
                <w:szCs w:val="21"/>
              </w:rPr>
            </w:pPr>
            <w:r>
              <w:rPr>
                <w:rFonts w:hint="eastAsia"/>
                <w:szCs w:val="21"/>
              </w:rPr>
              <w:t>企</w:t>
            </w:r>
            <w:r>
              <w:rPr>
                <w:szCs w:val="21"/>
              </w:rPr>
              <w:t xml:space="preserve">  </w:t>
            </w:r>
            <w:r>
              <w:rPr>
                <w:rFonts w:hint="eastAsia"/>
                <w:szCs w:val="21"/>
              </w:rPr>
              <w:t>业</w:t>
            </w:r>
          </w:p>
          <w:p>
            <w:pPr>
              <w:rPr>
                <w:szCs w:val="21"/>
              </w:rPr>
            </w:pPr>
            <w:r>
              <w:rPr>
                <w:rFonts w:hint="eastAsia"/>
                <w:szCs w:val="21"/>
              </w:rPr>
              <w:t>传</w:t>
            </w:r>
            <w:r>
              <w:rPr>
                <w:szCs w:val="21"/>
              </w:rPr>
              <w:t xml:space="preserve">  </w:t>
            </w:r>
            <w:r>
              <w:rPr>
                <w:rFonts w:hint="eastAsia"/>
                <w:szCs w:val="21"/>
              </w:rPr>
              <w:t>真</w:t>
            </w:r>
          </w:p>
        </w:tc>
        <w:tc>
          <w:tcPr>
            <w:tcW w:w="5834" w:type="dxa"/>
            <w:gridSpan w:val="8"/>
            <w:vAlign w:val="center"/>
          </w:tcPr>
          <w:p>
            <w:pP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577" w:type="dxa"/>
            <w:vAlign w:val="center"/>
          </w:tcPr>
          <w:p>
            <w:pPr>
              <w:rPr>
                <w:szCs w:val="21"/>
              </w:rPr>
            </w:pPr>
            <w:r>
              <w:rPr>
                <w:rFonts w:hint="eastAsia"/>
                <w:szCs w:val="21"/>
              </w:rPr>
              <w:t>营业执照</w:t>
            </w:r>
          </w:p>
        </w:tc>
        <w:tc>
          <w:tcPr>
            <w:tcW w:w="7143" w:type="dxa"/>
            <w:gridSpan w:val="9"/>
            <w:vAlign w:val="center"/>
          </w:tcPr>
          <w:p>
            <w:pPr>
              <w:adjustRightInd w:val="0"/>
              <w:snapToGrid w:val="0"/>
              <w:jc w:val="left"/>
              <w:rPr>
                <w:szCs w:val="21"/>
              </w:rPr>
            </w:pPr>
            <w:r>
              <w:rPr>
                <w:rFonts w:hint="eastAsia"/>
                <w:szCs w:val="21"/>
              </w:rPr>
              <w:t>营业执照副本复印件或扫描件、正常开业的证明资料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577" w:type="dxa"/>
            <w:vAlign w:val="center"/>
          </w:tcPr>
          <w:p>
            <w:pPr>
              <w:rPr>
                <w:szCs w:val="21"/>
              </w:rPr>
            </w:pPr>
            <w:r>
              <w:rPr>
                <w:rFonts w:hint="eastAsia"/>
                <w:szCs w:val="21"/>
              </w:rPr>
              <w:t>组织结构</w:t>
            </w:r>
          </w:p>
        </w:tc>
        <w:tc>
          <w:tcPr>
            <w:tcW w:w="7143" w:type="dxa"/>
            <w:gridSpan w:val="9"/>
            <w:vAlign w:val="center"/>
          </w:tcPr>
          <w:p>
            <w:pPr>
              <w:adjustRightInd w:val="0"/>
              <w:snapToGrid w:val="0"/>
              <w:jc w:val="left"/>
              <w:rPr>
                <w:szCs w:val="21"/>
              </w:rPr>
            </w:pPr>
            <w:r>
              <w:rPr>
                <w:szCs w:val="21"/>
              </w:rPr>
              <w:t xml:space="preserve">1. </w:t>
            </w:r>
            <w:r>
              <w:rPr>
                <w:rFonts w:hint="eastAsia"/>
                <w:szCs w:val="21"/>
              </w:rPr>
              <w:t>用图表或文字说明公司组织机构、职能部门。</w:t>
            </w:r>
          </w:p>
          <w:p>
            <w:pPr>
              <w:jc w:val="left"/>
              <w:rPr>
                <w:szCs w:val="21"/>
              </w:rPr>
            </w:pPr>
            <w:r>
              <w:rPr>
                <w:szCs w:val="21"/>
              </w:rPr>
              <w:t xml:space="preserve">2. </w:t>
            </w:r>
            <w:r>
              <w:rPr>
                <w:rFonts w:hint="eastAsia"/>
                <w:szCs w:val="21"/>
              </w:rPr>
              <w:t>企业参股或控股情况。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7" w:type="dxa"/>
            <w:vAlign w:val="center"/>
          </w:tcPr>
          <w:p>
            <w:pPr>
              <w:rPr>
                <w:szCs w:val="21"/>
              </w:rPr>
            </w:pPr>
            <w:r>
              <w:rPr>
                <w:rFonts w:hint="eastAsia"/>
                <w:szCs w:val="21"/>
              </w:rPr>
              <w:t>法定代表人</w:t>
            </w:r>
          </w:p>
        </w:tc>
        <w:tc>
          <w:tcPr>
            <w:tcW w:w="1309" w:type="dxa"/>
            <w:vAlign w:val="center"/>
          </w:tcPr>
          <w:p>
            <w:pPr>
              <w:rPr>
                <w:szCs w:val="21"/>
              </w:rPr>
            </w:pPr>
            <w:r>
              <w:rPr>
                <w:rFonts w:hint="eastAsia"/>
                <w:szCs w:val="21"/>
              </w:rPr>
              <w:t>姓名</w:t>
            </w:r>
          </w:p>
        </w:tc>
        <w:tc>
          <w:tcPr>
            <w:tcW w:w="1701" w:type="dxa"/>
            <w:gridSpan w:val="3"/>
            <w:vAlign w:val="center"/>
          </w:tcPr>
          <w:p>
            <w:pPr>
              <w:rPr>
                <w:szCs w:val="21"/>
              </w:rPr>
            </w:pPr>
          </w:p>
        </w:tc>
        <w:tc>
          <w:tcPr>
            <w:tcW w:w="2085" w:type="dxa"/>
            <w:gridSpan w:val="3"/>
            <w:vAlign w:val="center"/>
          </w:tcPr>
          <w:p>
            <w:pPr>
              <w:rPr>
                <w:szCs w:val="21"/>
              </w:rPr>
            </w:pPr>
            <w:r>
              <w:rPr>
                <w:rFonts w:hint="eastAsia"/>
                <w:szCs w:val="21"/>
              </w:rPr>
              <w:t>联系电话</w:t>
            </w:r>
          </w:p>
        </w:tc>
        <w:tc>
          <w:tcPr>
            <w:tcW w:w="2048" w:type="dxa"/>
            <w:gridSpan w:val="2"/>
            <w:vAlign w:val="center"/>
          </w:tcPr>
          <w:p>
            <w:pP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7" w:type="dxa"/>
            <w:vAlign w:val="center"/>
          </w:tcPr>
          <w:p>
            <w:pPr>
              <w:rPr>
                <w:szCs w:val="21"/>
              </w:rPr>
            </w:pPr>
            <w:r>
              <w:rPr>
                <w:rFonts w:hint="eastAsia"/>
                <w:szCs w:val="21"/>
              </w:rPr>
              <w:t>成立时间</w:t>
            </w:r>
          </w:p>
        </w:tc>
        <w:tc>
          <w:tcPr>
            <w:tcW w:w="2213" w:type="dxa"/>
            <w:gridSpan w:val="2"/>
            <w:vAlign w:val="center"/>
          </w:tcPr>
          <w:p>
            <w:pPr>
              <w:rPr>
                <w:szCs w:val="21"/>
              </w:rPr>
            </w:pPr>
          </w:p>
        </w:tc>
        <w:tc>
          <w:tcPr>
            <w:tcW w:w="4930" w:type="dxa"/>
            <w:gridSpan w:val="7"/>
            <w:vAlign w:val="center"/>
          </w:tcPr>
          <w:p>
            <w:pPr>
              <w:jc w:val="left"/>
              <w:rPr>
                <w:szCs w:val="21"/>
              </w:rPr>
            </w:pPr>
            <w:r>
              <w:rPr>
                <w:rFonts w:hint="eastAsia"/>
                <w:szCs w:val="21"/>
              </w:rPr>
              <w:t>社保参保人数：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7" w:type="dxa"/>
            <w:vAlign w:val="center"/>
          </w:tcPr>
          <w:p>
            <w:pPr>
              <w:jc w:val="center"/>
              <w:rPr>
                <w:szCs w:val="21"/>
              </w:rPr>
            </w:pPr>
            <w:r>
              <w:rPr>
                <w:rFonts w:hint="eastAsia"/>
                <w:szCs w:val="21"/>
              </w:rPr>
              <w:t>统一社会信用代码</w:t>
            </w:r>
          </w:p>
        </w:tc>
        <w:tc>
          <w:tcPr>
            <w:tcW w:w="2213" w:type="dxa"/>
            <w:gridSpan w:val="2"/>
            <w:vAlign w:val="center"/>
          </w:tcPr>
          <w:p>
            <w:pPr>
              <w:rPr>
                <w:szCs w:val="21"/>
              </w:rPr>
            </w:pPr>
          </w:p>
        </w:tc>
        <w:tc>
          <w:tcPr>
            <w:tcW w:w="770" w:type="dxa"/>
            <w:vMerge w:val="restart"/>
            <w:vAlign w:val="center"/>
          </w:tcPr>
          <w:p>
            <w:pPr>
              <w:rPr>
                <w:szCs w:val="21"/>
              </w:rPr>
            </w:pPr>
          </w:p>
        </w:tc>
        <w:tc>
          <w:tcPr>
            <w:tcW w:w="2169" w:type="dxa"/>
            <w:gridSpan w:val="5"/>
            <w:vAlign w:val="center"/>
          </w:tcPr>
          <w:p>
            <w:pPr>
              <w:rPr>
                <w:szCs w:val="21"/>
              </w:rPr>
            </w:pPr>
            <w:r>
              <w:rPr>
                <w:rFonts w:hint="eastAsia"/>
                <w:szCs w:val="21"/>
              </w:rPr>
              <w:t>高级职称人员</w:t>
            </w:r>
          </w:p>
        </w:tc>
        <w:tc>
          <w:tcPr>
            <w:tcW w:w="1991" w:type="dxa"/>
            <w:vAlign w:val="center"/>
          </w:tcPr>
          <w:p>
            <w:pP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7" w:type="dxa"/>
            <w:vAlign w:val="center"/>
          </w:tcPr>
          <w:p>
            <w:pPr>
              <w:jc w:val="center"/>
              <w:rPr>
                <w:szCs w:val="21"/>
              </w:rPr>
            </w:pPr>
            <w:r>
              <w:rPr>
                <w:rFonts w:hint="eastAsia"/>
                <w:szCs w:val="21"/>
              </w:rPr>
              <w:t>注册资本金（万元）</w:t>
            </w:r>
          </w:p>
        </w:tc>
        <w:tc>
          <w:tcPr>
            <w:tcW w:w="2213" w:type="dxa"/>
            <w:gridSpan w:val="2"/>
            <w:vAlign w:val="center"/>
          </w:tcPr>
          <w:p>
            <w:pPr>
              <w:rPr>
                <w:szCs w:val="21"/>
              </w:rPr>
            </w:pPr>
          </w:p>
        </w:tc>
        <w:tc>
          <w:tcPr>
            <w:tcW w:w="770" w:type="dxa"/>
            <w:vMerge w:val="continue"/>
            <w:vAlign w:val="center"/>
          </w:tcPr>
          <w:p>
            <w:pPr>
              <w:rPr>
                <w:szCs w:val="21"/>
              </w:rPr>
            </w:pPr>
          </w:p>
        </w:tc>
        <w:tc>
          <w:tcPr>
            <w:tcW w:w="2169" w:type="dxa"/>
            <w:gridSpan w:val="5"/>
            <w:vAlign w:val="center"/>
          </w:tcPr>
          <w:p>
            <w:pPr>
              <w:rPr>
                <w:szCs w:val="21"/>
              </w:rPr>
            </w:pPr>
            <w:r>
              <w:rPr>
                <w:rFonts w:hint="eastAsia"/>
                <w:szCs w:val="21"/>
              </w:rPr>
              <w:t>中级职称人员</w:t>
            </w:r>
          </w:p>
        </w:tc>
        <w:tc>
          <w:tcPr>
            <w:tcW w:w="1991" w:type="dxa"/>
            <w:vAlign w:val="center"/>
          </w:tcPr>
          <w:p>
            <w:pP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7" w:type="dxa"/>
            <w:vAlign w:val="center"/>
          </w:tcPr>
          <w:p>
            <w:pPr>
              <w:rPr>
                <w:szCs w:val="21"/>
              </w:rPr>
            </w:pPr>
            <w:r>
              <w:rPr>
                <w:rFonts w:hint="eastAsia"/>
                <w:szCs w:val="21"/>
              </w:rPr>
              <w:t>开户银行</w:t>
            </w:r>
          </w:p>
        </w:tc>
        <w:tc>
          <w:tcPr>
            <w:tcW w:w="2213" w:type="dxa"/>
            <w:gridSpan w:val="2"/>
            <w:vAlign w:val="center"/>
          </w:tcPr>
          <w:p>
            <w:pPr>
              <w:rPr>
                <w:szCs w:val="21"/>
              </w:rPr>
            </w:pPr>
          </w:p>
        </w:tc>
        <w:tc>
          <w:tcPr>
            <w:tcW w:w="770" w:type="dxa"/>
            <w:vMerge w:val="continue"/>
            <w:vAlign w:val="center"/>
          </w:tcPr>
          <w:p>
            <w:pPr>
              <w:rPr>
                <w:szCs w:val="21"/>
              </w:rPr>
            </w:pPr>
          </w:p>
        </w:tc>
        <w:tc>
          <w:tcPr>
            <w:tcW w:w="2169" w:type="dxa"/>
            <w:gridSpan w:val="5"/>
            <w:vAlign w:val="center"/>
          </w:tcPr>
          <w:p>
            <w:pPr>
              <w:rPr>
                <w:szCs w:val="21"/>
              </w:rPr>
            </w:pPr>
            <w:r>
              <w:rPr>
                <w:rFonts w:hint="eastAsia"/>
                <w:szCs w:val="21"/>
              </w:rPr>
              <w:t>初级职称人员</w:t>
            </w:r>
          </w:p>
        </w:tc>
        <w:tc>
          <w:tcPr>
            <w:tcW w:w="1991" w:type="dxa"/>
            <w:vAlign w:val="center"/>
          </w:tcPr>
          <w:p>
            <w:pP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7" w:type="dxa"/>
            <w:vAlign w:val="center"/>
          </w:tcPr>
          <w:p>
            <w:pPr>
              <w:rPr>
                <w:szCs w:val="21"/>
              </w:rPr>
            </w:pPr>
            <w:r>
              <w:rPr>
                <w:rFonts w:hint="eastAsia"/>
                <w:szCs w:val="21"/>
              </w:rPr>
              <w:t>账号</w:t>
            </w:r>
          </w:p>
        </w:tc>
        <w:tc>
          <w:tcPr>
            <w:tcW w:w="2213" w:type="dxa"/>
            <w:gridSpan w:val="2"/>
            <w:vAlign w:val="center"/>
          </w:tcPr>
          <w:p>
            <w:pPr>
              <w:rPr>
                <w:szCs w:val="21"/>
              </w:rPr>
            </w:pPr>
          </w:p>
        </w:tc>
        <w:tc>
          <w:tcPr>
            <w:tcW w:w="770" w:type="dxa"/>
            <w:vMerge w:val="continue"/>
            <w:vAlign w:val="center"/>
          </w:tcPr>
          <w:p>
            <w:pPr>
              <w:rPr>
                <w:szCs w:val="21"/>
              </w:rPr>
            </w:pPr>
          </w:p>
        </w:tc>
        <w:tc>
          <w:tcPr>
            <w:tcW w:w="2169" w:type="dxa"/>
            <w:gridSpan w:val="5"/>
            <w:vAlign w:val="center"/>
          </w:tcPr>
          <w:p>
            <w:pPr>
              <w:rPr>
                <w:szCs w:val="21"/>
              </w:rPr>
            </w:pPr>
            <w:r>
              <w:rPr>
                <w:rFonts w:hint="eastAsia"/>
                <w:szCs w:val="21"/>
              </w:rPr>
              <w:t>技</w:t>
            </w:r>
            <w:r>
              <w:rPr>
                <w:szCs w:val="21"/>
              </w:rPr>
              <w:t xml:space="preserve"> </w:t>
            </w:r>
            <w:r>
              <w:rPr>
                <w:rFonts w:hint="eastAsia"/>
                <w:szCs w:val="21"/>
              </w:rPr>
              <w:t>工</w:t>
            </w:r>
            <w:r>
              <w:rPr>
                <w:szCs w:val="21"/>
              </w:rPr>
              <w:t xml:space="preserve"> </w:t>
            </w:r>
            <w:r>
              <w:rPr>
                <w:rFonts w:hint="eastAsia"/>
                <w:szCs w:val="21"/>
              </w:rPr>
              <w:t>人</w:t>
            </w:r>
            <w:r>
              <w:rPr>
                <w:szCs w:val="21"/>
              </w:rPr>
              <w:t xml:space="preserve"> </w:t>
            </w:r>
            <w:r>
              <w:rPr>
                <w:rFonts w:hint="eastAsia"/>
                <w:szCs w:val="21"/>
              </w:rPr>
              <w:t>数</w:t>
            </w:r>
          </w:p>
        </w:tc>
        <w:tc>
          <w:tcPr>
            <w:tcW w:w="1991" w:type="dxa"/>
            <w:vAlign w:val="center"/>
          </w:tcPr>
          <w:p>
            <w:pP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577" w:type="dxa"/>
            <w:vAlign w:val="center"/>
          </w:tcPr>
          <w:p>
            <w:pPr>
              <w:rPr>
                <w:szCs w:val="21"/>
              </w:rPr>
            </w:pPr>
            <w:r>
              <w:rPr>
                <w:rFonts w:hint="eastAsia"/>
                <w:szCs w:val="21"/>
              </w:rPr>
              <w:t>经营范围</w:t>
            </w:r>
          </w:p>
        </w:tc>
        <w:tc>
          <w:tcPr>
            <w:tcW w:w="7143" w:type="dxa"/>
            <w:gridSpan w:val="9"/>
            <w:vAlign w:val="center"/>
          </w:tcPr>
          <w:p>
            <w:pP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577" w:type="dxa"/>
            <w:vAlign w:val="center"/>
          </w:tcPr>
          <w:p>
            <w:pPr>
              <w:rPr>
                <w:szCs w:val="21"/>
              </w:rPr>
            </w:pPr>
            <w:r>
              <w:rPr>
                <w:rFonts w:hint="eastAsia"/>
                <w:szCs w:val="21"/>
              </w:rPr>
              <w:t>企业安全生产标准化达标证书或相关安全生产方面的证书</w:t>
            </w:r>
          </w:p>
        </w:tc>
        <w:tc>
          <w:tcPr>
            <w:tcW w:w="7143" w:type="dxa"/>
            <w:gridSpan w:val="9"/>
            <w:vAlign w:val="center"/>
          </w:tcPr>
          <w:p>
            <w:pPr>
              <w:jc w:val="left"/>
              <w:rPr>
                <w:szCs w:val="21"/>
              </w:rPr>
            </w:pPr>
            <w:r>
              <w:rPr>
                <w:rFonts w:hint="eastAsia"/>
                <w:szCs w:val="21"/>
              </w:rPr>
              <w:t>发证机构：</w:t>
            </w:r>
            <w:r>
              <w:rPr>
                <w:szCs w:val="21"/>
                <w:u w:val="single"/>
              </w:rPr>
              <w:t xml:space="preserve">               </w:t>
            </w:r>
            <w:r>
              <w:rPr>
                <w:szCs w:val="21"/>
              </w:rPr>
              <w:t xml:space="preserve">        </w:t>
            </w:r>
            <w:r>
              <w:rPr>
                <w:rFonts w:hint="eastAsia"/>
                <w:szCs w:val="21"/>
              </w:rPr>
              <w:t>证书编号：</w:t>
            </w:r>
            <w:r>
              <w:rPr>
                <w:szCs w:val="21"/>
                <w:u w:val="single"/>
              </w:rPr>
              <w:t xml:space="preserve">                   </w:t>
            </w:r>
            <w:r>
              <w:rPr>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577" w:type="dxa"/>
            <w:vMerge w:val="restart"/>
            <w:vAlign w:val="center"/>
          </w:tcPr>
          <w:p>
            <w:pPr>
              <w:rPr>
                <w:szCs w:val="21"/>
              </w:rPr>
            </w:pPr>
            <w:r>
              <w:rPr>
                <w:rFonts w:hint="eastAsia"/>
                <w:szCs w:val="21"/>
              </w:rPr>
              <w:t>认</w:t>
            </w:r>
            <w:r>
              <w:rPr>
                <w:szCs w:val="21"/>
              </w:rPr>
              <w:t xml:space="preserve">    </w:t>
            </w:r>
            <w:r>
              <w:rPr>
                <w:rFonts w:hint="eastAsia"/>
                <w:szCs w:val="21"/>
              </w:rPr>
              <w:t>证</w:t>
            </w:r>
          </w:p>
          <w:p>
            <w:pPr>
              <w:rPr>
                <w:szCs w:val="21"/>
              </w:rPr>
            </w:pPr>
            <w:r>
              <w:rPr>
                <w:rFonts w:hint="eastAsia"/>
                <w:szCs w:val="21"/>
              </w:rPr>
              <w:t>情</w:t>
            </w:r>
            <w:r>
              <w:rPr>
                <w:szCs w:val="21"/>
              </w:rPr>
              <w:t xml:space="preserve">    </w:t>
            </w:r>
            <w:r>
              <w:rPr>
                <w:rFonts w:hint="eastAsia"/>
                <w:szCs w:val="21"/>
              </w:rPr>
              <w:t>况</w:t>
            </w:r>
          </w:p>
        </w:tc>
        <w:tc>
          <w:tcPr>
            <w:tcW w:w="7143" w:type="dxa"/>
            <w:gridSpan w:val="9"/>
            <w:vAlign w:val="center"/>
          </w:tcPr>
          <w:p>
            <w:pPr>
              <w:jc w:val="left"/>
              <w:rPr>
                <w:szCs w:val="21"/>
              </w:rPr>
            </w:pPr>
            <w:r>
              <w:rPr>
                <w:rFonts w:hint="eastAsia"/>
                <w:szCs w:val="21"/>
              </w:rPr>
              <w:t>认证证书编号：</w:t>
            </w:r>
            <w:r>
              <w:rPr>
                <w:szCs w:val="21"/>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577" w:type="dxa"/>
            <w:vMerge w:val="continue"/>
            <w:vAlign w:val="center"/>
          </w:tcPr>
          <w:p>
            <w:pPr>
              <w:rPr>
                <w:strike/>
                <w:szCs w:val="21"/>
              </w:rPr>
            </w:pPr>
          </w:p>
        </w:tc>
        <w:tc>
          <w:tcPr>
            <w:tcW w:w="7143" w:type="dxa"/>
            <w:gridSpan w:val="9"/>
            <w:vAlign w:val="center"/>
          </w:tcPr>
          <w:p>
            <w:pPr>
              <w:jc w:val="left"/>
              <w:rPr>
                <w:szCs w:val="21"/>
              </w:rPr>
            </w:pPr>
            <w:r>
              <w:rPr>
                <w:rFonts w:hint="eastAsia"/>
                <w:szCs w:val="21"/>
              </w:rPr>
              <w:t>体系认证情况：</w:t>
            </w:r>
            <w:r>
              <w:rPr>
                <w:szCs w:val="21"/>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77" w:type="dxa"/>
            <w:tcBorders>
              <w:bottom w:val="single" w:color="auto" w:sz="8" w:space="0"/>
            </w:tcBorders>
            <w:vAlign w:val="center"/>
          </w:tcPr>
          <w:p>
            <w:pPr>
              <w:rPr>
                <w:szCs w:val="21"/>
              </w:rPr>
            </w:pPr>
            <w:r>
              <w:rPr>
                <w:rFonts w:hint="eastAsia"/>
                <w:szCs w:val="21"/>
              </w:rPr>
              <w:t>备</w:t>
            </w:r>
            <w:r>
              <w:rPr>
                <w:szCs w:val="21"/>
              </w:rPr>
              <w:t xml:space="preserve">    </w:t>
            </w:r>
            <w:r>
              <w:rPr>
                <w:rFonts w:hint="eastAsia"/>
                <w:szCs w:val="21"/>
              </w:rPr>
              <w:t>注</w:t>
            </w:r>
          </w:p>
        </w:tc>
        <w:tc>
          <w:tcPr>
            <w:tcW w:w="7143" w:type="dxa"/>
            <w:gridSpan w:val="9"/>
            <w:tcBorders>
              <w:bottom w:val="single" w:color="auto" w:sz="8" w:space="0"/>
            </w:tcBorders>
            <w:vAlign w:val="center"/>
          </w:tcPr>
          <w:p>
            <w:pPr>
              <w:rPr>
                <w:szCs w:val="21"/>
              </w:rPr>
            </w:pPr>
          </w:p>
        </w:tc>
      </w:tr>
    </w:tbl>
    <w:p>
      <w:pPr>
        <w:pStyle w:val="4"/>
      </w:pPr>
    </w:p>
    <w:p>
      <w:pPr>
        <w:spacing w:before="120" w:beforeLines="50" w:line="480" w:lineRule="exact"/>
        <w:jc w:val="left"/>
        <w:rPr>
          <w:rFonts w:hAnsi="宋体"/>
          <w:sz w:val="24"/>
          <w:u w:val="single"/>
        </w:rPr>
      </w:pPr>
      <w:r>
        <w:rPr>
          <w:rFonts w:hAnsi="宋体"/>
          <w:sz w:val="24"/>
        </w:rPr>
        <w:t>投标人：</w:t>
      </w:r>
      <w:r>
        <w:rPr>
          <w:rFonts w:hAnsi="宋体"/>
          <w:sz w:val="24"/>
          <w:u w:val="single"/>
        </w:rPr>
        <w:t>（</w:t>
      </w:r>
      <w:r>
        <w:rPr>
          <w:rFonts w:hint="eastAsia" w:hAnsi="宋体"/>
          <w:sz w:val="24"/>
          <w:u w:val="single"/>
        </w:rPr>
        <w:t>盖企业CA电子</w:t>
      </w:r>
      <w:r>
        <w:rPr>
          <w:rFonts w:hint="eastAsia" w:ascii="宋体" w:hAnsi="宋体"/>
          <w:sz w:val="24"/>
          <w:u w:val="single"/>
        </w:rPr>
        <w:t>章</w:t>
      </w:r>
      <w:r>
        <w:rPr>
          <w:rFonts w:hAnsi="宋体"/>
          <w:sz w:val="24"/>
          <w:u w:val="single"/>
        </w:rPr>
        <w:t>）</w:t>
      </w:r>
      <w:r>
        <w:rPr>
          <w:rFonts w:hint="eastAsia"/>
          <w:sz w:val="24"/>
        </w:rPr>
        <w:t xml:space="preserve">  </w:t>
      </w:r>
      <w:r>
        <w:rPr>
          <w:sz w:val="24"/>
        </w:rPr>
        <w:t xml:space="preserve"> </w:t>
      </w:r>
      <w:r>
        <w:rPr>
          <w:rFonts w:hAnsi="宋体"/>
          <w:sz w:val="24"/>
        </w:rPr>
        <w:t>法定代表人或授权代理人：</w:t>
      </w:r>
      <w:r>
        <w:rPr>
          <w:rFonts w:hAnsi="宋体"/>
          <w:sz w:val="24"/>
          <w:u w:val="single"/>
        </w:rPr>
        <w:t>（</w:t>
      </w:r>
      <w:r>
        <w:rPr>
          <w:rFonts w:hint="eastAsia" w:hAnsi="宋体"/>
          <w:sz w:val="24"/>
          <w:u w:val="single"/>
        </w:rPr>
        <w:t>盖个人CA电子印章</w:t>
      </w:r>
      <w:r>
        <w:rPr>
          <w:rFonts w:hAnsi="宋体"/>
          <w:sz w:val="24"/>
          <w:u w:val="single"/>
        </w:rPr>
        <w:t>）</w:t>
      </w:r>
    </w:p>
    <w:p>
      <w:pPr>
        <w:pStyle w:val="6"/>
        <w:rPr>
          <w:rFonts w:ascii="宋体"/>
          <w:szCs w:val="28"/>
        </w:rPr>
      </w:pPr>
      <w:r>
        <w:rPr>
          <w:rStyle w:val="106"/>
          <w:rFonts w:hAnsi="宋体"/>
          <w:b w:val="0"/>
          <w:bCs/>
          <w:sz w:val="28"/>
          <w:szCs w:val="28"/>
        </w:rPr>
        <w:br w:type="page"/>
      </w:r>
      <w:bookmarkStart w:id="1536" w:name="_Toc486861895"/>
      <w:r>
        <w:rPr>
          <w:rStyle w:val="106"/>
          <w:rFonts w:hint="eastAsia" w:ascii="宋体" w:hAnsi="宋体"/>
          <w:b w:val="0"/>
          <w:bCs/>
          <w:sz w:val="28"/>
          <w:szCs w:val="28"/>
        </w:rPr>
        <w:t>表</w:t>
      </w:r>
      <w:r>
        <w:rPr>
          <w:rStyle w:val="106"/>
          <w:rFonts w:ascii="宋体" w:hAnsi="宋体"/>
          <w:b w:val="0"/>
          <w:bCs/>
          <w:sz w:val="28"/>
          <w:szCs w:val="28"/>
        </w:rPr>
        <w:t>7.2</w:t>
      </w:r>
      <w:r>
        <w:rPr>
          <w:rStyle w:val="106"/>
          <w:rFonts w:ascii="宋体" w:hAnsi="Times New Roman"/>
          <w:b w:val="0"/>
          <w:bCs/>
          <w:sz w:val="28"/>
          <w:szCs w:val="28"/>
        </w:rPr>
        <w:t>--</w:t>
      </w:r>
      <w:r>
        <w:rPr>
          <w:rStyle w:val="106"/>
          <w:rFonts w:hint="eastAsia" w:ascii="宋体" w:hAnsi="宋体"/>
          <w:b w:val="0"/>
          <w:bCs/>
          <w:sz w:val="28"/>
          <w:szCs w:val="28"/>
        </w:rPr>
        <w:t>近年财务状况表</w:t>
      </w:r>
      <w:bookmarkEnd w:id="1536"/>
    </w:p>
    <w:tbl>
      <w:tblPr>
        <w:tblStyle w:val="49"/>
        <w:tblW w:w="83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3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8380" w:type="dxa"/>
            <w:tcBorders>
              <w:top w:val="single" w:color="auto" w:sz="4" w:space="0"/>
              <w:bottom w:val="single" w:color="auto" w:sz="4" w:space="0"/>
            </w:tcBorders>
          </w:tcPr>
          <w:p>
            <w:pPr>
              <w:snapToGrid w:val="0"/>
              <w:spacing w:line="380" w:lineRule="exact"/>
              <w:jc w:val="left"/>
              <w:rPr>
                <w:szCs w:val="21"/>
              </w:rPr>
            </w:pPr>
            <w:r>
              <w:rPr>
                <w:rFonts w:hint="eastAsia" w:hAnsi="宋体"/>
                <w:szCs w:val="21"/>
              </w:rPr>
              <w:t>近年财务状况表指经过会计师事务所或者审计机构的审计的财务会计报表，以下各类报表中反映的财务状况数据应当如实填报并一致</w:t>
            </w:r>
            <w:r>
              <w:rPr>
                <w:rFonts w:hAnsi="宋体"/>
                <w:szCs w:val="21"/>
              </w:rPr>
              <w:t>。</w:t>
            </w:r>
            <w:r>
              <w:rPr>
                <w:rFonts w:hint="eastAsia" w:hAnsi="宋体"/>
                <w:szCs w:val="21"/>
              </w:rPr>
              <w:t>净资产规模、负债率不作为本项目差异性评审内容。</w:t>
            </w:r>
          </w:p>
          <w:p>
            <w:pPr>
              <w:snapToGrid w:val="0"/>
              <w:spacing w:line="380" w:lineRule="exact"/>
              <w:rPr>
                <w:szCs w:val="21"/>
              </w:rPr>
            </w:pPr>
            <w:r>
              <w:rPr>
                <w:rFonts w:hint="eastAsia" w:hAnsi="宋体"/>
                <w:szCs w:val="21"/>
              </w:rPr>
              <w:t>（一）近年资产负债表</w:t>
            </w:r>
          </w:p>
          <w:p>
            <w:pPr>
              <w:tabs>
                <w:tab w:val="left" w:pos="2744"/>
              </w:tabs>
              <w:snapToGrid w:val="0"/>
              <w:spacing w:line="380" w:lineRule="exact"/>
              <w:rPr>
                <w:szCs w:val="21"/>
              </w:rPr>
            </w:pPr>
            <w:r>
              <w:rPr>
                <w:rFonts w:hint="eastAsia" w:hAnsi="宋体"/>
                <w:szCs w:val="21"/>
              </w:rPr>
              <w:t>（二）近年损益表</w:t>
            </w:r>
            <w:r>
              <w:rPr>
                <w:szCs w:val="21"/>
              </w:rPr>
              <w:tab/>
            </w:r>
          </w:p>
          <w:p>
            <w:pPr>
              <w:snapToGrid w:val="0"/>
              <w:spacing w:line="380" w:lineRule="exact"/>
              <w:rPr>
                <w:szCs w:val="21"/>
              </w:rPr>
            </w:pPr>
            <w:r>
              <w:rPr>
                <w:rFonts w:hint="eastAsia" w:hAnsi="宋体"/>
                <w:szCs w:val="21"/>
              </w:rPr>
              <w:t>（三）近年利润表</w:t>
            </w:r>
          </w:p>
          <w:p>
            <w:pPr>
              <w:snapToGrid w:val="0"/>
              <w:spacing w:line="380" w:lineRule="exact"/>
              <w:rPr>
                <w:szCs w:val="21"/>
              </w:rPr>
            </w:pPr>
            <w:r>
              <w:rPr>
                <w:rFonts w:hint="eastAsia" w:hAnsi="宋体"/>
                <w:szCs w:val="21"/>
              </w:rPr>
              <w:t>（四）近年现金流量表</w:t>
            </w:r>
          </w:p>
          <w:p>
            <w:pPr>
              <w:snapToGrid w:val="0"/>
              <w:spacing w:after="120" w:afterLines="50" w:line="380" w:lineRule="exact"/>
              <w:rPr>
                <w:szCs w:val="21"/>
              </w:rPr>
            </w:pPr>
            <w:bookmarkStart w:id="1537" w:name="_Toc396650494"/>
            <w:r>
              <w:rPr>
                <w:rFonts w:hint="eastAsia" w:hAnsi="宋体"/>
                <w:szCs w:val="21"/>
              </w:rPr>
              <w:t>（五）</w:t>
            </w:r>
            <w:r>
              <w:rPr>
                <w:rStyle w:val="106"/>
                <w:rFonts w:hint="eastAsia" w:hAnsi="宋体"/>
                <w:b w:val="0"/>
                <w:bCs/>
                <w:sz w:val="24"/>
                <w:szCs w:val="21"/>
              </w:rPr>
              <w:t>近年企业基本财务状况表</w:t>
            </w:r>
            <w:bookmarkEnd w:id="1537"/>
            <w:r>
              <w:rPr>
                <w:rStyle w:val="106"/>
                <w:rFonts w:hint="eastAsia" w:hAnsi="宋体"/>
                <w:b w:val="0"/>
                <w:bCs/>
                <w:sz w:val="24"/>
                <w:szCs w:val="21"/>
              </w:rPr>
              <w:t>（见下表）</w:t>
            </w:r>
          </w:p>
          <w:tbl>
            <w:tblPr>
              <w:tblStyle w:val="49"/>
              <w:tblW w:w="7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2"/>
              <w:gridCol w:w="760"/>
              <w:gridCol w:w="876"/>
              <w:gridCol w:w="837"/>
              <w:gridCol w:w="866"/>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2" w:type="dxa"/>
                  <w:tcBorders>
                    <w:top w:val="single" w:color="auto" w:sz="4" w:space="0"/>
                    <w:left w:val="single" w:color="auto" w:sz="4" w:space="0"/>
                    <w:bottom w:val="single" w:color="auto" w:sz="4" w:space="0"/>
                    <w:right w:val="single" w:color="auto" w:sz="4" w:space="0"/>
                  </w:tcBorders>
                  <w:vAlign w:val="center"/>
                </w:tcPr>
                <w:p>
                  <w:pPr>
                    <w:snapToGrid w:val="0"/>
                    <w:rPr>
                      <w:rFonts w:ascii="宋体"/>
                      <w:szCs w:val="21"/>
                    </w:rPr>
                  </w:pPr>
                  <w:r>
                    <w:rPr>
                      <w:rFonts w:hint="eastAsia" w:ascii="宋体" w:hAnsi="宋体"/>
                      <w:szCs w:val="21"/>
                    </w:rPr>
                    <w:t>工程或指标</w:t>
                  </w:r>
                </w:p>
              </w:tc>
              <w:tc>
                <w:tcPr>
                  <w:tcW w:w="760" w:type="dxa"/>
                  <w:tcBorders>
                    <w:top w:val="single" w:color="auto" w:sz="4" w:space="0"/>
                    <w:left w:val="single" w:color="auto" w:sz="4" w:space="0"/>
                    <w:bottom w:val="single" w:color="auto" w:sz="4" w:space="0"/>
                    <w:right w:val="single" w:color="auto" w:sz="4" w:space="0"/>
                  </w:tcBorders>
                  <w:vAlign w:val="center"/>
                </w:tcPr>
                <w:p>
                  <w:pPr>
                    <w:snapToGrid w:val="0"/>
                    <w:spacing w:before="36" w:beforeLines="15" w:after="36" w:afterLines="15"/>
                    <w:rPr>
                      <w:rFonts w:ascii="宋体"/>
                      <w:szCs w:val="21"/>
                    </w:rPr>
                  </w:pPr>
                  <w:r>
                    <w:rPr>
                      <w:rFonts w:hint="eastAsia" w:ascii="宋体" w:hAnsi="宋体"/>
                      <w:szCs w:val="21"/>
                    </w:rPr>
                    <w:t>单位</w:t>
                  </w:r>
                </w:p>
              </w:tc>
              <w:tc>
                <w:tcPr>
                  <w:tcW w:w="876" w:type="dxa"/>
                  <w:tcBorders>
                    <w:top w:val="single" w:color="auto" w:sz="4" w:space="0"/>
                    <w:left w:val="single" w:color="auto" w:sz="4" w:space="0"/>
                    <w:bottom w:val="single" w:color="auto" w:sz="4" w:space="0"/>
                    <w:right w:val="single" w:color="auto" w:sz="4" w:space="0"/>
                  </w:tcBorders>
                  <w:vAlign w:val="center"/>
                </w:tcPr>
                <w:p>
                  <w:pPr>
                    <w:snapToGrid w:val="0"/>
                    <w:rPr>
                      <w:rFonts w:ascii="宋体"/>
                      <w:szCs w:val="21"/>
                    </w:rPr>
                  </w:pPr>
                  <w:r>
                    <w:rPr>
                      <w:rFonts w:hint="eastAsia" w:ascii="宋体" w:hAnsi="宋体"/>
                      <w:szCs w:val="21"/>
                    </w:rPr>
                    <w:t>年</w:t>
                  </w:r>
                </w:p>
              </w:tc>
              <w:tc>
                <w:tcPr>
                  <w:tcW w:w="837" w:type="dxa"/>
                  <w:tcBorders>
                    <w:top w:val="single" w:color="auto" w:sz="4" w:space="0"/>
                    <w:left w:val="single" w:color="auto" w:sz="4" w:space="0"/>
                    <w:bottom w:val="single" w:color="auto" w:sz="4" w:space="0"/>
                    <w:right w:val="single" w:color="auto" w:sz="4" w:space="0"/>
                  </w:tcBorders>
                  <w:vAlign w:val="center"/>
                </w:tcPr>
                <w:p>
                  <w:pPr>
                    <w:snapToGrid w:val="0"/>
                    <w:rPr>
                      <w:rFonts w:ascii="宋体"/>
                      <w:szCs w:val="21"/>
                    </w:rPr>
                  </w:pPr>
                  <w:r>
                    <w:rPr>
                      <w:rFonts w:hint="eastAsia" w:ascii="宋体" w:hAnsi="宋体"/>
                      <w:szCs w:val="21"/>
                    </w:rPr>
                    <w:t>年</w:t>
                  </w:r>
                </w:p>
              </w:tc>
              <w:tc>
                <w:tcPr>
                  <w:tcW w:w="866" w:type="dxa"/>
                  <w:tcBorders>
                    <w:top w:val="single" w:color="auto" w:sz="4" w:space="0"/>
                    <w:left w:val="single" w:color="auto" w:sz="4" w:space="0"/>
                    <w:bottom w:val="single" w:color="auto" w:sz="4" w:space="0"/>
                    <w:right w:val="single" w:color="auto" w:sz="4" w:space="0"/>
                  </w:tcBorders>
                  <w:vAlign w:val="center"/>
                </w:tcPr>
                <w:p>
                  <w:pPr>
                    <w:snapToGrid w:val="0"/>
                    <w:rPr>
                      <w:rFonts w:ascii="宋体"/>
                      <w:szCs w:val="21"/>
                    </w:rPr>
                  </w:pPr>
                  <w:r>
                    <w:rPr>
                      <w:rFonts w:hint="eastAsia" w:ascii="宋体" w:hAnsi="宋体"/>
                      <w:szCs w:val="21"/>
                    </w:rPr>
                    <w:t>年</w:t>
                  </w:r>
                </w:p>
              </w:tc>
              <w:tc>
                <w:tcPr>
                  <w:tcW w:w="996" w:type="dxa"/>
                  <w:tcBorders>
                    <w:top w:val="single" w:color="auto" w:sz="4" w:space="0"/>
                    <w:left w:val="single" w:color="auto" w:sz="4" w:space="0"/>
                    <w:bottom w:val="single" w:color="auto" w:sz="4" w:space="0"/>
                    <w:right w:val="single" w:color="auto" w:sz="4" w:space="0"/>
                  </w:tcBorders>
                  <w:vAlign w:val="center"/>
                </w:tcPr>
                <w:p>
                  <w:pPr>
                    <w:snapToGrid w:val="0"/>
                    <w:ind w:left="-59" w:leftChars="-28" w:right="-63" w:rightChars="-30"/>
                    <w:rPr>
                      <w:rFonts w:ascii="宋体"/>
                      <w:szCs w:val="21"/>
                    </w:rPr>
                  </w:pPr>
                  <w:r>
                    <w:rPr>
                      <w:rFonts w:hint="eastAsia" w:ascii="宋体" w:hAnsi="宋体"/>
                      <w:szCs w:val="21"/>
                    </w:rPr>
                    <w:t>年平均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2" w:type="dxa"/>
                  <w:tcBorders>
                    <w:top w:val="single" w:color="auto" w:sz="4" w:space="0"/>
                    <w:left w:val="single" w:color="auto" w:sz="4" w:space="0"/>
                    <w:bottom w:val="single" w:color="auto" w:sz="4" w:space="0"/>
                    <w:right w:val="single" w:color="auto" w:sz="4" w:space="0"/>
                  </w:tcBorders>
                  <w:vAlign w:val="center"/>
                </w:tcPr>
                <w:p>
                  <w:pPr>
                    <w:snapToGrid w:val="0"/>
                    <w:rPr>
                      <w:rFonts w:ascii="宋体"/>
                      <w:szCs w:val="21"/>
                    </w:rPr>
                  </w:pPr>
                  <w:r>
                    <w:rPr>
                      <w:rFonts w:hint="eastAsia" w:ascii="宋体" w:hAnsi="宋体"/>
                      <w:szCs w:val="21"/>
                    </w:rPr>
                    <w:t>一、资产总额</w:t>
                  </w:r>
                </w:p>
              </w:tc>
              <w:tc>
                <w:tcPr>
                  <w:tcW w:w="760" w:type="dxa"/>
                  <w:tcBorders>
                    <w:top w:val="single" w:color="auto" w:sz="4" w:space="0"/>
                    <w:left w:val="single" w:color="auto" w:sz="4" w:space="0"/>
                    <w:bottom w:val="single" w:color="auto" w:sz="4" w:space="0"/>
                    <w:right w:val="single" w:color="auto" w:sz="4" w:space="0"/>
                  </w:tcBorders>
                  <w:vAlign w:val="center"/>
                </w:tcPr>
                <w:p>
                  <w:pPr>
                    <w:snapToGrid w:val="0"/>
                    <w:spacing w:before="36" w:beforeLines="15" w:after="36" w:afterLines="15"/>
                    <w:rPr>
                      <w:rFonts w:ascii="宋体"/>
                      <w:szCs w:val="21"/>
                    </w:rPr>
                  </w:pPr>
                  <w:r>
                    <w:rPr>
                      <w:rFonts w:hint="eastAsia" w:ascii="宋体" w:hAnsi="宋体"/>
                      <w:szCs w:val="21"/>
                    </w:rPr>
                    <w:t>万元</w:t>
                  </w:r>
                </w:p>
              </w:tc>
              <w:tc>
                <w:tcPr>
                  <w:tcW w:w="876"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c>
                <w:tcPr>
                  <w:tcW w:w="837"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c>
                <w:tcPr>
                  <w:tcW w:w="866"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c>
                <w:tcPr>
                  <w:tcW w:w="996"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2" w:type="dxa"/>
                  <w:tcBorders>
                    <w:top w:val="single" w:color="auto" w:sz="4" w:space="0"/>
                    <w:left w:val="single" w:color="auto" w:sz="4" w:space="0"/>
                    <w:bottom w:val="single" w:color="auto" w:sz="4" w:space="0"/>
                    <w:right w:val="single" w:color="auto" w:sz="4" w:space="0"/>
                  </w:tcBorders>
                  <w:vAlign w:val="center"/>
                </w:tcPr>
                <w:p>
                  <w:pPr>
                    <w:snapToGrid w:val="0"/>
                    <w:ind w:left="437" w:leftChars="208"/>
                    <w:rPr>
                      <w:rFonts w:ascii="宋体"/>
                      <w:szCs w:val="21"/>
                    </w:rPr>
                  </w:pPr>
                  <w:r>
                    <w:rPr>
                      <w:rFonts w:ascii="宋体" w:hAnsi="宋体"/>
                      <w:szCs w:val="21"/>
                    </w:rPr>
                    <w:t>1</w:t>
                  </w:r>
                  <w:r>
                    <w:rPr>
                      <w:rFonts w:hint="eastAsia" w:ascii="宋体" w:hAnsi="宋体"/>
                      <w:szCs w:val="21"/>
                    </w:rPr>
                    <w:t>．流动资产</w:t>
                  </w:r>
                </w:p>
              </w:tc>
              <w:tc>
                <w:tcPr>
                  <w:tcW w:w="760" w:type="dxa"/>
                  <w:tcBorders>
                    <w:top w:val="single" w:color="auto" w:sz="4" w:space="0"/>
                    <w:left w:val="single" w:color="auto" w:sz="4" w:space="0"/>
                    <w:bottom w:val="single" w:color="auto" w:sz="4" w:space="0"/>
                    <w:right w:val="single" w:color="auto" w:sz="4" w:space="0"/>
                  </w:tcBorders>
                  <w:vAlign w:val="center"/>
                </w:tcPr>
                <w:p>
                  <w:pPr>
                    <w:snapToGrid w:val="0"/>
                    <w:spacing w:before="36" w:beforeLines="15" w:after="36" w:afterLines="15"/>
                    <w:rPr>
                      <w:rFonts w:ascii="宋体"/>
                      <w:szCs w:val="21"/>
                    </w:rPr>
                  </w:pPr>
                  <w:r>
                    <w:rPr>
                      <w:rFonts w:hint="eastAsia" w:ascii="宋体" w:hAnsi="宋体"/>
                      <w:szCs w:val="21"/>
                    </w:rPr>
                    <w:t>万元</w:t>
                  </w:r>
                </w:p>
              </w:tc>
              <w:tc>
                <w:tcPr>
                  <w:tcW w:w="876"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c>
                <w:tcPr>
                  <w:tcW w:w="837"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c>
                <w:tcPr>
                  <w:tcW w:w="866"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c>
                <w:tcPr>
                  <w:tcW w:w="996"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12" w:type="dxa"/>
                  <w:tcBorders>
                    <w:top w:val="single" w:color="auto" w:sz="4" w:space="0"/>
                    <w:left w:val="single" w:color="auto" w:sz="4" w:space="0"/>
                    <w:bottom w:val="single" w:color="auto" w:sz="4" w:space="0"/>
                    <w:right w:val="single" w:color="auto" w:sz="4" w:space="0"/>
                  </w:tcBorders>
                  <w:vAlign w:val="center"/>
                </w:tcPr>
                <w:p>
                  <w:pPr>
                    <w:snapToGrid w:val="0"/>
                    <w:ind w:left="437" w:leftChars="208"/>
                    <w:rPr>
                      <w:rFonts w:ascii="宋体"/>
                      <w:szCs w:val="21"/>
                    </w:rPr>
                  </w:pPr>
                  <w:r>
                    <w:rPr>
                      <w:rFonts w:ascii="宋体" w:hAnsi="宋体"/>
                      <w:szCs w:val="21"/>
                    </w:rPr>
                    <w:t>1.1</w:t>
                  </w:r>
                  <w:r>
                    <w:rPr>
                      <w:rFonts w:hint="eastAsia" w:ascii="宋体" w:hAnsi="宋体"/>
                      <w:szCs w:val="21"/>
                    </w:rPr>
                    <w:t>流动资金</w:t>
                  </w:r>
                </w:p>
              </w:tc>
              <w:tc>
                <w:tcPr>
                  <w:tcW w:w="760" w:type="dxa"/>
                  <w:tcBorders>
                    <w:top w:val="single" w:color="auto" w:sz="4" w:space="0"/>
                    <w:left w:val="single" w:color="auto" w:sz="4" w:space="0"/>
                    <w:bottom w:val="single" w:color="auto" w:sz="4" w:space="0"/>
                    <w:right w:val="single" w:color="auto" w:sz="4" w:space="0"/>
                  </w:tcBorders>
                  <w:vAlign w:val="center"/>
                </w:tcPr>
                <w:p>
                  <w:pPr>
                    <w:snapToGrid w:val="0"/>
                    <w:spacing w:before="36" w:beforeLines="15" w:after="36" w:afterLines="15"/>
                    <w:rPr>
                      <w:rFonts w:ascii="宋体"/>
                      <w:szCs w:val="21"/>
                    </w:rPr>
                  </w:pPr>
                  <w:r>
                    <w:rPr>
                      <w:rFonts w:hint="eastAsia" w:ascii="宋体" w:hAnsi="宋体"/>
                      <w:szCs w:val="21"/>
                    </w:rPr>
                    <w:t>万元</w:t>
                  </w:r>
                </w:p>
              </w:tc>
              <w:tc>
                <w:tcPr>
                  <w:tcW w:w="876"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c>
                <w:tcPr>
                  <w:tcW w:w="837"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c>
                <w:tcPr>
                  <w:tcW w:w="866"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c>
                <w:tcPr>
                  <w:tcW w:w="996"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2" w:type="dxa"/>
                  <w:tcBorders>
                    <w:top w:val="single" w:color="auto" w:sz="4" w:space="0"/>
                    <w:left w:val="single" w:color="auto" w:sz="4" w:space="0"/>
                    <w:bottom w:val="single" w:color="auto" w:sz="4" w:space="0"/>
                    <w:right w:val="single" w:color="auto" w:sz="4" w:space="0"/>
                  </w:tcBorders>
                  <w:vAlign w:val="center"/>
                </w:tcPr>
                <w:p>
                  <w:pPr>
                    <w:snapToGrid w:val="0"/>
                    <w:ind w:left="437" w:leftChars="208"/>
                    <w:rPr>
                      <w:rFonts w:hint="eastAsia" w:ascii="宋体" w:eastAsia="宋体"/>
                      <w:szCs w:val="21"/>
                      <w:lang w:eastAsia="zh-CN"/>
                    </w:rPr>
                  </w:pPr>
                  <w:r>
                    <w:rPr>
                      <w:rFonts w:ascii="宋体" w:hAnsi="宋体"/>
                      <w:szCs w:val="21"/>
                    </w:rPr>
                    <w:t>1.2</w:t>
                  </w:r>
                  <w:r>
                    <w:rPr>
                      <w:rFonts w:hint="eastAsia" w:ascii="宋体" w:hAnsi="宋体"/>
                      <w:szCs w:val="21"/>
                      <w:lang w:eastAsia="zh-CN"/>
                    </w:rPr>
                    <w:t>应收账款</w:t>
                  </w:r>
                </w:p>
              </w:tc>
              <w:tc>
                <w:tcPr>
                  <w:tcW w:w="760" w:type="dxa"/>
                  <w:tcBorders>
                    <w:top w:val="single" w:color="auto" w:sz="4" w:space="0"/>
                    <w:left w:val="single" w:color="auto" w:sz="4" w:space="0"/>
                    <w:bottom w:val="single" w:color="auto" w:sz="4" w:space="0"/>
                    <w:right w:val="single" w:color="auto" w:sz="4" w:space="0"/>
                  </w:tcBorders>
                  <w:vAlign w:val="center"/>
                </w:tcPr>
                <w:p>
                  <w:pPr>
                    <w:snapToGrid w:val="0"/>
                    <w:spacing w:before="36" w:beforeLines="15" w:after="36" w:afterLines="15"/>
                    <w:rPr>
                      <w:rFonts w:ascii="宋体"/>
                      <w:szCs w:val="21"/>
                    </w:rPr>
                  </w:pPr>
                  <w:r>
                    <w:rPr>
                      <w:rFonts w:hint="eastAsia" w:ascii="宋体" w:hAnsi="宋体"/>
                      <w:szCs w:val="21"/>
                    </w:rPr>
                    <w:t>万元</w:t>
                  </w:r>
                </w:p>
              </w:tc>
              <w:tc>
                <w:tcPr>
                  <w:tcW w:w="876"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c>
                <w:tcPr>
                  <w:tcW w:w="837"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c>
                <w:tcPr>
                  <w:tcW w:w="866"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c>
                <w:tcPr>
                  <w:tcW w:w="996"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2" w:type="dxa"/>
                  <w:tcBorders>
                    <w:top w:val="single" w:color="auto" w:sz="4" w:space="0"/>
                    <w:left w:val="single" w:color="auto" w:sz="4" w:space="0"/>
                    <w:bottom w:val="single" w:color="auto" w:sz="4" w:space="0"/>
                    <w:right w:val="single" w:color="auto" w:sz="4" w:space="0"/>
                  </w:tcBorders>
                  <w:vAlign w:val="center"/>
                </w:tcPr>
                <w:p>
                  <w:pPr>
                    <w:snapToGrid w:val="0"/>
                    <w:ind w:left="437" w:leftChars="208"/>
                    <w:rPr>
                      <w:rFonts w:ascii="宋体"/>
                      <w:szCs w:val="21"/>
                    </w:rPr>
                  </w:pPr>
                  <w:r>
                    <w:rPr>
                      <w:rFonts w:ascii="宋体" w:hAnsi="宋体"/>
                      <w:szCs w:val="21"/>
                    </w:rPr>
                    <w:t>1.3</w:t>
                  </w:r>
                  <w:r>
                    <w:rPr>
                      <w:rFonts w:hint="eastAsia" w:ascii="宋体" w:hAnsi="宋体"/>
                      <w:szCs w:val="21"/>
                    </w:rPr>
                    <w:t>在建工程</w:t>
                  </w:r>
                </w:p>
              </w:tc>
              <w:tc>
                <w:tcPr>
                  <w:tcW w:w="760" w:type="dxa"/>
                  <w:tcBorders>
                    <w:top w:val="single" w:color="auto" w:sz="4" w:space="0"/>
                    <w:left w:val="single" w:color="auto" w:sz="4" w:space="0"/>
                    <w:bottom w:val="single" w:color="auto" w:sz="4" w:space="0"/>
                    <w:right w:val="single" w:color="auto" w:sz="4" w:space="0"/>
                  </w:tcBorders>
                  <w:vAlign w:val="center"/>
                </w:tcPr>
                <w:p>
                  <w:pPr>
                    <w:snapToGrid w:val="0"/>
                    <w:spacing w:before="36" w:beforeLines="15" w:after="36" w:afterLines="15"/>
                    <w:rPr>
                      <w:rFonts w:ascii="宋体"/>
                      <w:szCs w:val="21"/>
                    </w:rPr>
                  </w:pPr>
                  <w:r>
                    <w:rPr>
                      <w:rFonts w:hint="eastAsia" w:ascii="宋体" w:hAnsi="宋体"/>
                      <w:szCs w:val="21"/>
                    </w:rPr>
                    <w:t>万元</w:t>
                  </w:r>
                </w:p>
              </w:tc>
              <w:tc>
                <w:tcPr>
                  <w:tcW w:w="876"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c>
                <w:tcPr>
                  <w:tcW w:w="837"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c>
                <w:tcPr>
                  <w:tcW w:w="866"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c>
                <w:tcPr>
                  <w:tcW w:w="996"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2" w:type="dxa"/>
                  <w:tcBorders>
                    <w:top w:val="single" w:color="auto" w:sz="4" w:space="0"/>
                    <w:left w:val="single" w:color="auto" w:sz="4" w:space="0"/>
                    <w:bottom w:val="single" w:color="auto" w:sz="4" w:space="0"/>
                    <w:right w:val="single" w:color="auto" w:sz="4" w:space="0"/>
                  </w:tcBorders>
                  <w:vAlign w:val="center"/>
                </w:tcPr>
                <w:p>
                  <w:pPr>
                    <w:snapToGrid w:val="0"/>
                    <w:ind w:left="437" w:leftChars="208"/>
                    <w:rPr>
                      <w:rFonts w:ascii="宋体"/>
                      <w:szCs w:val="21"/>
                    </w:rPr>
                  </w:pPr>
                  <w:r>
                    <w:rPr>
                      <w:rFonts w:ascii="宋体" w:hAnsi="宋体"/>
                      <w:szCs w:val="21"/>
                    </w:rPr>
                    <w:t>2</w:t>
                  </w:r>
                  <w:r>
                    <w:rPr>
                      <w:rFonts w:hint="eastAsia" w:ascii="宋体" w:hAnsi="宋体"/>
                      <w:szCs w:val="21"/>
                    </w:rPr>
                    <w:t>．固定资产</w:t>
                  </w:r>
                </w:p>
              </w:tc>
              <w:tc>
                <w:tcPr>
                  <w:tcW w:w="760" w:type="dxa"/>
                  <w:tcBorders>
                    <w:top w:val="single" w:color="auto" w:sz="4" w:space="0"/>
                    <w:left w:val="single" w:color="auto" w:sz="4" w:space="0"/>
                    <w:bottom w:val="single" w:color="auto" w:sz="4" w:space="0"/>
                    <w:right w:val="single" w:color="auto" w:sz="4" w:space="0"/>
                  </w:tcBorders>
                  <w:vAlign w:val="center"/>
                </w:tcPr>
                <w:p>
                  <w:pPr>
                    <w:snapToGrid w:val="0"/>
                    <w:spacing w:before="36" w:beforeLines="15" w:after="36" w:afterLines="15"/>
                    <w:rPr>
                      <w:rFonts w:ascii="宋体"/>
                      <w:szCs w:val="21"/>
                    </w:rPr>
                  </w:pPr>
                  <w:r>
                    <w:rPr>
                      <w:rFonts w:hint="eastAsia" w:ascii="宋体" w:hAnsi="宋体"/>
                      <w:szCs w:val="21"/>
                    </w:rPr>
                    <w:t>万元</w:t>
                  </w:r>
                </w:p>
              </w:tc>
              <w:tc>
                <w:tcPr>
                  <w:tcW w:w="876"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c>
                <w:tcPr>
                  <w:tcW w:w="837"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c>
                <w:tcPr>
                  <w:tcW w:w="866"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c>
                <w:tcPr>
                  <w:tcW w:w="996"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12" w:type="dxa"/>
                  <w:tcBorders>
                    <w:top w:val="single" w:color="auto" w:sz="4" w:space="0"/>
                    <w:left w:val="single" w:color="auto" w:sz="4" w:space="0"/>
                    <w:bottom w:val="single" w:color="auto" w:sz="4" w:space="0"/>
                    <w:right w:val="single" w:color="auto" w:sz="4" w:space="0"/>
                  </w:tcBorders>
                  <w:vAlign w:val="center"/>
                </w:tcPr>
                <w:p>
                  <w:pPr>
                    <w:snapToGrid w:val="0"/>
                    <w:ind w:left="437" w:leftChars="208"/>
                    <w:rPr>
                      <w:rFonts w:ascii="宋体"/>
                      <w:szCs w:val="21"/>
                    </w:rPr>
                  </w:pPr>
                  <w:r>
                    <w:rPr>
                      <w:rFonts w:ascii="宋体" w:hAnsi="宋体"/>
                      <w:szCs w:val="21"/>
                    </w:rPr>
                    <w:t>2.1</w:t>
                  </w:r>
                  <w:r>
                    <w:rPr>
                      <w:rFonts w:hint="eastAsia" w:ascii="宋体" w:hAnsi="宋体"/>
                      <w:szCs w:val="21"/>
                    </w:rPr>
                    <w:t>固定资产原值</w:t>
                  </w:r>
                </w:p>
              </w:tc>
              <w:tc>
                <w:tcPr>
                  <w:tcW w:w="760" w:type="dxa"/>
                  <w:tcBorders>
                    <w:top w:val="single" w:color="auto" w:sz="4" w:space="0"/>
                    <w:left w:val="single" w:color="auto" w:sz="4" w:space="0"/>
                    <w:bottom w:val="single" w:color="auto" w:sz="4" w:space="0"/>
                    <w:right w:val="single" w:color="auto" w:sz="4" w:space="0"/>
                  </w:tcBorders>
                  <w:vAlign w:val="center"/>
                </w:tcPr>
                <w:p>
                  <w:pPr>
                    <w:snapToGrid w:val="0"/>
                    <w:spacing w:before="36" w:beforeLines="15" w:after="36" w:afterLines="15"/>
                    <w:rPr>
                      <w:rFonts w:ascii="宋体"/>
                      <w:szCs w:val="21"/>
                    </w:rPr>
                  </w:pPr>
                  <w:r>
                    <w:rPr>
                      <w:rFonts w:hint="eastAsia" w:ascii="宋体" w:hAnsi="宋体"/>
                      <w:szCs w:val="21"/>
                    </w:rPr>
                    <w:t>万元</w:t>
                  </w:r>
                </w:p>
              </w:tc>
              <w:tc>
                <w:tcPr>
                  <w:tcW w:w="876"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c>
                <w:tcPr>
                  <w:tcW w:w="837"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c>
                <w:tcPr>
                  <w:tcW w:w="866"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c>
                <w:tcPr>
                  <w:tcW w:w="996"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2" w:type="dxa"/>
                  <w:tcBorders>
                    <w:top w:val="single" w:color="auto" w:sz="4" w:space="0"/>
                    <w:left w:val="single" w:color="auto" w:sz="4" w:space="0"/>
                    <w:bottom w:val="single" w:color="auto" w:sz="4" w:space="0"/>
                    <w:right w:val="single" w:color="auto" w:sz="4" w:space="0"/>
                  </w:tcBorders>
                  <w:vAlign w:val="center"/>
                </w:tcPr>
                <w:p>
                  <w:pPr>
                    <w:snapToGrid w:val="0"/>
                    <w:ind w:left="437" w:leftChars="208"/>
                    <w:rPr>
                      <w:rFonts w:ascii="宋体"/>
                      <w:szCs w:val="21"/>
                    </w:rPr>
                  </w:pPr>
                  <w:r>
                    <w:rPr>
                      <w:rFonts w:ascii="宋体" w:hAnsi="宋体"/>
                      <w:szCs w:val="21"/>
                    </w:rPr>
                    <w:t>2.2</w:t>
                  </w:r>
                  <w:r>
                    <w:rPr>
                      <w:rFonts w:hint="eastAsia" w:ascii="宋体" w:hAnsi="宋体"/>
                      <w:szCs w:val="21"/>
                    </w:rPr>
                    <w:t>固定资产净值</w:t>
                  </w:r>
                </w:p>
              </w:tc>
              <w:tc>
                <w:tcPr>
                  <w:tcW w:w="760" w:type="dxa"/>
                  <w:tcBorders>
                    <w:top w:val="single" w:color="auto" w:sz="4" w:space="0"/>
                    <w:left w:val="single" w:color="auto" w:sz="4" w:space="0"/>
                    <w:bottom w:val="single" w:color="auto" w:sz="4" w:space="0"/>
                    <w:right w:val="single" w:color="auto" w:sz="4" w:space="0"/>
                  </w:tcBorders>
                  <w:vAlign w:val="center"/>
                </w:tcPr>
                <w:p>
                  <w:pPr>
                    <w:snapToGrid w:val="0"/>
                    <w:spacing w:before="36" w:beforeLines="15" w:after="36" w:afterLines="15"/>
                    <w:rPr>
                      <w:rFonts w:ascii="宋体"/>
                      <w:szCs w:val="21"/>
                    </w:rPr>
                  </w:pPr>
                  <w:r>
                    <w:rPr>
                      <w:rFonts w:hint="eastAsia" w:ascii="宋体" w:hAnsi="宋体"/>
                      <w:szCs w:val="21"/>
                    </w:rPr>
                    <w:t>万元</w:t>
                  </w:r>
                </w:p>
              </w:tc>
              <w:tc>
                <w:tcPr>
                  <w:tcW w:w="876"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c>
                <w:tcPr>
                  <w:tcW w:w="837"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c>
                <w:tcPr>
                  <w:tcW w:w="866"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c>
                <w:tcPr>
                  <w:tcW w:w="996"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2" w:type="dxa"/>
                  <w:tcBorders>
                    <w:top w:val="single" w:color="auto" w:sz="4" w:space="0"/>
                    <w:left w:val="single" w:color="auto" w:sz="4" w:space="0"/>
                    <w:bottom w:val="single" w:color="auto" w:sz="4" w:space="0"/>
                    <w:right w:val="single" w:color="auto" w:sz="4" w:space="0"/>
                  </w:tcBorders>
                  <w:vAlign w:val="center"/>
                </w:tcPr>
                <w:p>
                  <w:pPr>
                    <w:snapToGrid w:val="0"/>
                    <w:rPr>
                      <w:rFonts w:ascii="宋体"/>
                      <w:szCs w:val="21"/>
                    </w:rPr>
                  </w:pPr>
                  <w:r>
                    <w:rPr>
                      <w:rFonts w:hint="eastAsia" w:ascii="宋体" w:hAnsi="宋体"/>
                      <w:szCs w:val="21"/>
                    </w:rPr>
                    <w:t>二．负债总额</w:t>
                  </w:r>
                </w:p>
              </w:tc>
              <w:tc>
                <w:tcPr>
                  <w:tcW w:w="760" w:type="dxa"/>
                  <w:tcBorders>
                    <w:top w:val="single" w:color="auto" w:sz="4" w:space="0"/>
                    <w:left w:val="single" w:color="auto" w:sz="4" w:space="0"/>
                    <w:bottom w:val="single" w:color="auto" w:sz="4" w:space="0"/>
                    <w:right w:val="single" w:color="auto" w:sz="4" w:space="0"/>
                  </w:tcBorders>
                  <w:vAlign w:val="center"/>
                </w:tcPr>
                <w:p>
                  <w:pPr>
                    <w:snapToGrid w:val="0"/>
                    <w:spacing w:before="36" w:beforeLines="15" w:after="36" w:afterLines="15"/>
                    <w:rPr>
                      <w:rFonts w:ascii="宋体"/>
                      <w:szCs w:val="21"/>
                    </w:rPr>
                  </w:pPr>
                  <w:r>
                    <w:rPr>
                      <w:rFonts w:hint="eastAsia" w:ascii="宋体" w:hAnsi="宋体"/>
                      <w:szCs w:val="21"/>
                    </w:rPr>
                    <w:t>万元</w:t>
                  </w:r>
                </w:p>
              </w:tc>
              <w:tc>
                <w:tcPr>
                  <w:tcW w:w="876"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c>
                <w:tcPr>
                  <w:tcW w:w="837"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c>
                <w:tcPr>
                  <w:tcW w:w="866"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c>
                <w:tcPr>
                  <w:tcW w:w="996"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2" w:type="dxa"/>
                  <w:tcBorders>
                    <w:top w:val="single" w:color="auto" w:sz="4" w:space="0"/>
                    <w:left w:val="single" w:color="auto" w:sz="4" w:space="0"/>
                    <w:bottom w:val="single" w:color="auto" w:sz="4" w:space="0"/>
                    <w:right w:val="single" w:color="auto" w:sz="4" w:space="0"/>
                  </w:tcBorders>
                  <w:vAlign w:val="center"/>
                </w:tcPr>
                <w:p>
                  <w:pPr>
                    <w:snapToGrid w:val="0"/>
                    <w:ind w:left="437" w:leftChars="208"/>
                    <w:rPr>
                      <w:rFonts w:ascii="宋体"/>
                      <w:szCs w:val="21"/>
                    </w:rPr>
                  </w:pPr>
                  <w:r>
                    <w:rPr>
                      <w:rFonts w:ascii="宋体" w:hAnsi="宋体"/>
                      <w:szCs w:val="21"/>
                    </w:rPr>
                    <w:t>1</w:t>
                  </w:r>
                  <w:r>
                    <w:rPr>
                      <w:rFonts w:ascii="宋体"/>
                      <w:szCs w:val="21"/>
                    </w:rPr>
                    <w:t>.</w:t>
                  </w:r>
                  <w:r>
                    <w:rPr>
                      <w:rFonts w:hint="eastAsia" w:ascii="宋体" w:hAnsi="宋体"/>
                      <w:szCs w:val="21"/>
                    </w:rPr>
                    <w:t>流动负债</w:t>
                  </w:r>
                </w:p>
              </w:tc>
              <w:tc>
                <w:tcPr>
                  <w:tcW w:w="760" w:type="dxa"/>
                  <w:tcBorders>
                    <w:top w:val="single" w:color="auto" w:sz="4" w:space="0"/>
                    <w:left w:val="single" w:color="auto" w:sz="4" w:space="0"/>
                    <w:bottom w:val="single" w:color="auto" w:sz="4" w:space="0"/>
                    <w:right w:val="single" w:color="auto" w:sz="4" w:space="0"/>
                  </w:tcBorders>
                  <w:vAlign w:val="center"/>
                </w:tcPr>
                <w:p>
                  <w:pPr>
                    <w:snapToGrid w:val="0"/>
                    <w:spacing w:before="36" w:beforeLines="15" w:after="36" w:afterLines="15"/>
                    <w:rPr>
                      <w:rFonts w:ascii="宋体"/>
                      <w:szCs w:val="21"/>
                    </w:rPr>
                  </w:pPr>
                  <w:r>
                    <w:rPr>
                      <w:rFonts w:hint="eastAsia" w:ascii="宋体" w:hAnsi="宋体"/>
                      <w:szCs w:val="21"/>
                    </w:rPr>
                    <w:t>万元</w:t>
                  </w:r>
                </w:p>
              </w:tc>
              <w:tc>
                <w:tcPr>
                  <w:tcW w:w="876"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c>
                <w:tcPr>
                  <w:tcW w:w="837"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c>
                <w:tcPr>
                  <w:tcW w:w="866"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c>
                <w:tcPr>
                  <w:tcW w:w="996"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12" w:type="dxa"/>
                  <w:tcBorders>
                    <w:top w:val="single" w:color="auto" w:sz="4" w:space="0"/>
                    <w:left w:val="single" w:color="auto" w:sz="4" w:space="0"/>
                    <w:bottom w:val="single" w:color="auto" w:sz="4" w:space="0"/>
                    <w:right w:val="single" w:color="auto" w:sz="4" w:space="0"/>
                  </w:tcBorders>
                  <w:vAlign w:val="center"/>
                </w:tcPr>
                <w:p>
                  <w:pPr>
                    <w:snapToGrid w:val="0"/>
                    <w:ind w:left="437" w:leftChars="208"/>
                    <w:rPr>
                      <w:rFonts w:ascii="宋体"/>
                      <w:szCs w:val="21"/>
                    </w:rPr>
                  </w:pPr>
                  <w:r>
                    <w:rPr>
                      <w:rFonts w:ascii="宋体" w:hAnsi="宋体"/>
                      <w:szCs w:val="21"/>
                    </w:rPr>
                    <w:t>1.1</w:t>
                  </w:r>
                  <w:r>
                    <w:rPr>
                      <w:rFonts w:hint="eastAsia" w:ascii="宋体" w:hAnsi="宋体"/>
                      <w:szCs w:val="21"/>
                    </w:rPr>
                    <w:t>应付帐款</w:t>
                  </w:r>
                </w:p>
              </w:tc>
              <w:tc>
                <w:tcPr>
                  <w:tcW w:w="760" w:type="dxa"/>
                  <w:tcBorders>
                    <w:top w:val="single" w:color="auto" w:sz="4" w:space="0"/>
                    <w:left w:val="single" w:color="auto" w:sz="4" w:space="0"/>
                    <w:bottom w:val="single" w:color="auto" w:sz="4" w:space="0"/>
                    <w:right w:val="single" w:color="auto" w:sz="4" w:space="0"/>
                  </w:tcBorders>
                  <w:vAlign w:val="center"/>
                </w:tcPr>
                <w:p>
                  <w:pPr>
                    <w:snapToGrid w:val="0"/>
                    <w:spacing w:before="36" w:beforeLines="15" w:after="36" w:afterLines="15"/>
                    <w:rPr>
                      <w:rFonts w:ascii="宋体"/>
                      <w:szCs w:val="21"/>
                    </w:rPr>
                  </w:pPr>
                  <w:r>
                    <w:rPr>
                      <w:rFonts w:hint="eastAsia" w:ascii="宋体" w:hAnsi="宋体"/>
                      <w:szCs w:val="21"/>
                    </w:rPr>
                    <w:t>万元</w:t>
                  </w:r>
                </w:p>
              </w:tc>
              <w:tc>
                <w:tcPr>
                  <w:tcW w:w="876"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c>
                <w:tcPr>
                  <w:tcW w:w="837"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c>
                <w:tcPr>
                  <w:tcW w:w="866"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c>
                <w:tcPr>
                  <w:tcW w:w="996"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2" w:type="dxa"/>
                  <w:tcBorders>
                    <w:top w:val="single" w:color="auto" w:sz="4" w:space="0"/>
                    <w:left w:val="single" w:color="auto" w:sz="4" w:space="0"/>
                    <w:bottom w:val="single" w:color="auto" w:sz="4" w:space="0"/>
                    <w:right w:val="single" w:color="auto" w:sz="4" w:space="0"/>
                  </w:tcBorders>
                  <w:vAlign w:val="center"/>
                </w:tcPr>
                <w:p>
                  <w:pPr>
                    <w:snapToGrid w:val="0"/>
                    <w:ind w:left="437" w:leftChars="208"/>
                    <w:rPr>
                      <w:rFonts w:ascii="宋体"/>
                      <w:szCs w:val="21"/>
                    </w:rPr>
                  </w:pPr>
                  <w:r>
                    <w:rPr>
                      <w:rFonts w:ascii="宋体" w:hAnsi="宋体"/>
                      <w:szCs w:val="21"/>
                    </w:rPr>
                    <w:t>1.2</w:t>
                  </w:r>
                  <w:r>
                    <w:rPr>
                      <w:rFonts w:hint="eastAsia" w:ascii="宋体" w:hAnsi="宋体"/>
                      <w:szCs w:val="21"/>
                    </w:rPr>
                    <w:t>应付工资</w:t>
                  </w:r>
                </w:p>
              </w:tc>
              <w:tc>
                <w:tcPr>
                  <w:tcW w:w="760" w:type="dxa"/>
                  <w:tcBorders>
                    <w:top w:val="single" w:color="auto" w:sz="4" w:space="0"/>
                    <w:left w:val="single" w:color="auto" w:sz="4" w:space="0"/>
                    <w:bottom w:val="single" w:color="auto" w:sz="4" w:space="0"/>
                    <w:right w:val="single" w:color="auto" w:sz="4" w:space="0"/>
                  </w:tcBorders>
                  <w:vAlign w:val="center"/>
                </w:tcPr>
                <w:p>
                  <w:pPr>
                    <w:snapToGrid w:val="0"/>
                    <w:spacing w:before="36" w:beforeLines="15" w:after="36" w:afterLines="15"/>
                    <w:rPr>
                      <w:rFonts w:ascii="宋体"/>
                      <w:szCs w:val="21"/>
                    </w:rPr>
                  </w:pPr>
                  <w:r>
                    <w:rPr>
                      <w:rFonts w:hint="eastAsia" w:ascii="宋体" w:hAnsi="宋体"/>
                      <w:szCs w:val="21"/>
                    </w:rPr>
                    <w:t>万元</w:t>
                  </w:r>
                </w:p>
              </w:tc>
              <w:tc>
                <w:tcPr>
                  <w:tcW w:w="876"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c>
                <w:tcPr>
                  <w:tcW w:w="837"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c>
                <w:tcPr>
                  <w:tcW w:w="866"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c>
                <w:tcPr>
                  <w:tcW w:w="996"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2" w:type="dxa"/>
                  <w:tcBorders>
                    <w:top w:val="single" w:color="auto" w:sz="4" w:space="0"/>
                    <w:left w:val="single" w:color="auto" w:sz="4" w:space="0"/>
                    <w:bottom w:val="single" w:color="auto" w:sz="4" w:space="0"/>
                    <w:right w:val="single" w:color="auto" w:sz="4" w:space="0"/>
                  </w:tcBorders>
                  <w:vAlign w:val="center"/>
                </w:tcPr>
                <w:p>
                  <w:pPr>
                    <w:snapToGrid w:val="0"/>
                    <w:rPr>
                      <w:rFonts w:ascii="宋体"/>
                      <w:szCs w:val="21"/>
                    </w:rPr>
                  </w:pPr>
                  <w:r>
                    <w:rPr>
                      <w:rFonts w:hint="eastAsia" w:ascii="宋体" w:hAnsi="宋体"/>
                      <w:szCs w:val="21"/>
                    </w:rPr>
                    <w:t>三．所有者权益</w:t>
                  </w:r>
                </w:p>
              </w:tc>
              <w:tc>
                <w:tcPr>
                  <w:tcW w:w="760" w:type="dxa"/>
                  <w:tcBorders>
                    <w:top w:val="single" w:color="auto" w:sz="4" w:space="0"/>
                    <w:left w:val="single" w:color="auto" w:sz="4" w:space="0"/>
                    <w:bottom w:val="single" w:color="auto" w:sz="4" w:space="0"/>
                    <w:right w:val="single" w:color="auto" w:sz="4" w:space="0"/>
                  </w:tcBorders>
                  <w:vAlign w:val="center"/>
                </w:tcPr>
                <w:p>
                  <w:pPr>
                    <w:snapToGrid w:val="0"/>
                    <w:spacing w:before="36" w:beforeLines="15" w:after="36" w:afterLines="15"/>
                    <w:rPr>
                      <w:rFonts w:ascii="宋体"/>
                      <w:szCs w:val="21"/>
                    </w:rPr>
                  </w:pPr>
                  <w:r>
                    <w:rPr>
                      <w:rFonts w:hint="eastAsia" w:ascii="宋体" w:hAnsi="宋体"/>
                      <w:szCs w:val="21"/>
                    </w:rPr>
                    <w:t>万元</w:t>
                  </w:r>
                </w:p>
              </w:tc>
              <w:tc>
                <w:tcPr>
                  <w:tcW w:w="876"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c>
                <w:tcPr>
                  <w:tcW w:w="837"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c>
                <w:tcPr>
                  <w:tcW w:w="866"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c>
                <w:tcPr>
                  <w:tcW w:w="996"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2" w:type="dxa"/>
                  <w:tcBorders>
                    <w:top w:val="single" w:color="auto" w:sz="4" w:space="0"/>
                    <w:left w:val="single" w:color="auto" w:sz="4" w:space="0"/>
                    <w:bottom w:val="single" w:color="auto" w:sz="4" w:space="0"/>
                    <w:right w:val="single" w:color="auto" w:sz="4" w:space="0"/>
                  </w:tcBorders>
                  <w:vAlign w:val="center"/>
                </w:tcPr>
                <w:p>
                  <w:pPr>
                    <w:snapToGrid w:val="0"/>
                    <w:rPr>
                      <w:rFonts w:ascii="宋体"/>
                      <w:szCs w:val="21"/>
                    </w:rPr>
                  </w:pPr>
                  <w:r>
                    <w:rPr>
                      <w:rFonts w:hint="eastAsia" w:ascii="宋体" w:hAnsi="宋体"/>
                      <w:szCs w:val="21"/>
                    </w:rPr>
                    <w:t>四．主营业务收入（园林绿化工程）</w:t>
                  </w:r>
                </w:p>
              </w:tc>
              <w:tc>
                <w:tcPr>
                  <w:tcW w:w="760" w:type="dxa"/>
                  <w:tcBorders>
                    <w:top w:val="single" w:color="auto" w:sz="4" w:space="0"/>
                    <w:left w:val="single" w:color="auto" w:sz="4" w:space="0"/>
                    <w:bottom w:val="single" w:color="auto" w:sz="4" w:space="0"/>
                    <w:right w:val="single" w:color="auto" w:sz="4" w:space="0"/>
                  </w:tcBorders>
                  <w:vAlign w:val="center"/>
                </w:tcPr>
                <w:p>
                  <w:pPr>
                    <w:snapToGrid w:val="0"/>
                    <w:spacing w:before="36" w:beforeLines="15" w:after="36" w:afterLines="15"/>
                    <w:rPr>
                      <w:rFonts w:ascii="宋体"/>
                      <w:szCs w:val="21"/>
                    </w:rPr>
                  </w:pPr>
                  <w:r>
                    <w:rPr>
                      <w:rFonts w:hint="eastAsia" w:ascii="宋体" w:hAnsi="宋体"/>
                      <w:szCs w:val="21"/>
                    </w:rPr>
                    <w:t>万元</w:t>
                  </w:r>
                </w:p>
              </w:tc>
              <w:tc>
                <w:tcPr>
                  <w:tcW w:w="876"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c>
                <w:tcPr>
                  <w:tcW w:w="837"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c>
                <w:tcPr>
                  <w:tcW w:w="866"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c>
                <w:tcPr>
                  <w:tcW w:w="996"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12" w:type="dxa"/>
                  <w:tcBorders>
                    <w:top w:val="single" w:color="auto" w:sz="4" w:space="0"/>
                    <w:left w:val="single" w:color="auto" w:sz="4" w:space="0"/>
                    <w:bottom w:val="single" w:color="auto" w:sz="4" w:space="0"/>
                    <w:right w:val="single" w:color="auto" w:sz="4" w:space="0"/>
                  </w:tcBorders>
                  <w:vAlign w:val="center"/>
                </w:tcPr>
                <w:p>
                  <w:pPr>
                    <w:snapToGrid w:val="0"/>
                    <w:rPr>
                      <w:rFonts w:ascii="宋体"/>
                      <w:szCs w:val="21"/>
                    </w:rPr>
                  </w:pPr>
                  <w:r>
                    <w:rPr>
                      <w:rFonts w:hint="eastAsia" w:ascii="宋体" w:hAnsi="宋体"/>
                      <w:szCs w:val="21"/>
                    </w:rPr>
                    <w:t>五．企业利润</w:t>
                  </w:r>
                </w:p>
              </w:tc>
              <w:tc>
                <w:tcPr>
                  <w:tcW w:w="760" w:type="dxa"/>
                  <w:tcBorders>
                    <w:top w:val="single" w:color="auto" w:sz="4" w:space="0"/>
                    <w:left w:val="single" w:color="auto" w:sz="4" w:space="0"/>
                    <w:bottom w:val="single" w:color="auto" w:sz="4" w:space="0"/>
                    <w:right w:val="single" w:color="auto" w:sz="4" w:space="0"/>
                  </w:tcBorders>
                  <w:vAlign w:val="center"/>
                </w:tcPr>
                <w:p>
                  <w:pPr>
                    <w:snapToGrid w:val="0"/>
                    <w:spacing w:before="36" w:beforeLines="15" w:after="36" w:afterLines="15"/>
                    <w:rPr>
                      <w:rFonts w:ascii="宋体"/>
                      <w:szCs w:val="21"/>
                    </w:rPr>
                  </w:pPr>
                  <w:r>
                    <w:rPr>
                      <w:rFonts w:hint="eastAsia" w:ascii="宋体" w:hAnsi="宋体"/>
                      <w:szCs w:val="21"/>
                    </w:rPr>
                    <w:t>万元</w:t>
                  </w:r>
                </w:p>
              </w:tc>
              <w:tc>
                <w:tcPr>
                  <w:tcW w:w="876"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c>
                <w:tcPr>
                  <w:tcW w:w="837"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c>
                <w:tcPr>
                  <w:tcW w:w="866"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c>
                <w:tcPr>
                  <w:tcW w:w="996"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2" w:type="dxa"/>
                  <w:tcBorders>
                    <w:top w:val="single" w:color="auto" w:sz="4" w:space="0"/>
                    <w:left w:val="single" w:color="auto" w:sz="4" w:space="0"/>
                    <w:bottom w:val="single" w:color="auto" w:sz="4" w:space="0"/>
                    <w:right w:val="single" w:color="auto" w:sz="4" w:space="0"/>
                  </w:tcBorders>
                  <w:vAlign w:val="center"/>
                </w:tcPr>
                <w:p>
                  <w:pPr>
                    <w:snapToGrid w:val="0"/>
                    <w:rPr>
                      <w:rFonts w:ascii="宋体"/>
                      <w:szCs w:val="21"/>
                    </w:rPr>
                  </w:pPr>
                  <w:r>
                    <w:rPr>
                      <w:rFonts w:hint="eastAsia" w:ascii="宋体" w:hAnsi="宋体"/>
                      <w:szCs w:val="21"/>
                    </w:rPr>
                    <w:t>六．反映企业管理水平指标</w:t>
                  </w:r>
                </w:p>
              </w:tc>
              <w:tc>
                <w:tcPr>
                  <w:tcW w:w="760" w:type="dxa"/>
                  <w:tcBorders>
                    <w:top w:val="single" w:color="auto" w:sz="4" w:space="0"/>
                    <w:left w:val="single" w:color="auto" w:sz="4" w:space="0"/>
                    <w:bottom w:val="single" w:color="auto" w:sz="4" w:space="0"/>
                    <w:right w:val="single" w:color="auto" w:sz="4" w:space="0"/>
                  </w:tcBorders>
                  <w:vAlign w:val="center"/>
                </w:tcPr>
                <w:p>
                  <w:pPr>
                    <w:snapToGrid w:val="0"/>
                    <w:spacing w:before="36" w:beforeLines="15" w:after="36" w:afterLines="15"/>
                    <w:rPr>
                      <w:rFonts w:ascii="宋体"/>
                      <w:szCs w:val="21"/>
                    </w:rPr>
                  </w:pPr>
                </w:p>
              </w:tc>
              <w:tc>
                <w:tcPr>
                  <w:tcW w:w="876"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c>
                <w:tcPr>
                  <w:tcW w:w="837"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c>
                <w:tcPr>
                  <w:tcW w:w="866"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c>
                <w:tcPr>
                  <w:tcW w:w="996"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2" w:type="dxa"/>
                  <w:tcBorders>
                    <w:top w:val="single" w:color="auto" w:sz="4" w:space="0"/>
                    <w:left w:val="single" w:color="auto" w:sz="4" w:space="0"/>
                    <w:bottom w:val="single" w:color="auto" w:sz="4" w:space="0"/>
                    <w:right w:val="single" w:color="auto" w:sz="4" w:space="0"/>
                  </w:tcBorders>
                </w:tcPr>
                <w:p>
                  <w:pPr>
                    <w:snapToGrid w:val="0"/>
                    <w:spacing w:before="60" w:beforeLines="25" w:after="60" w:afterLines="25"/>
                    <w:ind w:firstLine="420" w:firstLineChars="200"/>
                    <w:rPr>
                      <w:rFonts w:ascii="宋体"/>
                      <w:szCs w:val="21"/>
                    </w:rPr>
                  </w:pPr>
                  <w:r>
                    <w:rPr>
                      <w:rFonts w:ascii="宋体" w:hAnsi="宋体"/>
                      <w:szCs w:val="21"/>
                    </w:rPr>
                    <w:t xml:space="preserve">    </w:t>
                  </w:r>
                  <w:r>
                    <w:rPr>
                      <w:rFonts w:hint="eastAsia" w:ascii="宋体" w:hAnsi="宋体"/>
                      <w:szCs w:val="21"/>
                    </w:rPr>
                    <w:t>……</w:t>
                  </w:r>
                </w:p>
              </w:tc>
              <w:tc>
                <w:tcPr>
                  <w:tcW w:w="760" w:type="dxa"/>
                  <w:tcBorders>
                    <w:top w:val="single" w:color="auto" w:sz="4" w:space="0"/>
                    <w:left w:val="single" w:color="auto" w:sz="4" w:space="0"/>
                    <w:bottom w:val="single" w:color="auto" w:sz="4" w:space="0"/>
                    <w:right w:val="single" w:color="auto" w:sz="4" w:space="0"/>
                  </w:tcBorders>
                  <w:vAlign w:val="center"/>
                </w:tcPr>
                <w:p>
                  <w:pPr>
                    <w:snapToGrid w:val="0"/>
                    <w:spacing w:before="36" w:beforeLines="15" w:after="36" w:afterLines="15"/>
                    <w:rPr>
                      <w:rFonts w:ascii="宋体"/>
                      <w:szCs w:val="21"/>
                    </w:rPr>
                  </w:pPr>
                  <w:r>
                    <w:rPr>
                      <w:rFonts w:hint="eastAsia" w:ascii="宋体" w:hAnsi="宋体"/>
                      <w:szCs w:val="21"/>
                    </w:rPr>
                    <w:t>次</w:t>
                  </w:r>
                </w:p>
              </w:tc>
              <w:tc>
                <w:tcPr>
                  <w:tcW w:w="876"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c>
                <w:tcPr>
                  <w:tcW w:w="837"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c>
                <w:tcPr>
                  <w:tcW w:w="866"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c>
                <w:tcPr>
                  <w:tcW w:w="996"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2"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Cs w:val="21"/>
                    </w:rPr>
                  </w:pPr>
                  <w:r>
                    <w:rPr>
                      <w:rFonts w:ascii="宋体" w:hAnsi="宋体"/>
                      <w:szCs w:val="21"/>
                    </w:rPr>
                    <w:t xml:space="preserve">       </w:t>
                  </w:r>
                </w:p>
              </w:tc>
              <w:tc>
                <w:tcPr>
                  <w:tcW w:w="760" w:type="dxa"/>
                  <w:tcBorders>
                    <w:top w:val="single" w:color="auto" w:sz="4" w:space="0"/>
                    <w:left w:val="single" w:color="auto" w:sz="4" w:space="0"/>
                    <w:bottom w:val="single" w:color="auto" w:sz="4" w:space="0"/>
                    <w:right w:val="single" w:color="auto" w:sz="4" w:space="0"/>
                  </w:tcBorders>
                  <w:vAlign w:val="center"/>
                </w:tcPr>
                <w:p>
                  <w:pPr>
                    <w:snapToGrid w:val="0"/>
                    <w:spacing w:before="36" w:beforeLines="15" w:after="36" w:afterLines="15"/>
                    <w:rPr>
                      <w:rFonts w:ascii="宋体" w:hAnsi="宋体"/>
                      <w:szCs w:val="21"/>
                    </w:rPr>
                  </w:pPr>
                  <w:r>
                    <w:rPr>
                      <w:rFonts w:ascii="宋体" w:hAnsi="宋体"/>
                      <w:szCs w:val="21"/>
                    </w:rPr>
                    <w:t>%</w:t>
                  </w:r>
                </w:p>
              </w:tc>
              <w:tc>
                <w:tcPr>
                  <w:tcW w:w="876"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c>
                <w:tcPr>
                  <w:tcW w:w="837"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c>
                <w:tcPr>
                  <w:tcW w:w="866"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c>
                <w:tcPr>
                  <w:tcW w:w="996"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12" w:type="dxa"/>
                  <w:tcBorders>
                    <w:top w:val="single" w:color="auto" w:sz="4" w:space="0"/>
                    <w:left w:val="single" w:color="auto" w:sz="4" w:space="0"/>
                    <w:bottom w:val="single" w:color="auto" w:sz="4" w:space="0"/>
                    <w:right w:val="single" w:color="auto" w:sz="4" w:space="0"/>
                  </w:tcBorders>
                  <w:vAlign w:val="center"/>
                </w:tcPr>
                <w:p>
                  <w:pPr>
                    <w:snapToGrid w:val="0"/>
                    <w:rPr>
                      <w:rFonts w:ascii="宋体"/>
                      <w:szCs w:val="21"/>
                    </w:rPr>
                  </w:pPr>
                  <w:r>
                    <w:rPr>
                      <w:rFonts w:ascii="宋体" w:hAnsi="宋体"/>
                      <w:szCs w:val="21"/>
                    </w:rPr>
                    <w:t xml:space="preserve">        </w:t>
                  </w:r>
                  <w:r>
                    <w:rPr>
                      <w:rFonts w:hint="eastAsia" w:ascii="宋体" w:hAnsi="宋体"/>
                      <w:szCs w:val="21"/>
                    </w:rPr>
                    <w:t>……</w:t>
                  </w:r>
                </w:p>
              </w:tc>
              <w:tc>
                <w:tcPr>
                  <w:tcW w:w="760" w:type="dxa"/>
                  <w:tcBorders>
                    <w:top w:val="single" w:color="auto" w:sz="4" w:space="0"/>
                    <w:left w:val="single" w:color="auto" w:sz="4" w:space="0"/>
                    <w:bottom w:val="single" w:color="auto" w:sz="4" w:space="0"/>
                    <w:right w:val="single" w:color="auto" w:sz="4" w:space="0"/>
                  </w:tcBorders>
                  <w:vAlign w:val="center"/>
                </w:tcPr>
                <w:p>
                  <w:pPr>
                    <w:snapToGrid w:val="0"/>
                    <w:spacing w:before="36" w:beforeLines="15" w:after="36" w:afterLines="15"/>
                    <w:rPr>
                      <w:rFonts w:ascii="宋体"/>
                      <w:szCs w:val="21"/>
                    </w:rPr>
                  </w:pPr>
                </w:p>
              </w:tc>
              <w:tc>
                <w:tcPr>
                  <w:tcW w:w="876"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c>
                <w:tcPr>
                  <w:tcW w:w="837"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c>
                <w:tcPr>
                  <w:tcW w:w="866"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c>
                <w:tcPr>
                  <w:tcW w:w="996"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3612" w:type="dxa"/>
                  <w:tcBorders>
                    <w:top w:val="single" w:color="auto" w:sz="4" w:space="0"/>
                    <w:left w:val="single" w:color="auto" w:sz="4" w:space="0"/>
                    <w:bottom w:val="single" w:color="auto" w:sz="4" w:space="0"/>
                    <w:right w:val="single" w:color="auto" w:sz="4" w:space="0"/>
                  </w:tcBorders>
                  <w:vAlign w:val="center"/>
                </w:tcPr>
                <w:p>
                  <w:pPr>
                    <w:snapToGrid w:val="0"/>
                    <w:rPr>
                      <w:rFonts w:ascii="宋体"/>
                      <w:szCs w:val="21"/>
                    </w:rPr>
                  </w:pPr>
                  <w:r>
                    <w:rPr>
                      <w:rFonts w:hint="eastAsia" w:ascii="宋体" w:hAnsi="宋体"/>
                      <w:szCs w:val="21"/>
                    </w:rPr>
                    <w:t>备</w:t>
                  </w:r>
                  <w:r>
                    <w:rPr>
                      <w:rFonts w:ascii="宋体" w:hAnsi="宋体"/>
                      <w:szCs w:val="21"/>
                    </w:rPr>
                    <w:t xml:space="preserve"> </w:t>
                  </w:r>
                  <w:r>
                    <w:rPr>
                      <w:rFonts w:hint="eastAsia" w:ascii="宋体" w:hAnsi="宋体"/>
                      <w:szCs w:val="21"/>
                    </w:rPr>
                    <w:t>注</w:t>
                  </w:r>
                </w:p>
              </w:tc>
              <w:tc>
                <w:tcPr>
                  <w:tcW w:w="760" w:type="dxa"/>
                  <w:tcBorders>
                    <w:top w:val="single" w:color="auto" w:sz="4" w:space="0"/>
                    <w:left w:val="single" w:color="auto" w:sz="4" w:space="0"/>
                    <w:bottom w:val="single" w:color="auto" w:sz="4" w:space="0"/>
                    <w:right w:val="single" w:color="auto" w:sz="4" w:space="0"/>
                  </w:tcBorders>
                  <w:vAlign w:val="center"/>
                </w:tcPr>
                <w:p>
                  <w:pPr>
                    <w:snapToGrid w:val="0"/>
                    <w:rPr>
                      <w:rFonts w:ascii="宋体"/>
                      <w:szCs w:val="21"/>
                    </w:rPr>
                  </w:pPr>
                </w:p>
              </w:tc>
              <w:tc>
                <w:tcPr>
                  <w:tcW w:w="876"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c>
                <w:tcPr>
                  <w:tcW w:w="837"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c>
                <w:tcPr>
                  <w:tcW w:w="866"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c>
                <w:tcPr>
                  <w:tcW w:w="996" w:type="dxa"/>
                  <w:tcBorders>
                    <w:top w:val="single" w:color="auto" w:sz="4" w:space="0"/>
                    <w:left w:val="single" w:color="auto" w:sz="4" w:space="0"/>
                    <w:bottom w:val="single" w:color="auto" w:sz="4" w:space="0"/>
                    <w:right w:val="single" w:color="auto" w:sz="4" w:space="0"/>
                  </w:tcBorders>
                </w:tcPr>
                <w:p>
                  <w:pPr>
                    <w:snapToGrid w:val="0"/>
                    <w:rPr>
                      <w:rFonts w:ascii="宋体"/>
                      <w:szCs w:val="21"/>
                    </w:rPr>
                  </w:pPr>
                </w:p>
              </w:tc>
            </w:tr>
          </w:tbl>
          <w:p>
            <w:pPr>
              <w:snapToGrid w:val="0"/>
              <w:spacing w:line="360" w:lineRule="auto"/>
              <w:outlineLvl w:val="0"/>
              <w:rPr>
                <w:sz w:val="24"/>
              </w:rPr>
            </w:pPr>
          </w:p>
          <w:p>
            <w:pPr>
              <w:spacing w:line="480" w:lineRule="exact"/>
              <w:rPr>
                <w:szCs w:val="21"/>
              </w:rPr>
            </w:pPr>
            <w:r>
              <w:rPr>
                <w:rFonts w:hint="eastAsia" w:hAnsi="宋体"/>
                <w:szCs w:val="21"/>
              </w:rPr>
              <w:t>上述报表等文件</w:t>
            </w:r>
            <w:r>
              <w:rPr>
                <w:rFonts w:hAnsi="宋体"/>
                <w:szCs w:val="21"/>
              </w:rPr>
              <w:t>应盖</w:t>
            </w:r>
            <w:r>
              <w:rPr>
                <w:rFonts w:hint="eastAsia" w:hAnsi="宋体"/>
                <w:szCs w:val="21"/>
              </w:rPr>
              <w:t>投标</w:t>
            </w:r>
            <w:r>
              <w:rPr>
                <w:rFonts w:hAnsi="宋体"/>
                <w:szCs w:val="21"/>
              </w:rPr>
              <w:t>人</w:t>
            </w:r>
            <w:r>
              <w:rPr>
                <w:rFonts w:hint="eastAsia" w:hAnsi="宋体"/>
                <w:szCs w:val="21"/>
              </w:rPr>
              <w:t>企业CA电子章。</w:t>
            </w:r>
          </w:p>
          <w:p>
            <w:pPr>
              <w:spacing w:line="480" w:lineRule="exact"/>
              <w:rPr>
                <w:sz w:val="24"/>
              </w:rPr>
            </w:pPr>
          </w:p>
        </w:tc>
      </w:tr>
    </w:tbl>
    <w:p>
      <w:pPr>
        <w:pStyle w:val="6"/>
        <w:rPr>
          <w:rStyle w:val="106"/>
          <w:rFonts w:hAnsi="宋体"/>
          <w:b w:val="0"/>
          <w:bCs/>
          <w:sz w:val="28"/>
          <w:szCs w:val="28"/>
        </w:rPr>
      </w:pPr>
      <w:r>
        <w:rPr>
          <w:rFonts w:hAnsi="宋体"/>
          <w:b w:val="0"/>
          <w:bCs/>
          <w:sz w:val="24"/>
          <w:szCs w:val="24"/>
        </w:rPr>
        <w:br w:type="page"/>
      </w:r>
      <w:bookmarkStart w:id="1538" w:name="_Toc470011360"/>
      <w:bookmarkStart w:id="1539" w:name="_Toc410849490"/>
      <w:bookmarkStart w:id="1540" w:name="_Toc455409884"/>
      <w:r>
        <w:rPr>
          <w:rStyle w:val="106"/>
          <w:rFonts w:hint="eastAsia" w:hAnsi="宋体"/>
          <w:b w:val="0"/>
          <w:bCs/>
          <w:sz w:val="28"/>
          <w:szCs w:val="28"/>
        </w:rPr>
        <w:t>表</w:t>
      </w:r>
      <w:r>
        <w:rPr>
          <w:rStyle w:val="106"/>
          <w:rFonts w:hAnsi="宋体"/>
          <w:b w:val="0"/>
          <w:bCs/>
          <w:sz w:val="28"/>
          <w:szCs w:val="28"/>
        </w:rPr>
        <w:t>7.</w:t>
      </w:r>
      <w:r>
        <w:rPr>
          <w:rStyle w:val="106"/>
          <w:b w:val="0"/>
          <w:bCs/>
          <w:sz w:val="28"/>
          <w:szCs w:val="28"/>
        </w:rPr>
        <w:t>3</w:t>
      </w:r>
      <w:r>
        <w:rPr>
          <w:rStyle w:val="106"/>
          <w:b w:val="0"/>
          <w:bCs/>
          <w:sz w:val="28"/>
          <w:szCs w:val="28"/>
        </w:rPr>
        <w:tab/>
      </w:r>
      <w:r>
        <w:rPr>
          <w:rStyle w:val="106"/>
          <w:b w:val="0"/>
          <w:bCs/>
          <w:sz w:val="28"/>
          <w:szCs w:val="28"/>
        </w:rPr>
        <w:t>--</w:t>
      </w:r>
      <w:r>
        <w:rPr>
          <w:rStyle w:val="106"/>
          <w:rFonts w:hint="eastAsia" w:hAnsi="宋体"/>
          <w:b w:val="0"/>
          <w:bCs/>
          <w:sz w:val="28"/>
          <w:szCs w:val="28"/>
        </w:rPr>
        <w:t>工程组织机构设置与人员配备</w:t>
      </w:r>
      <w:bookmarkEnd w:id="1538"/>
      <w:bookmarkEnd w:id="1539"/>
      <w:bookmarkEnd w:id="1540"/>
    </w:p>
    <w:p>
      <w:pPr>
        <w:pStyle w:val="4"/>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6"/>
        <w:gridCol w:w="755"/>
        <w:gridCol w:w="860"/>
        <w:gridCol w:w="1306"/>
        <w:gridCol w:w="1134"/>
        <w:gridCol w:w="1795"/>
        <w:gridCol w:w="1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56" w:type="dxa"/>
            <w:vAlign w:val="center"/>
          </w:tcPr>
          <w:p>
            <w:pPr>
              <w:rPr>
                <w:sz w:val="24"/>
              </w:rPr>
            </w:pPr>
            <w:r>
              <w:rPr>
                <w:rFonts w:hint="eastAsia" w:hAnsi="宋体"/>
                <w:sz w:val="24"/>
              </w:rPr>
              <w:t>姓名</w:t>
            </w:r>
          </w:p>
        </w:tc>
        <w:tc>
          <w:tcPr>
            <w:tcW w:w="755" w:type="dxa"/>
            <w:vAlign w:val="center"/>
          </w:tcPr>
          <w:p>
            <w:pPr>
              <w:rPr>
                <w:sz w:val="24"/>
              </w:rPr>
            </w:pPr>
            <w:r>
              <w:rPr>
                <w:rFonts w:hint="eastAsia" w:hAnsi="宋体"/>
                <w:sz w:val="24"/>
              </w:rPr>
              <w:t>性别</w:t>
            </w:r>
          </w:p>
        </w:tc>
        <w:tc>
          <w:tcPr>
            <w:tcW w:w="860" w:type="dxa"/>
            <w:vAlign w:val="center"/>
          </w:tcPr>
          <w:p>
            <w:pPr>
              <w:rPr>
                <w:sz w:val="24"/>
              </w:rPr>
            </w:pPr>
            <w:r>
              <w:rPr>
                <w:rFonts w:hint="eastAsia" w:hAnsi="宋体"/>
                <w:sz w:val="24"/>
              </w:rPr>
              <w:t>年龄</w:t>
            </w:r>
          </w:p>
        </w:tc>
        <w:tc>
          <w:tcPr>
            <w:tcW w:w="1306" w:type="dxa"/>
            <w:vAlign w:val="center"/>
          </w:tcPr>
          <w:p>
            <w:pPr>
              <w:jc w:val="center"/>
              <w:rPr>
                <w:sz w:val="24"/>
              </w:rPr>
            </w:pPr>
            <w:r>
              <w:rPr>
                <w:rFonts w:hint="eastAsia" w:hAnsi="宋体"/>
                <w:sz w:val="24"/>
              </w:rPr>
              <w:t>技术职称等级</w:t>
            </w:r>
          </w:p>
        </w:tc>
        <w:tc>
          <w:tcPr>
            <w:tcW w:w="1134" w:type="dxa"/>
            <w:vAlign w:val="center"/>
          </w:tcPr>
          <w:p>
            <w:pPr>
              <w:jc w:val="center"/>
              <w:rPr>
                <w:rFonts w:hAnsi="宋体"/>
                <w:sz w:val="24"/>
              </w:rPr>
            </w:pPr>
            <w:r>
              <w:rPr>
                <w:rFonts w:hint="eastAsia" w:hAnsi="宋体"/>
                <w:sz w:val="24"/>
              </w:rPr>
              <w:t>职称专业</w:t>
            </w:r>
          </w:p>
        </w:tc>
        <w:tc>
          <w:tcPr>
            <w:tcW w:w="1795" w:type="dxa"/>
            <w:vAlign w:val="center"/>
          </w:tcPr>
          <w:p>
            <w:pPr>
              <w:jc w:val="center"/>
              <w:rPr>
                <w:strike/>
                <w:sz w:val="24"/>
              </w:rPr>
            </w:pPr>
            <w:r>
              <w:rPr>
                <w:rFonts w:hint="eastAsia" w:hAnsi="宋体"/>
                <w:sz w:val="24"/>
              </w:rPr>
              <w:t>资格证书编号</w:t>
            </w:r>
          </w:p>
        </w:tc>
        <w:tc>
          <w:tcPr>
            <w:tcW w:w="1828" w:type="dxa"/>
            <w:vAlign w:val="center"/>
          </w:tcPr>
          <w:p>
            <w:pPr>
              <w:jc w:val="center"/>
              <w:rPr>
                <w:sz w:val="24"/>
              </w:rPr>
            </w:pPr>
            <w:r>
              <w:rPr>
                <w:rFonts w:hint="eastAsia" w:hAnsi="宋体"/>
                <w:sz w:val="24"/>
              </w:rPr>
              <w:t>在本项目中的职务或岗位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56" w:type="dxa"/>
            <w:vAlign w:val="center"/>
          </w:tcPr>
          <w:p>
            <w:pPr>
              <w:rPr>
                <w:rFonts w:hAnsi="宋体"/>
                <w:sz w:val="24"/>
              </w:rPr>
            </w:pPr>
          </w:p>
        </w:tc>
        <w:tc>
          <w:tcPr>
            <w:tcW w:w="755" w:type="dxa"/>
            <w:vAlign w:val="center"/>
          </w:tcPr>
          <w:p>
            <w:pPr>
              <w:rPr>
                <w:rFonts w:hAnsi="宋体"/>
                <w:sz w:val="24"/>
              </w:rPr>
            </w:pPr>
          </w:p>
        </w:tc>
        <w:tc>
          <w:tcPr>
            <w:tcW w:w="860" w:type="dxa"/>
            <w:vAlign w:val="center"/>
          </w:tcPr>
          <w:p>
            <w:pPr>
              <w:rPr>
                <w:rFonts w:hAnsi="宋体"/>
                <w:sz w:val="24"/>
              </w:rPr>
            </w:pPr>
          </w:p>
        </w:tc>
        <w:tc>
          <w:tcPr>
            <w:tcW w:w="1306" w:type="dxa"/>
            <w:vAlign w:val="center"/>
          </w:tcPr>
          <w:p>
            <w:pPr>
              <w:rPr>
                <w:rFonts w:hAnsi="宋体"/>
                <w:sz w:val="24"/>
              </w:rPr>
            </w:pPr>
          </w:p>
        </w:tc>
        <w:tc>
          <w:tcPr>
            <w:tcW w:w="1134" w:type="dxa"/>
          </w:tcPr>
          <w:p>
            <w:pPr>
              <w:rPr>
                <w:rFonts w:hAnsi="宋体"/>
                <w:sz w:val="24"/>
              </w:rPr>
            </w:pPr>
          </w:p>
        </w:tc>
        <w:tc>
          <w:tcPr>
            <w:tcW w:w="1795" w:type="dxa"/>
            <w:vAlign w:val="center"/>
          </w:tcPr>
          <w:p>
            <w:pPr>
              <w:rPr>
                <w:rFonts w:hAnsi="宋体"/>
                <w:sz w:val="24"/>
              </w:rPr>
            </w:pPr>
          </w:p>
        </w:tc>
        <w:tc>
          <w:tcPr>
            <w:tcW w:w="1828" w:type="dxa"/>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56" w:type="dxa"/>
            <w:vAlign w:val="center"/>
          </w:tcPr>
          <w:p>
            <w:pPr>
              <w:rPr>
                <w:rFonts w:hAnsi="宋体"/>
                <w:sz w:val="24"/>
              </w:rPr>
            </w:pPr>
          </w:p>
        </w:tc>
        <w:tc>
          <w:tcPr>
            <w:tcW w:w="755" w:type="dxa"/>
            <w:vAlign w:val="center"/>
          </w:tcPr>
          <w:p>
            <w:pPr>
              <w:rPr>
                <w:rFonts w:hAnsi="宋体"/>
                <w:sz w:val="24"/>
              </w:rPr>
            </w:pPr>
          </w:p>
        </w:tc>
        <w:tc>
          <w:tcPr>
            <w:tcW w:w="860" w:type="dxa"/>
            <w:vAlign w:val="center"/>
          </w:tcPr>
          <w:p>
            <w:pPr>
              <w:rPr>
                <w:rFonts w:hAnsi="宋体"/>
                <w:sz w:val="24"/>
              </w:rPr>
            </w:pPr>
          </w:p>
        </w:tc>
        <w:tc>
          <w:tcPr>
            <w:tcW w:w="1306" w:type="dxa"/>
            <w:vAlign w:val="center"/>
          </w:tcPr>
          <w:p>
            <w:pPr>
              <w:rPr>
                <w:rFonts w:hAnsi="宋体"/>
                <w:sz w:val="24"/>
              </w:rPr>
            </w:pPr>
          </w:p>
        </w:tc>
        <w:tc>
          <w:tcPr>
            <w:tcW w:w="1134" w:type="dxa"/>
          </w:tcPr>
          <w:p>
            <w:pPr>
              <w:rPr>
                <w:rFonts w:hAnsi="宋体"/>
                <w:sz w:val="24"/>
              </w:rPr>
            </w:pPr>
          </w:p>
        </w:tc>
        <w:tc>
          <w:tcPr>
            <w:tcW w:w="1795" w:type="dxa"/>
            <w:vAlign w:val="center"/>
          </w:tcPr>
          <w:p>
            <w:pPr>
              <w:rPr>
                <w:rFonts w:hAnsi="宋体"/>
                <w:sz w:val="24"/>
              </w:rPr>
            </w:pPr>
          </w:p>
        </w:tc>
        <w:tc>
          <w:tcPr>
            <w:tcW w:w="1828" w:type="dxa"/>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56" w:type="dxa"/>
            <w:vAlign w:val="center"/>
          </w:tcPr>
          <w:p>
            <w:pPr>
              <w:rPr>
                <w:rFonts w:hAnsi="宋体"/>
                <w:sz w:val="24"/>
              </w:rPr>
            </w:pPr>
          </w:p>
        </w:tc>
        <w:tc>
          <w:tcPr>
            <w:tcW w:w="755" w:type="dxa"/>
            <w:vAlign w:val="center"/>
          </w:tcPr>
          <w:p>
            <w:pPr>
              <w:rPr>
                <w:rFonts w:hAnsi="宋体"/>
                <w:sz w:val="24"/>
              </w:rPr>
            </w:pPr>
          </w:p>
        </w:tc>
        <w:tc>
          <w:tcPr>
            <w:tcW w:w="860" w:type="dxa"/>
            <w:vAlign w:val="center"/>
          </w:tcPr>
          <w:p>
            <w:pPr>
              <w:rPr>
                <w:rFonts w:hAnsi="宋体"/>
                <w:sz w:val="24"/>
              </w:rPr>
            </w:pPr>
          </w:p>
        </w:tc>
        <w:tc>
          <w:tcPr>
            <w:tcW w:w="1306" w:type="dxa"/>
            <w:vAlign w:val="center"/>
          </w:tcPr>
          <w:p>
            <w:pPr>
              <w:rPr>
                <w:rFonts w:hAnsi="宋体"/>
                <w:sz w:val="24"/>
              </w:rPr>
            </w:pPr>
          </w:p>
        </w:tc>
        <w:tc>
          <w:tcPr>
            <w:tcW w:w="1134" w:type="dxa"/>
          </w:tcPr>
          <w:p>
            <w:pPr>
              <w:rPr>
                <w:rFonts w:hAnsi="宋体"/>
                <w:sz w:val="24"/>
              </w:rPr>
            </w:pPr>
          </w:p>
        </w:tc>
        <w:tc>
          <w:tcPr>
            <w:tcW w:w="1795" w:type="dxa"/>
            <w:vAlign w:val="center"/>
          </w:tcPr>
          <w:p>
            <w:pPr>
              <w:rPr>
                <w:rFonts w:hAnsi="宋体"/>
                <w:sz w:val="24"/>
              </w:rPr>
            </w:pPr>
          </w:p>
        </w:tc>
        <w:tc>
          <w:tcPr>
            <w:tcW w:w="1828" w:type="dxa"/>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56" w:type="dxa"/>
            <w:vAlign w:val="center"/>
          </w:tcPr>
          <w:p>
            <w:pPr>
              <w:rPr>
                <w:rFonts w:hAnsi="宋体"/>
                <w:sz w:val="24"/>
              </w:rPr>
            </w:pPr>
          </w:p>
        </w:tc>
        <w:tc>
          <w:tcPr>
            <w:tcW w:w="755" w:type="dxa"/>
            <w:vAlign w:val="center"/>
          </w:tcPr>
          <w:p>
            <w:pPr>
              <w:rPr>
                <w:rFonts w:hAnsi="宋体"/>
                <w:sz w:val="24"/>
              </w:rPr>
            </w:pPr>
          </w:p>
        </w:tc>
        <w:tc>
          <w:tcPr>
            <w:tcW w:w="860" w:type="dxa"/>
            <w:vAlign w:val="center"/>
          </w:tcPr>
          <w:p>
            <w:pPr>
              <w:rPr>
                <w:rFonts w:hAnsi="宋体"/>
                <w:sz w:val="24"/>
              </w:rPr>
            </w:pPr>
          </w:p>
        </w:tc>
        <w:tc>
          <w:tcPr>
            <w:tcW w:w="1306" w:type="dxa"/>
            <w:vAlign w:val="center"/>
          </w:tcPr>
          <w:p>
            <w:pPr>
              <w:rPr>
                <w:rFonts w:hAnsi="宋体"/>
                <w:sz w:val="24"/>
              </w:rPr>
            </w:pPr>
          </w:p>
        </w:tc>
        <w:tc>
          <w:tcPr>
            <w:tcW w:w="1134" w:type="dxa"/>
          </w:tcPr>
          <w:p>
            <w:pPr>
              <w:rPr>
                <w:rFonts w:hAnsi="宋体"/>
                <w:sz w:val="24"/>
              </w:rPr>
            </w:pPr>
          </w:p>
        </w:tc>
        <w:tc>
          <w:tcPr>
            <w:tcW w:w="1795" w:type="dxa"/>
            <w:vAlign w:val="center"/>
          </w:tcPr>
          <w:p>
            <w:pPr>
              <w:rPr>
                <w:rFonts w:hAnsi="宋体"/>
                <w:sz w:val="24"/>
              </w:rPr>
            </w:pPr>
          </w:p>
        </w:tc>
        <w:tc>
          <w:tcPr>
            <w:tcW w:w="1828" w:type="dxa"/>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56" w:type="dxa"/>
            <w:vAlign w:val="center"/>
          </w:tcPr>
          <w:p>
            <w:pPr>
              <w:rPr>
                <w:rFonts w:hAnsi="宋体"/>
                <w:sz w:val="24"/>
              </w:rPr>
            </w:pPr>
          </w:p>
        </w:tc>
        <w:tc>
          <w:tcPr>
            <w:tcW w:w="755" w:type="dxa"/>
            <w:vAlign w:val="center"/>
          </w:tcPr>
          <w:p>
            <w:pPr>
              <w:rPr>
                <w:rFonts w:hAnsi="宋体"/>
                <w:sz w:val="24"/>
              </w:rPr>
            </w:pPr>
          </w:p>
        </w:tc>
        <w:tc>
          <w:tcPr>
            <w:tcW w:w="860" w:type="dxa"/>
            <w:vAlign w:val="center"/>
          </w:tcPr>
          <w:p>
            <w:pPr>
              <w:rPr>
                <w:rFonts w:hAnsi="宋体"/>
                <w:sz w:val="24"/>
              </w:rPr>
            </w:pPr>
          </w:p>
        </w:tc>
        <w:tc>
          <w:tcPr>
            <w:tcW w:w="1306" w:type="dxa"/>
            <w:vAlign w:val="center"/>
          </w:tcPr>
          <w:p>
            <w:pPr>
              <w:rPr>
                <w:rFonts w:hAnsi="宋体"/>
                <w:sz w:val="24"/>
              </w:rPr>
            </w:pPr>
          </w:p>
        </w:tc>
        <w:tc>
          <w:tcPr>
            <w:tcW w:w="1134" w:type="dxa"/>
          </w:tcPr>
          <w:p>
            <w:pPr>
              <w:rPr>
                <w:rFonts w:hAnsi="宋体"/>
                <w:sz w:val="24"/>
              </w:rPr>
            </w:pPr>
          </w:p>
        </w:tc>
        <w:tc>
          <w:tcPr>
            <w:tcW w:w="1795" w:type="dxa"/>
            <w:vAlign w:val="center"/>
          </w:tcPr>
          <w:p>
            <w:pPr>
              <w:rPr>
                <w:rFonts w:hAnsi="宋体"/>
                <w:sz w:val="24"/>
              </w:rPr>
            </w:pPr>
          </w:p>
        </w:tc>
        <w:tc>
          <w:tcPr>
            <w:tcW w:w="1828" w:type="dxa"/>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56" w:type="dxa"/>
            <w:vAlign w:val="center"/>
          </w:tcPr>
          <w:p>
            <w:pPr>
              <w:rPr>
                <w:rFonts w:hAnsi="宋体"/>
                <w:sz w:val="24"/>
              </w:rPr>
            </w:pPr>
          </w:p>
        </w:tc>
        <w:tc>
          <w:tcPr>
            <w:tcW w:w="755" w:type="dxa"/>
            <w:vAlign w:val="center"/>
          </w:tcPr>
          <w:p>
            <w:pPr>
              <w:rPr>
                <w:rFonts w:hAnsi="宋体"/>
                <w:sz w:val="24"/>
              </w:rPr>
            </w:pPr>
          </w:p>
        </w:tc>
        <w:tc>
          <w:tcPr>
            <w:tcW w:w="860" w:type="dxa"/>
            <w:vAlign w:val="center"/>
          </w:tcPr>
          <w:p>
            <w:pPr>
              <w:rPr>
                <w:rFonts w:hAnsi="宋体"/>
                <w:sz w:val="24"/>
              </w:rPr>
            </w:pPr>
          </w:p>
        </w:tc>
        <w:tc>
          <w:tcPr>
            <w:tcW w:w="1306" w:type="dxa"/>
            <w:vAlign w:val="center"/>
          </w:tcPr>
          <w:p>
            <w:pPr>
              <w:rPr>
                <w:rFonts w:hAnsi="宋体"/>
                <w:sz w:val="24"/>
              </w:rPr>
            </w:pPr>
          </w:p>
        </w:tc>
        <w:tc>
          <w:tcPr>
            <w:tcW w:w="1134" w:type="dxa"/>
          </w:tcPr>
          <w:p>
            <w:pPr>
              <w:rPr>
                <w:rFonts w:hAnsi="宋体"/>
                <w:sz w:val="24"/>
              </w:rPr>
            </w:pPr>
          </w:p>
        </w:tc>
        <w:tc>
          <w:tcPr>
            <w:tcW w:w="1795" w:type="dxa"/>
            <w:vAlign w:val="center"/>
          </w:tcPr>
          <w:p>
            <w:pPr>
              <w:rPr>
                <w:rFonts w:hAnsi="宋体"/>
                <w:sz w:val="24"/>
              </w:rPr>
            </w:pPr>
          </w:p>
        </w:tc>
        <w:tc>
          <w:tcPr>
            <w:tcW w:w="1828" w:type="dxa"/>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56" w:type="dxa"/>
            <w:vAlign w:val="center"/>
          </w:tcPr>
          <w:p>
            <w:pPr>
              <w:rPr>
                <w:rFonts w:hAnsi="宋体"/>
                <w:sz w:val="24"/>
              </w:rPr>
            </w:pPr>
          </w:p>
        </w:tc>
        <w:tc>
          <w:tcPr>
            <w:tcW w:w="755" w:type="dxa"/>
            <w:vAlign w:val="center"/>
          </w:tcPr>
          <w:p>
            <w:pPr>
              <w:rPr>
                <w:rFonts w:hAnsi="宋体"/>
                <w:sz w:val="24"/>
              </w:rPr>
            </w:pPr>
          </w:p>
        </w:tc>
        <w:tc>
          <w:tcPr>
            <w:tcW w:w="860" w:type="dxa"/>
            <w:vAlign w:val="center"/>
          </w:tcPr>
          <w:p>
            <w:pPr>
              <w:rPr>
                <w:rFonts w:hAnsi="宋体"/>
                <w:sz w:val="24"/>
              </w:rPr>
            </w:pPr>
          </w:p>
        </w:tc>
        <w:tc>
          <w:tcPr>
            <w:tcW w:w="1306" w:type="dxa"/>
            <w:vAlign w:val="center"/>
          </w:tcPr>
          <w:p>
            <w:pPr>
              <w:rPr>
                <w:rFonts w:hAnsi="宋体"/>
                <w:sz w:val="24"/>
              </w:rPr>
            </w:pPr>
          </w:p>
        </w:tc>
        <w:tc>
          <w:tcPr>
            <w:tcW w:w="1134" w:type="dxa"/>
          </w:tcPr>
          <w:p>
            <w:pPr>
              <w:rPr>
                <w:rFonts w:hAnsi="宋体"/>
                <w:sz w:val="24"/>
              </w:rPr>
            </w:pPr>
          </w:p>
        </w:tc>
        <w:tc>
          <w:tcPr>
            <w:tcW w:w="1795" w:type="dxa"/>
            <w:vAlign w:val="center"/>
          </w:tcPr>
          <w:p>
            <w:pPr>
              <w:rPr>
                <w:rFonts w:hAnsi="宋体"/>
                <w:sz w:val="24"/>
              </w:rPr>
            </w:pPr>
          </w:p>
        </w:tc>
        <w:tc>
          <w:tcPr>
            <w:tcW w:w="1828" w:type="dxa"/>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56" w:type="dxa"/>
            <w:vAlign w:val="center"/>
          </w:tcPr>
          <w:p>
            <w:pPr>
              <w:rPr>
                <w:rFonts w:hAnsi="宋体"/>
                <w:sz w:val="24"/>
              </w:rPr>
            </w:pPr>
          </w:p>
        </w:tc>
        <w:tc>
          <w:tcPr>
            <w:tcW w:w="755" w:type="dxa"/>
            <w:vAlign w:val="center"/>
          </w:tcPr>
          <w:p>
            <w:pPr>
              <w:rPr>
                <w:rFonts w:hAnsi="宋体"/>
                <w:sz w:val="24"/>
              </w:rPr>
            </w:pPr>
          </w:p>
        </w:tc>
        <w:tc>
          <w:tcPr>
            <w:tcW w:w="860" w:type="dxa"/>
            <w:vAlign w:val="center"/>
          </w:tcPr>
          <w:p>
            <w:pPr>
              <w:rPr>
                <w:rFonts w:hAnsi="宋体"/>
                <w:sz w:val="24"/>
              </w:rPr>
            </w:pPr>
          </w:p>
        </w:tc>
        <w:tc>
          <w:tcPr>
            <w:tcW w:w="1306" w:type="dxa"/>
            <w:vAlign w:val="center"/>
          </w:tcPr>
          <w:p>
            <w:pPr>
              <w:rPr>
                <w:rFonts w:hAnsi="宋体"/>
                <w:sz w:val="24"/>
              </w:rPr>
            </w:pPr>
          </w:p>
        </w:tc>
        <w:tc>
          <w:tcPr>
            <w:tcW w:w="1134" w:type="dxa"/>
          </w:tcPr>
          <w:p>
            <w:pPr>
              <w:rPr>
                <w:rFonts w:hAnsi="宋体"/>
                <w:sz w:val="24"/>
              </w:rPr>
            </w:pPr>
          </w:p>
        </w:tc>
        <w:tc>
          <w:tcPr>
            <w:tcW w:w="1795" w:type="dxa"/>
            <w:vAlign w:val="center"/>
          </w:tcPr>
          <w:p>
            <w:pPr>
              <w:rPr>
                <w:rFonts w:hAnsi="宋体"/>
                <w:sz w:val="24"/>
              </w:rPr>
            </w:pPr>
          </w:p>
        </w:tc>
        <w:tc>
          <w:tcPr>
            <w:tcW w:w="1828" w:type="dxa"/>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56" w:type="dxa"/>
            <w:vAlign w:val="center"/>
          </w:tcPr>
          <w:p>
            <w:pPr>
              <w:rPr>
                <w:rFonts w:hAnsi="宋体"/>
                <w:sz w:val="24"/>
              </w:rPr>
            </w:pPr>
          </w:p>
        </w:tc>
        <w:tc>
          <w:tcPr>
            <w:tcW w:w="755" w:type="dxa"/>
            <w:vAlign w:val="center"/>
          </w:tcPr>
          <w:p>
            <w:pPr>
              <w:rPr>
                <w:rFonts w:hAnsi="宋体"/>
                <w:sz w:val="24"/>
              </w:rPr>
            </w:pPr>
          </w:p>
        </w:tc>
        <w:tc>
          <w:tcPr>
            <w:tcW w:w="860" w:type="dxa"/>
            <w:vAlign w:val="center"/>
          </w:tcPr>
          <w:p>
            <w:pPr>
              <w:rPr>
                <w:rFonts w:hAnsi="宋体"/>
                <w:sz w:val="24"/>
              </w:rPr>
            </w:pPr>
          </w:p>
        </w:tc>
        <w:tc>
          <w:tcPr>
            <w:tcW w:w="1306" w:type="dxa"/>
            <w:vAlign w:val="center"/>
          </w:tcPr>
          <w:p>
            <w:pPr>
              <w:rPr>
                <w:rFonts w:hAnsi="宋体"/>
                <w:sz w:val="24"/>
              </w:rPr>
            </w:pPr>
          </w:p>
        </w:tc>
        <w:tc>
          <w:tcPr>
            <w:tcW w:w="1134" w:type="dxa"/>
          </w:tcPr>
          <w:p>
            <w:pPr>
              <w:rPr>
                <w:rFonts w:hAnsi="宋体"/>
                <w:sz w:val="24"/>
              </w:rPr>
            </w:pPr>
          </w:p>
        </w:tc>
        <w:tc>
          <w:tcPr>
            <w:tcW w:w="1795" w:type="dxa"/>
            <w:vAlign w:val="center"/>
          </w:tcPr>
          <w:p>
            <w:pPr>
              <w:rPr>
                <w:rFonts w:hAnsi="宋体"/>
                <w:sz w:val="24"/>
              </w:rPr>
            </w:pPr>
          </w:p>
        </w:tc>
        <w:tc>
          <w:tcPr>
            <w:tcW w:w="1828" w:type="dxa"/>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56" w:type="dxa"/>
            <w:vAlign w:val="center"/>
          </w:tcPr>
          <w:p>
            <w:pPr>
              <w:rPr>
                <w:rFonts w:hAnsi="宋体"/>
                <w:sz w:val="24"/>
              </w:rPr>
            </w:pPr>
          </w:p>
        </w:tc>
        <w:tc>
          <w:tcPr>
            <w:tcW w:w="755" w:type="dxa"/>
            <w:vAlign w:val="center"/>
          </w:tcPr>
          <w:p>
            <w:pPr>
              <w:rPr>
                <w:rFonts w:hAnsi="宋体"/>
                <w:sz w:val="24"/>
              </w:rPr>
            </w:pPr>
          </w:p>
        </w:tc>
        <w:tc>
          <w:tcPr>
            <w:tcW w:w="860" w:type="dxa"/>
            <w:vAlign w:val="center"/>
          </w:tcPr>
          <w:p>
            <w:pPr>
              <w:rPr>
                <w:rFonts w:hAnsi="宋体"/>
                <w:sz w:val="24"/>
              </w:rPr>
            </w:pPr>
          </w:p>
        </w:tc>
        <w:tc>
          <w:tcPr>
            <w:tcW w:w="1306" w:type="dxa"/>
            <w:vAlign w:val="center"/>
          </w:tcPr>
          <w:p>
            <w:pPr>
              <w:rPr>
                <w:rFonts w:hAnsi="宋体"/>
                <w:sz w:val="24"/>
              </w:rPr>
            </w:pPr>
          </w:p>
        </w:tc>
        <w:tc>
          <w:tcPr>
            <w:tcW w:w="1134" w:type="dxa"/>
          </w:tcPr>
          <w:p>
            <w:pPr>
              <w:rPr>
                <w:rFonts w:hAnsi="宋体"/>
                <w:sz w:val="24"/>
              </w:rPr>
            </w:pPr>
          </w:p>
        </w:tc>
        <w:tc>
          <w:tcPr>
            <w:tcW w:w="1795" w:type="dxa"/>
            <w:vAlign w:val="center"/>
          </w:tcPr>
          <w:p>
            <w:pPr>
              <w:rPr>
                <w:rFonts w:hAnsi="宋体"/>
                <w:sz w:val="24"/>
              </w:rPr>
            </w:pPr>
          </w:p>
        </w:tc>
        <w:tc>
          <w:tcPr>
            <w:tcW w:w="1828" w:type="dxa"/>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56" w:type="dxa"/>
            <w:vAlign w:val="center"/>
          </w:tcPr>
          <w:p>
            <w:pPr>
              <w:rPr>
                <w:rFonts w:hAnsi="宋体"/>
                <w:sz w:val="24"/>
              </w:rPr>
            </w:pPr>
          </w:p>
        </w:tc>
        <w:tc>
          <w:tcPr>
            <w:tcW w:w="755" w:type="dxa"/>
            <w:vAlign w:val="center"/>
          </w:tcPr>
          <w:p>
            <w:pPr>
              <w:rPr>
                <w:rFonts w:hAnsi="宋体"/>
                <w:sz w:val="24"/>
              </w:rPr>
            </w:pPr>
          </w:p>
        </w:tc>
        <w:tc>
          <w:tcPr>
            <w:tcW w:w="860" w:type="dxa"/>
            <w:vAlign w:val="center"/>
          </w:tcPr>
          <w:p>
            <w:pPr>
              <w:rPr>
                <w:rFonts w:hAnsi="宋体"/>
                <w:sz w:val="24"/>
              </w:rPr>
            </w:pPr>
          </w:p>
        </w:tc>
        <w:tc>
          <w:tcPr>
            <w:tcW w:w="1306" w:type="dxa"/>
            <w:vAlign w:val="center"/>
          </w:tcPr>
          <w:p>
            <w:pPr>
              <w:rPr>
                <w:rFonts w:hAnsi="宋体"/>
                <w:sz w:val="24"/>
              </w:rPr>
            </w:pPr>
          </w:p>
        </w:tc>
        <w:tc>
          <w:tcPr>
            <w:tcW w:w="1134" w:type="dxa"/>
          </w:tcPr>
          <w:p>
            <w:pPr>
              <w:rPr>
                <w:rFonts w:hAnsi="宋体"/>
                <w:sz w:val="24"/>
              </w:rPr>
            </w:pPr>
          </w:p>
        </w:tc>
        <w:tc>
          <w:tcPr>
            <w:tcW w:w="1795" w:type="dxa"/>
            <w:vAlign w:val="center"/>
          </w:tcPr>
          <w:p>
            <w:pPr>
              <w:rPr>
                <w:rFonts w:hAnsi="宋体"/>
                <w:sz w:val="24"/>
              </w:rPr>
            </w:pPr>
          </w:p>
        </w:tc>
        <w:tc>
          <w:tcPr>
            <w:tcW w:w="1828" w:type="dxa"/>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56" w:type="dxa"/>
            <w:vAlign w:val="center"/>
          </w:tcPr>
          <w:p>
            <w:pPr>
              <w:rPr>
                <w:rFonts w:hAnsi="宋体"/>
                <w:sz w:val="24"/>
              </w:rPr>
            </w:pPr>
          </w:p>
        </w:tc>
        <w:tc>
          <w:tcPr>
            <w:tcW w:w="755" w:type="dxa"/>
            <w:vAlign w:val="center"/>
          </w:tcPr>
          <w:p>
            <w:pPr>
              <w:rPr>
                <w:rFonts w:hAnsi="宋体"/>
                <w:sz w:val="24"/>
              </w:rPr>
            </w:pPr>
          </w:p>
        </w:tc>
        <w:tc>
          <w:tcPr>
            <w:tcW w:w="860" w:type="dxa"/>
            <w:vAlign w:val="center"/>
          </w:tcPr>
          <w:p>
            <w:pPr>
              <w:rPr>
                <w:rFonts w:hAnsi="宋体"/>
                <w:sz w:val="24"/>
              </w:rPr>
            </w:pPr>
          </w:p>
        </w:tc>
        <w:tc>
          <w:tcPr>
            <w:tcW w:w="1306" w:type="dxa"/>
            <w:vAlign w:val="center"/>
          </w:tcPr>
          <w:p>
            <w:pPr>
              <w:rPr>
                <w:rFonts w:hAnsi="宋体"/>
                <w:sz w:val="24"/>
              </w:rPr>
            </w:pPr>
          </w:p>
        </w:tc>
        <w:tc>
          <w:tcPr>
            <w:tcW w:w="1134" w:type="dxa"/>
          </w:tcPr>
          <w:p>
            <w:pPr>
              <w:rPr>
                <w:rFonts w:hAnsi="宋体"/>
                <w:sz w:val="24"/>
              </w:rPr>
            </w:pPr>
          </w:p>
        </w:tc>
        <w:tc>
          <w:tcPr>
            <w:tcW w:w="1795" w:type="dxa"/>
            <w:vAlign w:val="center"/>
          </w:tcPr>
          <w:p>
            <w:pPr>
              <w:rPr>
                <w:rFonts w:hAnsi="宋体"/>
                <w:sz w:val="24"/>
              </w:rPr>
            </w:pPr>
          </w:p>
        </w:tc>
        <w:tc>
          <w:tcPr>
            <w:tcW w:w="1828" w:type="dxa"/>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56" w:type="dxa"/>
            <w:vAlign w:val="center"/>
          </w:tcPr>
          <w:p>
            <w:pPr>
              <w:rPr>
                <w:rFonts w:hAnsi="宋体"/>
                <w:sz w:val="24"/>
              </w:rPr>
            </w:pPr>
          </w:p>
        </w:tc>
        <w:tc>
          <w:tcPr>
            <w:tcW w:w="755" w:type="dxa"/>
            <w:vAlign w:val="center"/>
          </w:tcPr>
          <w:p>
            <w:pPr>
              <w:rPr>
                <w:rFonts w:hAnsi="宋体"/>
                <w:sz w:val="24"/>
              </w:rPr>
            </w:pPr>
          </w:p>
        </w:tc>
        <w:tc>
          <w:tcPr>
            <w:tcW w:w="860" w:type="dxa"/>
            <w:vAlign w:val="center"/>
          </w:tcPr>
          <w:p>
            <w:pPr>
              <w:rPr>
                <w:rFonts w:hAnsi="宋体"/>
                <w:sz w:val="24"/>
              </w:rPr>
            </w:pPr>
          </w:p>
        </w:tc>
        <w:tc>
          <w:tcPr>
            <w:tcW w:w="1306" w:type="dxa"/>
            <w:vAlign w:val="center"/>
          </w:tcPr>
          <w:p>
            <w:pPr>
              <w:rPr>
                <w:rFonts w:hAnsi="宋体"/>
                <w:sz w:val="24"/>
              </w:rPr>
            </w:pPr>
          </w:p>
        </w:tc>
        <w:tc>
          <w:tcPr>
            <w:tcW w:w="1134" w:type="dxa"/>
          </w:tcPr>
          <w:p>
            <w:pPr>
              <w:rPr>
                <w:rFonts w:hAnsi="宋体"/>
                <w:sz w:val="24"/>
              </w:rPr>
            </w:pPr>
          </w:p>
        </w:tc>
        <w:tc>
          <w:tcPr>
            <w:tcW w:w="1795" w:type="dxa"/>
            <w:vAlign w:val="center"/>
          </w:tcPr>
          <w:p>
            <w:pPr>
              <w:rPr>
                <w:rFonts w:hAnsi="宋体"/>
                <w:sz w:val="24"/>
              </w:rPr>
            </w:pPr>
          </w:p>
        </w:tc>
        <w:tc>
          <w:tcPr>
            <w:tcW w:w="1828" w:type="dxa"/>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56" w:type="dxa"/>
            <w:vAlign w:val="center"/>
          </w:tcPr>
          <w:p>
            <w:pPr>
              <w:rPr>
                <w:rFonts w:hAnsi="宋体"/>
                <w:sz w:val="24"/>
              </w:rPr>
            </w:pPr>
          </w:p>
        </w:tc>
        <w:tc>
          <w:tcPr>
            <w:tcW w:w="755" w:type="dxa"/>
            <w:vAlign w:val="center"/>
          </w:tcPr>
          <w:p>
            <w:pPr>
              <w:rPr>
                <w:rFonts w:hAnsi="宋体"/>
                <w:sz w:val="24"/>
              </w:rPr>
            </w:pPr>
          </w:p>
        </w:tc>
        <w:tc>
          <w:tcPr>
            <w:tcW w:w="860" w:type="dxa"/>
            <w:vAlign w:val="center"/>
          </w:tcPr>
          <w:p>
            <w:pPr>
              <w:rPr>
                <w:rFonts w:hAnsi="宋体"/>
                <w:sz w:val="24"/>
              </w:rPr>
            </w:pPr>
          </w:p>
        </w:tc>
        <w:tc>
          <w:tcPr>
            <w:tcW w:w="1306" w:type="dxa"/>
            <w:vAlign w:val="center"/>
          </w:tcPr>
          <w:p>
            <w:pPr>
              <w:rPr>
                <w:rFonts w:hAnsi="宋体"/>
                <w:sz w:val="24"/>
              </w:rPr>
            </w:pPr>
          </w:p>
        </w:tc>
        <w:tc>
          <w:tcPr>
            <w:tcW w:w="1134" w:type="dxa"/>
          </w:tcPr>
          <w:p>
            <w:pPr>
              <w:rPr>
                <w:rFonts w:hAnsi="宋体"/>
                <w:sz w:val="24"/>
              </w:rPr>
            </w:pPr>
          </w:p>
        </w:tc>
        <w:tc>
          <w:tcPr>
            <w:tcW w:w="1795" w:type="dxa"/>
            <w:vAlign w:val="center"/>
          </w:tcPr>
          <w:p>
            <w:pPr>
              <w:rPr>
                <w:rFonts w:hAnsi="宋体"/>
                <w:sz w:val="24"/>
              </w:rPr>
            </w:pPr>
          </w:p>
        </w:tc>
        <w:tc>
          <w:tcPr>
            <w:tcW w:w="1828" w:type="dxa"/>
            <w:vAlign w:val="center"/>
          </w:tcPr>
          <w:p>
            <w:pPr>
              <w:rPr>
                <w:rFonts w:hAnsi="宋体"/>
                <w:sz w:val="24"/>
              </w:rPr>
            </w:pPr>
          </w:p>
        </w:tc>
      </w:tr>
    </w:tbl>
    <w:p>
      <w:pPr>
        <w:pStyle w:val="4"/>
      </w:pPr>
    </w:p>
    <w:p>
      <w:pPr>
        <w:pStyle w:val="4"/>
      </w:pPr>
    </w:p>
    <w:p>
      <w:pPr>
        <w:snapToGrid w:val="0"/>
        <w:spacing w:before="84" w:beforeLines="35"/>
        <w:ind w:left="409" w:hanging="409" w:hangingChars="195"/>
        <w:jc w:val="left"/>
        <w:rPr>
          <w:rFonts w:hAnsi="宋体"/>
          <w:szCs w:val="21"/>
          <w:u w:color="C00000"/>
        </w:rPr>
      </w:pPr>
      <w:r>
        <w:rPr>
          <w:rFonts w:hint="eastAsia" w:hAnsi="宋体"/>
          <w:szCs w:val="21"/>
          <w:u w:color="C00000"/>
        </w:rPr>
        <w:t>注：此表中的人员应包括项目负责人、技术负责人、工程技术和管理人员、安全员、质检员、资料员、施工员、</w:t>
      </w:r>
      <w:r>
        <w:rPr>
          <w:rFonts w:hint="eastAsia" w:hAnsi="宋体"/>
          <w:u w:color="C00000"/>
        </w:rPr>
        <w:t>高级绿化工</w:t>
      </w:r>
      <w:r>
        <w:rPr>
          <w:rFonts w:hint="eastAsia" w:hAnsi="宋体"/>
          <w:szCs w:val="21"/>
          <w:u w:color="C00000"/>
        </w:rPr>
        <w:t>等。</w:t>
      </w:r>
    </w:p>
    <w:p>
      <w:pPr>
        <w:pStyle w:val="6"/>
        <w:rPr>
          <w:rStyle w:val="106"/>
          <w:b w:val="0"/>
          <w:bCs/>
          <w:strike/>
          <w:sz w:val="28"/>
          <w:szCs w:val="28"/>
        </w:rPr>
      </w:pPr>
      <w:r>
        <w:rPr>
          <w:sz w:val="24"/>
        </w:rPr>
        <w:br w:type="page"/>
      </w:r>
      <w:bookmarkStart w:id="1541" w:name="_Toc410849491"/>
      <w:bookmarkStart w:id="1542" w:name="_Toc455409885"/>
      <w:bookmarkStart w:id="1543" w:name="_Toc470011361"/>
      <w:r>
        <w:rPr>
          <w:rStyle w:val="106"/>
          <w:rFonts w:hint="eastAsia" w:hAnsi="宋体"/>
          <w:b w:val="0"/>
          <w:bCs/>
          <w:sz w:val="28"/>
          <w:szCs w:val="28"/>
        </w:rPr>
        <w:t>表</w:t>
      </w:r>
      <w:r>
        <w:rPr>
          <w:rStyle w:val="106"/>
          <w:rFonts w:hAnsi="宋体"/>
          <w:b w:val="0"/>
          <w:bCs/>
          <w:sz w:val="28"/>
          <w:szCs w:val="28"/>
        </w:rPr>
        <w:t>7.</w:t>
      </w:r>
      <w:r>
        <w:rPr>
          <w:rStyle w:val="106"/>
          <w:b w:val="0"/>
          <w:bCs/>
          <w:sz w:val="28"/>
          <w:szCs w:val="28"/>
        </w:rPr>
        <w:t>4</w:t>
      </w:r>
      <w:r>
        <w:rPr>
          <w:rStyle w:val="106"/>
          <w:b w:val="0"/>
          <w:bCs/>
          <w:sz w:val="28"/>
          <w:szCs w:val="28"/>
        </w:rPr>
        <w:tab/>
      </w:r>
      <w:r>
        <w:rPr>
          <w:rStyle w:val="106"/>
          <w:b w:val="0"/>
          <w:bCs/>
          <w:sz w:val="28"/>
          <w:szCs w:val="28"/>
        </w:rPr>
        <w:t>--</w:t>
      </w:r>
      <w:r>
        <w:rPr>
          <w:rStyle w:val="106"/>
          <w:rFonts w:hint="eastAsia" w:hAnsi="宋体"/>
          <w:b w:val="0"/>
          <w:bCs/>
          <w:sz w:val="28"/>
          <w:szCs w:val="28"/>
        </w:rPr>
        <w:t>拟派项目负责人资历表</w:t>
      </w:r>
      <w:bookmarkEnd w:id="1541"/>
      <w:bookmarkEnd w:id="1542"/>
      <w:bookmarkEnd w:id="1543"/>
    </w:p>
    <w:p/>
    <w:tbl>
      <w:tblPr>
        <w:tblStyle w:val="49"/>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1371"/>
        <w:gridCol w:w="368"/>
        <w:gridCol w:w="897"/>
        <w:gridCol w:w="678"/>
        <w:gridCol w:w="1078"/>
        <w:gridCol w:w="324"/>
        <w:gridCol w:w="1417"/>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834" w:type="dxa"/>
            <w:gridSpan w:val="9"/>
            <w:tcBorders>
              <w:top w:val="single" w:color="auto" w:sz="12" w:space="0"/>
              <w:left w:val="single" w:color="auto" w:sz="12" w:space="0"/>
              <w:right w:val="single" w:color="auto" w:sz="12" w:space="0"/>
            </w:tcBorders>
            <w:vAlign w:val="center"/>
          </w:tcPr>
          <w:p>
            <w:pPr>
              <w:adjustRightInd w:val="0"/>
              <w:snapToGrid w:val="0"/>
              <w:rPr>
                <w:szCs w:val="21"/>
              </w:rPr>
            </w:pPr>
            <w:r>
              <w:rPr>
                <w:szCs w:val="21"/>
              </w:rPr>
              <w:t xml:space="preserve">1. </w:t>
            </w:r>
            <w:r>
              <w:rPr>
                <w:rFonts w:hint="eastAsia"/>
                <w:szCs w:val="21"/>
              </w:rPr>
              <w:t>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21" w:type="dxa"/>
            <w:tcBorders>
              <w:left w:val="single" w:color="auto" w:sz="12" w:space="0"/>
            </w:tcBorders>
            <w:vAlign w:val="center"/>
          </w:tcPr>
          <w:p>
            <w:pPr>
              <w:adjustRightInd w:val="0"/>
              <w:snapToGrid w:val="0"/>
              <w:rPr>
                <w:szCs w:val="21"/>
              </w:rPr>
            </w:pPr>
            <w:r>
              <w:rPr>
                <w:rFonts w:hint="eastAsia"/>
                <w:szCs w:val="21"/>
              </w:rPr>
              <w:t>姓名</w:t>
            </w:r>
          </w:p>
        </w:tc>
        <w:tc>
          <w:tcPr>
            <w:tcW w:w="1371" w:type="dxa"/>
            <w:vAlign w:val="center"/>
          </w:tcPr>
          <w:p>
            <w:pPr>
              <w:adjustRightInd w:val="0"/>
              <w:snapToGrid w:val="0"/>
              <w:rPr>
                <w:szCs w:val="21"/>
              </w:rPr>
            </w:pPr>
          </w:p>
        </w:tc>
        <w:tc>
          <w:tcPr>
            <w:tcW w:w="1265" w:type="dxa"/>
            <w:gridSpan w:val="2"/>
            <w:vAlign w:val="center"/>
          </w:tcPr>
          <w:p>
            <w:pPr>
              <w:adjustRightInd w:val="0"/>
              <w:snapToGrid w:val="0"/>
              <w:rPr>
                <w:szCs w:val="21"/>
              </w:rPr>
            </w:pPr>
            <w:r>
              <w:rPr>
                <w:rFonts w:hint="eastAsia"/>
                <w:szCs w:val="21"/>
              </w:rPr>
              <w:t>年龄</w:t>
            </w:r>
          </w:p>
        </w:tc>
        <w:tc>
          <w:tcPr>
            <w:tcW w:w="678" w:type="dxa"/>
            <w:vAlign w:val="center"/>
          </w:tcPr>
          <w:p>
            <w:pPr>
              <w:adjustRightInd w:val="0"/>
              <w:snapToGrid w:val="0"/>
              <w:rPr>
                <w:szCs w:val="21"/>
              </w:rPr>
            </w:pPr>
          </w:p>
        </w:tc>
        <w:tc>
          <w:tcPr>
            <w:tcW w:w="1078" w:type="dxa"/>
            <w:vAlign w:val="center"/>
          </w:tcPr>
          <w:p>
            <w:pPr>
              <w:adjustRightInd w:val="0"/>
              <w:snapToGrid w:val="0"/>
              <w:rPr>
                <w:szCs w:val="21"/>
              </w:rPr>
            </w:pPr>
            <w:r>
              <w:rPr>
                <w:rFonts w:hint="eastAsia"/>
                <w:szCs w:val="21"/>
              </w:rPr>
              <w:t>身份证号</w:t>
            </w:r>
          </w:p>
        </w:tc>
        <w:tc>
          <w:tcPr>
            <w:tcW w:w="3521" w:type="dxa"/>
            <w:gridSpan w:val="3"/>
            <w:tcBorders>
              <w:right w:val="single" w:color="auto" w:sz="12" w:space="0"/>
            </w:tcBorders>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21" w:type="dxa"/>
            <w:tcBorders>
              <w:left w:val="single" w:color="auto" w:sz="12" w:space="0"/>
            </w:tcBorders>
            <w:vAlign w:val="center"/>
          </w:tcPr>
          <w:p>
            <w:pPr>
              <w:adjustRightInd w:val="0"/>
              <w:snapToGrid w:val="0"/>
              <w:rPr>
                <w:szCs w:val="21"/>
              </w:rPr>
            </w:pPr>
            <w:r>
              <w:rPr>
                <w:rFonts w:hint="eastAsia"/>
                <w:szCs w:val="21"/>
              </w:rPr>
              <w:t>技术职称级别</w:t>
            </w:r>
          </w:p>
        </w:tc>
        <w:tc>
          <w:tcPr>
            <w:tcW w:w="1371" w:type="dxa"/>
            <w:vAlign w:val="center"/>
          </w:tcPr>
          <w:p>
            <w:pPr>
              <w:adjustRightInd w:val="0"/>
              <w:snapToGrid w:val="0"/>
              <w:rPr>
                <w:szCs w:val="21"/>
              </w:rPr>
            </w:pPr>
          </w:p>
        </w:tc>
        <w:tc>
          <w:tcPr>
            <w:tcW w:w="1265" w:type="dxa"/>
            <w:gridSpan w:val="2"/>
            <w:vAlign w:val="center"/>
          </w:tcPr>
          <w:p>
            <w:pPr>
              <w:adjustRightInd w:val="0"/>
              <w:snapToGrid w:val="0"/>
              <w:rPr>
                <w:szCs w:val="21"/>
              </w:rPr>
            </w:pPr>
            <w:r>
              <w:rPr>
                <w:rFonts w:hint="eastAsia"/>
                <w:szCs w:val="21"/>
              </w:rPr>
              <w:t>职称专业</w:t>
            </w:r>
          </w:p>
        </w:tc>
        <w:tc>
          <w:tcPr>
            <w:tcW w:w="678" w:type="dxa"/>
            <w:vAlign w:val="center"/>
          </w:tcPr>
          <w:p>
            <w:pPr>
              <w:adjustRightInd w:val="0"/>
              <w:snapToGrid w:val="0"/>
              <w:rPr>
                <w:szCs w:val="21"/>
              </w:rPr>
            </w:pPr>
          </w:p>
        </w:tc>
        <w:tc>
          <w:tcPr>
            <w:tcW w:w="1078" w:type="dxa"/>
            <w:vAlign w:val="center"/>
          </w:tcPr>
          <w:p>
            <w:pPr>
              <w:adjustRightInd w:val="0"/>
              <w:snapToGrid w:val="0"/>
              <w:jc w:val="center"/>
              <w:rPr>
                <w:strike/>
                <w:szCs w:val="21"/>
              </w:rPr>
            </w:pPr>
            <w:r>
              <w:rPr>
                <w:rFonts w:hint="eastAsia"/>
                <w:szCs w:val="21"/>
              </w:rPr>
              <w:t>专业工作时间</w:t>
            </w:r>
          </w:p>
        </w:tc>
        <w:tc>
          <w:tcPr>
            <w:tcW w:w="3521" w:type="dxa"/>
            <w:gridSpan w:val="3"/>
            <w:tcBorders>
              <w:right w:val="single" w:color="auto" w:sz="12" w:space="0"/>
            </w:tcBorders>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21" w:type="dxa"/>
            <w:tcBorders>
              <w:left w:val="single" w:color="auto" w:sz="12" w:space="0"/>
            </w:tcBorders>
            <w:vAlign w:val="center"/>
          </w:tcPr>
          <w:p>
            <w:pPr>
              <w:adjustRightInd w:val="0"/>
              <w:snapToGrid w:val="0"/>
              <w:rPr>
                <w:szCs w:val="21"/>
              </w:rPr>
            </w:pPr>
            <w:r>
              <w:rPr>
                <w:rFonts w:hint="eastAsia"/>
                <w:szCs w:val="21"/>
              </w:rPr>
              <w:t>学历</w:t>
            </w:r>
          </w:p>
        </w:tc>
        <w:tc>
          <w:tcPr>
            <w:tcW w:w="7913" w:type="dxa"/>
            <w:gridSpan w:val="8"/>
            <w:tcBorders>
              <w:right w:val="single" w:color="auto" w:sz="12" w:space="0"/>
            </w:tcBorders>
            <w:vAlign w:val="center"/>
          </w:tcPr>
          <w:p>
            <w:pPr>
              <w:adjustRightInd w:val="0"/>
              <w:snapToGrid w:val="0"/>
              <w:jc w:val="left"/>
              <w:rPr>
                <w:szCs w:val="21"/>
              </w:rPr>
            </w:pPr>
            <w:r>
              <w:rPr>
                <w:rFonts w:hint="eastAsia"/>
                <w:szCs w:val="21"/>
              </w:rPr>
              <w:t>学历</w:t>
            </w:r>
            <w:r>
              <w:rPr>
                <w:szCs w:val="21"/>
                <w:u w:val="single"/>
              </w:rPr>
              <w:t xml:space="preserve">          </w:t>
            </w:r>
            <w:r>
              <w:rPr>
                <w:szCs w:val="21"/>
              </w:rPr>
              <w:t xml:space="preserve">   </w:t>
            </w:r>
            <w:r>
              <w:rPr>
                <w:rFonts w:hint="eastAsia"/>
                <w:szCs w:val="21"/>
              </w:rPr>
              <w:t>学历专业</w:t>
            </w:r>
            <w:r>
              <w:rPr>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834" w:type="dxa"/>
            <w:gridSpan w:val="9"/>
            <w:tcBorders>
              <w:left w:val="single" w:color="auto" w:sz="12" w:space="0"/>
              <w:right w:val="single" w:color="auto" w:sz="12" w:space="0"/>
            </w:tcBorders>
            <w:vAlign w:val="center"/>
          </w:tcPr>
          <w:p>
            <w:pPr>
              <w:adjustRightInd w:val="0"/>
              <w:snapToGrid w:val="0"/>
              <w:rPr>
                <w:szCs w:val="21"/>
              </w:rPr>
            </w:pPr>
            <w:r>
              <w:rPr>
                <w:szCs w:val="21"/>
              </w:rPr>
              <w:t xml:space="preserve">2. </w:t>
            </w:r>
            <w:r>
              <w:rPr>
                <w:rFonts w:hint="eastAsia"/>
                <w:szCs w:val="21"/>
              </w:rPr>
              <w:t>相关工作经历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921" w:type="dxa"/>
            <w:tcBorders>
              <w:left w:val="single" w:color="auto" w:sz="12" w:space="0"/>
            </w:tcBorders>
            <w:vAlign w:val="center"/>
          </w:tcPr>
          <w:p>
            <w:pPr>
              <w:adjustRightInd w:val="0"/>
              <w:snapToGrid w:val="0"/>
              <w:jc w:val="center"/>
              <w:rPr>
                <w:szCs w:val="21"/>
              </w:rPr>
            </w:pPr>
            <w:r>
              <w:rPr>
                <w:rFonts w:hint="eastAsia"/>
                <w:szCs w:val="21"/>
              </w:rPr>
              <w:t>开竣工时间</w:t>
            </w:r>
          </w:p>
        </w:tc>
        <w:tc>
          <w:tcPr>
            <w:tcW w:w="1739" w:type="dxa"/>
            <w:gridSpan w:val="2"/>
            <w:vAlign w:val="center"/>
          </w:tcPr>
          <w:p>
            <w:pPr>
              <w:adjustRightInd w:val="0"/>
              <w:snapToGrid w:val="0"/>
              <w:rPr>
                <w:szCs w:val="21"/>
              </w:rPr>
            </w:pPr>
            <w:r>
              <w:rPr>
                <w:rFonts w:hint="eastAsia"/>
                <w:szCs w:val="21"/>
              </w:rPr>
              <w:t>项目名称</w:t>
            </w:r>
          </w:p>
        </w:tc>
        <w:tc>
          <w:tcPr>
            <w:tcW w:w="1575" w:type="dxa"/>
            <w:gridSpan w:val="2"/>
            <w:vAlign w:val="center"/>
          </w:tcPr>
          <w:p>
            <w:pPr>
              <w:adjustRightInd w:val="0"/>
              <w:snapToGrid w:val="0"/>
              <w:jc w:val="center"/>
              <w:rPr>
                <w:szCs w:val="21"/>
              </w:rPr>
            </w:pPr>
            <w:r>
              <w:rPr>
                <w:rFonts w:hint="eastAsia"/>
                <w:szCs w:val="21"/>
              </w:rPr>
              <w:t>项目建设规模</w:t>
            </w:r>
            <w:r>
              <w:rPr>
                <w:szCs w:val="21"/>
              </w:rPr>
              <w:t>(</w:t>
            </w:r>
            <w:r>
              <w:rPr>
                <w:rFonts w:hint="eastAsia"/>
                <w:szCs w:val="21"/>
              </w:rPr>
              <w:t>平方米</w:t>
            </w:r>
            <w:r>
              <w:rPr>
                <w:szCs w:val="21"/>
              </w:rPr>
              <w:t>)</w:t>
            </w:r>
          </w:p>
        </w:tc>
        <w:tc>
          <w:tcPr>
            <w:tcW w:w="1402" w:type="dxa"/>
            <w:gridSpan w:val="2"/>
            <w:tcBorders>
              <w:right w:val="single" w:color="auto" w:sz="12" w:space="0"/>
            </w:tcBorders>
            <w:vAlign w:val="center"/>
          </w:tcPr>
          <w:p>
            <w:pPr>
              <w:adjustRightInd w:val="0"/>
              <w:snapToGrid w:val="0"/>
              <w:rPr>
                <w:b/>
                <w:szCs w:val="21"/>
              </w:rPr>
            </w:pPr>
            <w:r>
              <w:rPr>
                <w:rFonts w:hint="eastAsia"/>
                <w:szCs w:val="21"/>
              </w:rPr>
              <w:t>项目类型</w:t>
            </w:r>
          </w:p>
        </w:tc>
        <w:tc>
          <w:tcPr>
            <w:tcW w:w="1417" w:type="dxa"/>
            <w:tcBorders>
              <w:right w:val="single" w:color="auto" w:sz="12" w:space="0"/>
            </w:tcBorders>
            <w:vAlign w:val="center"/>
          </w:tcPr>
          <w:p>
            <w:pPr>
              <w:adjustRightInd w:val="0"/>
              <w:snapToGrid w:val="0"/>
              <w:jc w:val="center"/>
              <w:rPr>
                <w:szCs w:val="21"/>
              </w:rPr>
            </w:pPr>
            <w:r>
              <w:rPr>
                <w:rFonts w:hint="eastAsia"/>
                <w:szCs w:val="21"/>
              </w:rPr>
              <w:t>竣工合同价</w:t>
            </w:r>
            <w:r>
              <w:rPr>
                <w:szCs w:val="21"/>
              </w:rPr>
              <w:t>(</w:t>
            </w:r>
            <w:r>
              <w:rPr>
                <w:rFonts w:hint="eastAsia"/>
                <w:szCs w:val="21"/>
              </w:rPr>
              <w:t>元</w:t>
            </w:r>
            <w:r>
              <w:rPr>
                <w:szCs w:val="21"/>
              </w:rPr>
              <w:t>)</w:t>
            </w:r>
          </w:p>
        </w:tc>
        <w:tc>
          <w:tcPr>
            <w:tcW w:w="1780" w:type="dxa"/>
            <w:tcBorders>
              <w:right w:val="single" w:color="auto" w:sz="12" w:space="0"/>
            </w:tcBorders>
            <w:vAlign w:val="center"/>
          </w:tcPr>
          <w:p>
            <w:pPr>
              <w:adjustRightInd w:val="0"/>
              <w:snapToGrid w:val="0"/>
              <w:rPr>
                <w:szCs w:val="21"/>
              </w:rPr>
            </w:pPr>
            <w:r>
              <w:rPr>
                <w:rFonts w:hint="eastAsia"/>
                <w:szCs w:val="21"/>
              </w:rPr>
              <w:t>该项目中的任职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21" w:type="dxa"/>
            <w:tcBorders>
              <w:left w:val="single" w:color="auto" w:sz="12" w:space="0"/>
            </w:tcBorders>
          </w:tcPr>
          <w:p>
            <w:pPr>
              <w:adjustRightInd w:val="0"/>
              <w:snapToGrid w:val="0"/>
              <w:rPr>
                <w:szCs w:val="21"/>
              </w:rPr>
            </w:pPr>
          </w:p>
        </w:tc>
        <w:tc>
          <w:tcPr>
            <w:tcW w:w="1739" w:type="dxa"/>
            <w:gridSpan w:val="2"/>
          </w:tcPr>
          <w:p>
            <w:pPr>
              <w:adjustRightInd w:val="0"/>
              <w:snapToGrid w:val="0"/>
              <w:rPr>
                <w:szCs w:val="21"/>
              </w:rPr>
            </w:pPr>
          </w:p>
        </w:tc>
        <w:tc>
          <w:tcPr>
            <w:tcW w:w="1575" w:type="dxa"/>
            <w:gridSpan w:val="2"/>
          </w:tcPr>
          <w:p>
            <w:pPr>
              <w:adjustRightInd w:val="0"/>
              <w:snapToGrid w:val="0"/>
              <w:rPr>
                <w:szCs w:val="21"/>
              </w:rPr>
            </w:pPr>
          </w:p>
        </w:tc>
        <w:tc>
          <w:tcPr>
            <w:tcW w:w="1402" w:type="dxa"/>
            <w:gridSpan w:val="2"/>
            <w:tcBorders>
              <w:right w:val="single" w:color="auto" w:sz="12" w:space="0"/>
            </w:tcBorders>
          </w:tcPr>
          <w:p>
            <w:pPr>
              <w:adjustRightInd w:val="0"/>
              <w:snapToGrid w:val="0"/>
              <w:rPr>
                <w:szCs w:val="21"/>
              </w:rPr>
            </w:pPr>
          </w:p>
        </w:tc>
        <w:tc>
          <w:tcPr>
            <w:tcW w:w="1417" w:type="dxa"/>
            <w:tcBorders>
              <w:right w:val="single" w:color="auto" w:sz="12" w:space="0"/>
            </w:tcBorders>
          </w:tcPr>
          <w:p>
            <w:pPr>
              <w:adjustRightInd w:val="0"/>
              <w:snapToGrid w:val="0"/>
              <w:rPr>
                <w:szCs w:val="21"/>
              </w:rPr>
            </w:pPr>
          </w:p>
        </w:tc>
        <w:tc>
          <w:tcPr>
            <w:tcW w:w="1780" w:type="dxa"/>
            <w:tcBorders>
              <w:right w:val="single" w:color="auto" w:sz="12" w:space="0"/>
            </w:tcBorders>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21" w:type="dxa"/>
            <w:tcBorders>
              <w:left w:val="single" w:color="auto" w:sz="12" w:space="0"/>
            </w:tcBorders>
          </w:tcPr>
          <w:p>
            <w:pPr>
              <w:adjustRightInd w:val="0"/>
              <w:snapToGrid w:val="0"/>
              <w:rPr>
                <w:szCs w:val="21"/>
              </w:rPr>
            </w:pPr>
          </w:p>
        </w:tc>
        <w:tc>
          <w:tcPr>
            <w:tcW w:w="1739" w:type="dxa"/>
            <w:gridSpan w:val="2"/>
          </w:tcPr>
          <w:p>
            <w:pPr>
              <w:adjustRightInd w:val="0"/>
              <w:snapToGrid w:val="0"/>
              <w:rPr>
                <w:szCs w:val="21"/>
              </w:rPr>
            </w:pPr>
          </w:p>
        </w:tc>
        <w:tc>
          <w:tcPr>
            <w:tcW w:w="1575" w:type="dxa"/>
            <w:gridSpan w:val="2"/>
          </w:tcPr>
          <w:p>
            <w:pPr>
              <w:adjustRightInd w:val="0"/>
              <w:snapToGrid w:val="0"/>
              <w:rPr>
                <w:szCs w:val="21"/>
              </w:rPr>
            </w:pPr>
          </w:p>
        </w:tc>
        <w:tc>
          <w:tcPr>
            <w:tcW w:w="1402" w:type="dxa"/>
            <w:gridSpan w:val="2"/>
            <w:tcBorders>
              <w:right w:val="single" w:color="auto" w:sz="12" w:space="0"/>
            </w:tcBorders>
          </w:tcPr>
          <w:p>
            <w:pPr>
              <w:adjustRightInd w:val="0"/>
              <w:snapToGrid w:val="0"/>
              <w:rPr>
                <w:szCs w:val="21"/>
              </w:rPr>
            </w:pPr>
          </w:p>
        </w:tc>
        <w:tc>
          <w:tcPr>
            <w:tcW w:w="1417" w:type="dxa"/>
            <w:tcBorders>
              <w:right w:val="single" w:color="auto" w:sz="12" w:space="0"/>
            </w:tcBorders>
          </w:tcPr>
          <w:p>
            <w:pPr>
              <w:adjustRightInd w:val="0"/>
              <w:snapToGrid w:val="0"/>
              <w:rPr>
                <w:szCs w:val="21"/>
              </w:rPr>
            </w:pPr>
          </w:p>
        </w:tc>
        <w:tc>
          <w:tcPr>
            <w:tcW w:w="1780" w:type="dxa"/>
            <w:tcBorders>
              <w:right w:val="single" w:color="auto" w:sz="12" w:space="0"/>
            </w:tcBorders>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21" w:type="dxa"/>
            <w:tcBorders>
              <w:left w:val="single" w:color="auto" w:sz="12" w:space="0"/>
            </w:tcBorders>
          </w:tcPr>
          <w:p>
            <w:pPr>
              <w:adjustRightInd w:val="0"/>
              <w:snapToGrid w:val="0"/>
              <w:rPr>
                <w:szCs w:val="21"/>
              </w:rPr>
            </w:pPr>
          </w:p>
        </w:tc>
        <w:tc>
          <w:tcPr>
            <w:tcW w:w="1739" w:type="dxa"/>
            <w:gridSpan w:val="2"/>
          </w:tcPr>
          <w:p>
            <w:pPr>
              <w:adjustRightInd w:val="0"/>
              <w:snapToGrid w:val="0"/>
              <w:rPr>
                <w:szCs w:val="21"/>
              </w:rPr>
            </w:pPr>
          </w:p>
        </w:tc>
        <w:tc>
          <w:tcPr>
            <w:tcW w:w="1575" w:type="dxa"/>
            <w:gridSpan w:val="2"/>
          </w:tcPr>
          <w:p>
            <w:pPr>
              <w:adjustRightInd w:val="0"/>
              <w:snapToGrid w:val="0"/>
              <w:rPr>
                <w:szCs w:val="21"/>
              </w:rPr>
            </w:pPr>
          </w:p>
        </w:tc>
        <w:tc>
          <w:tcPr>
            <w:tcW w:w="1402" w:type="dxa"/>
            <w:gridSpan w:val="2"/>
            <w:tcBorders>
              <w:right w:val="single" w:color="auto" w:sz="12" w:space="0"/>
            </w:tcBorders>
          </w:tcPr>
          <w:p>
            <w:pPr>
              <w:adjustRightInd w:val="0"/>
              <w:snapToGrid w:val="0"/>
              <w:rPr>
                <w:szCs w:val="21"/>
              </w:rPr>
            </w:pPr>
          </w:p>
        </w:tc>
        <w:tc>
          <w:tcPr>
            <w:tcW w:w="1417" w:type="dxa"/>
            <w:tcBorders>
              <w:right w:val="single" w:color="auto" w:sz="12" w:space="0"/>
            </w:tcBorders>
          </w:tcPr>
          <w:p>
            <w:pPr>
              <w:adjustRightInd w:val="0"/>
              <w:snapToGrid w:val="0"/>
              <w:rPr>
                <w:szCs w:val="21"/>
              </w:rPr>
            </w:pPr>
          </w:p>
        </w:tc>
        <w:tc>
          <w:tcPr>
            <w:tcW w:w="1780" w:type="dxa"/>
            <w:tcBorders>
              <w:right w:val="single" w:color="auto" w:sz="12" w:space="0"/>
            </w:tcBorders>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21" w:type="dxa"/>
            <w:tcBorders>
              <w:left w:val="single" w:color="auto" w:sz="12" w:space="0"/>
            </w:tcBorders>
          </w:tcPr>
          <w:p>
            <w:pPr>
              <w:adjustRightInd w:val="0"/>
              <w:snapToGrid w:val="0"/>
              <w:rPr>
                <w:szCs w:val="21"/>
              </w:rPr>
            </w:pPr>
          </w:p>
        </w:tc>
        <w:tc>
          <w:tcPr>
            <w:tcW w:w="1739" w:type="dxa"/>
            <w:gridSpan w:val="2"/>
          </w:tcPr>
          <w:p>
            <w:pPr>
              <w:adjustRightInd w:val="0"/>
              <w:snapToGrid w:val="0"/>
              <w:rPr>
                <w:szCs w:val="21"/>
              </w:rPr>
            </w:pPr>
          </w:p>
        </w:tc>
        <w:tc>
          <w:tcPr>
            <w:tcW w:w="1575" w:type="dxa"/>
            <w:gridSpan w:val="2"/>
          </w:tcPr>
          <w:p>
            <w:pPr>
              <w:adjustRightInd w:val="0"/>
              <w:snapToGrid w:val="0"/>
              <w:rPr>
                <w:szCs w:val="21"/>
              </w:rPr>
            </w:pPr>
          </w:p>
        </w:tc>
        <w:tc>
          <w:tcPr>
            <w:tcW w:w="1402" w:type="dxa"/>
            <w:gridSpan w:val="2"/>
            <w:tcBorders>
              <w:right w:val="single" w:color="auto" w:sz="12" w:space="0"/>
            </w:tcBorders>
          </w:tcPr>
          <w:p>
            <w:pPr>
              <w:adjustRightInd w:val="0"/>
              <w:snapToGrid w:val="0"/>
              <w:rPr>
                <w:szCs w:val="21"/>
              </w:rPr>
            </w:pPr>
          </w:p>
        </w:tc>
        <w:tc>
          <w:tcPr>
            <w:tcW w:w="1417" w:type="dxa"/>
            <w:tcBorders>
              <w:right w:val="single" w:color="auto" w:sz="12" w:space="0"/>
            </w:tcBorders>
          </w:tcPr>
          <w:p>
            <w:pPr>
              <w:adjustRightInd w:val="0"/>
              <w:snapToGrid w:val="0"/>
              <w:rPr>
                <w:szCs w:val="21"/>
              </w:rPr>
            </w:pPr>
          </w:p>
        </w:tc>
        <w:tc>
          <w:tcPr>
            <w:tcW w:w="1780" w:type="dxa"/>
            <w:tcBorders>
              <w:right w:val="single" w:color="auto" w:sz="12" w:space="0"/>
            </w:tcBorders>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21" w:type="dxa"/>
            <w:tcBorders>
              <w:left w:val="single" w:color="auto" w:sz="12" w:space="0"/>
            </w:tcBorders>
          </w:tcPr>
          <w:p>
            <w:pPr>
              <w:adjustRightInd w:val="0"/>
              <w:snapToGrid w:val="0"/>
              <w:rPr>
                <w:szCs w:val="21"/>
              </w:rPr>
            </w:pPr>
          </w:p>
          <w:p>
            <w:pPr>
              <w:adjustRightInd w:val="0"/>
              <w:snapToGrid w:val="0"/>
              <w:rPr>
                <w:szCs w:val="21"/>
              </w:rPr>
            </w:pPr>
          </w:p>
          <w:p>
            <w:pPr>
              <w:adjustRightInd w:val="0"/>
              <w:snapToGrid w:val="0"/>
              <w:rPr>
                <w:szCs w:val="21"/>
              </w:rPr>
            </w:pPr>
          </w:p>
        </w:tc>
        <w:tc>
          <w:tcPr>
            <w:tcW w:w="1739" w:type="dxa"/>
            <w:gridSpan w:val="2"/>
          </w:tcPr>
          <w:p>
            <w:pPr>
              <w:adjustRightInd w:val="0"/>
              <w:snapToGrid w:val="0"/>
              <w:rPr>
                <w:szCs w:val="21"/>
              </w:rPr>
            </w:pPr>
          </w:p>
        </w:tc>
        <w:tc>
          <w:tcPr>
            <w:tcW w:w="1575" w:type="dxa"/>
            <w:gridSpan w:val="2"/>
          </w:tcPr>
          <w:p>
            <w:pPr>
              <w:adjustRightInd w:val="0"/>
              <w:snapToGrid w:val="0"/>
              <w:rPr>
                <w:szCs w:val="21"/>
              </w:rPr>
            </w:pPr>
          </w:p>
        </w:tc>
        <w:tc>
          <w:tcPr>
            <w:tcW w:w="1402" w:type="dxa"/>
            <w:gridSpan w:val="2"/>
            <w:tcBorders>
              <w:right w:val="single" w:color="auto" w:sz="12" w:space="0"/>
            </w:tcBorders>
          </w:tcPr>
          <w:p>
            <w:pPr>
              <w:adjustRightInd w:val="0"/>
              <w:snapToGrid w:val="0"/>
              <w:rPr>
                <w:szCs w:val="21"/>
              </w:rPr>
            </w:pPr>
          </w:p>
        </w:tc>
        <w:tc>
          <w:tcPr>
            <w:tcW w:w="1417" w:type="dxa"/>
            <w:tcBorders>
              <w:right w:val="single" w:color="auto" w:sz="12" w:space="0"/>
            </w:tcBorders>
          </w:tcPr>
          <w:p>
            <w:pPr>
              <w:adjustRightInd w:val="0"/>
              <w:snapToGrid w:val="0"/>
              <w:rPr>
                <w:szCs w:val="21"/>
              </w:rPr>
            </w:pPr>
          </w:p>
        </w:tc>
        <w:tc>
          <w:tcPr>
            <w:tcW w:w="1780" w:type="dxa"/>
            <w:tcBorders>
              <w:right w:val="single" w:color="auto" w:sz="12" w:space="0"/>
            </w:tcBorders>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21" w:type="dxa"/>
            <w:tcBorders>
              <w:left w:val="single" w:color="auto" w:sz="12" w:space="0"/>
            </w:tcBorders>
          </w:tcPr>
          <w:p>
            <w:pPr>
              <w:adjustRightInd w:val="0"/>
              <w:snapToGrid w:val="0"/>
              <w:rPr>
                <w:szCs w:val="21"/>
              </w:rPr>
            </w:pPr>
          </w:p>
        </w:tc>
        <w:tc>
          <w:tcPr>
            <w:tcW w:w="1739" w:type="dxa"/>
            <w:gridSpan w:val="2"/>
          </w:tcPr>
          <w:p>
            <w:pPr>
              <w:adjustRightInd w:val="0"/>
              <w:snapToGrid w:val="0"/>
              <w:rPr>
                <w:szCs w:val="21"/>
              </w:rPr>
            </w:pPr>
          </w:p>
        </w:tc>
        <w:tc>
          <w:tcPr>
            <w:tcW w:w="1575" w:type="dxa"/>
            <w:gridSpan w:val="2"/>
          </w:tcPr>
          <w:p>
            <w:pPr>
              <w:adjustRightInd w:val="0"/>
              <w:snapToGrid w:val="0"/>
              <w:rPr>
                <w:szCs w:val="21"/>
              </w:rPr>
            </w:pPr>
          </w:p>
        </w:tc>
        <w:tc>
          <w:tcPr>
            <w:tcW w:w="1402" w:type="dxa"/>
            <w:gridSpan w:val="2"/>
            <w:tcBorders>
              <w:right w:val="single" w:color="auto" w:sz="12" w:space="0"/>
            </w:tcBorders>
          </w:tcPr>
          <w:p>
            <w:pPr>
              <w:adjustRightInd w:val="0"/>
              <w:snapToGrid w:val="0"/>
              <w:rPr>
                <w:szCs w:val="21"/>
              </w:rPr>
            </w:pPr>
          </w:p>
        </w:tc>
        <w:tc>
          <w:tcPr>
            <w:tcW w:w="1417" w:type="dxa"/>
            <w:tcBorders>
              <w:right w:val="single" w:color="auto" w:sz="12" w:space="0"/>
            </w:tcBorders>
          </w:tcPr>
          <w:p>
            <w:pPr>
              <w:adjustRightInd w:val="0"/>
              <w:snapToGrid w:val="0"/>
              <w:rPr>
                <w:szCs w:val="21"/>
              </w:rPr>
            </w:pPr>
          </w:p>
        </w:tc>
        <w:tc>
          <w:tcPr>
            <w:tcW w:w="1780" w:type="dxa"/>
            <w:tcBorders>
              <w:right w:val="single" w:color="auto" w:sz="12" w:space="0"/>
            </w:tcBorders>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21" w:type="dxa"/>
            <w:tcBorders>
              <w:left w:val="single" w:color="auto" w:sz="12" w:space="0"/>
            </w:tcBorders>
          </w:tcPr>
          <w:p>
            <w:pPr>
              <w:adjustRightInd w:val="0"/>
              <w:snapToGrid w:val="0"/>
              <w:rPr>
                <w:szCs w:val="21"/>
              </w:rPr>
            </w:pPr>
          </w:p>
        </w:tc>
        <w:tc>
          <w:tcPr>
            <w:tcW w:w="1739" w:type="dxa"/>
            <w:gridSpan w:val="2"/>
          </w:tcPr>
          <w:p>
            <w:pPr>
              <w:adjustRightInd w:val="0"/>
              <w:snapToGrid w:val="0"/>
              <w:rPr>
                <w:szCs w:val="21"/>
              </w:rPr>
            </w:pPr>
          </w:p>
        </w:tc>
        <w:tc>
          <w:tcPr>
            <w:tcW w:w="1575" w:type="dxa"/>
            <w:gridSpan w:val="2"/>
          </w:tcPr>
          <w:p>
            <w:pPr>
              <w:adjustRightInd w:val="0"/>
              <w:snapToGrid w:val="0"/>
              <w:rPr>
                <w:szCs w:val="21"/>
              </w:rPr>
            </w:pPr>
          </w:p>
        </w:tc>
        <w:tc>
          <w:tcPr>
            <w:tcW w:w="1402" w:type="dxa"/>
            <w:gridSpan w:val="2"/>
            <w:tcBorders>
              <w:right w:val="single" w:color="auto" w:sz="12" w:space="0"/>
            </w:tcBorders>
          </w:tcPr>
          <w:p>
            <w:pPr>
              <w:adjustRightInd w:val="0"/>
              <w:snapToGrid w:val="0"/>
              <w:rPr>
                <w:szCs w:val="21"/>
              </w:rPr>
            </w:pPr>
          </w:p>
        </w:tc>
        <w:tc>
          <w:tcPr>
            <w:tcW w:w="1417" w:type="dxa"/>
            <w:tcBorders>
              <w:right w:val="single" w:color="auto" w:sz="12" w:space="0"/>
            </w:tcBorders>
          </w:tcPr>
          <w:p>
            <w:pPr>
              <w:adjustRightInd w:val="0"/>
              <w:snapToGrid w:val="0"/>
              <w:rPr>
                <w:szCs w:val="21"/>
              </w:rPr>
            </w:pPr>
          </w:p>
        </w:tc>
        <w:tc>
          <w:tcPr>
            <w:tcW w:w="1780" w:type="dxa"/>
            <w:tcBorders>
              <w:right w:val="single" w:color="auto" w:sz="12" w:space="0"/>
            </w:tcBorders>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21" w:type="dxa"/>
            <w:tcBorders>
              <w:left w:val="single" w:color="auto" w:sz="12" w:space="0"/>
              <w:bottom w:val="single" w:color="auto" w:sz="12" w:space="0"/>
            </w:tcBorders>
          </w:tcPr>
          <w:p>
            <w:pPr>
              <w:adjustRightInd w:val="0"/>
              <w:snapToGrid w:val="0"/>
              <w:rPr>
                <w:szCs w:val="21"/>
              </w:rPr>
            </w:pPr>
          </w:p>
        </w:tc>
        <w:tc>
          <w:tcPr>
            <w:tcW w:w="1739" w:type="dxa"/>
            <w:gridSpan w:val="2"/>
            <w:tcBorders>
              <w:bottom w:val="single" w:color="auto" w:sz="12" w:space="0"/>
            </w:tcBorders>
          </w:tcPr>
          <w:p>
            <w:pPr>
              <w:adjustRightInd w:val="0"/>
              <w:snapToGrid w:val="0"/>
              <w:rPr>
                <w:szCs w:val="21"/>
              </w:rPr>
            </w:pPr>
          </w:p>
        </w:tc>
        <w:tc>
          <w:tcPr>
            <w:tcW w:w="1575" w:type="dxa"/>
            <w:gridSpan w:val="2"/>
            <w:tcBorders>
              <w:bottom w:val="single" w:color="auto" w:sz="12" w:space="0"/>
            </w:tcBorders>
          </w:tcPr>
          <w:p>
            <w:pPr>
              <w:adjustRightInd w:val="0"/>
              <w:snapToGrid w:val="0"/>
              <w:rPr>
                <w:szCs w:val="21"/>
              </w:rPr>
            </w:pPr>
          </w:p>
        </w:tc>
        <w:tc>
          <w:tcPr>
            <w:tcW w:w="1402" w:type="dxa"/>
            <w:gridSpan w:val="2"/>
            <w:tcBorders>
              <w:bottom w:val="single" w:color="auto" w:sz="12" w:space="0"/>
              <w:right w:val="single" w:color="auto" w:sz="12" w:space="0"/>
            </w:tcBorders>
          </w:tcPr>
          <w:p>
            <w:pPr>
              <w:adjustRightInd w:val="0"/>
              <w:snapToGrid w:val="0"/>
              <w:rPr>
                <w:szCs w:val="21"/>
              </w:rPr>
            </w:pPr>
          </w:p>
        </w:tc>
        <w:tc>
          <w:tcPr>
            <w:tcW w:w="1417" w:type="dxa"/>
            <w:tcBorders>
              <w:bottom w:val="single" w:color="auto" w:sz="12" w:space="0"/>
              <w:right w:val="single" w:color="auto" w:sz="12" w:space="0"/>
            </w:tcBorders>
          </w:tcPr>
          <w:p>
            <w:pPr>
              <w:adjustRightInd w:val="0"/>
              <w:snapToGrid w:val="0"/>
              <w:rPr>
                <w:szCs w:val="21"/>
              </w:rPr>
            </w:pPr>
          </w:p>
        </w:tc>
        <w:tc>
          <w:tcPr>
            <w:tcW w:w="1780" w:type="dxa"/>
            <w:tcBorders>
              <w:bottom w:val="single" w:color="auto" w:sz="12" w:space="0"/>
              <w:right w:val="single" w:color="auto" w:sz="12" w:space="0"/>
            </w:tcBorders>
          </w:tcPr>
          <w:p>
            <w:pPr>
              <w:adjustRightInd w:val="0"/>
              <w:snapToGrid w:val="0"/>
              <w:rPr>
                <w:szCs w:val="21"/>
              </w:rPr>
            </w:pPr>
          </w:p>
        </w:tc>
      </w:tr>
    </w:tbl>
    <w:p/>
    <w:p/>
    <w:p>
      <w:pPr>
        <w:tabs>
          <w:tab w:val="left" w:pos="472"/>
        </w:tabs>
        <w:ind w:left="456" w:hanging="456" w:hangingChars="190"/>
        <w:rPr>
          <w:rFonts w:hAnsi="宋体"/>
          <w:sz w:val="24"/>
        </w:rPr>
      </w:pPr>
    </w:p>
    <w:p>
      <w:pPr>
        <w:tabs>
          <w:tab w:val="left" w:pos="472"/>
        </w:tabs>
        <w:ind w:left="456" w:hanging="456" w:hangingChars="190"/>
        <w:rPr>
          <w:rFonts w:hAnsi="宋体"/>
          <w:sz w:val="24"/>
        </w:rPr>
      </w:pPr>
    </w:p>
    <w:p>
      <w:pPr>
        <w:tabs>
          <w:tab w:val="left" w:pos="472"/>
        </w:tabs>
        <w:ind w:left="456" w:hanging="456" w:hangingChars="190"/>
        <w:rPr>
          <w:rFonts w:hAnsi="宋体"/>
          <w:sz w:val="24"/>
        </w:rPr>
      </w:pPr>
    </w:p>
    <w:p>
      <w:pPr>
        <w:tabs>
          <w:tab w:val="left" w:pos="472"/>
        </w:tabs>
        <w:ind w:left="456" w:hanging="456" w:hangingChars="190"/>
        <w:rPr>
          <w:rFonts w:hAnsi="宋体"/>
          <w:sz w:val="24"/>
        </w:rPr>
      </w:pPr>
    </w:p>
    <w:p>
      <w:pPr>
        <w:tabs>
          <w:tab w:val="left" w:pos="472"/>
        </w:tabs>
        <w:rPr>
          <w:rFonts w:hAnsi="宋体"/>
          <w:sz w:val="24"/>
        </w:rPr>
      </w:pPr>
    </w:p>
    <w:p>
      <w:pPr>
        <w:tabs>
          <w:tab w:val="left" w:pos="472"/>
        </w:tabs>
        <w:rPr>
          <w:rFonts w:hAnsi="宋体"/>
          <w:sz w:val="24"/>
        </w:rPr>
      </w:pPr>
    </w:p>
    <w:p>
      <w:pPr>
        <w:tabs>
          <w:tab w:val="left" w:pos="472"/>
        </w:tabs>
        <w:rPr>
          <w:rFonts w:hAnsi="宋体"/>
          <w:sz w:val="24"/>
        </w:rPr>
      </w:pPr>
    </w:p>
    <w:p>
      <w:pPr>
        <w:jc w:val="left"/>
        <w:rPr>
          <w:rFonts w:eastAsia="黑体"/>
          <w:sz w:val="24"/>
        </w:rPr>
      </w:pPr>
      <w:bookmarkStart w:id="1544" w:name="_Toc470011362"/>
      <w:r>
        <w:rPr>
          <w:rStyle w:val="106"/>
          <w:rFonts w:hint="eastAsia"/>
          <w:bCs/>
          <w:sz w:val="28"/>
          <w:szCs w:val="28"/>
        </w:rPr>
        <w:t>表</w:t>
      </w:r>
      <w:r>
        <w:rPr>
          <w:rStyle w:val="106"/>
          <w:bCs/>
          <w:sz w:val="28"/>
          <w:szCs w:val="28"/>
        </w:rPr>
        <w:t>7--4</w:t>
      </w:r>
      <w:r>
        <w:rPr>
          <w:rFonts w:hint="eastAsia" w:eastAsia="黑体"/>
          <w:sz w:val="28"/>
          <w:szCs w:val="28"/>
        </w:rPr>
        <w:t>附件</w:t>
      </w:r>
      <w:r>
        <w:rPr>
          <w:rFonts w:eastAsia="黑体"/>
          <w:sz w:val="24"/>
        </w:rPr>
        <w:t xml:space="preserve"> </w:t>
      </w:r>
    </w:p>
    <w:p>
      <w:pPr>
        <w:rPr>
          <w:rFonts w:eastAsia="黑体"/>
          <w:sz w:val="28"/>
          <w:szCs w:val="28"/>
        </w:rPr>
      </w:pPr>
    </w:p>
    <w:p>
      <w:pPr>
        <w:rPr>
          <w:rFonts w:eastAsia="黑体"/>
          <w:sz w:val="30"/>
          <w:szCs w:val="30"/>
        </w:rPr>
      </w:pPr>
    </w:p>
    <w:p>
      <w:pPr>
        <w:jc w:val="center"/>
        <w:rPr>
          <w:rFonts w:eastAsia="黑体"/>
          <w:sz w:val="30"/>
          <w:szCs w:val="30"/>
        </w:rPr>
      </w:pPr>
      <w:r>
        <w:rPr>
          <w:rFonts w:hint="eastAsia" w:eastAsia="黑体"/>
          <w:sz w:val="30"/>
          <w:szCs w:val="30"/>
        </w:rPr>
        <w:t>承诺书</w:t>
      </w:r>
    </w:p>
    <w:p>
      <w:pPr>
        <w:rPr>
          <w:rFonts w:eastAsia="黑体"/>
          <w:sz w:val="32"/>
          <w:szCs w:val="32"/>
        </w:rPr>
      </w:pPr>
    </w:p>
    <w:p>
      <w:pPr>
        <w:snapToGrid w:val="0"/>
        <w:spacing w:line="440" w:lineRule="exact"/>
        <w:ind w:firstLine="480" w:firstLineChars="200"/>
        <w:jc w:val="left"/>
        <w:rPr>
          <w:sz w:val="24"/>
        </w:rPr>
      </w:pPr>
      <w:r>
        <w:rPr>
          <w:sz w:val="24"/>
          <w:u w:val="single"/>
        </w:rPr>
        <w:t xml:space="preserve">                     </w:t>
      </w:r>
      <w:r>
        <w:rPr>
          <w:rFonts w:hint="eastAsia"/>
          <w:sz w:val="24"/>
        </w:rPr>
        <w:t>（招标人名称）：</w:t>
      </w:r>
    </w:p>
    <w:p>
      <w:pPr>
        <w:snapToGrid w:val="0"/>
        <w:spacing w:line="440" w:lineRule="exact"/>
        <w:ind w:firstLine="480" w:firstLineChars="200"/>
        <w:jc w:val="left"/>
        <w:rPr>
          <w:sz w:val="24"/>
        </w:rPr>
      </w:pPr>
    </w:p>
    <w:p>
      <w:pPr>
        <w:snapToGrid w:val="0"/>
        <w:spacing w:line="440" w:lineRule="exact"/>
        <w:ind w:firstLine="480" w:firstLineChars="200"/>
        <w:jc w:val="left"/>
        <w:rPr>
          <w:sz w:val="24"/>
        </w:rPr>
      </w:pPr>
      <w:r>
        <w:rPr>
          <w:rFonts w:hint="eastAsia"/>
          <w:sz w:val="24"/>
        </w:rPr>
        <w:t>我方在此声明，我方拟派往</w:t>
      </w:r>
      <w:r>
        <w:rPr>
          <w:sz w:val="24"/>
          <w:u w:val="single"/>
        </w:rPr>
        <w:t xml:space="preserve">         </w:t>
      </w:r>
      <w:r>
        <w:rPr>
          <w:rFonts w:hint="eastAsia"/>
          <w:sz w:val="24"/>
        </w:rPr>
        <w:t>（项目名称）</w:t>
      </w:r>
      <w:r>
        <w:rPr>
          <w:sz w:val="24"/>
          <w:u w:val="single"/>
        </w:rPr>
        <w:t xml:space="preserve">      </w:t>
      </w:r>
      <w:r>
        <w:rPr>
          <w:rFonts w:hint="eastAsia"/>
          <w:sz w:val="24"/>
        </w:rPr>
        <w:t>标段（以下简称</w:t>
      </w:r>
      <w:r>
        <w:rPr>
          <w:sz w:val="24"/>
        </w:rPr>
        <w:t>“</w:t>
      </w:r>
      <w:r>
        <w:rPr>
          <w:rFonts w:hint="eastAsia"/>
          <w:sz w:val="24"/>
        </w:rPr>
        <w:t>本工程</w:t>
      </w:r>
      <w:r>
        <w:rPr>
          <w:sz w:val="24"/>
        </w:rPr>
        <w:t>”</w:t>
      </w:r>
      <w:r>
        <w:rPr>
          <w:rFonts w:hint="eastAsia"/>
          <w:sz w:val="24"/>
        </w:rPr>
        <w:t>）的项目负责人</w:t>
      </w:r>
      <w:r>
        <w:rPr>
          <w:sz w:val="24"/>
          <w:u w:val="single"/>
        </w:rPr>
        <w:t xml:space="preserve">          </w:t>
      </w:r>
      <w:r>
        <w:rPr>
          <w:rFonts w:hint="eastAsia"/>
          <w:sz w:val="24"/>
        </w:rPr>
        <w:t>（项目负责人姓名）现阶段没有担任任何在施建设工程项目的项目负责人。</w:t>
      </w:r>
    </w:p>
    <w:p>
      <w:pPr>
        <w:snapToGrid w:val="0"/>
        <w:spacing w:line="440" w:lineRule="exact"/>
        <w:ind w:firstLine="480" w:firstLineChars="200"/>
        <w:jc w:val="left"/>
        <w:rPr>
          <w:sz w:val="24"/>
        </w:rPr>
      </w:pPr>
      <w:r>
        <w:rPr>
          <w:rFonts w:hint="eastAsia"/>
          <w:sz w:val="24"/>
        </w:rPr>
        <w:t>我方保证上述信息的真实和准确，并愿意承担因我方就此弄虚作假所引起的一切法律后果。</w:t>
      </w:r>
    </w:p>
    <w:p>
      <w:pPr>
        <w:snapToGrid w:val="0"/>
        <w:spacing w:line="440" w:lineRule="exact"/>
        <w:ind w:firstLine="480" w:firstLineChars="200"/>
        <w:rPr>
          <w:sz w:val="24"/>
        </w:rPr>
      </w:pPr>
    </w:p>
    <w:p>
      <w:pPr>
        <w:snapToGrid w:val="0"/>
        <w:spacing w:line="440" w:lineRule="exact"/>
        <w:ind w:firstLine="480" w:firstLineChars="200"/>
        <w:jc w:val="left"/>
        <w:rPr>
          <w:sz w:val="24"/>
        </w:rPr>
      </w:pPr>
      <w:r>
        <w:rPr>
          <w:rFonts w:hint="eastAsia"/>
          <w:sz w:val="24"/>
        </w:rPr>
        <w:t>特此承诺</w:t>
      </w:r>
    </w:p>
    <w:p>
      <w:pPr>
        <w:snapToGrid w:val="0"/>
        <w:spacing w:line="440" w:lineRule="exact"/>
        <w:ind w:firstLine="480" w:firstLineChars="200"/>
        <w:rPr>
          <w:sz w:val="24"/>
        </w:rPr>
      </w:pPr>
    </w:p>
    <w:p>
      <w:pPr>
        <w:snapToGrid w:val="0"/>
        <w:spacing w:line="440" w:lineRule="exact"/>
        <w:ind w:firstLine="480" w:firstLineChars="200"/>
        <w:rPr>
          <w:sz w:val="24"/>
        </w:rPr>
      </w:pPr>
    </w:p>
    <w:p>
      <w:pPr>
        <w:snapToGrid w:val="0"/>
        <w:spacing w:line="440" w:lineRule="exact"/>
        <w:ind w:firstLine="480" w:firstLineChars="200"/>
        <w:rPr>
          <w:sz w:val="24"/>
        </w:rPr>
      </w:pPr>
    </w:p>
    <w:p>
      <w:pPr>
        <w:snapToGrid w:val="0"/>
        <w:spacing w:line="440" w:lineRule="exact"/>
        <w:ind w:firstLine="480" w:firstLineChars="200"/>
        <w:jc w:val="right"/>
        <w:rPr>
          <w:sz w:val="24"/>
        </w:rPr>
      </w:pPr>
      <w:r>
        <w:rPr>
          <w:rFonts w:hint="eastAsia"/>
          <w:sz w:val="24"/>
        </w:rPr>
        <w:t>投标人：</w:t>
      </w:r>
      <w:r>
        <w:rPr>
          <w:sz w:val="24"/>
          <w:u w:val="single"/>
        </w:rPr>
        <w:t xml:space="preserve">                      </w:t>
      </w:r>
      <w:r>
        <w:rPr>
          <w:rFonts w:hint="eastAsia"/>
          <w:sz w:val="24"/>
        </w:rPr>
        <w:t>（盖企业</w:t>
      </w:r>
      <w:r>
        <w:rPr>
          <w:sz w:val="24"/>
        </w:rPr>
        <w:t>CA</w:t>
      </w:r>
      <w:r>
        <w:rPr>
          <w:rFonts w:hint="eastAsia"/>
          <w:sz w:val="24"/>
        </w:rPr>
        <w:t>电子章）</w:t>
      </w:r>
    </w:p>
    <w:p>
      <w:pPr>
        <w:snapToGrid w:val="0"/>
        <w:spacing w:line="440" w:lineRule="exact"/>
        <w:ind w:firstLine="480" w:firstLineChars="200"/>
        <w:jc w:val="right"/>
        <w:rPr>
          <w:sz w:val="24"/>
        </w:rPr>
      </w:pPr>
      <w:r>
        <w:rPr>
          <w:rFonts w:hint="eastAsia"/>
          <w:sz w:val="24"/>
        </w:rPr>
        <w:t>法定代表人或其委托代理人：</w:t>
      </w:r>
      <w:r>
        <w:rPr>
          <w:sz w:val="24"/>
          <w:u w:val="single"/>
        </w:rPr>
        <w:t xml:space="preserve">        </w:t>
      </w:r>
      <w:r>
        <w:rPr>
          <w:rFonts w:hint="eastAsia"/>
          <w:sz w:val="24"/>
        </w:rPr>
        <w:t>（盖个人</w:t>
      </w:r>
      <w:r>
        <w:rPr>
          <w:sz w:val="24"/>
        </w:rPr>
        <w:t>CA</w:t>
      </w:r>
      <w:r>
        <w:rPr>
          <w:rFonts w:hint="eastAsia"/>
          <w:sz w:val="24"/>
        </w:rPr>
        <w:t>电子章）</w:t>
      </w:r>
    </w:p>
    <w:p>
      <w:pPr>
        <w:snapToGrid w:val="0"/>
        <w:spacing w:line="440" w:lineRule="exact"/>
        <w:ind w:firstLine="480" w:firstLineChars="200"/>
        <w:jc w:val="right"/>
        <w:rPr>
          <w:sz w:val="24"/>
        </w:rPr>
      </w:pPr>
    </w:p>
    <w:p>
      <w:pPr>
        <w:snapToGrid w:val="0"/>
        <w:spacing w:line="440" w:lineRule="exact"/>
        <w:ind w:firstLine="480" w:firstLineChars="200"/>
        <w:jc w:val="right"/>
        <w:rPr>
          <w:sz w:val="24"/>
        </w:rPr>
      </w:pP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pPr>
        <w:snapToGrid w:val="0"/>
        <w:spacing w:before="84" w:beforeLines="35" w:line="240" w:lineRule="exact"/>
        <w:ind w:left="468" w:hanging="468" w:hangingChars="195"/>
        <w:jc w:val="left"/>
        <w:rPr>
          <w:sz w:val="24"/>
        </w:rPr>
      </w:pPr>
    </w:p>
    <w:p>
      <w:pPr>
        <w:snapToGrid w:val="0"/>
        <w:spacing w:before="84" w:beforeLines="35" w:line="240" w:lineRule="exact"/>
        <w:ind w:left="468" w:hanging="468" w:hangingChars="195"/>
        <w:jc w:val="left"/>
        <w:rPr>
          <w:sz w:val="24"/>
        </w:rPr>
      </w:pPr>
    </w:p>
    <w:p>
      <w:pPr>
        <w:snapToGrid w:val="0"/>
        <w:spacing w:before="84" w:beforeLines="35" w:line="240" w:lineRule="exact"/>
        <w:ind w:left="468" w:hanging="468" w:hangingChars="195"/>
        <w:jc w:val="left"/>
        <w:rPr>
          <w:sz w:val="24"/>
        </w:rPr>
      </w:pPr>
    </w:p>
    <w:p>
      <w:pPr>
        <w:snapToGrid w:val="0"/>
        <w:spacing w:before="84" w:beforeLines="35" w:line="240" w:lineRule="exact"/>
        <w:ind w:left="468" w:hanging="468" w:hangingChars="195"/>
        <w:jc w:val="left"/>
        <w:rPr>
          <w:sz w:val="24"/>
        </w:rPr>
      </w:pPr>
    </w:p>
    <w:p>
      <w:pPr>
        <w:snapToGrid w:val="0"/>
        <w:spacing w:before="84" w:beforeLines="35" w:line="240" w:lineRule="exact"/>
        <w:ind w:left="468" w:hanging="468" w:hangingChars="195"/>
        <w:jc w:val="left"/>
        <w:rPr>
          <w:sz w:val="24"/>
        </w:rPr>
      </w:pPr>
    </w:p>
    <w:p>
      <w:pPr>
        <w:snapToGrid w:val="0"/>
        <w:spacing w:before="84" w:beforeLines="35" w:line="240" w:lineRule="exact"/>
        <w:ind w:left="468" w:hanging="468" w:hangingChars="195"/>
        <w:jc w:val="left"/>
        <w:rPr>
          <w:sz w:val="24"/>
        </w:rPr>
      </w:pPr>
    </w:p>
    <w:p>
      <w:pPr>
        <w:snapToGrid w:val="0"/>
        <w:spacing w:before="84" w:beforeLines="35" w:line="240" w:lineRule="exact"/>
        <w:ind w:left="468" w:hanging="468" w:hangingChars="195"/>
        <w:jc w:val="left"/>
        <w:rPr>
          <w:sz w:val="24"/>
        </w:rPr>
      </w:pPr>
    </w:p>
    <w:p>
      <w:pPr>
        <w:snapToGrid w:val="0"/>
        <w:spacing w:before="84" w:beforeLines="35" w:line="240" w:lineRule="exact"/>
        <w:ind w:left="468" w:hanging="468" w:hangingChars="195"/>
        <w:jc w:val="left"/>
        <w:rPr>
          <w:sz w:val="24"/>
        </w:rPr>
      </w:pPr>
    </w:p>
    <w:p>
      <w:pPr>
        <w:snapToGrid w:val="0"/>
        <w:spacing w:before="84" w:beforeLines="35" w:line="240" w:lineRule="exact"/>
        <w:ind w:left="468" w:hanging="468" w:hangingChars="195"/>
        <w:jc w:val="left"/>
        <w:rPr>
          <w:sz w:val="24"/>
        </w:rPr>
      </w:pPr>
    </w:p>
    <w:p>
      <w:pPr>
        <w:snapToGrid w:val="0"/>
        <w:spacing w:before="84" w:beforeLines="35" w:line="240" w:lineRule="exact"/>
        <w:ind w:left="468" w:hanging="468" w:hangingChars="195"/>
        <w:jc w:val="left"/>
        <w:rPr>
          <w:sz w:val="24"/>
        </w:rPr>
      </w:pPr>
    </w:p>
    <w:p>
      <w:pPr>
        <w:snapToGrid w:val="0"/>
        <w:spacing w:before="84" w:beforeLines="35" w:line="240" w:lineRule="exact"/>
        <w:ind w:left="468" w:hanging="468" w:hangingChars="195"/>
        <w:jc w:val="left"/>
        <w:rPr>
          <w:sz w:val="24"/>
        </w:rPr>
      </w:pPr>
    </w:p>
    <w:p>
      <w:pPr>
        <w:snapToGrid w:val="0"/>
        <w:spacing w:before="84" w:beforeLines="35" w:line="240" w:lineRule="exact"/>
        <w:ind w:left="468" w:hanging="468" w:hangingChars="195"/>
        <w:jc w:val="left"/>
        <w:rPr>
          <w:sz w:val="24"/>
        </w:rPr>
      </w:pPr>
    </w:p>
    <w:p>
      <w:pPr>
        <w:snapToGrid w:val="0"/>
        <w:spacing w:before="84" w:beforeLines="35" w:line="240" w:lineRule="exact"/>
        <w:ind w:left="468" w:hanging="468" w:hangingChars="195"/>
        <w:jc w:val="left"/>
        <w:rPr>
          <w:sz w:val="24"/>
        </w:rPr>
      </w:pPr>
    </w:p>
    <w:p>
      <w:pPr>
        <w:snapToGrid w:val="0"/>
        <w:spacing w:before="84" w:beforeLines="35" w:line="240" w:lineRule="exact"/>
        <w:ind w:left="468" w:hanging="468" w:hangingChars="195"/>
        <w:jc w:val="left"/>
        <w:rPr>
          <w:sz w:val="24"/>
        </w:rPr>
      </w:pPr>
    </w:p>
    <w:p>
      <w:pPr>
        <w:snapToGrid w:val="0"/>
        <w:spacing w:before="84" w:beforeLines="35" w:line="240" w:lineRule="exact"/>
        <w:ind w:left="468" w:hanging="468" w:hangingChars="195"/>
        <w:jc w:val="left"/>
        <w:rPr>
          <w:sz w:val="24"/>
        </w:rPr>
      </w:pPr>
    </w:p>
    <w:p>
      <w:pPr>
        <w:pStyle w:val="6"/>
        <w:rPr>
          <w:rStyle w:val="106"/>
          <w:rFonts w:hAnsi="宋体"/>
          <w:b w:val="0"/>
          <w:bCs/>
          <w:sz w:val="28"/>
          <w:szCs w:val="28"/>
        </w:rPr>
      </w:pPr>
      <w:r>
        <w:rPr>
          <w:rStyle w:val="106"/>
          <w:rFonts w:hint="eastAsia" w:hAnsi="宋体"/>
          <w:b w:val="0"/>
          <w:bCs/>
          <w:sz w:val="28"/>
          <w:szCs w:val="28"/>
        </w:rPr>
        <w:t>表</w:t>
      </w:r>
      <w:r>
        <w:rPr>
          <w:rStyle w:val="106"/>
          <w:rFonts w:hAnsi="宋体"/>
          <w:b w:val="0"/>
          <w:bCs/>
          <w:sz w:val="28"/>
          <w:szCs w:val="28"/>
        </w:rPr>
        <w:t>7.</w:t>
      </w:r>
      <w:r>
        <w:rPr>
          <w:rStyle w:val="106"/>
          <w:b w:val="0"/>
          <w:bCs/>
          <w:sz w:val="28"/>
          <w:szCs w:val="28"/>
        </w:rPr>
        <w:t>5</w:t>
      </w:r>
      <w:r>
        <w:rPr>
          <w:rStyle w:val="106"/>
          <w:b w:val="0"/>
          <w:bCs/>
          <w:sz w:val="28"/>
          <w:szCs w:val="28"/>
        </w:rPr>
        <w:tab/>
      </w:r>
      <w:r>
        <w:rPr>
          <w:rStyle w:val="106"/>
          <w:b w:val="0"/>
          <w:bCs/>
          <w:sz w:val="28"/>
          <w:szCs w:val="28"/>
        </w:rPr>
        <w:t>--</w:t>
      </w:r>
      <w:r>
        <w:rPr>
          <w:rStyle w:val="106"/>
          <w:rFonts w:hint="eastAsia" w:hAnsi="宋体"/>
          <w:b w:val="0"/>
          <w:bCs/>
          <w:sz w:val="28"/>
          <w:szCs w:val="28"/>
        </w:rPr>
        <w:t>拟派技术负责人资历表</w:t>
      </w:r>
      <w:bookmarkEnd w:id="1544"/>
    </w:p>
    <w:p>
      <w:pPr>
        <w:pStyle w:val="4"/>
      </w:pPr>
    </w:p>
    <w:tbl>
      <w:tblPr>
        <w:tblStyle w:val="49"/>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1371"/>
        <w:gridCol w:w="368"/>
        <w:gridCol w:w="897"/>
        <w:gridCol w:w="678"/>
        <w:gridCol w:w="1078"/>
        <w:gridCol w:w="324"/>
        <w:gridCol w:w="1417"/>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834" w:type="dxa"/>
            <w:gridSpan w:val="9"/>
            <w:tcBorders>
              <w:top w:val="single" w:color="auto" w:sz="12" w:space="0"/>
              <w:left w:val="single" w:color="auto" w:sz="12" w:space="0"/>
              <w:right w:val="single" w:color="auto" w:sz="12" w:space="0"/>
            </w:tcBorders>
            <w:vAlign w:val="center"/>
          </w:tcPr>
          <w:p>
            <w:pPr>
              <w:adjustRightInd w:val="0"/>
              <w:snapToGrid w:val="0"/>
              <w:rPr>
                <w:szCs w:val="21"/>
              </w:rPr>
            </w:pPr>
            <w:r>
              <w:rPr>
                <w:szCs w:val="21"/>
              </w:rPr>
              <w:t xml:space="preserve">1. </w:t>
            </w:r>
            <w:r>
              <w:rPr>
                <w:rFonts w:hint="eastAsia"/>
                <w:szCs w:val="21"/>
              </w:rPr>
              <w:t>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21" w:type="dxa"/>
            <w:tcBorders>
              <w:left w:val="single" w:color="auto" w:sz="12" w:space="0"/>
            </w:tcBorders>
            <w:vAlign w:val="center"/>
          </w:tcPr>
          <w:p>
            <w:pPr>
              <w:adjustRightInd w:val="0"/>
              <w:snapToGrid w:val="0"/>
              <w:rPr>
                <w:szCs w:val="21"/>
              </w:rPr>
            </w:pPr>
            <w:r>
              <w:rPr>
                <w:rFonts w:hint="eastAsia"/>
                <w:szCs w:val="21"/>
              </w:rPr>
              <w:t>姓名</w:t>
            </w:r>
          </w:p>
        </w:tc>
        <w:tc>
          <w:tcPr>
            <w:tcW w:w="1371" w:type="dxa"/>
            <w:vAlign w:val="center"/>
          </w:tcPr>
          <w:p>
            <w:pPr>
              <w:adjustRightInd w:val="0"/>
              <w:snapToGrid w:val="0"/>
              <w:rPr>
                <w:szCs w:val="21"/>
              </w:rPr>
            </w:pPr>
          </w:p>
        </w:tc>
        <w:tc>
          <w:tcPr>
            <w:tcW w:w="1265" w:type="dxa"/>
            <w:gridSpan w:val="2"/>
            <w:vAlign w:val="center"/>
          </w:tcPr>
          <w:p>
            <w:pPr>
              <w:adjustRightInd w:val="0"/>
              <w:snapToGrid w:val="0"/>
              <w:rPr>
                <w:szCs w:val="21"/>
              </w:rPr>
            </w:pPr>
            <w:r>
              <w:rPr>
                <w:rFonts w:hint="eastAsia"/>
                <w:szCs w:val="21"/>
              </w:rPr>
              <w:t>年龄</w:t>
            </w:r>
          </w:p>
        </w:tc>
        <w:tc>
          <w:tcPr>
            <w:tcW w:w="678" w:type="dxa"/>
            <w:vAlign w:val="center"/>
          </w:tcPr>
          <w:p>
            <w:pPr>
              <w:adjustRightInd w:val="0"/>
              <w:snapToGrid w:val="0"/>
              <w:rPr>
                <w:szCs w:val="21"/>
              </w:rPr>
            </w:pPr>
          </w:p>
        </w:tc>
        <w:tc>
          <w:tcPr>
            <w:tcW w:w="1078" w:type="dxa"/>
            <w:vAlign w:val="center"/>
          </w:tcPr>
          <w:p>
            <w:pPr>
              <w:adjustRightInd w:val="0"/>
              <w:snapToGrid w:val="0"/>
              <w:rPr>
                <w:szCs w:val="21"/>
              </w:rPr>
            </w:pPr>
            <w:r>
              <w:rPr>
                <w:rFonts w:hint="eastAsia"/>
                <w:szCs w:val="21"/>
              </w:rPr>
              <w:t>身份证号</w:t>
            </w:r>
          </w:p>
        </w:tc>
        <w:tc>
          <w:tcPr>
            <w:tcW w:w="3521" w:type="dxa"/>
            <w:gridSpan w:val="3"/>
            <w:tcBorders>
              <w:right w:val="single" w:color="auto" w:sz="12" w:space="0"/>
            </w:tcBorders>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21" w:type="dxa"/>
            <w:tcBorders>
              <w:left w:val="single" w:color="auto" w:sz="12" w:space="0"/>
            </w:tcBorders>
            <w:vAlign w:val="center"/>
          </w:tcPr>
          <w:p>
            <w:pPr>
              <w:adjustRightInd w:val="0"/>
              <w:snapToGrid w:val="0"/>
              <w:rPr>
                <w:szCs w:val="21"/>
              </w:rPr>
            </w:pPr>
            <w:r>
              <w:rPr>
                <w:rFonts w:hint="eastAsia"/>
                <w:szCs w:val="21"/>
              </w:rPr>
              <w:t>技术职称级别</w:t>
            </w:r>
          </w:p>
        </w:tc>
        <w:tc>
          <w:tcPr>
            <w:tcW w:w="1371" w:type="dxa"/>
            <w:vAlign w:val="center"/>
          </w:tcPr>
          <w:p>
            <w:pPr>
              <w:adjustRightInd w:val="0"/>
              <w:snapToGrid w:val="0"/>
              <w:rPr>
                <w:szCs w:val="21"/>
              </w:rPr>
            </w:pPr>
          </w:p>
        </w:tc>
        <w:tc>
          <w:tcPr>
            <w:tcW w:w="1265" w:type="dxa"/>
            <w:gridSpan w:val="2"/>
            <w:vAlign w:val="center"/>
          </w:tcPr>
          <w:p>
            <w:pPr>
              <w:adjustRightInd w:val="0"/>
              <w:snapToGrid w:val="0"/>
              <w:rPr>
                <w:szCs w:val="21"/>
              </w:rPr>
            </w:pPr>
            <w:r>
              <w:rPr>
                <w:rFonts w:hint="eastAsia"/>
                <w:szCs w:val="21"/>
              </w:rPr>
              <w:t>职称专业</w:t>
            </w:r>
          </w:p>
        </w:tc>
        <w:tc>
          <w:tcPr>
            <w:tcW w:w="678" w:type="dxa"/>
            <w:vAlign w:val="center"/>
          </w:tcPr>
          <w:p>
            <w:pPr>
              <w:adjustRightInd w:val="0"/>
              <w:snapToGrid w:val="0"/>
              <w:rPr>
                <w:szCs w:val="21"/>
              </w:rPr>
            </w:pPr>
          </w:p>
        </w:tc>
        <w:tc>
          <w:tcPr>
            <w:tcW w:w="1078" w:type="dxa"/>
            <w:vAlign w:val="center"/>
          </w:tcPr>
          <w:p>
            <w:pPr>
              <w:adjustRightInd w:val="0"/>
              <w:snapToGrid w:val="0"/>
              <w:jc w:val="center"/>
              <w:rPr>
                <w:strike/>
                <w:szCs w:val="21"/>
              </w:rPr>
            </w:pPr>
            <w:r>
              <w:rPr>
                <w:rFonts w:hint="eastAsia"/>
                <w:szCs w:val="21"/>
              </w:rPr>
              <w:t>专业工作时间</w:t>
            </w:r>
          </w:p>
        </w:tc>
        <w:tc>
          <w:tcPr>
            <w:tcW w:w="3521" w:type="dxa"/>
            <w:gridSpan w:val="3"/>
            <w:tcBorders>
              <w:right w:val="single" w:color="auto" w:sz="12" w:space="0"/>
            </w:tcBorders>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21" w:type="dxa"/>
            <w:tcBorders>
              <w:left w:val="single" w:color="auto" w:sz="12" w:space="0"/>
            </w:tcBorders>
            <w:vAlign w:val="center"/>
          </w:tcPr>
          <w:p>
            <w:pPr>
              <w:adjustRightInd w:val="0"/>
              <w:snapToGrid w:val="0"/>
              <w:rPr>
                <w:szCs w:val="21"/>
              </w:rPr>
            </w:pPr>
            <w:r>
              <w:rPr>
                <w:rFonts w:hint="eastAsia"/>
                <w:szCs w:val="21"/>
              </w:rPr>
              <w:t>学历</w:t>
            </w:r>
          </w:p>
        </w:tc>
        <w:tc>
          <w:tcPr>
            <w:tcW w:w="7913" w:type="dxa"/>
            <w:gridSpan w:val="8"/>
            <w:tcBorders>
              <w:right w:val="single" w:color="auto" w:sz="12" w:space="0"/>
            </w:tcBorders>
            <w:vAlign w:val="center"/>
          </w:tcPr>
          <w:p>
            <w:pPr>
              <w:adjustRightInd w:val="0"/>
              <w:snapToGrid w:val="0"/>
              <w:jc w:val="left"/>
              <w:rPr>
                <w:szCs w:val="21"/>
              </w:rPr>
            </w:pPr>
            <w:r>
              <w:rPr>
                <w:rFonts w:hint="eastAsia"/>
                <w:szCs w:val="21"/>
              </w:rPr>
              <w:t>学历</w:t>
            </w:r>
            <w:r>
              <w:rPr>
                <w:szCs w:val="21"/>
                <w:u w:val="single"/>
              </w:rPr>
              <w:t xml:space="preserve">          </w:t>
            </w:r>
            <w:r>
              <w:rPr>
                <w:szCs w:val="21"/>
              </w:rPr>
              <w:t xml:space="preserve">   </w:t>
            </w:r>
            <w:r>
              <w:rPr>
                <w:rFonts w:hint="eastAsia"/>
                <w:szCs w:val="21"/>
              </w:rPr>
              <w:t>学历专业</w:t>
            </w:r>
            <w:r>
              <w:rPr>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834" w:type="dxa"/>
            <w:gridSpan w:val="9"/>
            <w:tcBorders>
              <w:left w:val="single" w:color="auto" w:sz="12" w:space="0"/>
              <w:right w:val="single" w:color="auto" w:sz="12" w:space="0"/>
            </w:tcBorders>
            <w:vAlign w:val="center"/>
          </w:tcPr>
          <w:p>
            <w:pPr>
              <w:adjustRightInd w:val="0"/>
              <w:snapToGrid w:val="0"/>
              <w:rPr>
                <w:szCs w:val="21"/>
              </w:rPr>
            </w:pPr>
            <w:r>
              <w:rPr>
                <w:szCs w:val="21"/>
              </w:rPr>
              <w:t xml:space="preserve">2. </w:t>
            </w:r>
            <w:r>
              <w:rPr>
                <w:rFonts w:hint="eastAsia"/>
                <w:szCs w:val="21"/>
              </w:rPr>
              <w:t>相关工作经历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921" w:type="dxa"/>
            <w:tcBorders>
              <w:left w:val="single" w:color="auto" w:sz="12" w:space="0"/>
            </w:tcBorders>
            <w:vAlign w:val="center"/>
          </w:tcPr>
          <w:p>
            <w:pPr>
              <w:adjustRightInd w:val="0"/>
              <w:snapToGrid w:val="0"/>
              <w:jc w:val="center"/>
              <w:rPr>
                <w:szCs w:val="21"/>
              </w:rPr>
            </w:pPr>
            <w:r>
              <w:rPr>
                <w:rFonts w:hint="eastAsia"/>
                <w:szCs w:val="21"/>
              </w:rPr>
              <w:t>开竣工时间</w:t>
            </w:r>
          </w:p>
        </w:tc>
        <w:tc>
          <w:tcPr>
            <w:tcW w:w="1739" w:type="dxa"/>
            <w:gridSpan w:val="2"/>
            <w:vAlign w:val="center"/>
          </w:tcPr>
          <w:p>
            <w:pPr>
              <w:adjustRightInd w:val="0"/>
              <w:snapToGrid w:val="0"/>
              <w:rPr>
                <w:szCs w:val="21"/>
              </w:rPr>
            </w:pPr>
            <w:r>
              <w:rPr>
                <w:rFonts w:hint="eastAsia"/>
                <w:szCs w:val="21"/>
              </w:rPr>
              <w:t>项目名称</w:t>
            </w:r>
          </w:p>
        </w:tc>
        <w:tc>
          <w:tcPr>
            <w:tcW w:w="1575" w:type="dxa"/>
            <w:gridSpan w:val="2"/>
            <w:vAlign w:val="center"/>
          </w:tcPr>
          <w:p>
            <w:pPr>
              <w:adjustRightInd w:val="0"/>
              <w:snapToGrid w:val="0"/>
              <w:jc w:val="center"/>
              <w:rPr>
                <w:szCs w:val="21"/>
              </w:rPr>
            </w:pPr>
            <w:r>
              <w:rPr>
                <w:rFonts w:hint="eastAsia"/>
                <w:szCs w:val="21"/>
              </w:rPr>
              <w:t>项目建设规模</w:t>
            </w:r>
            <w:r>
              <w:rPr>
                <w:szCs w:val="21"/>
              </w:rPr>
              <w:t>(</w:t>
            </w:r>
            <w:r>
              <w:rPr>
                <w:rFonts w:hint="eastAsia"/>
                <w:szCs w:val="21"/>
              </w:rPr>
              <w:t>平方米</w:t>
            </w:r>
            <w:r>
              <w:rPr>
                <w:szCs w:val="21"/>
              </w:rPr>
              <w:t>)</w:t>
            </w:r>
          </w:p>
        </w:tc>
        <w:tc>
          <w:tcPr>
            <w:tcW w:w="1402" w:type="dxa"/>
            <w:gridSpan w:val="2"/>
            <w:tcBorders>
              <w:right w:val="single" w:color="auto" w:sz="12" w:space="0"/>
            </w:tcBorders>
            <w:vAlign w:val="center"/>
          </w:tcPr>
          <w:p>
            <w:pPr>
              <w:adjustRightInd w:val="0"/>
              <w:snapToGrid w:val="0"/>
              <w:rPr>
                <w:b/>
                <w:szCs w:val="21"/>
              </w:rPr>
            </w:pPr>
            <w:r>
              <w:rPr>
                <w:rFonts w:hint="eastAsia"/>
                <w:szCs w:val="21"/>
              </w:rPr>
              <w:t>项目类型</w:t>
            </w:r>
          </w:p>
        </w:tc>
        <w:tc>
          <w:tcPr>
            <w:tcW w:w="1417" w:type="dxa"/>
            <w:tcBorders>
              <w:right w:val="single" w:color="auto" w:sz="12" w:space="0"/>
            </w:tcBorders>
            <w:vAlign w:val="center"/>
          </w:tcPr>
          <w:p>
            <w:pPr>
              <w:adjustRightInd w:val="0"/>
              <w:snapToGrid w:val="0"/>
              <w:jc w:val="center"/>
              <w:rPr>
                <w:szCs w:val="21"/>
              </w:rPr>
            </w:pPr>
            <w:r>
              <w:rPr>
                <w:rFonts w:hint="eastAsia"/>
                <w:szCs w:val="21"/>
              </w:rPr>
              <w:t>竣工合同价</w:t>
            </w:r>
            <w:r>
              <w:rPr>
                <w:szCs w:val="21"/>
              </w:rPr>
              <w:t>(</w:t>
            </w:r>
            <w:r>
              <w:rPr>
                <w:rFonts w:hint="eastAsia"/>
                <w:szCs w:val="21"/>
              </w:rPr>
              <w:t>元</w:t>
            </w:r>
            <w:r>
              <w:rPr>
                <w:szCs w:val="21"/>
              </w:rPr>
              <w:t>)</w:t>
            </w:r>
          </w:p>
        </w:tc>
        <w:tc>
          <w:tcPr>
            <w:tcW w:w="1780" w:type="dxa"/>
            <w:tcBorders>
              <w:right w:val="single" w:color="auto" w:sz="12" w:space="0"/>
            </w:tcBorders>
            <w:vAlign w:val="center"/>
          </w:tcPr>
          <w:p>
            <w:pPr>
              <w:adjustRightInd w:val="0"/>
              <w:snapToGrid w:val="0"/>
              <w:rPr>
                <w:szCs w:val="21"/>
              </w:rPr>
            </w:pPr>
            <w:r>
              <w:rPr>
                <w:rFonts w:hint="eastAsia"/>
                <w:szCs w:val="21"/>
              </w:rPr>
              <w:t>该项目中的任职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21" w:type="dxa"/>
            <w:tcBorders>
              <w:left w:val="single" w:color="auto" w:sz="12" w:space="0"/>
            </w:tcBorders>
          </w:tcPr>
          <w:p>
            <w:pPr>
              <w:adjustRightInd w:val="0"/>
              <w:snapToGrid w:val="0"/>
              <w:rPr>
                <w:szCs w:val="21"/>
              </w:rPr>
            </w:pPr>
          </w:p>
        </w:tc>
        <w:tc>
          <w:tcPr>
            <w:tcW w:w="1739" w:type="dxa"/>
            <w:gridSpan w:val="2"/>
          </w:tcPr>
          <w:p>
            <w:pPr>
              <w:adjustRightInd w:val="0"/>
              <w:snapToGrid w:val="0"/>
              <w:rPr>
                <w:szCs w:val="21"/>
              </w:rPr>
            </w:pPr>
          </w:p>
        </w:tc>
        <w:tc>
          <w:tcPr>
            <w:tcW w:w="1575" w:type="dxa"/>
            <w:gridSpan w:val="2"/>
          </w:tcPr>
          <w:p>
            <w:pPr>
              <w:adjustRightInd w:val="0"/>
              <w:snapToGrid w:val="0"/>
              <w:rPr>
                <w:szCs w:val="21"/>
              </w:rPr>
            </w:pPr>
          </w:p>
        </w:tc>
        <w:tc>
          <w:tcPr>
            <w:tcW w:w="1402" w:type="dxa"/>
            <w:gridSpan w:val="2"/>
            <w:tcBorders>
              <w:right w:val="single" w:color="auto" w:sz="12" w:space="0"/>
            </w:tcBorders>
          </w:tcPr>
          <w:p>
            <w:pPr>
              <w:adjustRightInd w:val="0"/>
              <w:snapToGrid w:val="0"/>
              <w:rPr>
                <w:szCs w:val="21"/>
              </w:rPr>
            </w:pPr>
          </w:p>
        </w:tc>
        <w:tc>
          <w:tcPr>
            <w:tcW w:w="1417" w:type="dxa"/>
            <w:tcBorders>
              <w:right w:val="single" w:color="auto" w:sz="12" w:space="0"/>
            </w:tcBorders>
          </w:tcPr>
          <w:p>
            <w:pPr>
              <w:adjustRightInd w:val="0"/>
              <w:snapToGrid w:val="0"/>
              <w:rPr>
                <w:szCs w:val="21"/>
              </w:rPr>
            </w:pPr>
          </w:p>
        </w:tc>
        <w:tc>
          <w:tcPr>
            <w:tcW w:w="1780" w:type="dxa"/>
            <w:tcBorders>
              <w:right w:val="single" w:color="auto" w:sz="12" w:space="0"/>
            </w:tcBorders>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21" w:type="dxa"/>
            <w:tcBorders>
              <w:left w:val="single" w:color="auto" w:sz="12" w:space="0"/>
            </w:tcBorders>
          </w:tcPr>
          <w:p>
            <w:pPr>
              <w:adjustRightInd w:val="0"/>
              <w:snapToGrid w:val="0"/>
              <w:rPr>
                <w:szCs w:val="21"/>
              </w:rPr>
            </w:pPr>
          </w:p>
        </w:tc>
        <w:tc>
          <w:tcPr>
            <w:tcW w:w="1739" w:type="dxa"/>
            <w:gridSpan w:val="2"/>
          </w:tcPr>
          <w:p>
            <w:pPr>
              <w:adjustRightInd w:val="0"/>
              <w:snapToGrid w:val="0"/>
              <w:rPr>
                <w:szCs w:val="21"/>
              </w:rPr>
            </w:pPr>
          </w:p>
        </w:tc>
        <w:tc>
          <w:tcPr>
            <w:tcW w:w="1575" w:type="dxa"/>
            <w:gridSpan w:val="2"/>
          </w:tcPr>
          <w:p>
            <w:pPr>
              <w:adjustRightInd w:val="0"/>
              <w:snapToGrid w:val="0"/>
              <w:rPr>
                <w:szCs w:val="21"/>
              </w:rPr>
            </w:pPr>
          </w:p>
        </w:tc>
        <w:tc>
          <w:tcPr>
            <w:tcW w:w="1402" w:type="dxa"/>
            <w:gridSpan w:val="2"/>
            <w:tcBorders>
              <w:right w:val="single" w:color="auto" w:sz="12" w:space="0"/>
            </w:tcBorders>
          </w:tcPr>
          <w:p>
            <w:pPr>
              <w:adjustRightInd w:val="0"/>
              <w:snapToGrid w:val="0"/>
              <w:rPr>
                <w:szCs w:val="21"/>
              </w:rPr>
            </w:pPr>
          </w:p>
        </w:tc>
        <w:tc>
          <w:tcPr>
            <w:tcW w:w="1417" w:type="dxa"/>
            <w:tcBorders>
              <w:right w:val="single" w:color="auto" w:sz="12" w:space="0"/>
            </w:tcBorders>
          </w:tcPr>
          <w:p>
            <w:pPr>
              <w:adjustRightInd w:val="0"/>
              <w:snapToGrid w:val="0"/>
              <w:rPr>
                <w:szCs w:val="21"/>
              </w:rPr>
            </w:pPr>
          </w:p>
        </w:tc>
        <w:tc>
          <w:tcPr>
            <w:tcW w:w="1780" w:type="dxa"/>
            <w:tcBorders>
              <w:right w:val="single" w:color="auto" w:sz="12" w:space="0"/>
            </w:tcBorders>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21" w:type="dxa"/>
            <w:tcBorders>
              <w:left w:val="single" w:color="auto" w:sz="12" w:space="0"/>
            </w:tcBorders>
          </w:tcPr>
          <w:p>
            <w:pPr>
              <w:adjustRightInd w:val="0"/>
              <w:snapToGrid w:val="0"/>
              <w:rPr>
                <w:szCs w:val="21"/>
              </w:rPr>
            </w:pPr>
          </w:p>
        </w:tc>
        <w:tc>
          <w:tcPr>
            <w:tcW w:w="1739" w:type="dxa"/>
            <w:gridSpan w:val="2"/>
          </w:tcPr>
          <w:p>
            <w:pPr>
              <w:adjustRightInd w:val="0"/>
              <w:snapToGrid w:val="0"/>
              <w:rPr>
                <w:szCs w:val="21"/>
              </w:rPr>
            </w:pPr>
          </w:p>
        </w:tc>
        <w:tc>
          <w:tcPr>
            <w:tcW w:w="1575" w:type="dxa"/>
            <w:gridSpan w:val="2"/>
          </w:tcPr>
          <w:p>
            <w:pPr>
              <w:adjustRightInd w:val="0"/>
              <w:snapToGrid w:val="0"/>
              <w:rPr>
                <w:szCs w:val="21"/>
              </w:rPr>
            </w:pPr>
          </w:p>
        </w:tc>
        <w:tc>
          <w:tcPr>
            <w:tcW w:w="1402" w:type="dxa"/>
            <w:gridSpan w:val="2"/>
            <w:tcBorders>
              <w:right w:val="single" w:color="auto" w:sz="12" w:space="0"/>
            </w:tcBorders>
          </w:tcPr>
          <w:p>
            <w:pPr>
              <w:adjustRightInd w:val="0"/>
              <w:snapToGrid w:val="0"/>
              <w:rPr>
                <w:szCs w:val="21"/>
              </w:rPr>
            </w:pPr>
          </w:p>
        </w:tc>
        <w:tc>
          <w:tcPr>
            <w:tcW w:w="1417" w:type="dxa"/>
            <w:tcBorders>
              <w:right w:val="single" w:color="auto" w:sz="12" w:space="0"/>
            </w:tcBorders>
          </w:tcPr>
          <w:p>
            <w:pPr>
              <w:adjustRightInd w:val="0"/>
              <w:snapToGrid w:val="0"/>
              <w:rPr>
                <w:szCs w:val="21"/>
              </w:rPr>
            </w:pPr>
          </w:p>
        </w:tc>
        <w:tc>
          <w:tcPr>
            <w:tcW w:w="1780" w:type="dxa"/>
            <w:tcBorders>
              <w:right w:val="single" w:color="auto" w:sz="12" w:space="0"/>
            </w:tcBorders>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21" w:type="dxa"/>
            <w:tcBorders>
              <w:left w:val="single" w:color="auto" w:sz="12" w:space="0"/>
            </w:tcBorders>
          </w:tcPr>
          <w:p>
            <w:pPr>
              <w:adjustRightInd w:val="0"/>
              <w:snapToGrid w:val="0"/>
              <w:rPr>
                <w:szCs w:val="21"/>
              </w:rPr>
            </w:pPr>
          </w:p>
        </w:tc>
        <w:tc>
          <w:tcPr>
            <w:tcW w:w="1739" w:type="dxa"/>
            <w:gridSpan w:val="2"/>
          </w:tcPr>
          <w:p>
            <w:pPr>
              <w:adjustRightInd w:val="0"/>
              <w:snapToGrid w:val="0"/>
              <w:rPr>
                <w:szCs w:val="21"/>
              </w:rPr>
            </w:pPr>
          </w:p>
        </w:tc>
        <w:tc>
          <w:tcPr>
            <w:tcW w:w="1575" w:type="dxa"/>
            <w:gridSpan w:val="2"/>
          </w:tcPr>
          <w:p>
            <w:pPr>
              <w:adjustRightInd w:val="0"/>
              <w:snapToGrid w:val="0"/>
              <w:rPr>
                <w:szCs w:val="21"/>
              </w:rPr>
            </w:pPr>
          </w:p>
        </w:tc>
        <w:tc>
          <w:tcPr>
            <w:tcW w:w="1402" w:type="dxa"/>
            <w:gridSpan w:val="2"/>
            <w:tcBorders>
              <w:right w:val="single" w:color="auto" w:sz="12" w:space="0"/>
            </w:tcBorders>
          </w:tcPr>
          <w:p>
            <w:pPr>
              <w:adjustRightInd w:val="0"/>
              <w:snapToGrid w:val="0"/>
              <w:rPr>
                <w:szCs w:val="21"/>
              </w:rPr>
            </w:pPr>
          </w:p>
        </w:tc>
        <w:tc>
          <w:tcPr>
            <w:tcW w:w="1417" w:type="dxa"/>
            <w:tcBorders>
              <w:right w:val="single" w:color="auto" w:sz="12" w:space="0"/>
            </w:tcBorders>
          </w:tcPr>
          <w:p>
            <w:pPr>
              <w:adjustRightInd w:val="0"/>
              <w:snapToGrid w:val="0"/>
              <w:rPr>
                <w:szCs w:val="21"/>
              </w:rPr>
            </w:pPr>
          </w:p>
        </w:tc>
        <w:tc>
          <w:tcPr>
            <w:tcW w:w="1780" w:type="dxa"/>
            <w:tcBorders>
              <w:right w:val="single" w:color="auto" w:sz="12" w:space="0"/>
            </w:tcBorders>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21" w:type="dxa"/>
            <w:tcBorders>
              <w:left w:val="single" w:color="auto" w:sz="12" w:space="0"/>
            </w:tcBorders>
          </w:tcPr>
          <w:p>
            <w:pPr>
              <w:adjustRightInd w:val="0"/>
              <w:snapToGrid w:val="0"/>
              <w:rPr>
                <w:szCs w:val="21"/>
              </w:rPr>
            </w:pPr>
          </w:p>
          <w:p>
            <w:pPr>
              <w:adjustRightInd w:val="0"/>
              <w:snapToGrid w:val="0"/>
              <w:rPr>
                <w:szCs w:val="21"/>
              </w:rPr>
            </w:pPr>
          </w:p>
          <w:p>
            <w:pPr>
              <w:adjustRightInd w:val="0"/>
              <w:snapToGrid w:val="0"/>
              <w:rPr>
                <w:szCs w:val="21"/>
              </w:rPr>
            </w:pPr>
          </w:p>
        </w:tc>
        <w:tc>
          <w:tcPr>
            <w:tcW w:w="1739" w:type="dxa"/>
            <w:gridSpan w:val="2"/>
          </w:tcPr>
          <w:p>
            <w:pPr>
              <w:adjustRightInd w:val="0"/>
              <w:snapToGrid w:val="0"/>
              <w:rPr>
                <w:szCs w:val="21"/>
              </w:rPr>
            </w:pPr>
          </w:p>
        </w:tc>
        <w:tc>
          <w:tcPr>
            <w:tcW w:w="1575" w:type="dxa"/>
            <w:gridSpan w:val="2"/>
          </w:tcPr>
          <w:p>
            <w:pPr>
              <w:adjustRightInd w:val="0"/>
              <w:snapToGrid w:val="0"/>
              <w:rPr>
                <w:szCs w:val="21"/>
              </w:rPr>
            </w:pPr>
          </w:p>
        </w:tc>
        <w:tc>
          <w:tcPr>
            <w:tcW w:w="1402" w:type="dxa"/>
            <w:gridSpan w:val="2"/>
            <w:tcBorders>
              <w:right w:val="single" w:color="auto" w:sz="12" w:space="0"/>
            </w:tcBorders>
          </w:tcPr>
          <w:p>
            <w:pPr>
              <w:adjustRightInd w:val="0"/>
              <w:snapToGrid w:val="0"/>
              <w:rPr>
                <w:szCs w:val="21"/>
              </w:rPr>
            </w:pPr>
          </w:p>
        </w:tc>
        <w:tc>
          <w:tcPr>
            <w:tcW w:w="1417" w:type="dxa"/>
            <w:tcBorders>
              <w:right w:val="single" w:color="auto" w:sz="12" w:space="0"/>
            </w:tcBorders>
          </w:tcPr>
          <w:p>
            <w:pPr>
              <w:adjustRightInd w:val="0"/>
              <w:snapToGrid w:val="0"/>
              <w:rPr>
                <w:szCs w:val="21"/>
              </w:rPr>
            </w:pPr>
          </w:p>
        </w:tc>
        <w:tc>
          <w:tcPr>
            <w:tcW w:w="1780" w:type="dxa"/>
            <w:tcBorders>
              <w:right w:val="single" w:color="auto" w:sz="12" w:space="0"/>
            </w:tcBorders>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21" w:type="dxa"/>
            <w:tcBorders>
              <w:left w:val="single" w:color="auto" w:sz="12" w:space="0"/>
            </w:tcBorders>
          </w:tcPr>
          <w:p>
            <w:pPr>
              <w:adjustRightInd w:val="0"/>
              <w:snapToGrid w:val="0"/>
              <w:rPr>
                <w:szCs w:val="21"/>
              </w:rPr>
            </w:pPr>
          </w:p>
        </w:tc>
        <w:tc>
          <w:tcPr>
            <w:tcW w:w="1739" w:type="dxa"/>
            <w:gridSpan w:val="2"/>
          </w:tcPr>
          <w:p>
            <w:pPr>
              <w:adjustRightInd w:val="0"/>
              <w:snapToGrid w:val="0"/>
              <w:rPr>
                <w:szCs w:val="21"/>
              </w:rPr>
            </w:pPr>
          </w:p>
        </w:tc>
        <w:tc>
          <w:tcPr>
            <w:tcW w:w="1575" w:type="dxa"/>
            <w:gridSpan w:val="2"/>
          </w:tcPr>
          <w:p>
            <w:pPr>
              <w:adjustRightInd w:val="0"/>
              <w:snapToGrid w:val="0"/>
              <w:rPr>
                <w:szCs w:val="21"/>
              </w:rPr>
            </w:pPr>
          </w:p>
        </w:tc>
        <w:tc>
          <w:tcPr>
            <w:tcW w:w="1402" w:type="dxa"/>
            <w:gridSpan w:val="2"/>
            <w:tcBorders>
              <w:right w:val="single" w:color="auto" w:sz="12" w:space="0"/>
            </w:tcBorders>
          </w:tcPr>
          <w:p>
            <w:pPr>
              <w:adjustRightInd w:val="0"/>
              <w:snapToGrid w:val="0"/>
              <w:rPr>
                <w:szCs w:val="21"/>
              </w:rPr>
            </w:pPr>
          </w:p>
        </w:tc>
        <w:tc>
          <w:tcPr>
            <w:tcW w:w="1417" w:type="dxa"/>
            <w:tcBorders>
              <w:right w:val="single" w:color="auto" w:sz="12" w:space="0"/>
            </w:tcBorders>
          </w:tcPr>
          <w:p>
            <w:pPr>
              <w:adjustRightInd w:val="0"/>
              <w:snapToGrid w:val="0"/>
              <w:rPr>
                <w:szCs w:val="21"/>
              </w:rPr>
            </w:pPr>
          </w:p>
        </w:tc>
        <w:tc>
          <w:tcPr>
            <w:tcW w:w="1780" w:type="dxa"/>
            <w:tcBorders>
              <w:right w:val="single" w:color="auto" w:sz="12" w:space="0"/>
            </w:tcBorders>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921" w:type="dxa"/>
            <w:tcBorders>
              <w:left w:val="single" w:color="auto" w:sz="12" w:space="0"/>
            </w:tcBorders>
          </w:tcPr>
          <w:p>
            <w:pPr>
              <w:adjustRightInd w:val="0"/>
              <w:snapToGrid w:val="0"/>
              <w:rPr>
                <w:szCs w:val="21"/>
              </w:rPr>
            </w:pPr>
          </w:p>
        </w:tc>
        <w:tc>
          <w:tcPr>
            <w:tcW w:w="1739" w:type="dxa"/>
            <w:gridSpan w:val="2"/>
          </w:tcPr>
          <w:p>
            <w:pPr>
              <w:adjustRightInd w:val="0"/>
              <w:snapToGrid w:val="0"/>
              <w:rPr>
                <w:szCs w:val="21"/>
              </w:rPr>
            </w:pPr>
          </w:p>
        </w:tc>
        <w:tc>
          <w:tcPr>
            <w:tcW w:w="1575" w:type="dxa"/>
            <w:gridSpan w:val="2"/>
          </w:tcPr>
          <w:p>
            <w:pPr>
              <w:adjustRightInd w:val="0"/>
              <w:snapToGrid w:val="0"/>
              <w:rPr>
                <w:szCs w:val="21"/>
              </w:rPr>
            </w:pPr>
          </w:p>
        </w:tc>
        <w:tc>
          <w:tcPr>
            <w:tcW w:w="1402" w:type="dxa"/>
            <w:gridSpan w:val="2"/>
            <w:tcBorders>
              <w:right w:val="single" w:color="auto" w:sz="12" w:space="0"/>
            </w:tcBorders>
          </w:tcPr>
          <w:p>
            <w:pPr>
              <w:adjustRightInd w:val="0"/>
              <w:snapToGrid w:val="0"/>
              <w:rPr>
                <w:szCs w:val="21"/>
              </w:rPr>
            </w:pPr>
          </w:p>
        </w:tc>
        <w:tc>
          <w:tcPr>
            <w:tcW w:w="1417" w:type="dxa"/>
            <w:tcBorders>
              <w:right w:val="single" w:color="auto" w:sz="12" w:space="0"/>
            </w:tcBorders>
          </w:tcPr>
          <w:p>
            <w:pPr>
              <w:adjustRightInd w:val="0"/>
              <w:snapToGrid w:val="0"/>
              <w:rPr>
                <w:szCs w:val="21"/>
              </w:rPr>
            </w:pPr>
          </w:p>
        </w:tc>
        <w:tc>
          <w:tcPr>
            <w:tcW w:w="1780" w:type="dxa"/>
            <w:tcBorders>
              <w:right w:val="single" w:color="auto" w:sz="12" w:space="0"/>
            </w:tcBorders>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21" w:type="dxa"/>
            <w:tcBorders>
              <w:left w:val="single" w:color="auto" w:sz="12" w:space="0"/>
              <w:bottom w:val="single" w:color="auto" w:sz="12" w:space="0"/>
            </w:tcBorders>
          </w:tcPr>
          <w:p>
            <w:pPr>
              <w:adjustRightInd w:val="0"/>
              <w:snapToGrid w:val="0"/>
              <w:rPr>
                <w:szCs w:val="21"/>
              </w:rPr>
            </w:pPr>
          </w:p>
        </w:tc>
        <w:tc>
          <w:tcPr>
            <w:tcW w:w="1739" w:type="dxa"/>
            <w:gridSpan w:val="2"/>
            <w:tcBorders>
              <w:bottom w:val="single" w:color="auto" w:sz="12" w:space="0"/>
            </w:tcBorders>
          </w:tcPr>
          <w:p>
            <w:pPr>
              <w:adjustRightInd w:val="0"/>
              <w:snapToGrid w:val="0"/>
              <w:rPr>
                <w:szCs w:val="21"/>
              </w:rPr>
            </w:pPr>
          </w:p>
        </w:tc>
        <w:tc>
          <w:tcPr>
            <w:tcW w:w="1575" w:type="dxa"/>
            <w:gridSpan w:val="2"/>
            <w:tcBorders>
              <w:bottom w:val="single" w:color="auto" w:sz="12" w:space="0"/>
            </w:tcBorders>
          </w:tcPr>
          <w:p>
            <w:pPr>
              <w:adjustRightInd w:val="0"/>
              <w:snapToGrid w:val="0"/>
              <w:rPr>
                <w:szCs w:val="21"/>
              </w:rPr>
            </w:pPr>
          </w:p>
        </w:tc>
        <w:tc>
          <w:tcPr>
            <w:tcW w:w="1402" w:type="dxa"/>
            <w:gridSpan w:val="2"/>
            <w:tcBorders>
              <w:bottom w:val="single" w:color="auto" w:sz="12" w:space="0"/>
              <w:right w:val="single" w:color="auto" w:sz="12" w:space="0"/>
            </w:tcBorders>
          </w:tcPr>
          <w:p>
            <w:pPr>
              <w:adjustRightInd w:val="0"/>
              <w:snapToGrid w:val="0"/>
              <w:rPr>
                <w:szCs w:val="21"/>
              </w:rPr>
            </w:pPr>
          </w:p>
        </w:tc>
        <w:tc>
          <w:tcPr>
            <w:tcW w:w="1417" w:type="dxa"/>
            <w:tcBorders>
              <w:bottom w:val="single" w:color="auto" w:sz="12" w:space="0"/>
              <w:right w:val="single" w:color="auto" w:sz="12" w:space="0"/>
            </w:tcBorders>
          </w:tcPr>
          <w:p>
            <w:pPr>
              <w:adjustRightInd w:val="0"/>
              <w:snapToGrid w:val="0"/>
              <w:rPr>
                <w:szCs w:val="21"/>
              </w:rPr>
            </w:pPr>
          </w:p>
        </w:tc>
        <w:tc>
          <w:tcPr>
            <w:tcW w:w="1780" w:type="dxa"/>
            <w:tcBorders>
              <w:bottom w:val="single" w:color="auto" w:sz="12" w:space="0"/>
              <w:right w:val="single" w:color="auto" w:sz="12" w:space="0"/>
            </w:tcBorders>
          </w:tcPr>
          <w:p>
            <w:pPr>
              <w:adjustRightInd w:val="0"/>
              <w:snapToGrid w:val="0"/>
              <w:rPr>
                <w:szCs w:val="21"/>
              </w:rPr>
            </w:pPr>
          </w:p>
        </w:tc>
      </w:tr>
    </w:tbl>
    <w:p>
      <w:pPr>
        <w:pStyle w:val="4"/>
      </w:pPr>
    </w:p>
    <w:p>
      <w:pPr>
        <w:pStyle w:val="4"/>
      </w:pPr>
    </w:p>
    <w:p>
      <w:pPr>
        <w:pStyle w:val="4"/>
      </w:pPr>
    </w:p>
    <w:p/>
    <w:p/>
    <w:p>
      <w:pPr>
        <w:spacing w:line="480" w:lineRule="exact"/>
        <w:rPr>
          <w:sz w:val="24"/>
        </w:rPr>
      </w:pPr>
    </w:p>
    <w:p>
      <w:pPr>
        <w:snapToGrid w:val="0"/>
        <w:spacing w:before="84" w:beforeLines="35"/>
        <w:ind w:left="468" w:hanging="468" w:hangingChars="195"/>
        <w:rPr>
          <w:rFonts w:hAnsi="宋体"/>
          <w:sz w:val="24"/>
        </w:rPr>
      </w:pPr>
    </w:p>
    <w:p>
      <w:pPr>
        <w:tabs>
          <w:tab w:val="left" w:pos="472"/>
        </w:tabs>
        <w:ind w:left="456" w:hanging="456" w:hangingChars="190"/>
        <w:rPr>
          <w:sz w:val="24"/>
        </w:rPr>
      </w:pPr>
      <w:r>
        <w:rPr>
          <w:rFonts w:hAnsi="宋体"/>
          <w:sz w:val="24"/>
        </w:rPr>
        <w:br w:type="page"/>
      </w:r>
    </w:p>
    <w:p>
      <w:pPr>
        <w:pStyle w:val="6"/>
        <w:rPr>
          <w:rStyle w:val="106"/>
          <w:rFonts w:hAnsi="宋体"/>
          <w:b w:val="0"/>
          <w:bCs/>
          <w:sz w:val="28"/>
          <w:szCs w:val="28"/>
        </w:rPr>
      </w:pPr>
      <w:bookmarkStart w:id="1545" w:name="_Toc410849492"/>
      <w:bookmarkStart w:id="1546" w:name="_Toc470011363"/>
      <w:bookmarkStart w:id="1547" w:name="_Toc455409886"/>
      <w:r>
        <w:rPr>
          <w:rStyle w:val="106"/>
          <w:rFonts w:hint="eastAsia" w:hAnsi="宋体"/>
          <w:b w:val="0"/>
          <w:bCs/>
          <w:sz w:val="28"/>
          <w:szCs w:val="28"/>
        </w:rPr>
        <w:t>表</w:t>
      </w:r>
      <w:r>
        <w:rPr>
          <w:rStyle w:val="106"/>
          <w:rFonts w:hAnsi="宋体"/>
          <w:b w:val="0"/>
          <w:bCs/>
          <w:sz w:val="28"/>
          <w:szCs w:val="28"/>
        </w:rPr>
        <w:t>7.6</w:t>
      </w:r>
      <w:r>
        <w:rPr>
          <w:rStyle w:val="106"/>
          <w:b w:val="0"/>
          <w:bCs/>
          <w:sz w:val="28"/>
          <w:szCs w:val="28"/>
        </w:rPr>
        <w:t>--</w:t>
      </w:r>
      <w:r>
        <w:rPr>
          <w:rStyle w:val="106"/>
          <w:rFonts w:hint="eastAsia" w:hAnsi="宋体"/>
          <w:b w:val="0"/>
          <w:bCs/>
          <w:sz w:val="28"/>
          <w:szCs w:val="28"/>
        </w:rPr>
        <w:t>拟投入本工程主要人员资历表</w:t>
      </w:r>
      <w:bookmarkEnd w:id="1545"/>
      <w:bookmarkEnd w:id="1546"/>
      <w:bookmarkEnd w:id="1547"/>
    </w:p>
    <w:p>
      <w:pPr>
        <w:pStyle w:val="4"/>
      </w:pPr>
    </w:p>
    <w:tbl>
      <w:tblPr>
        <w:tblStyle w:val="49"/>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417"/>
        <w:gridCol w:w="1134"/>
        <w:gridCol w:w="1418"/>
        <w:gridCol w:w="1984"/>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834" w:type="dxa"/>
            <w:gridSpan w:val="6"/>
            <w:tcBorders>
              <w:top w:val="single" w:color="auto" w:sz="12" w:space="0"/>
              <w:left w:val="single" w:color="auto" w:sz="12" w:space="0"/>
              <w:right w:val="single" w:color="auto" w:sz="12" w:space="0"/>
            </w:tcBorders>
            <w:vAlign w:val="center"/>
          </w:tcPr>
          <w:p>
            <w:pPr>
              <w:adjustRightInd w:val="0"/>
              <w:snapToGrid w:val="0"/>
              <w:rPr>
                <w:szCs w:val="21"/>
              </w:rPr>
            </w:pPr>
            <w:r>
              <w:rPr>
                <w:szCs w:val="21"/>
              </w:rPr>
              <w:t>1</w:t>
            </w:r>
            <w:r>
              <w:rPr>
                <w:rFonts w:hint="eastAsia" w:hAnsi="宋体"/>
                <w:szCs w:val="21"/>
              </w:rPr>
              <w:t>．一般情况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01" w:type="dxa"/>
            <w:tcBorders>
              <w:left w:val="single" w:color="auto" w:sz="12" w:space="0"/>
            </w:tcBorders>
            <w:vAlign w:val="center"/>
          </w:tcPr>
          <w:p>
            <w:pPr>
              <w:adjustRightInd w:val="0"/>
              <w:snapToGrid w:val="0"/>
              <w:rPr>
                <w:szCs w:val="21"/>
              </w:rPr>
            </w:pPr>
            <w:r>
              <w:rPr>
                <w:rFonts w:hint="eastAsia" w:hAnsi="宋体"/>
                <w:szCs w:val="21"/>
              </w:rPr>
              <w:t>姓名</w:t>
            </w:r>
          </w:p>
        </w:tc>
        <w:tc>
          <w:tcPr>
            <w:tcW w:w="1417" w:type="dxa"/>
            <w:vAlign w:val="center"/>
          </w:tcPr>
          <w:p>
            <w:pPr>
              <w:adjustRightInd w:val="0"/>
              <w:snapToGrid w:val="0"/>
              <w:rPr>
                <w:rFonts w:hAnsi="宋体"/>
                <w:szCs w:val="21"/>
              </w:rPr>
            </w:pPr>
          </w:p>
        </w:tc>
        <w:tc>
          <w:tcPr>
            <w:tcW w:w="1134" w:type="dxa"/>
            <w:vAlign w:val="center"/>
          </w:tcPr>
          <w:p>
            <w:pPr>
              <w:adjustRightInd w:val="0"/>
              <w:snapToGrid w:val="0"/>
              <w:rPr>
                <w:szCs w:val="21"/>
              </w:rPr>
            </w:pPr>
            <w:r>
              <w:rPr>
                <w:rFonts w:hint="eastAsia" w:hAnsi="宋体"/>
                <w:szCs w:val="21"/>
              </w:rPr>
              <w:t>年龄</w:t>
            </w:r>
          </w:p>
        </w:tc>
        <w:tc>
          <w:tcPr>
            <w:tcW w:w="1418" w:type="dxa"/>
            <w:vAlign w:val="center"/>
          </w:tcPr>
          <w:p>
            <w:pPr>
              <w:adjustRightInd w:val="0"/>
              <w:snapToGrid w:val="0"/>
              <w:rPr>
                <w:szCs w:val="21"/>
              </w:rPr>
            </w:pPr>
          </w:p>
        </w:tc>
        <w:tc>
          <w:tcPr>
            <w:tcW w:w="1984" w:type="dxa"/>
            <w:vAlign w:val="center"/>
          </w:tcPr>
          <w:p>
            <w:pPr>
              <w:adjustRightInd w:val="0"/>
              <w:snapToGrid w:val="0"/>
              <w:rPr>
                <w:szCs w:val="21"/>
              </w:rPr>
            </w:pPr>
            <w:r>
              <w:rPr>
                <w:rFonts w:hint="eastAsia" w:hAnsi="宋体"/>
                <w:szCs w:val="21"/>
              </w:rPr>
              <w:t>身份证号</w:t>
            </w:r>
          </w:p>
        </w:tc>
        <w:tc>
          <w:tcPr>
            <w:tcW w:w="1780" w:type="dxa"/>
            <w:tcBorders>
              <w:right w:val="single" w:color="auto" w:sz="12" w:space="0"/>
            </w:tcBorders>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01" w:type="dxa"/>
            <w:tcBorders>
              <w:left w:val="single" w:color="auto" w:sz="12" w:space="0"/>
            </w:tcBorders>
            <w:vAlign w:val="center"/>
          </w:tcPr>
          <w:p>
            <w:pPr>
              <w:adjustRightInd w:val="0"/>
              <w:snapToGrid w:val="0"/>
              <w:rPr>
                <w:szCs w:val="21"/>
              </w:rPr>
            </w:pPr>
            <w:r>
              <w:rPr>
                <w:rFonts w:hint="eastAsia" w:hAnsi="宋体"/>
                <w:szCs w:val="21"/>
              </w:rPr>
              <w:t>职务</w:t>
            </w:r>
          </w:p>
        </w:tc>
        <w:tc>
          <w:tcPr>
            <w:tcW w:w="1417" w:type="dxa"/>
            <w:vAlign w:val="center"/>
          </w:tcPr>
          <w:p>
            <w:pPr>
              <w:adjustRightInd w:val="0"/>
              <w:snapToGrid w:val="0"/>
              <w:rPr>
                <w:rFonts w:hAnsi="宋体"/>
                <w:strike/>
                <w:szCs w:val="21"/>
              </w:rPr>
            </w:pPr>
          </w:p>
        </w:tc>
        <w:tc>
          <w:tcPr>
            <w:tcW w:w="1134" w:type="dxa"/>
            <w:vAlign w:val="center"/>
          </w:tcPr>
          <w:p>
            <w:pPr>
              <w:adjustRightInd w:val="0"/>
              <w:snapToGrid w:val="0"/>
              <w:rPr>
                <w:szCs w:val="21"/>
              </w:rPr>
            </w:pPr>
            <w:r>
              <w:rPr>
                <w:rFonts w:hint="eastAsia" w:hAnsi="宋体"/>
                <w:szCs w:val="21"/>
              </w:rPr>
              <w:t>技术职称等级</w:t>
            </w:r>
          </w:p>
        </w:tc>
        <w:tc>
          <w:tcPr>
            <w:tcW w:w="1418" w:type="dxa"/>
            <w:vAlign w:val="center"/>
          </w:tcPr>
          <w:p>
            <w:pPr>
              <w:adjustRightInd w:val="0"/>
              <w:snapToGrid w:val="0"/>
              <w:rPr>
                <w:szCs w:val="21"/>
              </w:rPr>
            </w:pPr>
          </w:p>
        </w:tc>
        <w:tc>
          <w:tcPr>
            <w:tcW w:w="1984" w:type="dxa"/>
            <w:vAlign w:val="center"/>
          </w:tcPr>
          <w:p>
            <w:pPr>
              <w:adjustRightInd w:val="0"/>
              <w:snapToGrid w:val="0"/>
              <w:rPr>
                <w:szCs w:val="21"/>
              </w:rPr>
            </w:pPr>
            <w:r>
              <w:rPr>
                <w:rFonts w:hint="eastAsia" w:hAnsi="宋体"/>
                <w:szCs w:val="21"/>
              </w:rPr>
              <w:t>职称</w:t>
            </w:r>
            <w:r>
              <w:rPr>
                <w:rFonts w:hint="eastAsia"/>
                <w:szCs w:val="21"/>
              </w:rPr>
              <w:t>专业</w:t>
            </w:r>
          </w:p>
        </w:tc>
        <w:tc>
          <w:tcPr>
            <w:tcW w:w="1780" w:type="dxa"/>
            <w:tcBorders>
              <w:right w:val="single" w:color="auto" w:sz="12" w:space="0"/>
            </w:tcBorders>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01" w:type="dxa"/>
            <w:tcBorders>
              <w:left w:val="single" w:color="auto" w:sz="12" w:space="0"/>
            </w:tcBorders>
            <w:vAlign w:val="center"/>
          </w:tcPr>
          <w:p>
            <w:pPr>
              <w:adjustRightInd w:val="0"/>
              <w:snapToGrid w:val="0"/>
              <w:rPr>
                <w:rFonts w:hAnsi="宋体"/>
                <w:szCs w:val="21"/>
              </w:rPr>
            </w:pPr>
            <w:r>
              <w:rPr>
                <w:rFonts w:hint="eastAsia" w:hAnsi="宋体"/>
                <w:szCs w:val="21"/>
              </w:rPr>
              <w:t>专业工作时间</w:t>
            </w:r>
          </w:p>
        </w:tc>
        <w:tc>
          <w:tcPr>
            <w:tcW w:w="1417" w:type="dxa"/>
            <w:vAlign w:val="center"/>
          </w:tcPr>
          <w:p>
            <w:pPr>
              <w:adjustRightInd w:val="0"/>
              <w:snapToGrid w:val="0"/>
              <w:rPr>
                <w:rFonts w:hAnsi="宋体"/>
                <w:szCs w:val="21"/>
              </w:rPr>
            </w:pPr>
          </w:p>
        </w:tc>
        <w:tc>
          <w:tcPr>
            <w:tcW w:w="1134" w:type="dxa"/>
            <w:vAlign w:val="center"/>
          </w:tcPr>
          <w:p>
            <w:pPr>
              <w:adjustRightInd w:val="0"/>
              <w:snapToGrid w:val="0"/>
              <w:rPr>
                <w:rFonts w:hAnsi="宋体"/>
                <w:szCs w:val="21"/>
              </w:rPr>
            </w:pPr>
            <w:r>
              <w:rPr>
                <w:rFonts w:hint="eastAsia" w:hAnsi="宋体"/>
                <w:szCs w:val="21"/>
              </w:rPr>
              <w:t>学历</w:t>
            </w:r>
          </w:p>
        </w:tc>
        <w:tc>
          <w:tcPr>
            <w:tcW w:w="1418" w:type="dxa"/>
            <w:vAlign w:val="center"/>
          </w:tcPr>
          <w:p>
            <w:pPr>
              <w:adjustRightInd w:val="0"/>
              <w:snapToGrid w:val="0"/>
              <w:rPr>
                <w:rFonts w:hAnsi="宋体"/>
                <w:szCs w:val="21"/>
              </w:rPr>
            </w:pPr>
          </w:p>
        </w:tc>
        <w:tc>
          <w:tcPr>
            <w:tcW w:w="1984" w:type="dxa"/>
            <w:vAlign w:val="center"/>
          </w:tcPr>
          <w:p>
            <w:pPr>
              <w:adjustRightInd w:val="0"/>
              <w:snapToGrid w:val="0"/>
              <w:rPr>
                <w:rFonts w:hAnsi="宋体"/>
                <w:szCs w:val="21"/>
              </w:rPr>
            </w:pPr>
            <w:r>
              <w:rPr>
                <w:rFonts w:hint="eastAsia"/>
                <w:szCs w:val="21"/>
              </w:rPr>
              <w:t>学历</w:t>
            </w:r>
            <w:r>
              <w:rPr>
                <w:rFonts w:hint="eastAsia" w:hAnsi="宋体"/>
                <w:szCs w:val="21"/>
              </w:rPr>
              <w:t>专业</w:t>
            </w:r>
          </w:p>
        </w:tc>
        <w:tc>
          <w:tcPr>
            <w:tcW w:w="1780" w:type="dxa"/>
            <w:vAlign w:val="center"/>
          </w:tcPr>
          <w:p>
            <w:pPr>
              <w:adjustRightInd w:val="0"/>
              <w:snapToGrid w:val="0"/>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101" w:type="dxa"/>
            <w:tcBorders>
              <w:left w:val="single" w:color="auto" w:sz="12" w:space="0"/>
            </w:tcBorders>
            <w:vAlign w:val="center"/>
          </w:tcPr>
          <w:p>
            <w:pPr>
              <w:adjustRightInd w:val="0"/>
              <w:snapToGrid w:val="0"/>
              <w:rPr>
                <w:rFonts w:hAnsi="宋体"/>
                <w:szCs w:val="21"/>
              </w:rPr>
            </w:pPr>
            <w:r>
              <w:rPr>
                <w:rFonts w:hint="eastAsia"/>
                <w:szCs w:val="21"/>
              </w:rPr>
              <w:t>岗位证书</w:t>
            </w:r>
          </w:p>
        </w:tc>
        <w:tc>
          <w:tcPr>
            <w:tcW w:w="2551" w:type="dxa"/>
            <w:gridSpan w:val="2"/>
            <w:vAlign w:val="center"/>
          </w:tcPr>
          <w:p>
            <w:pPr>
              <w:adjustRightInd w:val="0"/>
              <w:snapToGrid w:val="0"/>
              <w:rPr>
                <w:rFonts w:hAnsi="宋体"/>
                <w:szCs w:val="21"/>
              </w:rPr>
            </w:pPr>
          </w:p>
        </w:tc>
        <w:tc>
          <w:tcPr>
            <w:tcW w:w="1418" w:type="dxa"/>
            <w:vAlign w:val="center"/>
          </w:tcPr>
          <w:p>
            <w:pPr>
              <w:adjustRightInd w:val="0"/>
              <w:snapToGrid w:val="0"/>
              <w:rPr>
                <w:rFonts w:hAnsi="宋体"/>
                <w:szCs w:val="21"/>
              </w:rPr>
            </w:pPr>
            <w:r>
              <w:rPr>
                <w:rFonts w:hint="eastAsia"/>
                <w:szCs w:val="21"/>
              </w:rPr>
              <w:t>资格证书编号</w:t>
            </w:r>
          </w:p>
        </w:tc>
        <w:tc>
          <w:tcPr>
            <w:tcW w:w="3764" w:type="dxa"/>
            <w:gridSpan w:val="2"/>
            <w:vAlign w:val="center"/>
          </w:tcPr>
          <w:p>
            <w:pPr>
              <w:adjustRightInd w:val="0"/>
              <w:snapToGrid w:val="0"/>
              <w:rPr>
                <w:rFonts w:hAnsi="宋体"/>
                <w:szCs w:val="21"/>
              </w:rPr>
            </w:pPr>
          </w:p>
        </w:tc>
      </w:tr>
    </w:tbl>
    <w:p/>
    <w:p>
      <w:pPr>
        <w:tabs>
          <w:tab w:val="left" w:pos="434"/>
        </w:tabs>
        <w:snapToGrid w:val="0"/>
        <w:spacing w:before="84" w:beforeLines="35"/>
        <w:rPr>
          <w:rFonts w:hAnsi="宋体"/>
          <w:szCs w:val="21"/>
          <w:u w:color="C00000"/>
        </w:rPr>
      </w:pPr>
      <w:r>
        <w:rPr>
          <w:rFonts w:hint="eastAsia" w:hAnsi="宋体"/>
          <w:szCs w:val="21"/>
          <w:u w:color="C00000"/>
        </w:rPr>
        <w:t>注：</w:t>
      </w:r>
      <w:r>
        <w:rPr>
          <w:rFonts w:hAnsi="宋体"/>
          <w:szCs w:val="21"/>
          <w:u w:color="C00000"/>
        </w:rPr>
        <w:tab/>
      </w:r>
      <w:r>
        <w:rPr>
          <w:rFonts w:hAnsi="宋体"/>
          <w:szCs w:val="21"/>
          <w:u w:color="C00000"/>
        </w:rPr>
        <w:t xml:space="preserve">1. </w:t>
      </w:r>
      <w:r>
        <w:rPr>
          <w:rFonts w:hint="eastAsia" w:hAnsi="宋体"/>
          <w:szCs w:val="21"/>
          <w:u w:color="C00000"/>
        </w:rPr>
        <w:t>需填报本表的主要人员包括表</w:t>
      </w:r>
      <w:r>
        <w:rPr>
          <w:rFonts w:hAnsi="宋体"/>
          <w:szCs w:val="21"/>
          <w:u w:color="C00000"/>
        </w:rPr>
        <w:t>3</w:t>
      </w:r>
      <w:r>
        <w:rPr>
          <w:rFonts w:hint="eastAsia" w:hAnsi="宋体"/>
          <w:szCs w:val="21"/>
          <w:u w:color="C00000"/>
        </w:rPr>
        <w:t>中除项目负责人和技术负责人以外的所有人员。</w:t>
      </w:r>
    </w:p>
    <w:p>
      <w:pPr>
        <w:snapToGrid w:val="0"/>
        <w:spacing w:before="84" w:beforeLines="35"/>
        <w:ind w:left="686" w:leftChars="211" w:hanging="243" w:hangingChars="116"/>
        <w:rPr>
          <w:rFonts w:hAnsi="宋体"/>
          <w:szCs w:val="21"/>
          <w:u w:color="C00000"/>
        </w:rPr>
      </w:pPr>
    </w:p>
    <w:p>
      <w:pPr>
        <w:snapToGrid w:val="0"/>
        <w:spacing w:before="84" w:beforeLines="35"/>
        <w:ind w:left="686" w:leftChars="211" w:hanging="243" w:hangingChars="116"/>
        <w:rPr>
          <w:rFonts w:hAnsi="宋体"/>
          <w:szCs w:val="21"/>
          <w:u w:color="C00000"/>
        </w:rPr>
      </w:pPr>
    </w:p>
    <w:p>
      <w:pPr>
        <w:snapToGrid w:val="0"/>
        <w:spacing w:before="84" w:beforeLines="35"/>
        <w:ind w:left="686" w:leftChars="211" w:hanging="243" w:hangingChars="116"/>
        <w:rPr>
          <w:rFonts w:hAnsi="宋体"/>
          <w:szCs w:val="21"/>
          <w:u w:color="C00000"/>
        </w:rPr>
      </w:pPr>
    </w:p>
    <w:p>
      <w:pPr>
        <w:rPr>
          <w:sz w:val="24"/>
        </w:rPr>
      </w:pPr>
    </w:p>
    <w:p>
      <w:pPr>
        <w:rPr>
          <w:sz w:val="24"/>
        </w:rPr>
      </w:pPr>
    </w:p>
    <w:p>
      <w:pPr>
        <w:rPr>
          <w:sz w:val="24"/>
        </w:rPr>
      </w:pPr>
      <w:r>
        <w:rPr>
          <w:sz w:val="24"/>
        </w:rPr>
        <w:br w:type="page"/>
      </w:r>
    </w:p>
    <w:p>
      <w:pPr>
        <w:pStyle w:val="6"/>
        <w:rPr>
          <w:b w:val="0"/>
          <w:sz w:val="30"/>
          <w:szCs w:val="30"/>
        </w:rPr>
      </w:pPr>
      <w:bookmarkStart w:id="1548" w:name="_Toc410849494"/>
      <w:bookmarkStart w:id="1549" w:name="_Toc455409888"/>
      <w:bookmarkStart w:id="1550" w:name="_Toc470011365"/>
      <w:r>
        <w:rPr>
          <w:rFonts w:hint="eastAsia"/>
          <w:b w:val="0"/>
          <w:sz w:val="30"/>
          <w:szCs w:val="30"/>
        </w:rPr>
        <w:t>表</w:t>
      </w:r>
      <w:r>
        <w:rPr>
          <w:b w:val="0"/>
          <w:sz w:val="30"/>
          <w:szCs w:val="30"/>
        </w:rPr>
        <w:t>7.</w:t>
      </w:r>
      <w:r>
        <w:rPr>
          <w:rFonts w:hAnsi="宋体"/>
          <w:b w:val="0"/>
          <w:sz w:val="30"/>
          <w:szCs w:val="30"/>
        </w:rPr>
        <w:t>7</w:t>
      </w:r>
      <w:r>
        <w:rPr>
          <w:rFonts w:hAnsi="宋体"/>
          <w:b w:val="0"/>
          <w:sz w:val="30"/>
          <w:szCs w:val="30"/>
        </w:rPr>
        <w:tab/>
      </w:r>
      <w:r>
        <w:rPr>
          <w:rFonts w:hAnsi="宋体"/>
          <w:b w:val="0"/>
          <w:sz w:val="30"/>
          <w:szCs w:val="30"/>
        </w:rPr>
        <w:t>--</w:t>
      </w:r>
      <w:r>
        <w:rPr>
          <w:rFonts w:hint="eastAsia"/>
          <w:b w:val="0"/>
          <w:sz w:val="30"/>
          <w:szCs w:val="30"/>
        </w:rPr>
        <w:t>近年已完成的类似项目情况表</w:t>
      </w:r>
      <w:bookmarkEnd w:id="1548"/>
      <w:bookmarkEnd w:id="1549"/>
      <w:bookmarkEnd w:id="1550"/>
    </w:p>
    <w:tbl>
      <w:tblPr>
        <w:tblStyle w:val="4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2160"/>
        <w:gridCol w:w="1620"/>
        <w:gridCol w:w="26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tcBorders>
              <w:top w:val="single" w:color="auto" w:sz="8" w:space="0"/>
            </w:tcBorders>
            <w:vAlign w:val="center"/>
          </w:tcPr>
          <w:p>
            <w:pPr>
              <w:rPr>
                <w:szCs w:val="21"/>
              </w:rPr>
            </w:pPr>
            <w:r>
              <w:rPr>
                <w:rFonts w:hint="eastAsia"/>
                <w:szCs w:val="21"/>
              </w:rPr>
              <w:t>项目名称</w:t>
            </w:r>
          </w:p>
        </w:tc>
        <w:tc>
          <w:tcPr>
            <w:tcW w:w="6452" w:type="dxa"/>
            <w:gridSpan w:val="3"/>
            <w:tcBorders>
              <w:top w:val="single" w:color="auto" w:sz="8" w:space="0"/>
            </w:tcBorders>
            <w:vAlign w:val="center"/>
          </w:tcPr>
          <w:p>
            <w:pP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vAlign w:val="center"/>
          </w:tcPr>
          <w:p>
            <w:pPr>
              <w:rPr>
                <w:szCs w:val="21"/>
              </w:rPr>
            </w:pPr>
            <w:r>
              <w:rPr>
                <w:rFonts w:hint="eastAsia"/>
                <w:szCs w:val="21"/>
              </w:rPr>
              <w:t>项目类型</w:t>
            </w:r>
          </w:p>
        </w:tc>
        <w:tc>
          <w:tcPr>
            <w:tcW w:w="6452" w:type="dxa"/>
            <w:gridSpan w:val="3"/>
            <w:vAlign w:val="center"/>
          </w:tcPr>
          <w:p>
            <w:pP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vAlign w:val="center"/>
          </w:tcPr>
          <w:p>
            <w:pPr>
              <w:rPr>
                <w:szCs w:val="21"/>
              </w:rPr>
            </w:pPr>
            <w:r>
              <w:rPr>
                <w:rFonts w:hint="eastAsia"/>
                <w:szCs w:val="21"/>
              </w:rPr>
              <w:t>项目所在地</w:t>
            </w:r>
          </w:p>
        </w:tc>
        <w:tc>
          <w:tcPr>
            <w:tcW w:w="6452" w:type="dxa"/>
            <w:gridSpan w:val="3"/>
            <w:vAlign w:val="center"/>
          </w:tcPr>
          <w:p>
            <w:pP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vAlign w:val="center"/>
          </w:tcPr>
          <w:p>
            <w:pPr>
              <w:rPr>
                <w:szCs w:val="21"/>
              </w:rPr>
            </w:pPr>
            <w:r>
              <w:rPr>
                <w:rFonts w:hint="eastAsia"/>
                <w:szCs w:val="21"/>
              </w:rPr>
              <w:t>建设规模</w:t>
            </w:r>
            <w:r>
              <w:rPr>
                <w:szCs w:val="21"/>
              </w:rPr>
              <w:t>(</w:t>
            </w:r>
            <w:r>
              <w:rPr>
                <w:rFonts w:hint="eastAsia"/>
                <w:szCs w:val="21"/>
              </w:rPr>
              <w:t>平方米</w:t>
            </w:r>
            <w:r>
              <w:rPr>
                <w:szCs w:val="21"/>
              </w:rPr>
              <w:t>)</w:t>
            </w:r>
          </w:p>
        </w:tc>
        <w:tc>
          <w:tcPr>
            <w:tcW w:w="6452" w:type="dxa"/>
            <w:gridSpan w:val="3"/>
            <w:vAlign w:val="center"/>
          </w:tcPr>
          <w:p>
            <w:pP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vAlign w:val="center"/>
          </w:tcPr>
          <w:p>
            <w:pPr>
              <w:rPr>
                <w:szCs w:val="21"/>
              </w:rPr>
            </w:pPr>
            <w:r>
              <w:rPr>
                <w:rFonts w:hint="eastAsia"/>
                <w:szCs w:val="21"/>
              </w:rPr>
              <w:t>发包人名称</w:t>
            </w:r>
          </w:p>
        </w:tc>
        <w:tc>
          <w:tcPr>
            <w:tcW w:w="6452" w:type="dxa"/>
            <w:gridSpan w:val="3"/>
            <w:vAlign w:val="center"/>
          </w:tcPr>
          <w:p>
            <w:pP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vAlign w:val="center"/>
          </w:tcPr>
          <w:p>
            <w:pPr>
              <w:rPr>
                <w:szCs w:val="21"/>
              </w:rPr>
            </w:pPr>
            <w:r>
              <w:rPr>
                <w:rFonts w:hint="eastAsia"/>
                <w:szCs w:val="21"/>
              </w:rPr>
              <w:t>发包人联系人</w:t>
            </w:r>
          </w:p>
        </w:tc>
        <w:tc>
          <w:tcPr>
            <w:tcW w:w="2160" w:type="dxa"/>
            <w:vAlign w:val="center"/>
          </w:tcPr>
          <w:p>
            <w:pPr>
              <w:rPr>
                <w:szCs w:val="21"/>
              </w:rPr>
            </w:pPr>
          </w:p>
        </w:tc>
        <w:tc>
          <w:tcPr>
            <w:tcW w:w="1620" w:type="dxa"/>
            <w:vAlign w:val="center"/>
          </w:tcPr>
          <w:p>
            <w:pPr>
              <w:rPr>
                <w:szCs w:val="21"/>
              </w:rPr>
            </w:pPr>
            <w:r>
              <w:rPr>
                <w:rFonts w:hint="eastAsia"/>
                <w:szCs w:val="21"/>
              </w:rPr>
              <w:t>联系电话</w:t>
            </w:r>
          </w:p>
        </w:tc>
        <w:tc>
          <w:tcPr>
            <w:tcW w:w="2672" w:type="dxa"/>
            <w:vAlign w:val="center"/>
          </w:tcPr>
          <w:p>
            <w:pP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vAlign w:val="center"/>
          </w:tcPr>
          <w:p>
            <w:pPr>
              <w:adjustRightInd w:val="0"/>
              <w:snapToGrid w:val="0"/>
              <w:rPr>
                <w:szCs w:val="21"/>
              </w:rPr>
            </w:pPr>
            <w:r>
              <w:rPr>
                <w:rFonts w:hint="eastAsia"/>
                <w:szCs w:val="21"/>
              </w:rPr>
              <w:t>竣工合同价</w:t>
            </w:r>
            <w:r>
              <w:rPr>
                <w:szCs w:val="21"/>
              </w:rPr>
              <w:t>(</w:t>
            </w:r>
            <w:r>
              <w:rPr>
                <w:rFonts w:hint="eastAsia"/>
                <w:szCs w:val="21"/>
              </w:rPr>
              <w:t>元</w:t>
            </w:r>
            <w:r>
              <w:rPr>
                <w:szCs w:val="21"/>
              </w:rPr>
              <w:t>)</w:t>
            </w:r>
          </w:p>
        </w:tc>
        <w:tc>
          <w:tcPr>
            <w:tcW w:w="6452" w:type="dxa"/>
            <w:gridSpan w:val="3"/>
            <w:vAlign w:val="center"/>
          </w:tcPr>
          <w:p>
            <w:pP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vAlign w:val="center"/>
          </w:tcPr>
          <w:p>
            <w:pPr>
              <w:rPr>
                <w:szCs w:val="21"/>
              </w:rPr>
            </w:pPr>
            <w:r>
              <w:rPr>
                <w:rFonts w:hint="eastAsia"/>
                <w:szCs w:val="21"/>
              </w:rPr>
              <w:t>开工日期</w:t>
            </w:r>
          </w:p>
        </w:tc>
        <w:tc>
          <w:tcPr>
            <w:tcW w:w="6452" w:type="dxa"/>
            <w:gridSpan w:val="3"/>
            <w:vAlign w:val="center"/>
          </w:tcPr>
          <w:p>
            <w:pP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vAlign w:val="center"/>
          </w:tcPr>
          <w:p>
            <w:pPr>
              <w:rPr>
                <w:szCs w:val="21"/>
              </w:rPr>
            </w:pPr>
            <w:r>
              <w:rPr>
                <w:rFonts w:hint="eastAsia"/>
                <w:szCs w:val="21"/>
              </w:rPr>
              <w:t>竣工验收日期</w:t>
            </w:r>
          </w:p>
        </w:tc>
        <w:tc>
          <w:tcPr>
            <w:tcW w:w="6452" w:type="dxa"/>
            <w:gridSpan w:val="3"/>
            <w:vAlign w:val="center"/>
          </w:tcPr>
          <w:p>
            <w:pP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vAlign w:val="center"/>
          </w:tcPr>
          <w:p>
            <w:pPr>
              <w:rPr>
                <w:szCs w:val="21"/>
              </w:rPr>
            </w:pPr>
            <w:r>
              <w:rPr>
                <w:rFonts w:hint="eastAsia"/>
                <w:szCs w:val="21"/>
              </w:rPr>
              <w:t>建设内容</w:t>
            </w:r>
          </w:p>
        </w:tc>
        <w:tc>
          <w:tcPr>
            <w:tcW w:w="6452" w:type="dxa"/>
            <w:gridSpan w:val="3"/>
            <w:vAlign w:val="center"/>
          </w:tcPr>
          <w:p>
            <w:pP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vAlign w:val="center"/>
          </w:tcPr>
          <w:p>
            <w:pPr>
              <w:rPr>
                <w:szCs w:val="21"/>
              </w:rPr>
            </w:pPr>
            <w:r>
              <w:rPr>
                <w:rFonts w:hint="eastAsia"/>
                <w:szCs w:val="21"/>
              </w:rPr>
              <w:t>工程质量</w:t>
            </w:r>
          </w:p>
        </w:tc>
        <w:tc>
          <w:tcPr>
            <w:tcW w:w="6452" w:type="dxa"/>
            <w:gridSpan w:val="3"/>
            <w:vAlign w:val="center"/>
          </w:tcPr>
          <w:p>
            <w:pP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vAlign w:val="center"/>
          </w:tcPr>
          <w:p>
            <w:pPr>
              <w:rPr>
                <w:szCs w:val="21"/>
              </w:rPr>
            </w:pPr>
            <w:r>
              <w:rPr>
                <w:rFonts w:hint="eastAsia"/>
                <w:szCs w:val="21"/>
              </w:rPr>
              <w:t>项目负责人</w:t>
            </w:r>
          </w:p>
        </w:tc>
        <w:tc>
          <w:tcPr>
            <w:tcW w:w="2160" w:type="dxa"/>
            <w:vAlign w:val="center"/>
          </w:tcPr>
          <w:p>
            <w:pPr>
              <w:rPr>
                <w:szCs w:val="21"/>
              </w:rPr>
            </w:pPr>
          </w:p>
        </w:tc>
        <w:tc>
          <w:tcPr>
            <w:tcW w:w="1620" w:type="dxa"/>
            <w:vAlign w:val="center"/>
          </w:tcPr>
          <w:p>
            <w:pPr>
              <w:rPr>
                <w:szCs w:val="21"/>
              </w:rPr>
            </w:pPr>
            <w:r>
              <w:rPr>
                <w:rFonts w:hint="eastAsia"/>
                <w:szCs w:val="21"/>
              </w:rPr>
              <w:t>身份证号</w:t>
            </w:r>
          </w:p>
        </w:tc>
        <w:tc>
          <w:tcPr>
            <w:tcW w:w="2672" w:type="dxa"/>
            <w:vAlign w:val="center"/>
          </w:tcPr>
          <w:p>
            <w:pP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vAlign w:val="center"/>
          </w:tcPr>
          <w:p>
            <w:pPr>
              <w:rPr>
                <w:szCs w:val="21"/>
              </w:rPr>
            </w:pPr>
            <w:r>
              <w:rPr>
                <w:rFonts w:hint="eastAsia"/>
                <w:szCs w:val="21"/>
              </w:rPr>
              <w:t>技术负责人</w:t>
            </w:r>
          </w:p>
        </w:tc>
        <w:tc>
          <w:tcPr>
            <w:tcW w:w="2160" w:type="dxa"/>
            <w:vAlign w:val="center"/>
          </w:tcPr>
          <w:p>
            <w:pPr>
              <w:rPr>
                <w:szCs w:val="21"/>
              </w:rPr>
            </w:pPr>
          </w:p>
        </w:tc>
        <w:tc>
          <w:tcPr>
            <w:tcW w:w="1620" w:type="dxa"/>
            <w:vAlign w:val="center"/>
          </w:tcPr>
          <w:p>
            <w:pPr>
              <w:rPr>
                <w:szCs w:val="21"/>
              </w:rPr>
            </w:pPr>
            <w:r>
              <w:rPr>
                <w:rFonts w:hint="eastAsia"/>
                <w:szCs w:val="21"/>
              </w:rPr>
              <w:t>身份证号</w:t>
            </w:r>
          </w:p>
        </w:tc>
        <w:tc>
          <w:tcPr>
            <w:tcW w:w="2672" w:type="dxa"/>
            <w:vAlign w:val="center"/>
          </w:tcPr>
          <w:p>
            <w:pP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vAlign w:val="center"/>
          </w:tcPr>
          <w:p>
            <w:pPr>
              <w:rPr>
                <w:szCs w:val="21"/>
              </w:rPr>
            </w:pPr>
            <w:r>
              <w:rPr>
                <w:rFonts w:hint="eastAsia"/>
                <w:szCs w:val="21"/>
              </w:rPr>
              <w:t>总监理工程师</w:t>
            </w:r>
          </w:p>
        </w:tc>
        <w:tc>
          <w:tcPr>
            <w:tcW w:w="2160" w:type="dxa"/>
            <w:vAlign w:val="center"/>
          </w:tcPr>
          <w:p>
            <w:pPr>
              <w:rPr>
                <w:szCs w:val="21"/>
              </w:rPr>
            </w:pPr>
          </w:p>
        </w:tc>
        <w:tc>
          <w:tcPr>
            <w:tcW w:w="1620" w:type="dxa"/>
            <w:vAlign w:val="center"/>
          </w:tcPr>
          <w:p>
            <w:pPr>
              <w:rPr>
                <w:szCs w:val="21"/>
              </w:rPr>
            </w:pPr>
            <w:r>
              <w:rPr>
                <w:rFonts w:hint="eastAsia"/>
                <w:szCs w:val="21"/>
              </w:rPr>
              <w:t>联系方式</w:t>
            </w:r>
          </w:p>
        </w:tc>
        <w:tc>
          <w:tcPr>
            <w:tcW w:w="2672" w:type="dxa"/>
            <w:vAlign w:val="center"/>
          </w:tcPr>
          <w:p>
            <w:pPr>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268" w:type="dxa"/>
            <w:tcBorders>
              <w:bottom w:val="single" w:color="auto" w:sz="8" w:space="0"/>
            </w:tcBorders>
            <w:vAlign w:val="center"/>
          </w:tcPr>
          <w:p>
            <w:pPr>
              <w:rPr>
                <w:szCs w:val="21"/>
              </w:rPr>
            </w:pPr>
            <w:r>
              <w:rPr>
                <w:rFonts w:hint="eastAsia"/>
                <w:szCs w:val="21"/>
              </w:rPr>
              <w:t>备</w:t>
            </w:r>
            <w:r>
              <w:rPr>
                <w:szCs w:val="21"/>
              </w:rPr>
              <w:t xml:space="preserve">  </w:t>
            </w:r>
            <w:r>
              <w:rPr>
                <w:rFonts w:hint="eastAsia"/>
                <w:szCs w:val="21"/>
              </w:rPr>
              <w:t>注</w:t>
            </w:r>
          </w:p>
        </w:tc>
        <w:tc>
          <w:tcPr>
            <w:tcW w:w="6452" w:type="dxa"/>
            <w:gridSpan w:val="3"/>
            <w:tcBorders>
              <w:bottom w:val="single" w:color="auto" w:sz="8" w:space="0"/>
            </w:tcBorders>
            <w:vAlign w:val="center"/>
          </w:tcPr>
          <w:p>
            <w:pPr>
              <w:rPr>
                <w:szCs w:val="21"/>
              </w:rPr>
            </w:pPr>
          </w:p>
        </w:tc>
      </w:tr>
    </w:tbl>
    <w:p>
      <w:pPr>
        <w:pStyle w:val="4"/>
      </w:pPr>
    </w:p>
    <w:p>
      <w:pPr>
        <w:pStyle w:val="4"/>
      </w:pPr>
    </w:p>
    <w:p>
      <w:pPr>
        <w:snapToGrid w:val="0"/>
        <w:spacing w:line="400" w:lineRule="exact"/>
        <w:ind w:right="105"/>
        <w:jc w:val="right"/>
      </w:pPr>
    </w:p>
    <w:p>
      <w:pPr>
        <w:tabs>
          <w:tab w:val="left" w:pos="450"/>
          <w:tab w:val="left" w:pos="2456"/>
        </w:tabs>
        <w:snapToGrid w:val="0"/>
        <w:spacing w:after="84" w:afterLines="35" w:line="400" w:lineRule="exact"/>
        <w:jc w:val="left"/>
        <w:rPr>
          <w:sz w:val="32"/>
        </w:rPr>
      </w:pPr>
    </w:p>
    <w:p>
      <w:pPr>
        <w:tabs>
          <w:tab w:val="left" w:pos="450"/>
          <w:tab w:val="left" w:pos="2456"/>
        </w:tabs>
        <w:snapToGrid w:val="0"/>
        <w:spacing w:after="84" w:afterLines="35" w:line="400" w:lineRule="exact"/>
        <w:jc w:val="left"/>
        <w:rPr>
          <w:sz w:val="32"/>
        </w:rPr>
      </w:pPr>
    </w:p>
    <w:p>
      <w:pPr>
        <w:pStyle w:val="5"/>
        <w:rPr>
          <w:rFonts w:hAnsi="宋体"/>
          <w:sz w:val="30"/>
          <w:szCs w:val="30"/>
        </w:rPr>
      </w:pPr>
      <w:bookmarkStart w:id="1551" w:name="_Toc455409889"/>
      <w:bookmarkStart w:id="1552" w:name="_Toc396818247"/>
      <w:bookmarkStart w:id="1553" w:name="_Toc419547404"/>
      <w:bookmarkStart w:id="1554" w:name="_Toc419547950"/>
      <w:bookmarkStart w:id="1555" w:name="_Toc470011366"/>
      <w:bookmarkStart w:id="1556" w:name="_Toc249901965"/>
      <w:bookmarkStart w:id="1557" w:name="_Toc381265963"/>
      <w:bookmarkStart w:id="1558" w:name="_Toc247566606"/>
      <w:bookmarkStart w:id="1559" w:name="_Toc247388155"/>
      <w:bookmarkStart w:id="1560" w:name="_Toc258414752"/>
      <w:r>
        <w:rPr>
          <w:rFonts w:hint="eastAsia" w:hAnsi="宋体"/>
          <w:sz w:val="30"/>
          <w:szCs w:val="30"/>
        </w:rPr>
        <w:t>八、拟分包工程情况</w:t>
      </w:r>
    </w:p>
    <w:p>
      <w:pPr>
        <w:pStyle w:val="4"/>
        <w:rPr>
          <w:rFonts w:hAnsi="宋体"/>
          <w:kern w:val="2"/>
          <w:sz w:val="24"/>
          <w:szCs w:val="24"/>
        </w:rPr>
      </w:pPr>
      <w:r>
        <w:rPr>
          <w:rFonts w:hint="eastAsia" w:hAnsi="宋体"/>
          <w:kern w:val="2"/>
          <w:sz w:val="24"/>
          <w:szCs w:val="24"/>
        </w:rPr>
        <w:t>投标人在编制投标文件时，告知招标人：投标人拟在中标后将中标工程的部分非主体、非关键性工作进行分包的，请附分包内容、分包金额接受分包的分包人资格、分包内容等相关说明，格式自拟。</w:t>
      </w:r>
    </w:p>
    <w:p>
      <w:pPr>
        <w:pStyle w:val="4"/>
        <w:rPr>
          <w:rFonts w:hAnsi="宋体"/>
          <w:kern w:val="2"/>
          <w:sz w:val="24"/>
          <w:szCs w:val="24"/>
        </w:rPr>
      </w:pPr>
      <w:r>
        <w:rPr>
          <w:rFonts w:hAnsi="宋体"/>
          <w:kern w:val="2"/>
          <w:sz w:val="24"/>
          <w:szCs w:val="24"/>
        </w:rPr>
        <w:t xml:space="preserve"> </w:t>
      </w:r>
      <w:r>
        <w:rPr>
          <w:rFonts w:hint="eastAsia" w:hAnsi="宋体"/>
          <w:kern w:val="2"/>
          <w:sz w:val="24"/>
          <w:szCs w:val="24"/>
        </w:rPr>
        <w:t>如本项目不需要分包，则无需提供相关资料。</w:t>
      </w:r>
    </w:p>
    <w:p>
      <w:pPr>
        <w:pStyle w:val="4"/>
        <w:rPr>
          <w:rFonts w:hAnsi="宋体"/>
          <w:kern w:val="2"/>
          <w:sz w:val="24"/>
          <w:szCs w:val="24"/>
        </w:rPr>
      </w:pPr>
    </w:p>
    <w:p>
      <w:pPr>
        <w:pStyle w:val="4"/>
        <w:rPr>
          <w:rFonts w:hAnsi="宋体"/>
          <w:kern w:val="2"/>
          <w:sz w:val="24"/>
          <w:szCs w:val="24"/>
        </w:rPr>
      </w:pPr>
    </w:p>
    <w:p>
      <w:pPr>
        <w:pStyle w:val="4"/>
        <w:rPr>
          <w:rFonts w:hAnsi="宋体"/>
          <w:kern w:val="2"/>
          <w:sz w:val="24"/>
          <w:szCs w:val="24"/>
        </w:rPr>
      </w:pPr>
    </w:p>
    <w:p>
      <w:pPr>
        <w:pStyle w:val="4"/>
        <w:rPr>
          <w:rFonts w:hAnsi="宋体"/>
          <w:kern w:val="2"/>
          <w:sz w:val="24"/>
          <w:szCs w:val="24"/>
        </w:rPr>
      </w:pPr>
    </w:p>
    <w:p>
      <w:pPr>
        <w:pStyle w:val="4"/>
        <w:rPr>
          <w:rFonts w:hAnsi="宋体"/>
          <w:kern w:val="2"/>
          <w:sz w:val="24"/>
          <w:szCs w:val="24"/>
        </w:rPr>
      </w:pPr>
    </w:p>
    <w:p>
      <w:pPr>
        <w:pStyle w:val="4"/>
        <w:rPr>
          <w:rFonts w:hAnsi="宋体"/>
          <w:kern w:val="2"/>
          <w:sz w:val="24"/>
          <w:szCs w:val="24"/>
        </w:rPr>
      </w:pPr>
    </w:p>
    <w:p>
      <w:pPr>
        <w:pStyle w:val="4"/>
        <w:rPr>
          <w:rFonts w:hAnsi="宋体"/>
          <w:kern w:val="2"/>
          <w:sz w:val="24"/>
          <w:szCs w:val="24"/>
        </w:rPr>
      </w:pPr>
    </w:p>
    <w:p>
      <w:pPr>
        <w:pStyle w:val="4"/>
        <w:rPr>
          <w:rFonts w:hAnsi="宋体"/>
          <w:kern w:val="2"/>
          <w:sz w:val="24"/>
          <w:szCs w:val="24"/>
        </w:rPr>
      </w:pPr>
    </w:p>
    <w:p>
      <w:pPr>
        <w:pStyle w:val="4"/>
        <w:rPr>
          <w:rFonts w:hAnsi="宋体"/>
          <w:kern w:val="2"/>
          <w:sz w:val="24"/>
          <w:szCs w:val="24"/>
        </w:rPr>
      </w:pPr>
    </w:p>
    <w:p>
      <w:pPr>
        <w:pStyle w:val="4"/>
        <w:rPr>
          <w:rFonts w:hAnsi="宋体"/>
          <w:kern w:val="2"/>
          <w:sz w:val="24"/>
          <w:szCs w:val="24"/>
        </w:rPr>
      </w:pPr>
    </w:p>
    <w:p>
      <w:pPr>
        <w:pStyle w:val="4"/>
        <w:rPr>
          <w:rFonts w:hAnsi="宋体"/>
          <w:kern w:val="2"/>
          <w:sz w:val="24"/>
          <w:szCs w:val="24"/>
        </w:rPr>
      </w:pPr>
    </w:p>
    <w:p>
      <w:pPr>
        <w:pStyle w:val="4"/>
        <w:rPr>
          <w:rFonts w:hAnsi="宋体"/>
          <w:kern w:val="2"/>
          <w:sz w:val="24"/>
          <w:szCs w:val="24"/>
        </w:rPr>
      </w:pPr>
    </w:p>
    <w:p>
      <w:pPr>
        <w:pStyle w:val="4"/>
        <w:rPr>
          <w:rFonts w:hAnsi="宋体"/>
          <w:kern w:val="2"/>
          <w:sz w:val="24"/>
          <w:szCs w:val="24"/>
        </w:rPr>
      </w:pPr>
    </w:p>
    <w:p>
      <w:pPr>
        <w:pStyle w:val="4"/>
        <w:rPr>
          <w:rFonts w:hAnsi="宋体"/>
          <w:kern w:val="2"/>
          <w:sz w:val="24"/>
          <w:szCs w:val="24"/>
        </w:rPr>
      </w:pPr>
    </w:p>
    <w:p>
      <w:pPr>
        <w:pStyle w:val="4"/>
        <w:rPr>
          <w:rFonts w:hAnsi="宋体"/>
          <w:kern w:val="2"/>
          <w:sz w:val="24"/>
          <w:szCs w:val="24"/>
        </w:rPr>
      </w:pPr>
    </w:p>
    <w:p>
      <w:pPr>
        <w:pStyle w:val="4"/>
        <w:rPr>
          <w:rFonts w:hAnsi="宋体"/>
          <w:kern w:val="2"/>
          <w:sz w:val="24"/>
          <w:szCs w:val="24"/>
        </w:rPr>
      </w:pPr>
    </w:p>
    <w:p>
      <w:pPr>
        <w:pStyle w:val="4"/>
        <w:rPr>
          <w:rFonts w:hAnsi="宋体"/>
          <w:kern w:val="2"/>
          <w:sz w:val="24"/>
          <w:szCs w:val="24"/>
        </w:rPr>
      </w:pPr>
    </w:p>
    <w:p>
      <w:pPr>
        <w:pStyle w:val="4"/>
        <w:rPr>
          <w:rFonts w:hAnsi="宋体"/>
          <w:kern w:val="2"/>
          <w:sz w:val="24"/>
          <w:szCs w:val="24"/>
        </w:rPr>
      </w:pPr>
    </w:p>
    <w:p>
      <w:pPr>
        <w:pStyle w:val="4"/>
        <w:rPr>
          <w:rFonts w:hAnsi="宋体"/>
          <w:kern w:val="2"/>
          <w:sz w:val="24"/>
          <w:szCs w:val="24"/>
        </w:rPr>
      </w:pPr>
    </w:p>
    <w:p>
      <w:pPr>
        <w:pStyle w:val="4"/>
        <w:rPr>
          <w:rFonts w:hAnsi="宋体"/>
          <w:kern w:val="2"/>
          <w:sz w:val="24"/>
          <w:szCs w:val="24"/>
        </w:rPr>
      </w:pPr>
    </w:p>
    <w:p>
      <w:pPr>
        <w:pStyle w:val="4"/>
        <w:rPr>
          <w:rFonts w:hAnsi="宋体"/>
          <w:kern w:val="2"/>
          <w:sz w:val="24"/>
          <w:szCs w:val="24"/>
        </w:rPr>
      </w:pPr>
    </w:p>
    <w:p>
      <w:pPr>
        <w:pStyle w:val="4"/>
        <w:rPr>
          <w:rFonts w:hAnsi="宋体"/>
          <w:kern w:val="2"/>
          <w:sz w:val="24"/>
          <w:szCs w:val="24"/>
        </w:rPr>
      </w:pPr>
    </w:p>
    <w:p>
      <w:pPr>
        <w:pStyle w:val="4"/>
        <w:rPr>
          <w:rFonts w:hAnsi="宋体"/>
          <w:kern w:val="2"/>
          <w:sz w:val="24"/>
          <w:szCs w:val="24"/>
        </w:rPr>
      </w:pPr>
    </w:p>
    <w:p>
      <w:pPr>
        <w:pStyle w:val="4"/>
        <w:rPr>
          <w:rFonts w:hAnsi="宋体"/>
          <w:kern w:val="2"/>
          <w:sz w:val="24"/>
          <w:szCs w:val="24"/>
        </w:rPr>
      </w:pPr>
    </w:p>
    <w:p>
      <w:pPr>
        <w:pStyle w:val="4"/>
        <w:rPr>
          <w:rFonts w:hAnsi="宋体"/>
          <w:kern w:val="2"/>
          <w:sz w:val="24"/>
          <w:szCs w:val="24"/>
        </w:rPr>
      </w:pPr>
    </w:p>
    <w:p>
      <w:pPr>
        <w:pStyle w:val="4"/>
        <w:rPr>
          <w:rFonts w:hAnsi="宋体"/>
          <w:kern w:val="2"/>
          <w:sz w:val="24"/>
          <w:szCs w:val="24"/>
        </w:rPr>
      </w:pPr>
    </w:p>
    <w:p>
      <w:pPr>
        <w:pStyle w:val="4"/>
        <w:rPr>
          <w:rFonts w:hAnsi="宋体"/>
          <w:kern w:val="2"/>
          <w:sz w:val="24"/>
          <w:szCs w:val="24"/>
        </w:rPr>
      </w:pPr>
    </w:p>
    <w:p>
      <w:pPr>
        <w:pStyle w:val="4"/>
        <w:rPr>
          <w:rFonts w:hAnsi="宋体"/>
          <w:kern w:val="2"/>
          <w:sz w:val="24"/>
          <w:szCs w:val="24"/>
        </w:rPr>
      </w:pPr>
    </w:p>
    <w:p>
      <w:pPr>
        <w:pStyle w:val="4"/>
        <w:rPr>
          <w:rFonts w:hAnsi="宋体"/>
          <w:kern w:val="2"/>
          <w:sz w:val="24"/>
          <w:szCs w:val="24"/>
        </w:rPr>
      </w:pPr>
    </w:p>
    <w:p>
      <w:pPr>
        <w:pStyle w:val="4"/>
        <w:rPr>
          <w:rFonts w:hAnsi="宋体"/>
          <w:kern w:val="2"/>
          <w:sz w:val="24"/>
          <w:szCs w:val="24"/>
        </w:rPr>
      </w:pPr>
    </w:p>
    <w:p>
      <w:pPr>
        <w:pStyle w:val="4"/>
        <w:rPr>
          <w:rFonts w:hAnsi="宋体"/>
          <w:kern w:val="2"/>
          <w:sz w:val="24"/>
          <w:szCs w:val="24"/>
        </w:rPr>
      </w:pPr>
    </w:p>
    <w:p>
      <w:pPr>
        <w:pStyle w:val="4"/>
        <w:rPr>
          <w:rFonts w:hAnsi="宋体"/>
          <w:kern w:val="2"/>
          <w:sz w:val="24"/>
          <w:szCs w:val="24"/>
        </w:rPr>
      </w:pPr>
    </w:p>
    <w:p>
      <w:pPr>
        <w:pStyle w:val="4"/>
        <w:rPr>
          <w:rFonts w:hAnsi="宋体"/>
          <w:kern w:val="2"/>
          <w:sz w:val="24"/>
          <w:szCs w:val="24"/>
        </w:rPr>
      </w:pPr>
    </w:p>
    <w:p>
      <w:pPr>
        <w:pStyle w:val="4"/>
        <w:rPr>
          <w:rFonts w:hAnsi="宋体"/>
          <w:kern w:val="2"/>
          <w:sz w:val="24"/>
          <w:szCs w:val="24"/>
        </w:rPr>
      </w:pPr>
    </w:p>
    <w:p>
      <w:pPr>
        <w:pStyle w:val="4"/>
        <w:rPr>
          <w:rFonts w:hAnsi="宋体"/>
          <w:kern w:val="2"/>
          <w:sz w:val="24"/>
          <w:szCs w:val="24"/>
        </w:rPr>
      </w:pPr>
    </w:p>
    <w:p>
      <w:pPr>
        <w:pStyle w:val="4"/>
        <w:rPr>
          <w:rFonts w:hAnsi="宋体"/>
          <w:kern w:val="2"/>
          <w:sz w:val="24"/>
          <w:szCs w:val="24"/>
        </w:rPr>
      </w:pPr>
    </w:p>
    <w:p>
      <w:pPr>
        <w:pStyle w:val="4"/>
        <w:rPr>
          <w:rFonts w:hAnsi="宋体"/>
          <w:kern w:val="2"/>
          <w:sz w:val="24"/>
          <w:szCs w:val="24"/>
        </w:rPr>
      </w:pPr>
    </w:p>
    <w:p>
      <w:pPr>
        <w:pStyle w:val="4"/>
        <w:rPr>
          <w:rFonts w:hAnsi="宋体"/>
          <w:kern w:val="2"/>
          <w:sz w:val="24"/>
          <w:szCs w:val="24"/>
        </w:rPr>
      </w:pPr>
    </w:p>
    <w:p>
      <w:pPr>
        <w:pStyle w:val="4"/>
        <w:rPr>
          <w:rFonts w:hAnsi="宋体"/>
          <w:kern w:val="2"/>
          <w:sz w:val="24"/>
          <w:szCs w:val="24"/>
        </w:rPr>
      </w:pPr>
    </w:p>
    <w:p>
      <w:pPr>
        <w:pStyle w:val="4"/>
        <w:rPr>
          <w:rFonts w:hAnsi="宋体"/>
          <w:kern w:val="2"/>
          <w:sz w:val="24"/>
          <w:szCs w:val="24"/>
        </w:rPr>
      </w:pPr>
    </w:p>
    <w:p>
      <w:pPr>
        <w:pStyle w:val="4"/>
        <w:rPr>
          <w:rFonts w:hAnsi="宋体"/>
          <w:kern w:val="2"/>
          <w:sz w:val="24"/>
          <w:szCs w:val="24"/>
        </w:rPr>
      </w:pPr>
    </w:p>
    <w:p>
      <w:pPr>
        <w:pStyle w:val="4"/>
        <w:rPr>
          <w:rFonts w:hAnsi="宋体"/>
          <w:kern w:val="2"/>
          <w:sz w:val="24"/>
          <w:szCs w:val="24"/>
        </w:rPr>
      </w:pPr>
    </w:p>
    <w:p>
      <w:pPr>
        <w:pStyle w:val="4"/>
        <w:rPr>
          <w:rFonts w:hAnsi="宋体"/>
          <w:kern w:val="2"/>
          <w:sz w:val="24"/>
          <w:szCs w:val="24"/>
        </w:rPr>
      </w:pPr>
    </w:p>
    <w:p>
      <w:pPr>
        <w:pStyle w:val="4"/>
        <w:rPr>
          <w:rFonts w:hAnsi="宋体"/>
          <w:kern w:val="2"/>
          <w:sz w:val="24"/>
          <w:szCs w:val="24"/>
        </w:rPr>
      </w:pPr>
    </w:p>
    <w:p>
      <w:pPr>
        <w:pStyle w:val="4"/>
        <w:rPr>
          <w:rFonts w:hAnsi="宋体"/>
          <w:kern w:val="2"/>
          <w:sz w:val="24"/>
          <w:szCs w:val="24"/>
        </w:rPr>
      </w:pPr>
    </w:p>
    <w:p>
      <w:pPr>
        <w:pStyle w:val="5"/>
        <w:rPr>
          <w:rFonts w:hAnsi="宋体"/>
          <w:b w:val="0"/>
          <w:sz w:val="30"/>
          <w:szCs w:val="30"/>
        </w:rPr>
      </w:pPr>
      <w:r>
        <w:rPr>
          <w:rFonts w:hint="eastAsia" w:hAnsi="宋体"/>
          <w:sz w:val="30"/>
          <w:szCs w:val="30"/>
        </w:rPr>
        <w:t>九、</w:t>
      </w:r>
      <w:bookmarkEnd w:id="1551"/>
      <w:bookmarkEnd w:id="1552"/>
      <w:bookmarkEnd w:id="1553"/>
      <w:bookmarkEnd w:id="1554"/>
      <w:bookmarkEnd w:id="1555"/>
      <w:r>
        <w:rPr>
          <w:rStyle w:val="106"/>
          <w:rFonts w:hint="eastAsia" w:ascii="宋体" w:hAnsi="宋体"/>
          <w:b/>
          <w:bCs/>
          <w:sz w:val="30"/>
          <w:szCs w:val="30"/>
        </w:rPr>
        <w:t>声明及承诺</w:t>
      </w:r>
    </w:p>
    <w:p>
      <w:pPr>
        <w:spacing w:after="84" w:line="420" w:lineRule="exact"/>
        <w:rPr>
          <w:rFonts w:hAnsi="宋体"/>
          <w:sz w:val="24"/>
        </w:rPr>
      </w:pPr>
      <w:r>
        <w:rPr>
          <w:rFonts w:hint="eastAsia" w:hAnsi="宋体"/>
          <w:sz w:val="24"/>
        </w:rPr>
        <w:t>声明书、承诺书或说明的格式由投标人自行拟定，但声明或承诺书的内容及法律效力应符合招标文件的要求，承诺书需加盖企业</w:t>
      </w:r>
      <w:r>
        <w:rPr>
          <w:rFonts w:hAnsi="宋体"/>
          <w:sz w:val="24"/>
        </w:rPr>
        <w:t>CA</w:t>
      </w:r>
      <w:r>
        <w:rPr>
          <w:rFonts w:hint="eastAsia" w:hAnsi="宋体"/>
          <w:sz w:val="24"/>
        </w:rPr>
        <w:t>电子印章和法定代表人个人</w:t>
      </w:r>
      <w:r>
        <w:rPr>
          <w:rFonts w:hAnsi="宋体"/>
          <w:sz w:val="24"/>
        </w:rPr>
        <w:t>CA</w:t>
      </w:r>
      <w:r>
        <w:rPr>
          <w:rFonts w:hint="eastAsia" w:hAnsi="宋体"/>
          <w:sz w:val="24"/>
        </w:rPr>
        <w:t>电子印章。</w:t>
      </w:r>
    </w:p>
    <w:p>
      <w:pPr>
        <w:spacing w:after="84" w:line="420" w:lineRule="exact"/>
        <w:rPr>
          <w:rFonts w:ascii="宋体"/>
          <w:b/>
          <w:bCs/>
          <w:sz w:val="28"/>
          <w:szCs w:val="28"/>
        </w:rPr>
      </w:pPr>
    </w:p>
    <w:p>
      <w:pPr>
        <w:spacing w:after="84" w:line="420" w:lineRule="exact"/>
        <w:rPr>
          <w:rFonts w:hAnsi="宋体"/>
          <w:b/>
          <w:sz w:val="24"/>
        </w:rPr>
      </w:pPr>
      <w:r>
        <w:rPr>
          <w:rFonts w:hint="eastAsia" w:hAnsi="宋体"/>
          <w:b/>
          <w:sz w:val="24"/>
        </w:rPr>
        <w:t>投标人根据实际情况告知招标人</w:t>
      </w:r>
    </w:p>
    <w:p>
      <w:pPr>
        <w:numPr>
          <w:ilvl w:val="0"/>
          <w:numId w:val="21"/>
        </w:numPr>
        <w:spacing w:after="84" w:line="420" w:lineRule="exact"/>
        <w:ind w:left="0" w:firstLine="0"/>
        <w:rPr>
          <w:rFonts w:hAnsi="宋体"/>
          <w:sz w:val="24"/>
        </w:rPr>
      </w:pPr>
      <w:r>
        <w:rPr>
          <w:rFonts w:hint="eastAsia" w:hAnsi="宋体"/>
          <w:sz w:val="24"/>
        </w:rPr>
        <w:t>投标人拟派本工程的项目负责人是否同时在其他在建施工项目中担任项目负责人或其他职务。</w:t>
      </w:r>
    </w:p>
    <w:p>
      <w:pPr>
        <w:pStyle w:val="21"/>
        <w:topLinePunct/>
        <w:snapToGrid w:val="0"/>
        <w:spacing w:line="420" w:lineRule="exact"/>
        <w:jc w:val="left"/>
        <w:rPr>
          <w:rFonts w:hAnsi="宋体"/>
          <w:sz w:val="24"/>
          <w:szCs w:val="24"/>
        </w:rPr>
      </w:pPr>
      <w:r>
        <w:rPr>
          <w:rFonts w:hAnsi="宋体"/>
          <w:sz w:val="24"/>
          <w:szCs w:val="24"/>
        </w:rPr>
        <w:t>2</w:t>
      </w:r>
      <w:r>
        <w:rPr>
          <w:rFonts w:hint="eastAsia" w:hAnsi="宋体"/>
          <w:sz w:val="24"/>
        </w:rPr>
        <w:t>．</w:t>
      </w:r>
      <w:r>
        <w:rPr>
          <w:rFonts w:hint="eastAsia" w:hAnsi="宋体"/>
          <w:sz w:val="24"/>
          <w:szCs w:val="24"/>
        </w:rPr>
        <w:t>投标人提供正常开业的证明资料，应说明企业是否处于“开业”或“存续”或“在册”或“开业”状态，相关证明资料可以打印工商行政管理部门企业信用信息公示系统中所公示的企业信息，也可以提供工商行政主管部门出具的证明文件。</w:t>
      </w:r>
    </w:p>
    <w:p>
      <w:pPr>
        <w:spacing w:after="84" w:line="420" w:lineRule="exact"/>
        <w:rPr>
          <w:rFonts w:hAnsi="宋体"/>
          <w:sz w:val="24"/>
        </w:rPr>
      </w:pPr>
      <w:r>
        <w:rPr>
          <w:rFonts w:hAnsi="宋体"/>
          <w:sz w:val="24"/>
        </w:rPr>
        <w:t>3</w:t>
      </w:r>
      <w:r>
        <w:rPr>
          <w:rFonts w:hint="eastAsia" w:hAnsi="宋体"/>
          <w:sz w:val="24"/>
        </w:rPr>
        <w:t>．投标人参加招投标活动前三年内，是否在经营活动中有重大违法记录。</w:t>
      </w:r>
    </w:p>
    <w:p>
      <w:pPr>
        <w:spacing w:after="84" w:line="420" w:lineRule="exact"/>
        <w:rPr>
          <w:rFonts w:hAnsi="宋体"/>
          <w:sz w:val="24"/>
        </w:rPr>
      </w:pPr>
      <w:r>
        <w:rPr>
          <w:rFonts w:hAnsi="宋体"/>
          <w:sz w:val="24"/>
        </w:rPr>
        <w:t>4</w:t>
      </w:r>
      <w:r>
        <w:rPr>
          <w:rFonts w:hint="eastAsia" w:hAnsi="宋体"/>
          <w:sz w:val="24"/>
        </w:rPr>
        <w:t>．投标人是否处于投标资格被取消、被责令停业或财产被接管、冻结或破产状态。</w:t>
      </w:r>
    </w:p>
    <w:p>
      <w:pPr>
        <w:spacing w:after="84" w:line="420" w:lineRule="exact"/>
        <w:rPr>
          <w:rFonts w:hAnsi="宋体"/>
          <w:sz w:val="24"/>
        </w:rPr>
      </w:pPr>
      <w:r>
        <w:rPr>
          <w:rFonts w:hAnsi="宋体"/>
          <w:sz w:val="24"/>
        </w:rPr>
        <w:t>5</w:t>
      </w:r>
      <w:r>
        <w:rPr>
          <w:rFonts w:hint="eastAsia" w:hAnsi="宋体"/>
          <w:sz w:val="24"/>
        </w:rPr>
        <w:t>．投标人是否在近年内出现过骗取中标、严重违约、重大工程质量、安全等问题。</w:t>
      </w:r>
    </w:p>
    <w:p>
      <w:pPr>
        <w:spacing w:after="84" w:line="420" w:lineRule="exact"/>
        <w:rPr>
          <w:rFonts w:hAnsi="宋体"/>
          <w:sz w:val="24"/>
        </w:rPr>
      </w:pPr>
      <w:r>
        <w:rPr>
          <w:rFonts w:hAnsi="宋体"/>
          <w:sz w:val="24"/>
        </w:rPr>
        <w:t>6</w:t>
      </w:r>
      <w:r>
        <w:rPr>
          <w:rFonts w:hint="eastAsia" w:hAnsi="宋体"/>
          <w:sz w:val="24"/>
        </w:rPr>
        <w:t>．有针对本项目施工过程中的安全生产承诺。</w:t>
      </w:r>
    </w:p>
    <w:p>
      <w:pPr>
        <w:spacing w:after="84" w:line="420" w:lineRule="exact"/>
        <w:rPr>
          <w:rFonts w:hAnsi="宋体"/>
          <w:sz w:val="24"/>
        </w:rPr>
      </w:pPr>
      <w:r>
        <w:rPr>
          <w:rFonts w:hAnsi="宋体"/>
          <w:sz w:val="24"/>
        </w:rPr>
        <w:t>7</w:t>
      </w:r>
      <w:r>
        <w:rPr>
          <w:rFonts w:hint="eastAsia" w:hAnsi="宋体"/>
          <w:sz w:val="24"/>
        </w:rPr>
        <w:t>．投标人应承诺施工过程中在禁用区内不使用高排放非道路移动机械、严格遵守施工工地扬尘控制、施工企业渣土运输车辆管理、园林绿化废弃物禁烧的管控措施。</w:t>
      </w:r>
    </w:p>
    <w:p>
      <w:pPr>
        <w:spacing w:after="84" w:line="420" w:lineRule="exact"/>
        <w:rPr>
          <w:rFonts w:hAnsi="宋体"/>
          <w:sz w:val="24"/>
        </w:rPr>
      </w:pPr>
      <w:r>
        <w:rPr>
          <w:rFonts w:hint="eastAsia" w:hAnsi="宋体"/>
          <w:sz w:val="24"/>
        </w:rPr>
        <w:t>8 .中小企业声明函（适用于政府采购项目）</w:t>
      </w:r>
    </w:p>
    <w:p>
      <w:pPr>
        <w:spacing w:after="84" w:line="420" w:lineRule="exact"/>
        <w:ind w:firstLine="480" w:firstLineChars="200"/>
        <w:rPr>
          <w:rFonts w:hAnsi="宋体"/>
          <w:sz w:val="24"/>
        </w:rPr>
      </w:pPr>
      <w:r>
        <w:rPr>
          <w:rFonts w:hint="eastAsia" w:hAnsi="宋体"/>
          <w:sz w:val="24"/>
        </w:rPr>
        <w:t>中小企业参加政府采购活动，应当出具《中小企业声明函》。</w:t>
      </w:r>
    </w:p>
    <w:p>
      <w:pPr>
        <w:spacing w:after="84" w:line="420" w:lineRule="exact"/>
        <w:ind w:firstLine="480" w:firstLineChars="200"/>
        <w:rPr>
          <w:rFonts w:hAnsi="宋体"/>
          <w:sz w:val="24"/>
        </w:rPr>
      </w:pPr>
      <w:r>
        <w:rPr>
          <w:rFonts w:hint="eastAsia" w:hAnsi="宋体"/>
          <w:sz w:val="24"/>
        </w:rPr>
        <w:t>如招标文件要求以联合体形式投标或者要求合同分包的，《中小企业声明函》可由牵头人出具。联合体中的中小企业、签订分包意向协议的中小企业具体情况须在《中小企业声明函》中如实填报，且满足招标文件关于预留份额的要求。如果本项目要求通过分包措施预留部分采购份额面向中小企业采购、且投标人因落实政府采购政策拟进行分包的，必须提供《拟分包情况说明》及《分包意向协议》，否则无须提供。</w:t>
      </w:r>
    </w:p>
    <w:p>
      <w:pPr>
        <w:spacing w:after="84" w:line="420" w:lineRule="exact"/>
        <w:ind w:firstLine="480" w:firstLineChars="200"/>
        <w:rPr>
          <w:rFonts w:hAnsi="宋体"/>
          <w:sz w:val="24"/>
        </w:rPr>
      </w:pPr>
      <w:r>
        <w:rPr>
          <w:rFonts w:hint="eastAsia" w:hAnsi="宋体"/>
          <w:sz w:val="24"/>
        </w:rPr>
        <w:t>对于预留份额专门面向中小企业采购的项目，组成联合体或者接受分包合同的中小企业与联合体其他企业、分包企业之间不得存在直接控股、管理关系。</w:t>
      </w:r>
    </w:p>
    <w:p>
      <w:pPr>
        <w:spacing w:after="84" w:line="420" w:lineRule="exact"/>
        <w:rPr>
          <w:rFonts w:hAnsi="宋体"/>
          <w:sz w:val="24"/>
        </w:rPr>
      </w:pPr>
      <w:r>
        <w:rPr>
          <w:rFonts w:hint="eastAsia" w:hAnsi="宋体"/>
          <w:sz w:val="24"/>
        </w:rPr>
        <w:t>9．投标人需要声明或承诺</w:t>
      </w:r>
      <w:r>
        <w:rPr>
          <w:rFonts w:hAnsi="宋体"/>
          <w:sz w:val="24"/>
        </w:rPr>
        <w:t>其他</w:t>
      </w:r>
      <w:r>
        <w:rPr>
          <w:rFonts w:hint="eastAsia" w:hAnsi="宋体"/>
          <w:sz w:val="24"/>
        </w:rPr>
        <w:t>事宜：</w:t>
      </w:r>
      <w:r>
        <w:rPr>
          <w:rFonts w:hint="eastAsia" w:hAnsi="宋体"/>
          <w:sz w:val="24"/>
          <w:u w:val="single"/>
        </w:rPr>
        <w:t xml:space="preserve">                                     </w:t>
      </w:r>
      <w:r>
        <w:rPr>
          <w:rFonts w:hint="eastAsia" w:hAnsi="宋体"/>
          <w:sz w:val="24"/>
        </w:rPr>
        <w:t>。</w:t>
      </w:r>
    </w:p>
    <w:p>
      <w:pPr>
        <w:pStyle w:val="5"/>
        <w:rPr>
          <w:rStyle w:val="106"/>
          <w:rFonts w:ascii="宋体" w:hAnsi="宋体"/>
          <w:b/>
          <w:bCs/>
          <w:sz w:val="30"/>
          <w:szCs w:val="30"/>
        </w:rPr>
      </w:pPr>
      <w:bookmarkStart w:id="1561" w:name="_Toc470011367"/>
      <w:bookmarkStart w:id="1562" w:name="_Toc455409890"/>
      <w:bookmarkStart w:id="1563" w:name="_Toc396818248"/>
      <w:bookmarkStart w:id="1564" w:name="_Toc419547405"/>
      <w:bookmarkStart w:id="1565" w:name="_Toc419547951"/>
      <w:r>
        <w:rPr>
          <w:rFonts w:hint="eastAsia" w:hAnsi="宋体"/>
          <w:sz w:val="30"/>
          <w:szCs w:val="30"/>
        </w:rPr>
        <w:t>十、</w:t>
      </w:r>
      <w:r>
        <w:rPr>
          <w:rStyle w:val="106"/>
          <w:rFonts w:hint="eastAsia" w:ascii="宋体" w:hAnsi="宋体"/>
          <w:b/>
          <w:bCs/>
          <w:sz w:val="30"/>
          <w:szCs w:val="30"/>
        </w:rPr>
        <w:t>中小企业声明函格式（适用于政府采购工程）</w:t>
      </w:r>
    </w:p>
    <w:p>
      <w:pPr>
        <w:spacing w:line="360" w:lineRule="auto"/>
        <w:ind w:firstLine="504"/>
        <w:jc w:val="left"/>
        <w:rPr>
          <w:spacing w:val="6"/>
          <w:sz w:val="24"/>
        </w:rPr>
      </w:pPr>
      <w:r>
        <w:rPr>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jc w:val="left"/>
        <w:rPr>
          <w:spacing w:val="6"/>
          <w:sz w:val="24"/>
        </w:rPr>
      </w:pPr>
      <w:r>
        <w:rPr>
          <w:rFonts w:hint="eastAsia"/>
          <w:spacing w:val="6"/>
          <w:sz w:val="24"/>
        </w:rPr>
        <w:t>1.</w:t>
      </w:r>
      <w:r>
        <w:rPr>
          <w:spacing w:val="6"/>
          <w:sz w:val="24"/>
          <w:u w:val="single"/>
        </w:rPr>
        <w:t>（</w:t>
      </w:r>
      <w:r>
        <w:rPr>
          <w:rFonts w:hint="eastAsia"/>
          <w:spacing w:val="6"/>
          <w:sz w:val="24"/>
          <w:u w:val="single"/>
        </w:rPr>
        <w:t>工程</w:t>
      </w:r>
      <w:r>
        <w:rPr>
          <w:spacing w:val="6"/>
          <w:sz w:val="24"/>
          <w:u w:val="single"/>
        </w:rPr>
        <w:t>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，营业收入为______万元，资产总额为______万元，属于（中型企业、小型企业、微型企业）；</w:t>
      </w:r>
    </w:p>
    <w:p>
      <w:pPr>
        <w:spacing w:line="360" w:lineRule="auto"/>
        <w:ind w:firstLine="504"/>
        <w:jc w:val="left"/>
        <w:rPr>
          <w:spacing w:val="6"/>
          <w:sz w:val="24"/>
        </w:rPr>
      </w:pPr>
      <w:r>
        <w:rPr>
          <w:rFonts w:hint="eastAsia"/>
          <w:spacing w:val="6"/>
          <w:sz w:val="24"/>
        </w:rPr>
        <w:t>2.</w:t>
      </w:r>
      <w:r>
        <w:rPr>
          <w:spacing w:val="6"/>
          <w:sz w:val="24"/>
          <w:u w:val="single"/>
        </w:rPr>
        <w:t>（</w:t>
      </w:r>
      <w:r>
        <w:rPr>
          <w:rFonts w:hint="eastAsia"/>
          <w:spacing w:val="6"/>
          <w:sz w:val="24"/>
          <w:u w:val="single"/>
        </w:rPr>
        <w:t>工程</w:t>
      </w:r>
      <w:r>
        <w:rPr>
          <w:spacing w:val="6"/>
          <w:sz w:val="24"/>
          <w:u w:val="single"/>
        </w:rPr>
        <w:t>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，营业收入为______万元，资产总额为______万元，属于（中型企业、小型企业、微型企业）；</w:t>
      </w:r>
    </w:p>
    <w:p>
      <w:pPr>
        <w:spacing w:line="360" w:lineRule="auto"/>
        <w:ind w:firstLine="504"/>
        <w:jc w:val="left"/>
        <w:rPr>
          <w:spacing w:val="6"/>
          <w:sz w:val="24"/>
        </w:rPr>
      </w:pPr>
      <w:r>
        <w:rPr>
          <w:rFonts w:hint="eastAsia"/>
          <w:spacing w:val="6"/>
          <w:sz w:val="24"/>
        </w:rPr>
        <w:t>……</w:t>
      </w:r>
    </w:p>
    <w:p>
      <w:pPr>
        <w:spacing w:line="360" w:lineRule="auto"/>
        <w:ind w:firstLine="504"/>
        <w:jc w:val="left"/>
        <w:rPr>
          <w:spacing w:val="6"/>
          <w:sz w:val="24"/>
        </w:rPr>
      </w:pPr>
      <w:r>
        <w:rPr>
          <w:spacing w:val="6"/>
          <w:sz w:val="24"/>
        </w:rPr>
        <w:t>以上企业，不属于大企业的分支机构，不存在控股股东为大企业的情形，也不存在与大企业的负责人为同一人的情形。</w:t>
      </w:r>
    </w:p>
    <w:p>
      <w:pPr>
        <w:spacing w:line="360" w:lineRule="auto"/>
        <w:ind w:firstLine="504"/>
        <w:jc w:val="left"/>
        <w:rPr>
          <w:spacing w:val="6"/>
          <w:sz w:val="24"/>
        </w:rPr>
      </w:pPr>
      <w:r>
        <w:rPr>
          <w:spacing w:val="6"/>
          <w:sz w:val="24"/>
        </w:rPr>
        <w:t>本企业对上述声明内容的真实性负责。如有虚假，将依法承担相应责任。</w:t>
      </w:r>
    </w:p>
    <w:p>
      <w:pPr>
        <w:spacing w:line="360" w:lineRule="auto"/>
        <w:ind w:right="1800"/>
        <w:rPr>
          <w:sz w:val="24"/>
        </w:rPr>
      </w:pPr>
    </w:p>
    <w:p>
      <w:pPr>
        <w:spacing w:line="360" w:lineRule="auto"/>
        <w:ind w:right="360"/>
        <w:jc w:val="right"/>
        <w:rPr>
          <w:sz w:val="24"/>
        </w:rPr>
      </w:pPr>
      <w:r>
        <w:rPr>
          <w:rFonts w:hint="eastAsia"/>
          <w:sz w:val="24"/>
        </w:rPr>
        <w:t>投标人</w:t>
      </w:r>
      <w:r>
        <w:rPr>
          <w:sz w:val="24"/>
        </w:rPr>
        <w:t>：</w:t>
      </w:r>
      <w:r>
        <w:rPr>
          <w:sz w:val="24"/>
          <w:u w:val="single"/>
        </w:rPr>
        <w:t>（盖</w:t>
      </w:r>
      <w:r>
        <w:rPr>
          <w:rFonts w:hint="eastAsia"/>
          <w:sz w:val="24"/>
          <w:u w:val="single"/>
        </w:rPr>
        <w:t>企业CA电子印</w:t>
      </w:r>
      <w:r>
        <w:rPr>
          <w:sz w:val="24"/>
          <w:u w:val="single"/>
        </w:rPr>
        <w:t>章）</w:t>
      </w:r>
      <w:r>
        <w:rPr>
          <w:rFonts w:hint="eastAsia"/>
          <w:sz w:val="24"/>
        </w:rPr>
        <w:t xml:space="preserve">  </w:t>
      </w:r>
    </w:p>
    <w:p>
      <w:r>
        <w:rPr>
          <w:rFonts w:hint="eastAsia"/>
        </w:rPr>
        <w:t xml:space="preserve">                                            </w:t>
      </w:r>
      <w:r>
        <w:rPr>
          <w:rFonts w:hint="eastAsia"/>
          <w:sz w:val="24"/>
        </w:rPr>
        <w:t xml:space="preserve">  </w:t>
      </w:r>
      <w:r>
        <w:rPr>
          <w:sz w:val="24"/>
        </w:rPr>
        <w:t>日期：_____年______月______日</w:t>
      </w:r>
    </w:p>
    <w:p/>
    <w:p>
      <w:r>
        <w:t>注：</w:t>
      </w:r>
      <w:r>
        <w:rPr>
          <w:szCs w:val="21"/>
        </w:rPr>
        <w:t>从业人员、营业收入、资产总额填报上一年度数据，无上一年度数据的新成立企业可不填报。</w:t>
      </w:r>
    </w:p>
    <w:p>
      <w:pPr>
        <w:pStyle w:val="4"/>
      </w:pPr>
    </w:p>
    <w:p>
      <w:pPr>
        <w:pStyle w:val="4"/>
      </w:pPr>
    </w:p>
    <w:p>
      <w:pPr>
        <w:widowControl/>
        <w:jc w:val="left"/>
        <w:rPr>
          <w:kern w:val="0"/>
          <w:sz w:val="20"/>
          <w:szCs w:val="20"/>
        </w:rPr>
      </w:pPr>
      <w:r>
        <w:br w:type="page"/>
      </w:r>
    </w:p>
    <w:p>
      <w:pPr>
        <w:pStyle w:val="5"/>
        <w:rPr>
          <w:rStyle w:val="106"/>
          <w:rFonts w:ascii="宋体" w:hAnsi="宋体"/>
          <w:b/>
          <w:sz w:val="28"/>
          <w:szCs w:val="28"/>
        </w:rPr>
      </w:pPr>
      <w:r>
        <w:rPr>
          <w:rFonts w:hint="eastAsia"/>
          <w:sz w:val="30"/>
          <w:szCs w:val="30"/>
        </w:rPr>
        <w:t>十一、</w:t>
      </w:r>
      <w:r>
        <w:rPr>
          <w:rStyle w:val="106"/>
          <w:rFonts w:hint="eastAsia" w:ascii="宋体" w:hAnsi="宋体"/>
          <w:b/>
          <w:sz w:val="30"/>
          <w:szCs w:val="30"/>
        </w:rPr>
        <w:t>拟分包情况说明（适用于政府采购工程）</w:t>
      </w:r>
    </w:p>
    <w:p>
      <w:pPr>
        <w:tabs>
          <w:tab w:val="left" w:pos="5580"/>
        </w:tabs>
        <w:spacing w:line="360" w:lineRule="auto"/>
        <w:rPr>
          <w:sz w:val="24"/>
        </w:rPr>
      </w:pPr>
      <w:r>
        <w:rPr>
          <w:sz w:val="24"/>
        </w:rPr>
        <w:t>致：</w:t>
      </w:r>
      <w:r>
        <w:rPr>
          <w:sz w:val="24"/>
          <w:u w:val="single"/>
        </w:rPr>
        <w:t xml:space="preserve"> </w:t>
      </w:r>
      <w:r>
        <w:rPr>
          <w:rFonts w:hint="eastAsia"/>
          <w:sz w:val="24"/>
          <w:u w:val="single"/>
        </w:rPr>
        <w:t xml:space="preserve">                    </w:t>
      </w:r>
      <w:r>
        <w:rPr>
          <w:sz w:val="24"/>
        </w:rPr>
        <w:t>（</w:t>
      </w:r>
      <w:r>
        <w:rPr>
          <w:rFonts w:hint="eastAsia"/>
          <w:sz w:val="24"/>
        </w:rPr>
        <w:t>招标</w:t>
      </w:r>
      <w:r>
        <w:rPr>
          <w:sz w:val="24"/>
        </w:rPr>
        <w:t>人或</w:t>
      </w:r>
      <w:r>
        <w:rPr>
          <w:rFonts w:hint="eastAsia"/>
          <w:sz w:val="24"/>
        </w:rPr>
        <w:t>招标</w:t>
      </w:r>
      <w:r>
        <w:rPr>
          <w:sz w:val="24"/>
        </w:rPr>
        <w:t>代理机构）</w:t>
      </w:r>
    </w:p>
    <w:p>
      <w:pPr>
        <w:adjustRightInd w:val="0"/>
        <w:snapToGrid w:val="0"/>
        <w:spacing w:line="360" w:lineRule="auto"/>
        <w:ind w:firstLine="480" w:firstLineChars="200"/>
        <w:jc w:val="left"/>
        <w:rPr>
          <w:sz w:val="24"/>
        </w:rPr>
      </w:pPr>
      <w:r>
        <w:rPr>
          <w:sz w:val="24"/>
        </w:rPr>
        <w:t>我单位参加贵单位组织采购的</w:t>
      </w:r>
      <w:r>
        <w:rPr>
          <w:rFonts w:hint="eastAsia"/>
          <w:sz w:val="24"/>
        </w:rPr>
        <w:t>项目</w:t>
      </w:r>
      <w:r>
        <w:rPr>
          <w:sz w:val="24"/>
        </w:rPr>
        <w:t>编号为_______的_________</w:t>
      </w:r>
      <w:r>
        <w:rPr>
          <w:rFonts w:hint="eastAsia"/>
          <w:sz w:val="24"/>
        </w:rPr>
        <w:t>工程</w:t>
      </w:r>
      <w:r>
        <w:rPr>
          <w:sz w:val="24"/>
        </w:rPr>
        <w:t>（填写采购</w:t>
      </w:r>
      <w:r>
        <w:rPr>
          <w:rFonts w:hint="eastAsia"/>
          <w:sz w:val="24"/>
        </w:rPr>
        <w:t>工程</w:t>
      </w:r>
      <w:r>
        <w:rPr>
          <w:sz w:val="24"/>
        </w:rPr>
        <w:t>名称）的投标。拟签订分包合同的单位情况如下表所示，我单位承诺一旦在该项目中获得采购合同将按下表所列情况进行分包，同时承诺分包承担主体不再次分包。</w:t>
      </w:r>
    </w:p>
    <w:tbl>
      <w:tblPr>
        <w:tblStyle w:val="49"/>
        <w:tblW w:w="78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478"/>
        <w:gridCol w:w="1581"/>
        <w:gridCol w:w="1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shd w:val="clear" w:color="auto" w:fill="auto"/>
            <w:vAlign w:val="center"/>
          </w:tcPr>
          <w:p>
            <w:pPr>
              <w:pStyle w:val="280"/>
              <w:autoSpaceDE w:val="0"/>
              <w:autoSpaceDN w:val="0"/>
              <w:jc w:val="center"/>
              <w:rPr>
                <w:sz w:val="24"/>
              </w:rPr>
            </w:pPr>
            <w:r>
              <w:rPr>
                <w:sz w:val="24"/>
              </w:rPr>
              <w:t>序号</w:t>
            </w:r>
          </w:p>
        </w:tc>
        <w:tc>
          <w:tcPr>
            <w:tcW w:w="1287" w:type="dxa"/>
            <w:shd w:val="clear" w:color="auto" w:fill="auto"/>
            <w:vAlign w:val="center"/>
          </w:tcPr>
          <w:p>
            <w:pPr>
              <w:pStyle w:val="280"/>
              <w:autoSpaceDE w:val="0"/>
              <w:autoSpaceDN w:val="0"/>
              <w:jc w:val="center"/>
              <w:rPr>
                <w:sz w:val="24"/>
              </w:rPr>
            </w:pPr>
            <w:r>
              <w:rPr>
                <w:sz w:val="24"/>
              </w:rPr>
              <w:t>分包承担</w:t>
            </w:r>
          </w:p>
          <w:p>
            <w:pPr>
              <w:pStyle w:val="280"/>
              <w:autoSpaceDE w:val="0"/>
              <w:autoSpaceDN w:val="0"/>
              <w:jc w:val="center"/>
              <w:rPr>
                <w:sz w:val="24"/>
              </w:rPr>
            </w:pPr>
            <w:r>
              <w:rPr>
                <w:sz w:val="24"/>
              </w:rPr>
              <w:t>主体名称</w:t>
            </w:r>
          </w:p>
        </w:tc>
        <w:tc>
          <w:tcPr>
            <w:tcW w:w="1513" w:type="dxa"/>
            <w:shd w:val="clear" w:color="auto" w:fill="auto"/>
            <w:vAlign w:val="center"/>
          </w:tcPr>
          <w:p>
            <w:pPr>
              <w:pStyle w:val="280"/>
              <w:autoSpaceDE w:val="0"/>
              <w:autoSpaceDN w:val="0"/>
              <w:jc w:val="center"/>
              <w:rPr>
                <w:sz w:val="24"/>
                <w:lang w:eastAsia="zh-CN"/>
              </w:rPr>
            </w:pPr>
            <w:r>
              <w:rPr>
                <w:sz w:val="24"/>
                <w:lang w:eastAsia="zh-CN"/>
              </w:rPr>
              <w:t>分包承担</w:t>
            </w:r>
          </w:p>
          <w:p>
            <w:pPr>
              <w:pStyle w:val="280"/>
              <w:autoSpaceDE w:val="0"/>
              <w:autoSpaceDN w:val="0"/>
              <w:jc w:val="center"/>
              <w:rPr>
                <w:sz w:val="24"/>
                <w:lang w:eastAsia="zh-CN"/>
              </w:rPr>
            </w:pPr>
            <w:r>
              <w:rPr>
                <w:sz w:val="24"/>
                <w:lang w:eastAsia="zh-CN"/>
              </w:rPr>
              <w:t>主体类型</w:t>
            </w:r>
          </w:p>
          <w:p>
            <w:pPr>
              <w:pStyle w:val="280"/>
              <w:autoSpaceDE w:val="0"/>
              <w:autoSpaceDN w:val="0"/>
              <w:jc w:val="center"/>
              <w:rPr>
                <w:sz w:val="24"/>
                <w:lang w:eastAsia="zh-CN"/>
              </w:rPr>
            </w:pPr>
            <w:r>
              <w:rPr>
                <w:rFonts w:hint="eastAsia"/>
                <w:sz w:val="24"/>
                <w:lang w:eastAsia="zh-CN"/>
              </w:rPr>
              <w:t>（勾选）</w:t>
            </w:r>
          </w:p>
        </w:tc>
        <w:tc>
          <w:tcPr>
            <w:tcW w:w="1478" w:type="dxa"/>
            <w:shd w:val="clear" w:color="auto" w:fill="auto"/>
            <w:vAlign w:val="center"/>
          </w:tcPr>
          <w:p>
            <w:pPr>
              <w:pStyle w:val="280"/>
              <w:autoSpaceDE w:val="0"/>
              <w:autoSpaceDN w:val="0"/>
              <w:jc w:val="center"/>
              <w:rPr>
                <w:sz w:val="24"/>
              </w:rPr>
            </w:pPr>
            <w:r>
              <w:rPr>
                <w:sz w:val="24"/>
              </w:rPr>
              <w:t>拟分包</w:t>
            </w:r>
          </w:p>
          <w:p>
            <w:pPr>
              <w:pStyle w:val="280"/>
              <w:autoSpaceDE w:val="0"/>
              <w:autoSpaceDN w:val="0"/>
              <w:jc w:val="center"/>
              <w:rPr>
                <w:sz w:val="24"/>
              </w:rPr>
            </w:pPr>
            <w:r>
              <w:rPr>
                <w:sz w:val="24"/>
              </w:rPr>
              <w:t>合同内容</w:t>
            </w:r>
          </w:p>
        </w:tc>
        <w:tc>
          <w:tcPr>
            <w:tcW w:w="1581" w:type="dxa"/>
            <w:shd w:val="clear" w:color="auto" w:fill="auto"/>
            <w:vAlign w:val="center"/>
          </w:tcPr>
          <w:p>
            <w:pPr>
              <w:pStyle w:val="280"/>
              <w:autoSpaceDE w:val="0"/>
              <w:autoSpaceDN w:val="0"/>
              <w:jc w:val="center"/>
              <w:rPr>
                <w:sz w:val="24"/>
                <w:lang w:eastAsia="zh-CN"/>
              </w:rPr>
            </w:pPr>
            <w:r>
              <w:rPr>
                <w:sz w:val="24"/>
                <w:lang w:eastAsia="zh-CN"/>
              </w:rPr>
              <w:t>拟分包</w:t>
            </w:r>
          </w:p>
          <w:p>
            <w:pPr>
              <w:pStyle w:val="280"/>
              <w:autoSpaceDE w:val="0"/>
              <w:autoSpaceDN w:val="0"/>
              <w:jc w:val="center"/>
              <w:rPr>
                <w:sz w:val="24"/>
                <w:lang w:eastAsia="zh-CN"/>
              </w:rPr>
            </w:pPr>
            <w:r>
              <w:rPr>
                <w:sz w:val="24"/>
                <w:lang w:eastAsia="zh-CN"/>
              </w:rPr>
              <w:t>合同金额</w:t>
            </w:r>
          </w:p>
          <w:p>
            <w:pPr>
              <w:pStyle w:val="280"/>
              <w:autoSpaceDE w:val="0"/>
              <w:autoSpaceDN w:val="0"/>
              <w:jc w:val="center"/>
              <w:rPr>
                <w:sz w:val="24"/>
                <w:lang w:eastAsia="zh-CN"/>
              </w:rPr>
            </w:pPr>
            <w:r>
              <w:rPr>
                <w:sz w:val="24"/>
                <w:lang w:eastAsia="zh-CN"/>
              </w:rPr>
              <w:t>（人民币元）</w:t>
            </w:r>
          </w:p>
        </w:tc>
        <w:tc>
          <w:tcPr>
            <w:tcW w:w="1564" w:type="dxa"/>
            <w:shd w:val="clear" w:color="auto" w:fill="auto"/>
            <w:vAlign w:val="center"/>
          </w:tcPr>
          <w:p>
            <w:pPr>
              <w:pStyle w:val="280"/>
              <w:autoSpaceDE w:val="0"/>
              <w:autoSpaceDN w:val="0"/>
              <w:jc w:val="center"/>
              <w:rPr>
                <w:b/>
                <w:sz w:val="24"/>
                <w:lang w:eastAsia="zh-CN"/>
              </w:rPr>
            </w:pPr>
            <w:r>
              <w:rPr>
                <w:rFonts w:hint="eastAsia"/>
                <w:sz w:val="24"/>
                <w:lang w:eastAsia="zh-CN"/>
              </w:rPr>
              <w:t>占该</w:t>
            </w:r>
          </w:p>
          <w:p>
            <w:pPr>
              <w:pStyle w:val="280"/>
              <w:autoSpaceDE w:val="0"/>
              <w:autoSpaceDN w:val="0"/>
              <w:jc w:val="center"/>
              <w:rPr>
                <w:b/>
                <w:sz w:val="24"/>
                <w:lang w:eastAsia="zh-CN"/>
              </w:rPr>
            </w:pPr>
            <w:r>
              <w:rPr>
                <w:rFonts w:hint="eastAsia"/>
                <w:b/>
                <w:sz w:val="24"/>
                <w:lang w:eastAsia="zh-CN"/>
              </w:rPr>
              <w:t>合同金额的</w:t>
            </w:r>
          </w:p>
          <w:p>
            <w:pPr>
              <w:pStyle w:val="280"/>
              <w:autoSpaceDE w:val="0"/>
              <w:autoSpaceDN w:val="0"/>
              <w:jc w:val="center"/>
              <w:rPr>
                <w:sz w:val="24"/>
                <w:lang w:eastAsia="zh-CN"/>
              </w:rPr>
            </w:pPr>
            <w:r>
              <w:rPr>
                <w:rFonts w:hint="eastAsia"/>
                <w:sz w:val="24"/>
                <w:lang w:eastAsia="zh-CN"/>
              </w:rPr>
              <w:t>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shd w:val="clear" w:color="auto" w:fill="auto"/>
            <w:vAlign w:val="center"/>
          </w:tcPr>
          <w:p>
            <w:pPr>
              <w:pStyle w:val="280"/>
              <w:autoSpaceDE w:val="0"/>
              <w:autoSpaceDN w:val="0"/>
              <w:jc w:val="center"/>
              <w:rPr>
                <w:rFonts w:ascii="Times New Roman"/>
                <w:sz w:val="24"/>
              </w:rPr>
            </w:pPr>
            <w:r>
              <w:rPr>
                <w:rFonts w:ascii="Times New Roman"/>
                <w:sz w:val="24"/>
              </w:rPr>
              <w:t>1</w:t>
            </w:r>
          </w:p>
        </w:tc>
        <w:tc>
          <w:tcPr>
            <w:tcW w:w="1287" w:type="dxa"/>
            <w:shd w:val="clear" w:color="auto" w:fill="auto"/>
            <w:vAlign w:val="center"/>
          </w:tcPr>
          <w:p>
            <w:pPr>
              <w:pStyle w:val="280"/>
              <w:autoSpaceDE w:val="0"/>
              <w:autoSpaceDN w:val="0"/>
              <w:jc w:val="center"/>
              <w:rPr>
                <w:rFonts w:ascii="Times New Roman" w:hAnsi="Times New Roman"/>
                <w:sz w:val="30"/>
              </w:rPr>
            </w:pPr>
          </w:p>
        </w:tc>
        <w:tc>
          <w:tcPr>
            <w:tcW w:w="1513" w:type="dxa"/>
            <w:shd w:val="clear" w:color="auto" w:fill="auto"/>
            <w:vAlign w:val="center"/>
          </w:tcPr>
          <w:p>
            <w:pPr>
              <w:pStyle w:val="280"/>
              <w:tabs>
                <w:tab w:val="left" w:pos="235"/>
              </w:tabs>
              <w:autoSpaceDE w:val="0"/>
              <w:autoSpaceDN w:val="0"/>
              <w:ind w:left="1" w:leftChars="-43" w:hanging="91" w:hangingChars="38"/>
              <w:jc w:val="center"/>
              <w:rPr>
                <w:rFonts w:ascii="Times New Roman" w:hAnsi="Times New Roman"/>
                <w:sz w:val="24"/>
                <w:lang w:eastAsia="zh-CN"/>
              </w:rPr>
            </w:pPr>
            <w:r>
              <w:rPr>
                <w:rFonts w:ascii="Times New Roman" w:hAnsi="Times New Roman"/>
                <w:sz w:val="24"/>
                <w:lang w:eastAsia="zh-CN"/>
              </w:rPr>
              <w:t>□</w:t>
            </w:r>
            <w:r>
              <w:rPr>
                <w:rFonts w:hint="eastAsia" w:ascii="Times New Roman" w:hAnsi="Times New Roman"/>
                <w:sz w:val="24"/>
                <w:lang w:eastAsia="zh-CN"/>
              </w:rPr>
              <w:t>中型企业</w:t>
            </w:r>
          </w:p>
          <w:p>
            <w:pPr>
              <w:pStyle w:val="280"/>
              <w:tabs>
                <w:tab w:val="left" w:pos="235"/>
              </w:tabs>
              <w:autoSpaceDE w:val="0"/>
              <w:autoSpaceDN w:val="0"/>
              <w:ind w:left="1" w:leftChars="-43" w:hanging="91" w:hangingChars="38"/>
              <w:jc w:val="center"/>
              <w:rPr>
                <w:rFonts w:ascii="Times New Roman" w:hAnsi="Times New Roman"/>
                <w:sz w:val="24"/>
                <w:lang w:eastAsia="zh-CN"/>
              </w:rPr>
            </w:pPr>
            <w:r>
              <w:rPr>
                <w:rFonts w:ascii="Times New Roman" w:hAnsi="Times New Roman"/>
                <w:sz w:val="24"/>
                <w:lang w:eastAsia="zh-CN"/>
              </w:rPr>
              <w:t>□小微企业</w:t>
            </w:r>
          </w:p>
          <w:p>
            <w:pPr>
              <w:pStyle w:val="280"/>
              <w:tabs>
                <w:tab w:val="left" w:pos="235"/>
              </w:tabs>
              <w:autoSpaceDE w:val="0"/>
              <w:autoSpaceDN w:val="0"/>
              <w:ind w:left="1" w:leftChars="-43" w:hanging="91" w:hangingChars="38"/>
              <w:jc w:val="center"/>
              <w:rPr>
                <w:rFonts w:ascii="Times New Roman" w:hAnsi="Times New Roman"/>
                <w:sz w:val="24"/>
                <w:lang w:eastAsia="zh-CN"/>
              </w:rPr>
            </w:pPr>
            <w:r>
              <w:rPr>
                <w:rFonts w:ascii="Times New Roman" w:hAnsi="Times New Roman"/>
                <w:sz w:val="24"/>
                <w:lang w:eastAsia="zh-CN"/>
              </w:rPr>
              <w:t>□</w:t>
            </w:r>
            <w:r>
              <w:rPr>
                <w:rFonts w:hint="eastAsia" w:ascii="Times New Roman" w:hAnsi="Times New Roman"/>
                <w:sz w:val="24"/>
                <w:lang w:eastAsia="zh-CN"/>
              </w:rPr>
              <w:t>其他</w:t>
            </w:r>
          </w:p>
        </w:tc>
        <w:tc>
          <w:tcPr>
            <w:tcW w:w="1478" w:type="dxa"/>
            <w:shd w:val="clear" w:color="auto" w:fill="auto"/>
            <w:vAlign w:val="center"/>
          </w:tcPr>
          <w:p>
            <w:pPr>
              <w:pStyle w:val="280"/>
              <w:autoSpaceDE w:val="0"/>
              <w:autoSpaceDN w:val="0"/>
              <w:jc w:val="center"/>
              <w:rPr>
                <w:rFonts w:ascii="Times New Roman"/>
                <w:sz w:val="30"/>
                <w:lang w:eastAsia="zh-CN"/>
              </w:rPr>
            </w:pPr>
          </w:p>
        </w:tc>
        <w:tc>
          <w:tcPr>
            <w:tcW w:w="1581" w:type="dxa"/>
            <w:shd w:val="clear" w:color="auto" w:fill="auto"/>
            <w:vAlign w:val="center"/>
          </w:tcPr>
          <w:p>
            <w:pPr>
              <w:pStyle w:val="280"/>
              <w:autoSpaceDE w:val="0"/>
              <w:autoSpaceDN w:val="0"/>
              <w:jc w:val="center"/>
              <w:rPr>
                <w:rFonts w:ascii="Times New Roman"/>
                <w:sz w:val="30"/>
                <w:lang w:eastAsia="zh-CN"/>
              </w:rPr>
            </w:pPr>
          </w:p>
        </w:tc>
        <w:tc>
          <w:tcPr>
            <w:tcW w:w="1564" w:type="dxa"/>
            <w:shd w:val="clear" w:color="auto" w:fill="auto"/>
            <w:vAlign w:val="center"/>
          </w:tcPr>
          <w:p>
            <w:pPr>
              <w:pStyle w:val="280"/>
              <w:autoSpaceDE w:val="0"/>
              <w:autoSpaceDN w:val="0"/>
              <w:jc w:val="center"/>
              <w:rPr>
                <w:rFonts w:ascii="Times New Roman"/>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shd w:val="clear" w:color="auto" w:fill="auto"/>
            <w:vAlign w:val="center"/>
          </w:tcPr>
          <w:p>
            <w:pPr>
              <w:pStyle w:val="280"/>
              <w:autoSpaceDE w:val="0"/>
              <w:autoSpaceDN w:val="0"/>
              <w:jc w:val="center"/>
              <w:rPr>
                <w:rFonts w:ascii="Times New Roman"/>
                <w:sz w:val="24"/>
                <w:lang w:eastAsia="zh-CN"/>
              </w:rPr>
            </w:pPr>
            <w:r>
              <w:rPr>
                <w:rFonts w:hint="eastAsia" w:ascii="Times New Roman"/>
                <w:sz w:val="24"/>
                <w:lang w:eastAsia="zh-CN"/>
              </w:rPr>
              <w:t>2</w:t>
            </w:r>
          </w:p>
        </w:tc>
        <w:tc>
          <w:tcPr>
            <w:tcW w:w="1287" w:type="dxa"/>
            <w:shd w:val="clear" w:color="auto" w:fill="auto"/>
            <w:vAlign w:val="center"/>
          </w:tcPr>
          <w:p>
            <w:pPr>
              <w:pStyle w:val="280"/>
              <w:autoSpaceDE w:val="0"/>
              <w:autoSpaceDN w:val="0"/>
              <w:jc w:val="center"/>
              <w:rPr>
                <w:rFonts w:ascii="Times New Roman"/>
                <w:sz w:val="30"/>
              </w:rPr>
            </w:pPr>
          </w:p>
        </w:tc>
        <w:tc>
          <w:tcPr>
            <w:tcW w:w="1513" w:type="dxa"/>
            <w:shd w:val="clear" w:color="auto" w:fill="auto"/>
            <w:vAlign w:val="center"/>
          </w:tcPr>
          <w:p>
            <w:pPr>
              <w:pStyle w:val="280"/>
              <w:tabs>
                <w:tab w:val="left" w:pos="235"/>
              </w:tabs>
              <w:autoSpaceDE w:val="0"/>
              <w:autoSpaceDN w:val="0"/>
              <w:ind w:left="1" w:leftChars="-43" w:hanging="91" w:hangingChars="38"/>
              <w:jc w:val="center"/>
              <w:rPr>
                <w:rFonts w:ascii="Times New Roman" w:hAnsi="Times New Roman"/>
                <w:sz w:val="24"/>
                <w:lang w:eastAsia="zh-CN"/>
              </w:rPr>
            </w:pPr>
            <w:r>
              <w:rPr>
                <w:rFonts w:ascii="Times New Roman" w:hAnsi="Times New Roman"/>
                <w:sz w:val="24"/>
                <w:lang w:eastAsia="zh-CN"/>
              </w:rPr>
              <w:t>□</w:t>
            </w:r>
            <w:r>
              <w:rPr>
                <w:rFonts w:hint="eastAsia" w:ascii="Times New Roman" w:hAnsi="Times New Roman"/>
                <w:sz w:val="24"/>
                <w:lang w:eastAsia="zh-CN"/>
              </w:rPr>
              <w:t>中型企业</w:t>
            </w:r>
          </w:p>
          <w:p>
            <w:pPr>
              <w:pStyle w:val="280"/>
              <w:tabs>
                <w:tab w:val="left" w:pos="235"/>
              </w:tabs>
              <w:autoSpaceDE w:val="0"/>
              <w:autoSpaceDN w:val="0"/>
              <w:ind w:left="1" w:leftChars="-43" w:hanging="91" w:hangingChars="38"/>
              <w:jc w:val="center"/>
              <w:rPr>
                <w:rFonts w:ascii="Times New Roman" w:hAnsi="Times New Roman"/>
                <w:sz w:val="24"/>
                <w:lang w:eastAsia="zh-CN"/>
              </w:rPr>
            </w:pPr>
            <w:r>
              <w:rPr>
                <w:rFonts w:ascii="Times New Roman" w:hAnsi="Times New Roman"/>
                <w:sz w:val="24"/>
                <w:lang w:eastAsia="zh-CN"/>
              </w:rPr>
              <w:t>□小微企业</w:t>
            </w:r>
          </w:p>
          <w:p>
            <w:pPr>
              <w:pStyle w:val="280"/>
              <w:tabs>
                <w:tab w:val="left" w:pos="235"/>
              </w:tabs>
              <w:autoSpaceDE w:val="0"/>
              <w:autoSpaceDN w:val="0"/>
              <w:ind w:left="1" w:leftChars="-43" w:hanging="91" w:hangingChars="38"/>
              <w:jc w:val="center"/>
              <w:rPr>
                <w:rFonts w:ascii="Times New Roman" w:hAnsi="Times New Roman"/>
                <w:sz w:val="24"/>
                <w:lang w:eastAsia="zh-CN"/>
              </w:rPr>
            </w:pPr>
            <w:r>
              <w:rPr>
                <w:rFonts w:ascii="Times New Roman" w:hAnsi="Times New Roman"/>
                <w:sz w:val="24"/>
                <w:lang w:eastAsia="zh-CN"/>
              </w:rPr>
              <w:t>□</w:t>
            </w:r>
            <w:r>
              <w:rPr>
                <w:rFonts w:hint="eastAsia" w:ascii="Times New Roman" w:hAnsi="Times New Roman"/>
                <w:sz w:val="24"/>
                <w:lang w:eastAsia="zh-CN"/>
              </w:rPr>
              <w:t>其他</w:t>
            </w:r>
          </w:p>
        </w:tc>
        <w:tc>
          <w:tcPr>
            <w:tcW w:w="1478" w:type="dxa"/>
            <w:shd w:val="clear" w:color="auto" w:fill="auto"/>
            <w:vAlign w:val="center"/>
          </w:tcPr>
          <w:p>
            <w:pPr>
              <w:pStyle w:val="280"/>
              <w:autoSpaceDE w:val="0"/>
              <w:autoSpaceDN w:val="0"/>
              <w:jc w:val="center"/>
              <w:rPr>
                <w:rFonts w:ascii="Times New Roman"/>
                <w:sz w:val="30"/>
                <w:lang w:eastAsia="zh-CN"/>
              </w:rPr>
            </w:pPr>
          </w:p>
        </w:tc>
        <w:tc>
          <w:tcPr>
            <w:tcW w:w="1581" w:type="dxa"/>
            <w:shd w:val="clear" w:color="auto" w:fill="auto"/>
            <w:vAlign w:val="center"/>
          </w:tcPr>
          <w:p>
            <w:pPr>
              <w:pStyle w:val="280"/>
              <w:autoSpaceDE w:val="0"/>
              <w:autoSpaceDN w:val="0"/>
              <w:jc w:val="center"/>
              <w:rPr>
                <w:rFonts w:ascii="Times New Roman"/>
                <w:sz w:val="30"/>
                <w:lang w:eastAsia="zh-CN"/>
              </w:rPr>
            </w:pPr>
          </w:p>
        </w:tc>
        <w:tc>
          <w:tcPr>
            <w:tcW w:w="1564" w:type="dxa"/>
            <w:shd w:val="clear" w:color="auto" w:fill="auto"/>
            <w:vAlign w:val="center"/>
          </w:tcPr>
          <w:p>
            <w:pPr>
              <w:pStyle w:val="280"/>
              <w:autoSpaceDE w:val="0"/>
              <w:autoSpaceDN w:val="0"/>
              <w:jc w:val="center"/>
              <w:rPr>
                <w:rFonts w:ascii="Times New Roman"/>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shd w:val="clear" w:color="auto" w:fill="auto"/>
            <w:vAlign w:val="center"/>
          </w:tcPr>
          <w:p>
            <w:pPr>
              <w:pStyle w:val="280"/>
              <w:autoSpaceDE w:val="0"/>
              <w:autoSpaceDN w:val="0"/>
              <w:jc w:val="center"/>
              <w:rPr>
                <w:rFonts w:ascii="Times New Roman"/>
                <w:sz w:val="24"/>
                <w:lang w:eastAsia="zh-CN"/>
              </w:rPr>
            </w:pPr>
            <w:r>
              <w:rPr>
                <w:rFonts w:ascii="Times New Roman"/>
                <w:sz w:val="24"/>
                <w:lang w:eastAsia="zh-CN"/>
              </w:rPr>
              <w:t>…</w:t>
            </w:r>
          </w:p>
        </w:tc>
        <w:tc>
          <w:tcPr>
            <w:tcW w:w="1287" w:type="dxa"/>
            <w:shd w:val="clear" w:color="auto" w:fill="auto"/>
            <w:vAlign w:val="center"/>
          </w:tcPr>
          <w:p>
            <w:pPr>
              <w:pStyle w:val="280"/>
              <w:autoSpaceDE w:val="0"/>
              <w:autoSpaceDN w:val="0"/>
              <w:jc w:val="center"/>
              <w:rPr>
                <w:rFonts w:ascii="Times New Roman"/>
                <w:sz w:val="30"/>
              </w:rPr>
            </w:pPr>
          </w:p>
        </w:tc>
        <w:tc>
          <w:tcPr>
            <w:tcW w:w="1513" w:type="dxa"/>
            <w:shd w:val="clear" w:color="auto" w:fill="auto"/>
            <w:vAlign w:val="center"/>
          </w:tcPr>
          <w:p>
            <w:pPr>
              <w:pStyle w:val="280"/>
              <w:tabs>
                <w:tab w:val="left" w:pos="235"/>
              </w:tabs>
              <w:autoSpaceDE w:val="0"/>
              <w:autoSpaceDN w:val="0"/>
              <w:jc w:val="center"/>
              <w:rPr>
                <w:sz w:val="24"/>
              </w:rPr>
            </w:pPr>
          </w:p>
        </w:tc>
        <w:tc>
          <w:tcPr>
            <w:tcW w:w="1478" w:type="dxa"/>
            <w:shd w:val="clear" w:color="auto" w:fill="auto"/>
            <w:vAlign w:val="center"/>
          </w:tcPr>
          <w:p>
            <w:pPr>
              <w:pStyle w:val="280"/>
              <w:autoSpaceDE w:val="0"/>
              <w:autoSpaceDN w:val="0"/>
              <w:jc w:val="center"/>
              <w:rPr>
                <w:rFonts w:ascii="Times New Roman"/>
                <w:sz w:val="30"/>
              </w:rPr>
            </w:pPr>
          </w:p>
        </w:tc>
        <w:tc>
          <w:tcPr>
            <w:tcW w:w="1581" w:type="dxa"/>
            <w:shd w:val="clear" w:color="auto" w:fill="auto"/>
            <w:vAlign w:val="center"/>
          </w:tcPr>
          <w:p>
            <w:pPr>
              <w:pStyle w:val="280"/>
              <w:autoSpaceDE w:val="0"/>
              <w:autoSpaceDN w:val="0"/>
              <w:jc w:val="center"/>
              <w:rPr>
                <w:rFonts w:ascii="Times New Roman"/>
                <w:sz w:val="30"/>
              </w:rPr>
            </w:pPr>
          </w:p>
        </w:tc>
        <w:tc>
          <w:tcPr>
            <w:tcW w:w="1564" w:type="dxa"/>
            <w:shd w:val="clear" w:color="auto" w:fill="auto"/>
            <w:vAlign w:val="center"/>
          </w:tcPr>
          <w:p>
            <w:pPr>
              <w:pStyle w:val="280"/>
              <w:autoSpaceDE w:val="0"/>
              <w:autoSpaceDN w:val="0"/>
              <w:jc w:val="center"/>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734" w:type="dxa"/>
            <w:gridSpan w:val="4"/>
            <w:shd w:val="clear" w:color="auto" w:fill="auto"/>
            <w:vAlign w:val="center"/>
          </w:tcPr>
          <w:p>
            <w:pPr>
              <w:pStyle w:val="280"/>
              <w:autoSpaceDE w:val="0"/>
              <w:autoSpaceDN w:val="0"/>
              <w:jc w:val="right"/>
              <w:rPr>
                <w:rFonts w:ascii="Times New Roman"/>
                <w:sz w:val="30"/>
              </w:rPr>
            </w:pPr>
            <w:r>
              <w:rPr>
                <w:rFonts w:hint="eastAsia"/>
                <w:sz w:val="24"/>
                <w:lang w:eastAsia="zh-CN"/>
              </w:rPr>
              <w:t>合计：</w:t>
            </w:r>
          </w:p>
        </w:tc>
        <w:tc>
          <w:tcPr>
            <w:tcW w:w="1581" w:type="dxa"/>
            <w:shd w:val="clear" w:color="auto" w:fill="auto"/>
            <w:vAlign w:val="center"/>
          </w:tcPr>
          <w:p>
            <w:pPr>
              <w:pStyle w:val="280"/>
              <w:autoSpaceDE w:val="0"/>
              <w:autoSpaceDN w:val="0"/>
              <w:jc w:val="center"/>
              <w:rPr>
                <w:rFonts w:ascii="Times New Roman"/>
                <w:sz w:val="30"/>
              </w:rPr>
            </w:pPr>
          </w:p>
        </w:tc>
        <w:tc>
          <w:tcPr>
            <w:tcW w:w="1564" w:type="dxa"/>
            <w:shd w:val="clear" w:color="auto" w:fill="auto"/>
            <w:vAlign w:val="center"/>
          </w:tcPr>
          <w:p>
            <w:pPr>
              <w:pStyle w:val="280"/>
              <w:autoSpaceDE w:val="0"/>
              <w:autoSpaceDN w:val="0"/>
              <w:jc w:val="center"/>
              <w:rPr>
                <w:rFonts w:ascii="Times New Roman"/>
                <w:sz w:val="30"/>
              </w:rPr>
            </w:pPr>
          </w:p>
        </w:tc>
      </w:tr>
    </w:tbl>
    <w:p>
      <w:pPr>
        <w:adjustRightInd w:val="0"/>
        <w:snapToGrid w:val="0"/>
        <w:spacing w:line="360" w:lineRule="auto"/>
        <w:ind w:firstLine="480" w:firstLineChars="200"/>
        <w:jc w:val="left"/>
        <w:rPr>
          <w:sz w:val="24"/>
        </w:rPr>
      </w:pPr>
    </w:p>
    <w:p>
      <w:pPr>
        <w:adjustRightInd w:val="0"/>
        <w:snapToGrid w:val="0"/>
        <w:jc w:val="left"/>
        <w:rPr>
          <w:rFonts w:asciiTheme="minorEastAsia" w:hAnsiTheme="minorEastAsia" w:eastAsiaTheme="minorEastAsia"/>
          <w:szCs w:val="21"/>
        </w:rPr>
      </w:pPr>
      <w:r>
        <w:rPr>
          <w:rFonts w:asciiTheme="minorEastAsia" w:hAnsiTheme="minorEastAsia" w:eastAsiaTheme="minorEastAsia"/>
          <w:szCs w:val="21"/>
        </w:rPr>
        <w:t>注：</w:t>
      </w:r>
      <w:r>
        <w:rPr>
          <w:rFonts w:hint="eastAsia" w:asciiTheme="minorEastAsia" w:hAnsiTheme="minorEastAsia" w:eastAsiaTheme="minorEastAsia"/>
          <w:szCs w:val="21"/>
        </w:rPr>
        <w:t>投标人与上述拟分包承担主体签署的《分包意向协议》后附。</w:t>
      </w:r>
    </w:p>
    <w:p>
      <w:pPr>
        <w:adjustRightInd w:val="0"/>
        <w:snapToGrid w:val="0"/>
        <w:spacing w:line="360" w:lineRule="auto"/>
        <w:jc w:val="left"/>
        <w:rPr>
          <w:sz w:val="24"/>
        </w:rPr>
      </w:pPr>
    </w:p>
    <w:p>
      <w:pPr>
        <w:adjustRightInd w:val="0"/>
        <w:snapToGrid w:val="0"/>
        <w:spacing w:line="360" w:lineRule="auto"/>
        <w:ind w:firstLine="480" w:firstLineChars="200"/>
        <w:jc w:val="right"/>
        <w:rPr>
          <w:sz w:val="24"/>
        </w:rPr>
      </w:pPr>
      <w:r>
        <w:rPr>
          <w:sz w:val="24"/>
        </w:rPr>
        <w:t>投标人</w:t>
      </w:r>
      <w:r>
        <w:rPr>
          <w:rFonts w:hint="eastAsia"/>
          <w:sz w:val="24"/>
        </w:rPr>
        <w:t>：</w:t>
      </w:r>
      <w:r>
        <w:rPr>
          <w:sz w:val="24"/>
          <w:u w:val="single"/>
        </w:rPr>
        <w:t>（盖</w:t>
      </w:r>
      <w:r>
        <w:rPr>
          <w:rFonts w:hint="eastAsia"/>
          <w:sz w:val="24"/>
          <w:u w:val="single"/>
        </w:rPr>
        <w:t>企业CA电子印</w:t>
      </w:r>
      <w:r>
        <w:rPr>
          <w:sz w:val="24"/>
          <w:u w:val="single"/>
        </w:rPr>
        <w:t>章）</w:t>
      </w:r>
    </w:p>
    <w:p>
      <w:pPr>
        <w:adjustRightInd w:val="0"/>
        <w:snapToGrid w:val="0"/>
        <w:spacing w:line="360" w:lineRule="auto"/>
        <w:ind w:firstLine="480" w:firstLineChars="200"/>
        <w:jc w:val="right"/>
        <w:rPr>
          <w:sz w:val="24"/>
        </w:rPr>
      </w:pPr>
      <w:r>
        <w:rPr>
          <w:sz w:val="24"/>
        </w:rPr>
        <w:t>日期：_____年______月______日</w:t>
      </w:r>
    </w:p>
    <w:p>
      <w:pPr>
        <w:autoSpaceDE w:val="0"/>
        <w:autoSpaceDN w:val="0"/>
        <w:adjustRightInd w:val="0"/>
        <w:spacing w:line="360" w:lineRule="auto"/>
        <w:jc w:val="center"/>
        <w:rPr>
          <w:b/>
          <w:sz w:val="30"/>
          <w:szCs w:val="30"/>
        </w:rPr>
      </w:pPr>
      <w:r>
        <w:rPr>
          <w:rFonts w:hAnsi="宋体"/>
          <w:sz w:val="30"/>
          <w:szCs w:val="30"/>
        </w:rPr>
        <w:br w:type="page"/>
      </w:r>
      <w:r>
        <w:rPr>
          <w:rFonts w:hint="eastAsia"/>
          <w:b/>
          <w:sz w:val="30"/>
          <w:szCs w:val="30"/>
        </w:rPr>
        <w:t>附：分包意向协议（实质性格式）</w:t>
      </w:r>
    </w:p>
    <w:p>
      <w:pPr>
        <w:adjustRightInd w:val="0"/>
        <w:snapToGrid w:val="0"/>
        <w:spacing w:line="360" w:lineRule="auto"/>
        <w:ind w:firstLine="480" w:firstLineChars="200"/>
        <w:jc w:val="left"/>
        <w:rPr>
          <w:sz w:val="24"/>
        </w:rPr>
      </w:pPr>
      <w:r>
        <w:rPr>
          <w:sz w:val="24"/>
        </w:rPr>
        <w:t>甲方（投标人）：________</w:t>
      </w:r>
    </w:p>
    <w:p>
      <w:pPr>
        <w:adjustRightInd w:val="0"/>
        <w:snapToGrid w:val="0"/>
        <w:spacing w:line="360" w:lineRule="auto"/>
        <w:ind w:firstLine="480" w:firstLineChars="200"/>
        <w:jc w:val="left"/>
        <w:rPr>
          <w:sz w:val="24"/>
        </w:rPr>
      </w:pPr>
      <w:r>
        <w:rPr>
          <w:sz w:val="24"/>
        </w:rPr>
        <w:t>乙方（拟分包单位）：________</w:t>
      </w:r>
    </w:p>
    <w:p>
      <w:pPr>
        <w:adjustRightInd w:val="0"/>
        <w:snapToGrid w:val="0"/>
        <w:spacing w:line="360" w:lineRule="auto"/>
        <w:ind w:firstLine="480" w:firstLineChars="200"/>
        <w:jc w:val="left"/>
        <w:rPr>
          <w:sz w:val="24"/>
        </w:rPr>
      </w:pPr>
      <w:r>
        <w:rPr>
          <w:sz w:val="24"/>
        </w:rPr>
        <w:t>甲方承诺，一旦在_________（采购</w:t>
      </w:r>
      <w:r>
        <w:rPr>
          <w:rFonts w:hint="eastAsia"/>
          <w:sz w:val="24"/>
        </w:rPr>
        <w:t>工程</w:t>
      </w:r>
      <w:r>
        <w:rPr>
          <w:sz w:val="24"/>
        </w:rPr>
        <w:t>名称）（项目编号为：_______）招标采购项目中获得采购合同，将按照下述约定将合同项下部分内容分包给乙方：</w:t>
      </w:r>
    </w:p>
    <w:p>
      <w:pPr>
        <w:adjustRightInd w:val="0"/>
        <w:snapToGrid w:val="0"/>
        <w:spacing w:line="360" w:lineRule="auto"/>
        <w:ind w:firstLine="480" w:firstLineChars="200"/>
        <w:jc w:val="left"/>
        <w:rPr>
          <w:sz w:val="24"/>
        </w:rPr>
      </w:pPr>
      <w:r>
        <w:rPr>
          <w:sz w:val="24"/>
        </w:rPr>
        <w:t>1.分包内容：_____。</w:t>
      </w:r>
    </w:p>
    <w:p>
      <w:pPr>
        <w:adjustRightInd w:val="0"/>
        <w:snapToGrid w:val="0"/>
        <w:spacing w:line="360" w:lineRule="auto"/>
        <w:ind w:firstLine="480" w:firstLineChars="200"/>
        <w:jc w:val="left"/>
        <w:rPr>
          <w:sz w:val="24"/>
        </w:rPr>
      </w:pPr>
      <w:r>
        <w:rPr>
          <w:sz w:val="24"/>
        </w:rPr>
        <w:t>2.分包金额：_____，该金额占该采购包预算总金额的比例为___%。</w:t>
      </w:r>
    </w:p>
    <w:p>
      <w:pPr>
        <w:adjustRightInd w:val="0"/>
        <w:snapToGrid w:val="0"/>
        <w:spacing w:line="360" w:lineRule="auto"/>
        <w:ind w:firstLine="480" w:firstLineChars="200"/>
        <w:jc w:val="left"/>
        <w:rPr>
          <w:bCs/>
          <w:sz w:val="24"/>
        </w:rPr>
      </w:pPr>
      <w:r>
        <w:rPr>
          <w:sz w:val="24"/>
        </w:rPr>
        <w:t>乙方承诺将在上述情况下与甲方签订分包合同。</w:t>
      </w:r>
    </w:p>
    <w:p>
      <w:pPr>
        <w:adjustRightInd w:val="0"/>
        <w:snapToGrid w:val="0"/>
        <w:spacing w:line="360" w:lineRule="auto"/>
        <w:ind w:firstLine="480" w:firstLineChars="200"/>
        <w:jc w:val="left"/>
        <w:rPr>
          <w:sz w:val="24"/>
        </w:rPr>
      </w:pPr>
      <w:r>
        <w:rPr>
          <w:sz w:val="24"/>
        </w:rPr>
        <w:t>本协议自各方盖章之日起生效，如甲方未在该</w:t>
      </w:r>
      <w:r>
        <w:rPr>
          <w:rFonts w:hint="eastAsia"/>
          <w:sz w:val="24"/>
        </w:rPr>
        <w:t>工程</w:t>
      </w:r>
      <w:r>
        <w:rPr>
          <w:sz w:val="24"/>
        </w:rPr>
        <w:t>中标，本协议自动终止。</w:t>
      </w:r>
    </w:p>
    <w:p>
      <w:pPr>
        <w:spacing w:line="360" w:lineRule="auto"/>
        <w:ind w:firstLine="471"/>
        <w:rPr>
          <w:b/>
          <w:sz w:val="24"/>
        </w:rPr>
      </w:pPr>
    </w:p>
    <w:p>
      <w:pPr>
        <w:spacing w:line="360" w:lineRule="auto"/>
        <w:ind w:firstLine="471"/>
        <w:rPr>
          <w:b/>
          <w:sz w:val="24"/>
        </w:rPr>
      </w:pPr>
    </w:p>
    <w:p>
      <w:pPr>
        <w:spacing w:line="360" w:lineRule="auto"/>
        <w:ind w:firstLine="471"/>
        <w:rPr>
          <w:b/>
          <w:sz w:val="24"/>
        </w:rPr>
      </w:pPr>
    </w:p>
    <w:p>
      <w:pPr>
        <w:spacing w:line="360" w:lineRule="auto"/>
        <w:ind w:firstLine="471"/>
        <w:rPr>
          <w:b/>
          <w:sz w:val="24"/>
        </w:rPr>
      </w:pPr>
      <w:r>
        <w:rPr>
          <w:sz w:val="24"/>
        </w:rPr>
        <w:t>甲方（</w:t>
      </w:r>
      <w:r>
        <w:rPr>
          <w:rFonts w:hint="eastAsia"/>
          <w:sz w:val="24"/>
        </w:rPr>
        <w:t>盖企业CA电子印章</w:t>
      </w:r>
      <w:r>
        <w:rPr>
          <w:sz w:val="24"/>
        </w:rPr>
        <w:t>）：______ 乙方（</w:t>
      </w:r>
      <w:r>
        <w:rPr>
          <w:rFonts w:hint="eastAsia"/>
          <w:sz w:val="24"/>
        </w:rPr>
        <w:t>盖企业CA电子印章</w:t>
      </w:r>
      <w:r>
        <w:rPr>
          <w:sz w:val="24"/>
        </w:rPr>
        <w:t>）：_________</w:t>
      </w:r>
    </w:p>
    <w:p>
      <w:pPr>
        <w:spacing w:line="360" w:lineRule="auto"/>
        <w:ind w:left="480"/>
        <w:jc w:val="right"/>
        <w:rPr>
          <w:sz w:val="24"/>
        </w:rPr>
      </w:pPr>
    </w:p>
    <w:p>
      <w:pPr>
        <w:wordWrap w:val="0"/>
        <w:spacing w:line="360" w:lineRule="auto"/>
        <w:ind w:left="480"/>
        <w:jc w:val="right"/>
        <w:rPr>
          <w:b/>
          <w:sz w:val="24"/>
        </w:rPr>
      </w:pPr>
      <w:r>
        <w:rPr>
          <w:sz w:val="24"/>
          <w:szCs w:val="20"/>
        </w:rPr>
        <w:t xml:space="preserve">日期：_____年______月______日   </w:t>
      </w:r>
    </w:p>
    <w:p>
      <w:pPr>
        <w:tabs>
          <w:tab w:val="left" w:pos="8280"/>
        </w:tabs>
        <w:spacing w:line="360" w:lineRule="auto"/>
        <w:ind w:firstLine="480"/>
        <w:rPr>
          <w:sz w:val="24"/>
        </w:rPr>
      </w:pPr>
    </w:p>
    <w:p>
      <w:pPr>
        <w:spacing w:line="360" w:lineRule="auto"/>
        <w:rPr>
          <w:sz w:val="24"/>
          <w:szCs w:val="30"/>
        </w:rPr>
      </w:pPr>
      <w:r>
        <w:t>说明：</w:t>
      </w:r>
      <w:r>
        <w:rPr>
          <w:rFonts w:hint="eastAsia"/>
        </w:rPr>
        <w:t>本协议仅在投标人“为落实政府采购政策”而向中小企业分包时必须提供，且</w:t>
      </w:r>
      <w:r>
        <w:t>投标人须与所有拟分包单位分别签订《分包意向协议》，每单位签订一份，并在投标文件中提交全部协议原件的电子件，否则</w:t>
      </w:r>
      <w:r>
        <w:rPr>
          <w:b/>
        </w:rPr>
        <w:t>投标无效</w:t>
      </w:r>
      <w:r>
        <w:t>。</w:t>
      </w:r>
    </w:p>
    <w:p>
      <w:pPr>
        <w:pStyle w:val="5"/>
        <w:numPr>
          <w:ilvl w:val="2"/>
          <w:numId w:val="9"/>
        </w:numPr>
        <w:tabs>
          <w:tab w:val="left" w:pos="5580"/>
        </w:tabs>
        <w:spacing w:line="360" w:lineRule="auto"/>
        <w:ind w:right="1204"/>
        <w:rPr>
          <w:rFonts w:hAnsi="宋体"/>
          <w:sz w:val="30"/>
          <w:szCs w:val="30"/>
        </w:rPr>
      </w:pPr>
      <w:r>
        <w:rPr>
          <w:rFonts w:hAnsi="宋体"/>
          <w:sz w:val="30"/>
          <w:szCs w:val="30"/>
        </w:rPr>
        <w:br w:type="page"/>
      </w:r>
      <w:r>
        <w:rPr>
          <w:rFonts w:hint="eastAsia" w:hAnsi="宋体"/>
          <w:sz w:val="30"/>
          <w:szCs w:val="30"/>
        </w:rPr>
        <w:t>十二、其他落实政府采购政策的资格要求（如有）</w:t>
      </w:r>
      <w:r>
        <w:rPr>
          <w:rFonts w:hAnsi="宋体"/>
          <w:sz w:val="30"/>
          <w:szCs w:val="30"/>
        </w:rPr>
        <w:br w:type="page"/>
      </w:r>
    </w:p>
    <w:p>
      <w:pPr>
        <w:pStyle w:val="5"/>
        <w:rPr>
          <w:rFonts w:hAnsi="宋体"/>
          <w:sz w:val="30"/>
          <w:szCs w:val="30"/>
        </w:rPr>
      </w:pPr>
      <w:r>
        <w:rPr>
          <w:rFonts w:hint="eastAsia" w:hAnsi="宋体"/>
          <w:sz w:val="30"/>
          <w:szCs w:val="30"/>
        </w:rPr>
        <w:t>十三、联合协议（</w:t>
      </w:r>
      <w:r>
        <w:rPr>
          <w:rStyle w:val="106"/>
          <w:rFonts w:hint="eastAsia" w:ascii="宋体" w:hAnsi="宋体"/>
          <w:b/>
          <w:bCs/>
          <w:sz w:val="30"/>
          <w:szCs w:val="30"/>
        </w:rPr>
        <w:t>适用于政府采购工程 如有</w:t>
      </w:r>
      <w:r>
        <w:rPr>
          <w:rFonts w:hint="eastAsia" w:hAnsi="宋体"/>
          <w:sz w:val="30"/>
          <w:szCs w:val="30"/>
        </w:rPr>
        <w:t>）</w:t>
      </w:r>
    </w:p>
    <w:p>
      <w:pPr>
        <w:adjustRightInd w:val="0"/>
        <w:snapToGrid w:val="0"/>
        <w:spacing w:line="360" w:lineRule="auto"/>
        <w:ind w:firstLine="480" w:firstLineChars="200"/>
        <w:jc w:val="left"/>
        <w:rPr>
          <w:rFonts w:ascii="宋体" w:hAnsi="宋体"/>
          <w:sz w:val="24"/>
        </w:rPr>
      </w:pPr>
      <w:r>
        <w:rPr>
          <w:rFonts w:ascii="宋体" w:hAnsi="宋体"/>
          <w:sz w:val="24"/>
        </w:rPr>
        <w:t>________</w:t>
      </w:r>
      <w:r>
        <w:rPr>
          <w:rFonts w:hint="eastAsia" w:ascii="宋体" w:hAnsi="宋体"/>
          <w:sz w:val="24"/>
        </w:rPr>
        <w:t>、</w:t>
      </w:r>
      <w:r>
        <w:rPr>
          <w:rFonts w:ascii="宋体" w:hAnsi="宋体"/>
          <w:sz w:val="24"/>
        </w:rPr>
        <w:t>_____</w:t>
      </w:r>
      <w:r>
        <w:rPr>
          <w:rFonts w:ascii="宋体" w:hAnsi="宋体"/>
          <w:sz w:val="24"/>
          <w:u w:val="single"/>
        </w:rPr>
        <w:t>__</w:t>
      </w:r>
      <w:r>
        <w:rPr>
          <w:rFonts w:ascii="宋体" w:hAnsi="宋体"/>
          <w:sz w:val="24"/>
        </w:rPr>
        <w:t>_</w:t>
      </w:r>
      <w:r>
        <w:rPr>
          <w:rFonts w:hint="eastAsia" w:ascii="宋体" w:hAnsi="宋体"/>
          <w:sz w:val="24"/>
        </w:rPr>
        <w:t>及</w:t>
      </w:r>
      <w:r>
        <w:rPr>
          <w:rFonts w:ascii="宋体" w:hAnsi="宋体"/>
          <w:sz w:val="24"/>
        </w:rPr>
        <w:t>_</w:t>
      </w:r>
      <w:r>
        <w:rPr>
          <w:rFonts w:ascii="宋体" w:hAnsi="宋体"/>
          <w:sz w:val="24"/>
          <w:u w:val="single"/>
        </w:rPr>
        <w:t>__</w:t>
      </w:r>
      <w:r>
        <w:rPr>
          <w:rFonts w:ascii="宋体" w:hAnsi="宋体"/>
          <w:sz w:val="24"/>
        </w:rPr>
        <w:t>_____</w:t>
      </w:r>
      <w:r>
        <w:rPr>
          <w:rFonts w:hint="eastAsia" w:ascii="宋体" w:hAnsi="宋体"/>
          <w:sz w:val="24"/>
        </w:rPr>
        <w:t>就</w:t>
      </w:r>
      <w:r>
        <w:rPr>
          <w:rFonts w:ascii="宋体" w:hAnsi="宋体"/>
          <w:sz w:val="24"/>
          <w:u w:val="single"/>
        </w:rPr>
        <w:t>_____</w:t>
      </w:r>
      <w:r>
        <w:rPr>
          <w:rFonts w:hint="eastAsia" w:ascii="宋体" w:hAnsi="宋体"/>
          <w:sz w:val="24"/>
          <w:u w:val="single"/>
        </w:rPr>
        <w:t xml:space="preserve">   </w:t>
      </w:r>
      <w:r>
        <w:rPr>
          <w:rFonts w:ascii="宋体" w:hAnsi="宋体"/>
          <w:sz w:val="24"/>
          <w:u w:val="single"/>
        </w:rPr>
        <w:t>__</w:t>
      </w:r>
      <w:r>
        <w:rPr>
          <w:rFonts w:ascii="宋体" w:hAnsi="宋体"/>
          <w:sz w:val="24"/>
        </w:rPr>
        <w:t>（</w:t>
      </w:r>
      <w:r>
        <w:rPr>
          <w:rFonts w:hint="eastAsia" w:ascii="宋体" w:hAnsi="宋体"/>
          <w:sz w:val="24"/>
        </w:rPr>
        <w:t>工程</w:t>
      </w:r>
      <w:r>
        <w:rPr>
          <w:rFonts w:ascii="宋体" w:hAnsi="宋体"/>
          <w:sz w:val="24"/>
        </w:rPr>
        <w:t>名称）</w:t>
      </w:r>
      <w:r>
        <w:rPr>
          <w:rFonts w:hint="eastAsia" w:ascii="宋体" w:hAnsi="宋体"/>
          <w:sz w:val="24"/>
        </w:rPr>
        <w:t>投标事宜，经各方充分协商一致，达成如下协议：</w:t>
      </w:r>
    </w:p>
    <w:p>
      <w:pPr>
        <w:adjustRightInd w:val="0"/>
        <w:snapToGrid w:val="0"/>
        <w:spacing w:line="360" w:lineRule="auto"/>
        <w:ind w:firstLine="480" w:firstLineChars="200"/>
        <w:jc w:val="left"/>
        <w:rPr>
          <w:rFonts w:ascii="宋体" w:hAnsi="宋体"/>
          <w:sz w:val="24"/>
        </w:rPr>
      </w:pPr>
      <w:r>
        <w:rPr>
          <w:rFonts w:hint="eastAsia" w:ascii="宋体" w:hAnsi="宋体"/>
          <w:sz w:val="24"/>
        </w:rPr>
        <w:t>一、由</w:t>
      </w:r>
      <w:r>
        <w:rPr>
          <w:rFonts w:ascii="宋体" w:hAnsi="宋体"/>
          <w:sz w:val="24"/>
        </w:rPr>
        <w:t>___</w:t>
      </w:r>
      <w:r>
        <w:rPr>
          <w:rFonts w:ascii="宋体" w:hAnsi="宋体"/>
          <w:sz w:val="24"/>
          <w:u w:val="single"/>
        </w:rPr>
        <w:t>__</w:t>
      </w:r>
      <w:r>
        <w:rPr>
          <w:rFonts w:ascii="宋体" w:hAnsi="宋体"/>
          <w:sz w:val="24"/>
        </w:rPr>
        <w:t>___</w:t>
      </w:r>
      <w:r>
        <w:rPr>
          <w:rFonts w:hint="eastAsia" w:ascii="宋体" w:hAnsi="宋体"/>
          <w:sz w:val="24"/>
        </w:rPr>
        <w:t>牵头，</w:t>
      </w:r>
      <w:r>
        <w:rPr>
          <w:rFonts w:ascii="宋体" w:hAnsi="宋体"/>
          <w:sz w:val="24"/>
        </w:rPr>
        <w:t>________</w:t>
      </w:r>
      <w:r>
        <w:rPr>
          <w:rFonts w:hint="eastAsia" w:ascii="宋体" w:hAnsi="宋体"/>
          <w:sz w:val="24"/>
        </w:rPr>
        <w:t>、</w:t>
      </w:r>
      <w:r>
        <w:rPr>
          <w:rFonts w:ascii="宋体" w:hAnsi="宋体"/>
          <w:sz w:val="24"/>
          <w:u w:val="single"/>
        </w:rPr>
        <w:t>___</w:t>
      </w:r>
      <w:r>
        <w:rPr>
          <w:rFonts w:ascii="宋体" w:hAnsi="宋体"/>
          <w:sz w:val="24"/>
        </w:rPr>
        <w:t>___</w:t>
      </w:r>
      <w:r>
        <w:rPr>
          <w:rFonts w:ascii="宋体" w:hAnsi="宋体"/>
          <w:sz w:val="24"/>
          <w:u w:val="single"/>
        </w:rPr>
        <w:t>__</w:t>
      </w:r>
      <w:r>
        <w:rPr>
          <w:rFonts w:hint="eastAsia" w:ascii="宋体" w:hAnsi="宋体"/>
          <w:sz w:val="24"/>
        </w:rPr>
        <w:t>及参加，组成联合体共同进行招标项目的投标工作。</w:t>
      </w:r>
    </w:p>
    <w:p>
      <w:pPr>
        <w:adjustRightInd w:val="0"/>
        <w:snapToGrid w:val="0"/>
        <w:spacing w:line="360" w:lineRule="auto"/>
        <w:ind w:firstLine="480" w:firstLineChars="200"/>
        <w:jc w:val="left"/>
        <w:rPr>
          <w:rFonts w:ascii="宋体" w:hAnsi="宋体"/>
          <w:sz w:val="24"/>
        </w:rPr>
      </w:pPr>
      <w:r>
        <w:rPr>
          <w:rFonts w:hint="eastAsia" w:ascii="宋体" w:hAnsi="宋体"/>
          <w:sz w:val="24"/>
        </w:rPr>
        <w:t>二、联合体中标后，联合体各方共同与采购人签订合同，就采购合同约定的事项对采购人承担连带责任。</w:t>
      </w:r>
    </w:p>
    <w:p>
      <w:pPr>
        <w:adjustRightInd w:val="0"/>
        <w:snapToGrid w:val="0"/>
        <w:spacing w:line="360" w:lineRule="auto"/>
        <w:ind w:firstLine="480" w:firstLineChars="200"/>
        <w:jc w:val="left"/>
        <w:rPr>
          <w:rFonts w:ascii="宋体" w:hAnsi="宋体"/>
          <w:sz w:val="24"/>
        </w:rPr>
      </w:pPr>
      <w:r>
        <w:rPr>
          <w:rFonts w:hint="eastAsia" w:ascii="宋体" w:hAnsi="宋体"/>
          <w:sz w:val="24"/>
        </w:rPr>
        <w:t>三、联合体各方均同意由牵头人代表其他联合体成员单位按照招标文件要求出具《授权委托书》。</w:t>
      </w:r>
    </w:p>
    <w:p>
      <w:pPr>
        <w:adjustRightInd w:val="0"/>
        <w:snapToGrid w:val="0"/>
        <w:spacing w:line="360" w:lineRule="auto"/>
        <w:ind w:firstLine="480" w:firstLineChars="200"/>
        <w:jc w:val="left"/>
        <w:rPr>
          <w:rFonts w:ascii="宋体" w:hAnsi="宋体"/>
          <w:sz w:val="24"/>
        </w:rPr>
      </w:pPr>
      <w:r>
        <w:rPr>
          <w:rFonts w:hint="eastAsia" w:ascii="宋体" w:hAnsi="宋体"/>
          <w:sz w:val="24"/>
        </w:rPr>
        <w:t>四、牵头人为项目的总负责单位；组织参加各方进行项目实施工作。</w:t>
      </w:r>
    </w:p>
    <w:p>
      <w:pPr>
        <w:adjustRightInd w:val="0"/>
        <w:snapToGrid w:val="0"/>
        <w:spacing w:line="360" w:lineRule="auto"/>
        <w:ind w:firstLine="480" w:firstLineChars="200"/>
        <w:jc w:val="left"/>
        <w:rPr>
          <w:rFonts w:ascii="宋体" w:hAnsi="宋体"/>
          <w:sz w:val="24"/>
        </w:rPr>
      </w:pPr>
      <w:r>
        <w:rPr>
          <w:rFonts w:hint="eastAsia" w:ascii="宋体" w:hAnsi="宋体"/>
          <w:sz w:val="24"/>
        </w:rPr>
        <w:t>五、</w:t>
      </w:r>
      <w:r>
        <w:rPr>
          <w:rFonts w:ascii="宋体" w:hAnsi="宋体"/>
          <w:sz w:val="24"/>
        </w:rPr>
        <w:t>___</w:t>
      </w:r>
      <w:r>
        <w:rPr>
          <w:rFonts w:ascii="宋体" w:hAnsi="宋体"/>
          <w:sz w:val="24"/>
          <w:u w:val="single"/>
        </w:rPr>
        <w:t>__</w:t>
      </w:r>
      <w:r>
        <w:rPr>
          <w:rFonts w:ascii="宋体" w:hAnsi="宋体"/>
          <w:sz w:val="24"/>
        </w:rPr>
        <w:t>___</w:t>
      </w:r>
      <w:r>
        <w:rPr>
          <w:rFonts w:hint="eastAsia" w:ascii="宋体" w:hAnsi="宋体"/>
          <w:sz w:val="24"/>
        </w:rPr>
        <w:t>负责</w:t>
      </w:r>
      <w:r>
        <w:rPr>
          <w:rFonts w:ascii="宋体" w:hAnsi="宋体"/>
          <w:sz w:val="24"/>
        </w:rPr>
        <w:t>___</w:t>
      </w:r>
      <w:r>
        <w:rPr>
          <w:rFonts w:ascii="宋体" w:hAnsi="宋体"/>
          <w:sz w:val="24"/>
          <w:u w:val="single"/>
        </w:rPr>
        <w:t>__</w:t>
      </w:r>
      <w:r>
        <w:rPr>
          <w:rFonts w:ascii="宋体" w:hAnsi="宋体"/>
          <w:sz w:val="24"/>
        </w:rPr>
        <w:t>___</w:t>
      </w:r>
      <w:r>
        <w:rPr>
          <w:rFonts w:hint="eastAsia" w:ascii="宋体" w:hAnsi="宋体"/>
          <w:sz w:val="24"/>
        </w:rPr>
        <w:t>，具体工作范围、内容以投标文件及合同为准。</w:t>
      </w:r>
    </w:p>
    <w:p>
      <w:pPr>
        <w:adjustRightInd w:val="0"/>
        <w:snapToGrid w:val="0"/>
        <w:spacing w:line="360" w:lineRule="auto"/>
        <w:ind w:firstLine="480" w:firstLineChars="200"/>
        <w:jc w:val="left"/>
        <w:rPr>
          <w:rFonts w:ascii="宋体" w:hAnsi="宋体"/>
          <w:sz w:val="24"/>
        </w:rPr>
      </w:pPr>
      <w:r>
        <w:rPr>
          <w:rFonts w:hint="eastAsia" w:ascii="宋体" w:hAnsi="宋体"/>
          <w:sz w:val="24"/>
        </w:rPr>
        <w:t>六、</w:t>
      </w:r>
      <w:r>
        <w:rPr>
          <w:rFonts w:ascii="宋体" w:hAnsi="宋体"/>
          <w:sz w:val="24"/>
        </w:rPr>
        <w:t>___</w:t>
      </w:r>
      <w:r>
        <w:rPr>
          <w:rFonts w:ascii="宋体" w:hAnsi="宋体"/>
          <w:sz w:val="24"/>
          <w:u w:val="single"/>
        </w:rPr>
        <w:t>__</w:t>
      </w:r>
      <w:r>
        <w:rPr>
          <w:rFonts w:ascii="宋体" w:hAnsi="宋体"/>
          <w:sz w:val="24"/>
        </w:rPr>
        <w:t>___</w:t>
      </w:r>
      <w:r>
        <w:rPr>
          <w:rFonts w:hint="eastAsia" w:ascii="宋体" w:hAnsi="宋体"/>
          <w:sz w:val="24"/>
        </w:rPr>
        <w:t>负责</w:t>
      </w:r>
      <w:r>
        <w:rPr>
          <w:rFonts w:ascii="宋体" w:hAnsi="宋体"/>
          <w:sz w:val="24"/>
        </w:rPr>
        <w:t>___</w:t>
      </w:r>
      <w:r>
        <w:rPr>
          <w:rFonts w:ascii="宋体" w:hAnsi="宋体"/>
          <w:sz w:val="24"/>
          <w:u w:val="single"/>
        </w:rPr>
        <w:t>__</w:t>
      </w:r>
      <w:r>
        <w:rPr>
          <w:rFonts w:ascii="宋体" w:hAnsi="宋体"/>
          <w:sz w:val="24"/>
        </w:rPr>
        <w:t>___</w:t>
      </w:r>
      <w:r>
        <w:rPr>
          <w:rFonts w:hint="eastAsia" w:ascii="宋体" w:hAnsi="宋体"/>
          <w:sz w:val="24"/>
        </w:rPr>
        <w:t>，具体工作范围、内容以投标文件及合同为准。</w:t>
      </w:r>
    </w:p>
    <w:p>
      <w:pPr>
        <w:adjustRightInd w:val="0"/>
        <w:snapToGrid w:val="0"/>
        <w:spacing w:line="360" w:lineRule="auto"/>
        <w:ind w:firstLine="480" w:firstLineChars="200"/>
        <w:jc w:val="left"/>
        <w:rPr>
          <w:rFonts w:ascii="宋体" w:hAnsi="宋体"/>
          <w:sz w:val="24"/>
        </w:rPr>
      </w:pPr>
      <w:r>
        <w:rPr>
          <w:rFonts w:hint="eastAsia" w:ascii="宋体" w:hAnsi="宋体"/>
          <w:sz w:val="24"/>
        </w:rPr>
        <w:t>七、</w:t>
      </w:r>
      <w:r>
        <w:rPr>
          <w:rFonts w:ascii="宋体" w:hAnsi="宋体"/>
          <w:sz w:val="24"/>
        </w:rPr>
        <w:t>___</w:t>
      </w:r>
      <w:r>
        <w:rPr>
          <w:rFonts w:ascii="宋体" w:hAnsi="宋体"/>
          <w:sz w:val="24"/>
          <w:u w:val="single"/>
        </w:rPr>
        <w:t>__</w:t>
      </w:r>
      <w:r>
        <w:rPr>
          <w:rFonts w:ascii="宋体" w:hAnsi="宋体"/>
          <w:sz w:val="24"/>
        </w:rPr>
        <w:t>___</w:t>
      </w:r>
      <w:r>
        <w:rPr>
          <w:rFonts w:hint="eastAsia" w:ascii="宋体" w:hAnsi="宋体"/>
          <w:sz w:val="24"/>
        </w:rPr>
        <w:t>负责</w:t>
      </w:r>
      <w:r>
        <w:rPr>
          <w:rFonts w:ascii="宋体" w:hAnsi="宋体"/>
          <w:sz w:val="24"/>
        </w:rPr>
        <w:t>___</w:t>
      </w:r>
      <w:r>
        <w:rPr>
          <w:rFonts w:ascii="宋体" w:hAnsi="宋体"/>
          <w:sz w:val="24"/>
          <w:u w:val="single"/>
        </w:rPr>
        <w:t>__</w:t>
      </w:r>
      <w:r>
        <w:rPr>
          <w:rFonts w:ascii="宋体" w:hAnsi="宋体"/>
          <w:sz w:val="24"/>
        </w:rPr>
        <w:t>___</w:t>
      </w:r>
      <w:r>
        <w:rPr>
          <w:rFonts w:hint="eastAsia" w:ascii="宋体" w:hAnsi="宋体"/>
          <w:sz w:val="24"/>
        </w:rPr>
        <w:t>（如有），具体工作范围、内容以投标文件及合同为准。</w:t>
      </w:r>
    </w:p>
    <w:p>
      <w:pPr>
        <w:adjustRightInd w:val="0"/>
        <w:snapToGrid w:val="0"/>
        <w:spacing w:line="360" w:lineRule="auto"/>
        <w:ind w:firstLine="480" w:firstLineChars="200"/>
        <w:jc w:val="left"/>
        <w:rPr>
          <w:sz w:val="24"/>
        </w:rPr>
      </w:pPr>
      <w:r>
        <w:rPr>
          <w:rFonts w:hint="eastAsia"/>
          <w:sz w:val="24"/>
        </w:rPr>
        <w:t>八、本工程联合协议合同总额为</w:t>
      </w:r>
      <w:r>
        <w:rPr>
          <w:rFonts w:hint="eastAsia"/>
          <w:sz w:val="24"/>
          <w:u w:val="single"/>
        </w:rPr>
        <w:t xml:space="preserve">      </w:t>
      </w:r>
      <w:r>
        <w:rPr>
          <w:rFonts w:hint="eastAsia"/>
          <w:sz w:val="24"/>
        </w:rPr>
        <w:t>元，联合体各成员按照如下比例分摊（按联合体成员分别列明）：</w:t>
      </w:r>
    </w:p>
    <w:p>
      <w:pPr>
        <w:adjustRightInd w:val="0"/>
        <w:snapToGrid w:val="0"/>
        <w:spacing w:line="360" w:lineRule="auto"/>
        <w:ind w:firstLine="480" w:firstLineChars="200"/>
        <w:jc w:val="left"/>
        <w:rPr>
          <w:rFonts w:hAnsi="宋体"/>
          <w:sz w:val="24"/>
        </w:rPr>
      </w:pPr>
      <w:r>
        <w:rPr>
          <w:rFonts w:hint="eastAsia"/>
          <w:sz w:val="24"/>
        </w:rPr>
        <w:t>（1）</w:t>
      </w:r>
      <w:r>
        <w:rPr>
          <w:rFonts w:ascii="宋体" w:hAnsi="宋体"/>
          <w:sz w:val="24"/>
        </w:rPr>
        <w:t>__</w:t>
      </w:r>
      <w:r>
        <w:rPr>
          <w:rFonts w:ascii="宋体" w:hAnsi="宋体"/>
          <w:sz w:val="24"/>
          <w:u w:val="single"/>
        </w:rPr>
        <w:t>___</w:t>
      </w:r>
      <w:r>
        <w:rPr>
          <w:rFonts w:ascii="宋体" w:hAnsi="宋体"/>
          <w:sz w:val="24"/>
        </w:rPr>
        <w:t>_</w:t>
      </w:r>
      <w:r>
        <w:rPr>
          <w:rFonts w:hint="eastAsia" w:ascii="宋体" w:hAnsi="宋体"/>
          <w:sz w:val="24"/>
        </w:rPr>
        <w:t>为</w:t>
      </w:r>
      <w:r>
        <w:rPr>
          <w:rFonts w:hint="eastAsia" w:hAnsi="宋体"/>
          <w:szCs w:val="21"/>
        </w:rPr>
        <w:t>□</w:t>
      </w:r>
      <w:r>
        <w:rPr>
          <w:rFonts w:hint="eastAsia" w:ascii="宋体" w:hAnsi="宋体"/>
          <w:sz w:val="24"/>
        </w:rPr>
        <w:t>大型企业</w:t>
      </w:r>
      <w:r>
        <w:rPr>
          <w:rFonts w:hint="eastAsia" w:hAnsi="宋体"/>
          <w:szCs w:val="21"/>
        </w:rPr>
        <w:t>□</w:t>
      </w:r>
      <w:r>
        <w:rPr>
          <w:rFonts w:hint="eastAsia" w:ascii="宋体" w:hAnsi="宋体"/>
          <w:sz w:val="24"/>
        </w:rPr>
        <w:t>中型企业、</w:t>
      </w:r>
      <w:r>
        <w:rPr>
          <w:rFonts w:hint="eastAsia" w:hAnsi="宋体"/>
          <w:szCs w:val="21"/>
        </w:rPr>
        <w:t>□</w:t>
      </w:r>
      <w:r>
        <w:rPr>
          <w:rFonts w:hint="eastAsia" w:ascii="宋体" w:hAnsi="宋体"/>
          <w:sz w:val="24"/>
        </w:rPr>
        <w:t>小微企业、</w:t>
      </w:r>
      <w:r>
        <w:rPr>
          <w:rFonts w:hint="eastAsia" w:hAnsi="宋体"/>
          <w:sz w:val="24"/>
        </w:rPr>
        <w:t>□其他</w:t>
      </w:r>
      <w:r>
        <w:rPr>
          <w:rFonts w:hint="eastAsia" w:hAnsi="宋体"/>
          <w:szCs w:val="21"/>
        </w:rPr>
        <w:t>。</w:t>
      </w:r>
      <w:r>
        <w:rPr>
          <w:rFonts w:hint="eastAsia" w:hAnsi="宋体"/>
          <w:sz w:val="24"/>
        </w:rPr>
        <w:t>合同金额为</w:t>
      </w:r>
      <w:r>
        <w:rPr>
          <w:rFonts w:hint="eastAsia" w:hAnsi="宋体"/>
          <w:sz w:val="24"/>
          <w:u w:val="single"/>
        </w:rPr>
        <w:t xml:space="preserve">      </w:t>
      </w:r>
      <w:r>
        <w:rPr>
          <w:rFonts w:hint="eastAsia" w:hAnsi="宋体"/>
          <w:sz w:val="24"/>
        </w:rPr>
        <w:t>元；</w:t>
      </w:r>
    </w:p>
    <w:p>
      <w:pPr>
        <w:adjustRightInd w:val="0"/>
        <w:snapToGrid w:val="0"/>
        <w:spacing w:line="360" w:lineRule="auto"/>
        <w:ind w:firstLine="480" w:firstLineChars="200"/>
        <w:jc w:val="left"/>
        <w:rPr>
          <w:rFonts w:hAnsi="宋体"/>
          <w:sz w:val="24"/>
        </w:rPr>
      </w:pPr>
      <w:r>
        <w:rPr>
          <w:rFonts w:hint="eastAsia"/>
          <w:sz w:val="24"/>
        </w:rPr>
        <w:t>（2）</w:t>
      </w:r>
      <w:r>
        <w:rPr>
          <w:rFonts w:ascii="宋体" w:hAnsi="宋体"/>
          <w:sz w:val="24"/>
        </w:rPr>
        <w:t>__</w:t>
      </w:r>
      <w:r>
        <w:rPr>
          <w:rFonts w:ascii="宋体" w:hAnsi="宋体"/>
          <w:sz w:val="24"/>
          <w:u w:val="single"/>
        </w:rPr>
        <w:t>___</w:t>
      </w:r>
      <w:r>
        <w:rPr>
          <w:rFonts w:ascii="宋体" w:hAnsi="宋体"/>
          <w:sz w:val="24"/>
        </w:rPr>
        <w:t>_</w:t>
      </w:r>
      <w:r>
        <w:rPr>
          <w:rFonts w:hint="eastAsia" w:ascii="宋体" w:hAnsi="宋体"/>
          <w:sz w:val="24"/>
        </w:rPr>
        <w:t>为</w:t>
      </w:r>
      <w:r>
        <w:rPr>
          <w:rFonts w:hint="eastAsia" w:hAnsi="宋体"/>
          <w:sz w:val="24"/>
        </w:rPr>
        <w:t>□</w:t>
      </w:r>
      <w:r>
        <w:rPr>
          <w:rFonts w:hint="eastAsia" w:ascii="宋体" w:hAnsi="宋体"/>
          <w:sz w:val="24"/>
        </w:rPr>
        <w:t>大型企业</w:t>
      </w:r>
      <w:r>
        <w:rPr>
          <w:rFonts w:hint="eastAsia" w:hAnsi="宋体"/>
          <w:sz w:val="24"/>
        </w:rPr>
        <w:t>□</w:t>
      </w:r>
      <w:r>
        <w:rPr>
          <w:rFonts w:hint="eastAsia" w:ascii="宋体" w:hAnsi="宋体"/>
          <w:sz w:val="24"/>
        </w:rPr>
        <w:t>中型企业、</w:t>
      </w:r>
      <w:r>
        <w:rPr>
          <w:rFonts w:hint="eastAsia" w:hAnsi="宋体"/>
          <w:sz w:val="24"/>
        </w:rPr>
        <w:t>□</w:t>
      </w:r>
      <w:r>
        <w:rPr>
          <w:rFonts w:hint="eastAsia" w:ascii="宋体" w:hAnsi="宋体"/>
          <w:sz w:val="24"/>
        </w:rPr>
        <w:t>小微企业、□其他</w:t>
      </w:r>
      <w:r>
        <w:rPr>
          <w:rFonts w:hint="eastAsia" w:hAnsi="宋体"/>
          <w:sz w:val="24"/>
        </w:rPr>
        <w:t>。合同金额为</w:t>
      </w:r>
      <w:r>
        <w:rPr>
          <w:rFonts w:hint="eastAsia" w:hAnsi="宋体"/>
          <w:sz w:val="24"/>
          <w:u w:val="single"/>
        </w:rPr>
        <w:t xml:space="preserve">      </w:t>
      </w:r>
      <w:r>
        <w:rPr>
          <w:rFonts w:hint="eastAsia" w:hAnsi="宋体"/>
          <w:sz w:val="24"/>
        </w:rPr>
        <w:t>元；</w:t>
      </w:r>
    </w:p>
    <w:p>
      <w:pPr>
        <w:adjustRightInd w:val="0"/>
        <w:snapToGrid w:val="0"/>
        <w:spacing w:line="360" w:lineRule="auto"/>
        <w:ind w:firstLine="480" w:firstLineChars="200"/>
        <w:jc w:val="left"/>
        <w:rPr>
          <w:rFonts w:hAnsi="宋体"/>
          <w:sz w:val="24"/>
        </w:rPr>
      </w:pPr>
      <w:r>
        <w:rPr>
          <w:rFonts w:hint="eastAsia"/>
          <w:sz w:val="24"/>
        </w:rPr>
        <w:t>（…）</w:t>
      </w:r>
      <w:r>
        <w:rPr>
          <w:rFonts w:ascii="宋体" w:hAnsi="宋体"/>
          <w:sz w:val="24"/>
        </w:rPr>
        <w:t>__</w:t>
      </w:r>
      <w:r>
        <w:rPr>
          <w:rFonts w:ascii="宋体" w:hAnsi="宋体"/>
          <w:sz w:val="24"/>
          <w:u w:val="single"/>
        </w:rPr>
        <w:t>___</w:t>
      </w:r>
      <w:r>
        <w:rPr>
          <w:rFonts w:hint="eastAsia" w:ascii="宋体" w:hAnsi="宋体"/>
          <w:sz w:val="24"/>
        </w:rPr>
        <w:t>为</w:t>
      </w:r>
      <w:r>
        <w:rPr>
          <w:rFonts w:hint="eastAsia" w:hAnsi="宋体"/>
          <w:sz w:val="24"/>
        </w:rPr>
        <w:t>□</w:t>
      </w:r>
      <w:r>
        <w:rPr>
          <w:rFonts w:hint="eastAsia" w:ascii="宋体" w:hAnsi="宋体"/>
          <w:sz w:val="24"/>
        </w:rPr>
        <w:t>大型企业</w:t>
      </w:r>
      <w:r>
        <w:rPr>
          <w:rFonts w:hint="eastAsia" w:hAnsi="宋体"/>
          <w:sz w:val="24"/>
        </w:rPr>
        <w:t>□</w:t>
      </w:r>
      <w:r>
        <w:rPr>
          <w:rFonts w:hint="eastAsia" w:ascii="宋体" w:hAnsi="宋体"/>
          <w:sz w:val="24"/>
        </w:rPr>
        <w:t>中型企业、</w:t>
      </w:r>
      <w:r>
        <w:rPr>
          <w:rFonts w:hint="eastAsia" w:hAnsi="宋体"/>
          <w:sz w:val="24"/>
        </w:rPr>
        <w:t>□</w:t>
      </w:r>
      <w:r>
        <w:rPr>
          <w:rFonts w:hint="eastAsia" w:ascii="宋体" w:hAnsi="宋体"/>
          <w:sz w:val="24"/>
        </w:rPr>
        <w:t>小微企业、□其他</w:t>
      </w:r>
      <w:r>
        <w:rPr>
          <w:rFonts w:hint="eastAsia" w:hAnsi="宋体"/>
          <w:sz w:val="24"/>
        </w:rPr>
        <w:t>。合同金额为</w:t>
      </w:r>
      <w:r>
        <w:rPr>
          <w:rFonts w:hint="eastAsia" w:hAnsi="宋体"/>
          <w:sz w:val="24"/>
          <w:u w:val="single"/>
        </w:rPr>
        <w:t xml:space="preserve">      </w:t>
      </w:r>
      <w:r>
        <w:rPr>
          <w:rFonts w:hint="eastAsia" w:hAnsi="宋体"/>
          <w:sz w:val="24"/>
        </w:rPr>
        <w:t>元。</w:t>
      </w:r>
    </w:p>
    <w:p>
      <w:pPr>
        <w:adjustRightInd w:val="0"/>
        <w:snapToGrid w:val="0"/>
        <w:spacing w:line="360" w:lineRule="auto"/>
        <w:ind w:firstLine="480" w:firstLineChars="200"/>
        <w:jc w:val="left"/>
        <w:rPr>
          <w:sz w:val="24"/>
        </w:rPr>
      </w:pPr>
      <w:r>
        <w:rPr>
          <w:rFonts w:hint="eastAsia"/>
          <w:sz w:val="24"/>
        </w:rPr>
        <w:t>九、以联合体形式参加采购活动的，联合体各方不得再单独参加或者与其他投标人另外组成联合体参加同一合同项下的政府采购活动。</w:t>
      </w:r>
    </w:p>
    <w:p>
      <w:pPr>
        <w:adjustRightInd w:val="0"/>
        <w:snapToGrid w:val="0"/>
        <w:spacing w:line="360" w:lineRule="auto"/>
        <w:ind w:firstLine="480" w:firstLineChars="200"/>
        <w:jc w:val="left"/>
        <w:rPr>
          <w:sz w:val="24"/>
        </w:rPr>
      </w:pPr>
      <w:r>
        <w:rPr>
          <w:rFonts w:hint="eastAsia"/>
          <w:sz w:val="24"/>
        </w:rPr>
        <w:t>十、其他约定(如有)：</w:t>
      </w:r>
      <w:r>
        <w:rPr>
          <w:rFonts w:hint="eastAsia"/>
          <w:sz w:val="24"/>
          <w:u w:val="single"/>
        </w:rPr>
        <w:t xml:space="preserve">                     </w:t>
      </w:r>
      <w:r>
        <w:rPr>
          <w:rFonts w:hint="eastAsia"/>
          <w:sz w:val="24"/>
        </w:rPr>
        <w:t xml:space="preserve">。     </w:t>
      </w:r>
    </w:p>
    <w:p>
      <w:pPr>
        <w:adjustRightInd w:val="0"/>
        <w:snapToGrid w:val="0"/>
        <w:spacing w:line="360" w:lineRule="auto"/>
        <w:ind w:firstLine="480" w:firstLineChars="200"/>
        <w:jc w:val="left"/>
        <w:rPr>
          <w:sz w:val="24"/>
        </w:rPr>
      </w:pPr>
      <w:r>
        <w:rPr>
          <w:rFonts w:hint="eastAsia"/>
          <w:sz w:val="24"/>
        </w:rPr>
        <w:t>本协议自各方签章后生效，采购合同履行完毕后自动失效。如未中标。本协议自动终止。</w:t>
      </w:r>
    </w:p>
    <w:p>
      <w:pPr>
        <w:adjustRightInd w:val="0"/>
        <w:snapToGrid w:val="0"/>
        <w:spacing w:line="360" w:lineRule="auto"/>
        <w:ind w:firstLine="480" w:firstLineChars="200"/>
        <w:jc w:val="left"/>
        <w:rPr>
          <w:sz w:val="24"/>
        </w:rPr>
      </w:pPr>
    </w:p>
    <w:p>
      <w:pPr>
        <w:adjustRightInd w:val="0"/>
        <w:snapToGrid w:val="0"/>
        <w:spacing w:line="360" w:lineRule="auto"/>
        <w:ind w:firstLine="480" w:firstLineChars="200"/>
        <w:jc w:val="left"/>
        <w:rPr>
          <w:sz w:val="24"/>
        </w:rPr>
      </w:pPr>
    </w:p>
    <w:p>
      <w:pPr>
        <w:adjustRightInd w:val="0"/>
        <w:snapToGrid w:val="0"/>
        <w:spacing w:line="360" w:lineRule="auto"/>
        <w:jc w:val="left"/>
        <w:rPr>
          <w:sz w:val="24"/>
        </w:rPr>
      </w:pPr>
      <w:r>
        <w:rPr>
          <w:rFonts w:hint="eastAsia"/>
          <w:sz w:val="24"/>
        </w:rPr>
        <w:t>联合体牵头人名称：</w:t>
      </w:r>
      <w:r>
        <w:rPr>
          <w:rFonts w:hint="eastAsia"/>
          <w:sz w:val="24"/>
          <w:u w:val="single"/>
        </w:rPr>
        <w:t>（盖企业CA电子印章）</w:t>
      </w:r>
      <w:r>
        <w:rPr>
          <w:rFonts w:hint="eastAsia"/>
          <w:sz w:val="24"/>
        </w:rPr>
        <w:t xml:space="preserve"> </w:t>
      </w:r>
    </w:p>
    <w:p>
      <w:pPr>
        <w:adjustRightInd w:val="0"/>
        <w:snapToGrid w:val="0"/>
        <w:spacing w:line="360" w:lineRule="auto"/>
        <w:jc w:val="left"/>
        <w:rPr>
          <w:sz w:val="24"/>
          <w:u w:val="single"/>
        </w:rPr>
      </w:pPr>
      <w:r>
        <w:rPr>
          <w:rFonts w:hint="eastAsia"/>
          <w:sz w:val="24"/>
        </w:rPr>
        <w:t>联合体成员名称：</w:t>
      </w:r>
      <w:r>
        <w:rPr>
          <w:sz w:val="24"/>
          <w:u w:val="single"/>
        </w:rPr>
        <w:t>（盖</w:t>
      </w:r>
      <w:r>
        <w:rPr>
          <w:rFonts w:hint="eastAsia"/>
          <w:sz w:val="24"/>
          <w:u w:val="single"/>
        </w:rPr>
        <w:t>企业CA电子印</w:t>
      </w:r>
      <w:r>
        <w:rPr>
          <w:sz w:val="24"/>
          <w:u w:val="single"/>
        </w:rPr>
        <w:t>章）</w:t>
      </w:r>
      <w:r>
        <w:rPr>
          <w:rFonts w:hint="eastAsia"/>
          <w:sz w:val="24"/>
          <w:u w:val="single"/>
        </w:rPr>
        <w:t xml:space="preserve"> </w:t>
      </w:r>
    </w:p>
    <w:p>
      <w:pPr>
        <w:adjustRightInd w:val="0"/>
        <w:snapToGrid w:val="0"/>
        <w:spacing w:line="360" w:lineRule="auto"/>
        <w:jc w:val="left"/>
        <w:rPr>
          <w:sz w:val="24"/>
          <w:u w:val="single"/>
        </w:rPr>
      </w:pPr>
      <w:r>
        <w:rPr>
          <w:rFonts w:hint="eastAsia"/>
          <w:sz w:val="24"/>
        </w:rPr>
        <w:t>联合体成员名称：</w:t>
      </w:r>
      <w:r>
        <w:rPr>
          <w:sz w:val="24"/>
          <w:u w:val="single"/>
        </w:rPr>
        <w:t>（盖</w:t>
      </w:r>
      <w:r>
        <w:rPr>
          <w:rFonts w:hint="eastAsia"/>
          <w:sz w:val="24"/>
          <w:u w:val="single"/>
        </w:rPr>
        <w:t>企业CA电子印</w:t>
      </w:r>
      <w:r>
        <w:rPr>
          <w:sz w:val="24"/>
          <w:u w:val="single"/>
        </w:rPr>
        <w:t>章）</w:t>
      </w:r>
      <w:r>
        <w:rPr>
          <w:rFonts w:hint="eastAsia"/>
          <w:sz w:val="24"/>
          <w:u w:val="single"/>
        </w:rPr>
        <w:t xml:space="preserve"> </w:t>
      </w:r>
    </w:p>
    <w:p>
      <w:pPr>
        <w:adjustRightInd w:val="0"/>
        <w:snapToGrid w:val="0"/>
        <w:spacing w:line="360" w:lineRule="auto"/>
        <w:ind w:firstLine="480" w:firstLineChars="200"/>
        <w:jc w:val="right"/>
        <w:rPr>
          <w:sz w:val="24"/>
        </w:rPr>
      </w:pPr>
      <w:r>
        <w:rPr>
          <w:sz w:val="24"/>
        </w:rPr>
        <w:t>日期：_____年______月______日</w:t>
      </w:r>
    </w:p>
    <w:p>
      <w:pPr>
        <w:adjustRightInd w:val="0"/>
        <w:snapToGrid w:val="0"/>
        <w:jc w:val="left"/>
        <w:rPr>
          <w:strike/>
          <w:szCs w:val="21"/>
        </w:rPr>
      </w:pPr>
    </w:p>
    <w:p>
      <w:pPr>
        <w:adjustRightInd w:val="0"/>
        <w:snapToGrid w:val="0"/>
        <w:spacing w:line="360" w:lineRule="auto"/>
        <w:jc w:val="left"/>
        <w:rPr>
          <w:szCs w:val="21"/>
        </w:rPr>
      </w:pPr>
      <w:r>
        <w:rPr>
          <w:szCs w:val="21"/>
        </w:rPr>
        <w:t xml:space="preserve">注： </w:t>
      </w:r>
    </w:p>
    <w:p>
      <w:pPr>
        <w:adjustRightInd w:val="0"/>
        <w:snapToGrid w:val="0"/>
        <w:spacing w:line="360" w:lineRule="auto"/>
        <w:jc w:val="left"/>
        <w:rPr>
          <w:szCs w:val="21"/>
        </w:rPr>
      </w:pPr>
      <w:r>
        <w:rPr>
          <w:rFonts w:hint="eastAsia"/>
          <w:szCs w:val="21"/>
        </w:rPr>
        <w:t>1</w:t>
      </w:r>
      <w:r>
        <w:rPr>
          <w:rFonts w:hint="eastAsia" w:asciiTheme="minorEastAsia" w:hAnsiTheme="minorEastAsia" w:eastAsiaTheme="minorEastAsia"/>
          <w:szCs w:val="21"/>
        </w:rPr>
        <w:t>.</w:t>
      </w:r>
      <w:r>
        <w:rPr>
          <w:rFonts w:hint="eastAsia"/>
          <w:szCs w:val="21"/>
        </w:rPr>
        <w:t>如本工程接受投标人以联合体形式参加采购活动，且投标人以联合体形式参与时，须提供《联合协议》，否则投标无效</w:t>
      </w:r>
      <w:r>
        <w:rPr>
          <w:szCs w:val="21"/>
        </w:rPr>
        <w:t>。</w:t>
      </w:r>
    </w:p>
    <w:p>
      <w:pPr>
        <w:adjustRightInd w:val="0"/>
        <w:snapToGrid w:val="0"/>
        <w:spacing w:line="360" w:lineRule="auto"/>
        <w:jc w:val="left"/>
        <w:rPr>
          <w:szCs w:val="21"/>
        </w:rPr>
      </w:pPr>
      <w:r>
        <w:rPr>
          <w:rFonts w:hint="eastAsia"/>
          <w:szCs w:val="21"/>
        </w:rPr>
        <w:t>2</w:t>
      </w:r>
      <w:r>
        <w:rPr>
          <w:rFonts w:hint="eastAsia" w:asciiTheme="minorEastAsia" w:hAnsiTheme="minorEastAsia" w:eastAsiaTheme="minorEastAsia"/>
          <w:szCs w:val="21"/>
        </w:rPr>
        <w:t>.联合体各方成员需在本协议上共同盖章。</w:t>
      </w:r>
    </w:p>
    <w:p>
      <w:pPr>
        <w:adjustRightInd w:val="0"/>
        <w:snapToGrid w:val="0"/>
        <w:spacing w:line="360" w:lineRule="auto"/>
        <w:ind w:firstLine="480" w:firstLineChars="200"/>
        <w:jc w:val="right"/>
        <w:rPr>
          <w:sz w:val="24"/>
          <w:u w:val="single"/>
        </w:rPr>
      </w:pPr>
    </w:p>
    <w:p>
      <w:pPr>
        <w:pStyle w:val="4"/>
      </w:pPr>
    </w:p>
    <w:p>
      <w:pPr>
        <w:widowControl/>
        <w:jc w:val="left"/>
        <w:rPr>
          <w:kern w:val="0"/>
          <w:sz w:val="20"/>
          <w:szCs w:val="20"/>
        </w:rPr>
      </w:pPr>
      <w:r>
        <w:br w:type="page"/>
      </w:r>
    </w:p>
    <w:p>
      <w:pPr>
        <w:pStyle w:val="4"/>
      </w:pPr>
    </w:p>
    <w:p>
      <w:pPr>
        <w:pStyle w:val="5"/>
        <w:rPr>
          <w:sz w:val="30"/>
          <w:szCs w:val="30"/>
        </w:rPr>
      </w:pPr>
      <w:r>
        <w:rPr>
          <w:rFonts w:hint="eastAsia" w:hAnsi="宋体"/>
          <w:sz w:val="30"/>
          <w:szCs w:val="30"/>
        </w:rPr>
        <w:t>十四、</w:t>
      </w:r>
      <w:bookmarkEnd w:id="1556"/>
      <w:bookmarkEnd w:id="1557"/>
      <w:bookmarkEnd w:id="1558"/>
      <w:bookmarkEnd w:id="1559"/>
      <w:bookmarkEnd w:id="1560"/>
      <w:r>
        <w:rPr>
          <w:rFonts w:hint="eastAsia" w:hAnsi="宋体"/>
          <w:sz w:val="30"/>
          <w:szCs w:val="30"/>
        </w:rPr>
        <w:t>其他</w:t>
      </w:r>
      <w:bookmarkEnd w:id="1561"/>
      <w:bookmarkEnd w:id="1562"/>
      <w:bookmarkEnd w:id="1563"/>
      <w:bookmarkEnd w:id="1564"/>
      <w:bookmarkEnd w:id="1565"/>
    </w:p>
    <w:p>
      <w:pPr>
        <w:pStyle w:val="28"/>
        <w:widowControl/>
        <w:tabs>
          <w:tab w:val="left" w:pos="5580"/>
        </w:tabs>
        <w:spacing w:line="360" w:lineRule="auto"/>
        <w:ind w:left="236" w:hanging="7"/>
        <w:rPr>
          <w:rFonts w:ascii="Times New Roman" w:hAnsi="Times New Roman"/>
          <w:sz w:val="24"/>
        </w:rPr>
      </w:pPr>
    </w:p>
    <w:p>
      <w:pPr>
        <w:tabs>
          <w:tab w:val="left" w:pos="450"/>
          <w:tab w:val="left" w:pos="2456"/>
        </w:tabs>
        <w:snapToGrid w:val="0"/>
        <w:spacing w:after="84" w:afterLines="35" w:line="400" w:lineRule="exact"/>
        <w:ind w:left="-34" w:leftChars="-16" w:firstLine="585"/>
        <w:jc w:val="left"/>
        <w:rPr>
          <w:sz w:val="24"/>
        </w:rPr>
      </w:pPr>
    </w:p>
    <w:p>
      <w:pPr>
        <w:widowControl/>
        <w:snapToGrid w:val="0"/>
        <w:spacing w:before="60" w:beforeLines="25" w:after="60" w:afterLines="25" w:line="440" w:lineRule="exact"/>
        <w:jc w:val="left"/>
        <w:rPr>
          <w:sz w:val="36"/>
        </w:rPr>
      </w:pPr>
      <w:r>
        <w:rPr>
          <w:kern w:val="0"/>
          <w:sz w:val="24"/>
        </w:rPr>
        <w:br w:type="page"/>
      </w:r>
    </w:p>
    <w:p>
      <w:pPr>
        <w:pStyle w:val="3"/>
        <w:rPr>
          <w:sz w:val="36"/>
          <w:szCs w:val="36"/>
        </w:rPr>
      </w:pPr>
      <w:bookmarkStart w:id="1566" w:name="_Toc470011368"/>
      <w:bookmarkStart w:id="1567" w:name="_Toc455409891"/>
      <w:bookmarkStart w:id="1568" w:name="_Toc396818249"/>
      <w:bookmarkStart w:id="1569" w:name="_Toc419547406"/>
      <w:bookmarkStart w:id="1570" w:name="_Toc419547952"/>
      <w:r>
        <w:rPr>
          <w:rFonts w:hint="eastAsia" w:hAnsi="宋体"/>
          <w:sz w:val="36"/>
          <w:szCs w:val="36"/>
        </w:rPr>
        <w:t>第二部分</w:t>
      </w:r>
      <w:r>
        <w:rPr>
          <w:sz w:val="36"/>
          <w:szCs w:val="36"/>
        </w:rPr>
        <w:t xml:space="preserve"> </w:t>
      </w:r>
      <w:r>
        <w:rPr>
          <w:rFonts w:hint="eastAsia"/>
          <w:sz w:val="36"/>
          <w:szCs w:val="36"/>
        </w:rPr>
        <w:t>已标价工程量清单</w:t>
      </w:r>
      <w:bookmarkEnd w:id="1566"/>
      <w:bookmarkEnd w:id="1567"/>
      <w:bookmarkEnd w:id="1568"/>
      <w:bookmarkEnd w:id="1569"/>
      <w:bookmarkEnd w:id="1570"/>
    </w:p>
    <w:p>
      <w:pPr>
        <w:spacing w:line="500" w:lineRule="exact"/>
        <w:ind w:firstLine="26"/>
        <w:jc w:val="center"/>
        <w:rPr>
          <w:sz w:val="36"/>
        </w:rPr>
      </w:pPr>
    </w:p>
    <w:p>
      <w:pPr>
        <w:spacing w:line="500" w:lineRule="exact"/>
        <w:ind w:firstLine="26"/>
        <w:jc w:val="center"/>
        <w:rPr>
          <w:b/>
          <w:sz w:val="32"/>
          <w:szCs w:val="32"/>
          <w:u w:val="single"/>
        </w:rPr>
      </w:pPr>
      <w:r>
        <w:br w:type="page"/>
      </w:r>
      <w:r>
        <w:rPr>
          <w:bCs/>
          <w:sz w:val="32"/>
          <w:szCs w:val="32"/>
          <w:u w:val="single"/>
        </w:rPr>
        <w:t xml:space="preserve">  </w:t>
      </w:r>
      <w:r>
        <w:rPr>
          <w:rFonts w:hint="eastAsia" w:hAnsi="宋体"/>
          <w:b/>
          <w:sz w:val="32"/>
          <w:szCs w:val="32"/>
          <w:u w:val="single"/>
        </w:rPr>
        <w:t>目</w:t>
      </w:r>
      <w:r>
        <w:rPr>
          <w:b/>
          <w:sz w:val="32"/>
          <w:szCs w:val="32"/>
          <w:u w:val="single"/>
        </w:rPr>
        <w:t xml:space="preserve"> </w:t>
      </w:r>
      <w:r>
        <w:rPr>
          <w:rFonts w:hint="eastAsia" w:hAnsi="宋体"/>
          <w:b/>
          <w:sz w:val="32"/>
          <w:szCs w:val="32"/>
          <w:u w:val="single"/>
        </w:rPr>
        <w:t>录</w:t>
      </w:r>
      <w:r>
        <w:rPr>
          <w:b/>
          <w:sz w:val="32"/>
          <w:szCs w:val="32"/>
          <w:u w:val="single"/>
        </w:rPr>
        <w:t xml:space="preserve">  </w:t>
      </w:r>
    </w:p>
    <w:p>
      <w:pPr>
        <w:spacing w:line="500" w:lineRule="exact"/>
        <w:ind w:firstLine="26"/>
        <w:jc w:val="center"/>
        <w:rPr>
          <w:b/>
          <w:sz w:val="30"/>
          <w:szCs w:val="30"/>
          <w:u w:val="single"/>
        </w:rPr>
      </w:pPr>
    </w:p>
    <w:p>
      <w:pPr>
        <w:tabs>
          <w:tab w:val="left" w:pos="1080"/>
        </w:tabs>
        <w:snapToGrid w:val="0"/>
        <w:spacing w:before="120" w:beforeLines="50" w:after="120" w:afterLines="50"/>
        <w:ind w:left="708" w:leftChars="337"/>
        <w:rPr>
          <w:sz w:val="24"/>
        </w:rPr>
      </w:pPr>
      <w:r>
        <w:rPr>
          <w:rFonts w:hint="eastAsia" w:hAnsi="宋体"/>
          <w:sz w:val="24"/>
        </w:rPr>
        <w:t>（一）</w:t>
      </w:r>
      <w:r>
        <w:rPr>
          <w:sz w:val="24"/>
        </w:rPr>
        <w:tab/>
      </w:r>
      <w:r>
        <w:rPr>
          <w:rFonts w:hint="eastAsia" w:hAnsi="宋体"/>
          <w:sz w:val="24"/>
        </w:rPr>
        <w:t>工程量清单封面</w:t>
      </w:r>
    </w:p>
    <w:p>
      <w:pPr>
        <w:tabs>
          <w:tab w:val="left" w:pos="1080"/>
        </w:tabs>
        <w:snapToGrid w:val="0"/>
        <w:spacing w:before="120" w:beforeLines="50" w:after="120" w:afterLines="50"/>
        <w:ind w:left="708" w:leftChars="337"/>
        <w:rPr>
          <w:rFonts w:hAnsi="宋体"/>
          <w:sz w:val="24"/>
        </w:rPr>
      </w:pPr>
      <w:r>
        <w:rPr>
          <w:rFonts w:hint="eastAsia" w:hAnsi="宋体"/>
          <w:sz w:val="24"/>
        </w:rPr>
        <w:t>（二）</w:t>
      </w:r>
      <w:r>
        <w:rPr>
          <w:sz w:val="24"/>
        </w:rPr>
        <w:tab/>
      </w:r>
      <w:r>
        <w:rPr>
          <w:rFonts w:hint="eastAsia" w:hAnsi="宋体"/>
          <w:sz w:val="24"/>
        </w:rPr>
        <w:t>投标总价表</w:t>
      </w:r>
    </w:p>
    <w:p>
      <w:pPr>
        <w:tabs>
          <w:tab w:val="left" w:pos="1080"/>
        </w:tabs>
        <w:snapToGrid w:val="0"/>
        <w:spacing w:before="120" w:beforeLines="50" w:after="120" w:afterLines="50"/>
        <w:ind w:left="708" w:leftChars="337"/>
        <w:rPr>
          <w:rFonts w:hAnsi="宋体"/>
          <w:sz w:val="24"/>
        </w:rPr>
      </w:pPr>
      <w:r>
        <w:rPr>
          <w:rFonts w:hint="eastAsia" w:hAnsi="宋体"/>
          <w:sz w:val="24"/>
        </w:rPr>
        <w:t>（三）</w:t>
      </w:r>
      <w:r>
        <w:rPr>
          <w:rFonts w:hAnsi="宋体"/>
          <w:sz w:val="24"/>
        </w:rPr>
        <w:tab/>
      </w:r>
      <w:r>
        <w:rPr>
          <w:rFonts w:hint="eastAsia" w:hAnsi="宋体"/>
          <w:sz w:val="24"/>
        </w:rPr>
        <w:t>总说明</w:t>
      </w:r>
      <w:r>
        <w:rPr>
          <w:rFonts w:hAnsi="宋体"/>
          <w:sz w:val="24"/>
        </w:rPr>
        <w:tab/>
      </w:r>
    </w:p>
    <w:p>
      <w:pPr>
        <w:tabs>
          <w:tab w:val="left" w:pos="1080"/>
        </w:tabs>
        <w:snapToGrid w:val="0"/>
        <w:spacing w:before="120" w:beforeLines="50" w:after="120" w:afterLines="50"/>
        <w:ind w:left="708" w:leftChars="337"/>
        <w:rPr>
          <w:rFonts w:hAnsi="宋体"/>
          <w:sz w:val="24"/>
        </w:rPr>
      </w:pPr>
      <w:r>
        <w:rPr>
          <w:rFonts w:hint="eastAsia" w:hAnsi="宋体"/>
          <w:sz w:val="24"/>
        </w:rPr>
        <w:t>（四）</w:t>
      </w:r>
      <w:r>
        <w:rPr>
          <w:rFonts w:hAnsi="宋体"/>
          <w:sz w:val="24"/>
        </w:rPr>
        <w:tab/>
      </w:r>
      <w:r>
        <w:rPr>
          <w:rFonts w:hint="eastAsia" w:hAnsi="宋体"/>
          <w:sz w:val="24"/>
        </w:rPr>
        <w:t>工程项目投标报价汇总表</w:t>
      </w:r>
    </w:p>
    <w:p>
      <w:pPr>
        <w:tabs>
          <w:tab w:val="left" w:pos="1080"/>
        </w:tabs>
        <w:snapToGrid w:val="0"/>
        <w:spacing w:before="120" w:beforeLines="50" w:after="120" w:afterLines="50"/>
        <w:ind w:left="708" w:leftChars="337"/>
        <w:rPr>
          <w:rFonts w:hAnsi="宋体"/>
          <w:sz w:val="24"/>
        </w:rPr>
      </w:pPr>
      <w:r>
        <w:rPr>
          <w:rFonts w:hAnsi="宋体"/>
          <w:sz w:val="24"/>
        </w:rPr>
        <w:t>（五）</w:t>
      </w:r>
      <w:r>
        <w:rPr>
          <w:rFonts w:hint="eastAsia" w:hAnsi="宋体"/>
          <w:sz w:val="24"/>
        </w:rPr>
        <w:tab/>
      </w:r>
      <w:r>
        <w:rPr>
          <w:rFonts w:hint="eastAsia" w:hAnsi="宋体"/>
          <w:sz w:val="24"/>
        </w:rPr>
        <w:t>总价措施项目清单与计价汇总表</w:t>
      </w:r>
    </w:p>
    <w:p>
      <w:pPr>
        <w:tabs>
          <w:tab w:val="left" w:pos="1080"/>
        </w:tabs>
        <w:snapToGrid w:val="0"/>
        <w:spacing w:before="120" w:beforeLines="50" w:after="120" w:afterLines="50"/>
        <w:ind w:left="708" w:leftChars="337"/>
        <w:rPr>
          <w:rFonts w:hAnsi="宋体"/>
          <w:sz w:val="24"/>
        </w:rPr>
      </w:pPr>
      <w:r>
        <w:rPr>
          <w:rFonts w:hAnsi="宋体"/>
          <w:sz w:val="24"/>
        </w:rPr>
        <w:t>（六）</w:t>
      </w:r>
      <w:r>
        <w:rPr>
          <w:rFonts w:hint="eastAsia" w:hAnsi="宋体"/>
          <w:sz w:val="24"/>
        </w:rPr>
        <w:tab/>
      </w:r>
      <w:r>
        <w:rPr>
          <w:rFonts w:hint="eastAsia" w:hAnsi="宋体"/>
          <w:sz w:val="24"/>
        </w:rPr>
        <w:t>安全文明施工费明细表</w:t>
      </w:r>
    </w:p>
    <w:p>
      <w:pPr>
        <w:tabs>
          <w:tab w:val="left" w:pos="1080"/>
        </w:tabs>
        <w:snapToGrid w:val="0"/>
        <w:spacing w:before="120" w:beforeLines="50" w:after="120" w:afterLines="50"/>
        <w:ind w:left="708" w:leftChars="337"/>
        <w:rPr>
          <w:rFonts w:hAnsi="宋体"/>
          <w:sz w:val="24"/>
        </w:rPr>
      </w:pPr>
      <w:r>
        <w:rPr>
          <w:rFonts w:hAnsi="宋体"/>
          <w:sz w:val="24"/>
        </w:rPr>
        <w:t>（七）</w:t>
      </w:r>
      <w:r>
        <w:rPr>
          <w:rFonts w:hint="eastAsia" w:hAnsi="宋体"/>
          <w:sz w:val="24"/>
        </w:rPr>
        <w:tab/>
      </w:r>
      <w:r>
        <w:rPr>
          <w:rFonts w:hint="eastAsia" w:hAnsi="宋体"/>
          <w:sz w:val="24"/>
        </w:rPr>
        <w:t>施工垃圾场外运输和消纳费明细表</w:t>
      </w:r>
    </w:p>
    <w:p>
      <w:pPr>
        <w:tabs>
          <w:tab w:val="left" w:pos="1080"/>
        </w:tabs>
        <w:snapToGrid w:val="0"/>
        <w:spacing w:before="120" w:beforeLines="50" w:after="120" w:afterLines="50"/>
        <w:ind w:left="708" w:leftChars="337"/>
        <w:rPr>
          <w:rFonts w:hAnsi="宋体"/>
          <w:sz w:val="24"/>
        </w:rPr>
      </w:pPr>
      <w:r>
        <w:rPr>
          <w:rFonts w:hAnsi="宋体"/>
          <w:sz w:val="24"/>
        </w:rPr>
        <w:t>（八）</w:t>
      </w:r>
      <w:r>
        <w:rPr>
          <w:rFonts w:hint="eastAsia" w:hAnsi="宋体"/>
          <w:sz w:val="24"/>
        </w:rPr>
        <w:tab/>
      </w:r>
      <w:r>
        <w:rPr>
          <w:rFonts w:hint="eastAsia" w:hAnsi="宋体"/>
          <w:sz w:val="24"/>
        </w:rPr>
        <w:t>其他项目清单与计价汇总表</w:t>
      </w:r>
    </w:p>
    <w:p>
      <w:pPr>
        <w:tabs>
          <w:tab w:val="left" w:pos="1080"/>
        </w:tabs>
        <w:snapToGrid w:val="0"/>
        <w:spacing w:before="120" w:beforeLines="50" w:after="120" w:afterLines="50"/>
        <w:ind w:left="708" w:leftChars="337"/>
        <w:rPr>
          <w:rFonts w:hAnsi="宋体"/>
          <w:sz w:val="24"/>
        </w:rPr>
      </w:pPr>
      <w:r>
        <w:rPr>
          <w:rFonts w:hAnsi="宋体"/>
          <w:sz w:val="24"/>
        </w:rPr>
        <w:t>（九）</w:t>
      </w:r>
      <w:r>
        <w:rPr>
          <w:rFonts w:hint="eastAsia" w:hAnsi="宋体"/>
          <w:sz w:val="24"/>
        </w:rPr>
        <w:tab/>
      </w:r>
      <w:r>
        <w:rPr>
          <w:rFonts w:hint="eastAsia" w:hAnsi="宋体"/>
          <w:sz w:val="24"/>
        </w:rPr>
        <w:t>暂列金额明细表</w:t>
      </w:r>
    </w:p>
    <w:p>
      <w:pPr>
        <w:tabs>
          <w:tab w:val="left" w:pos="1080"/>
        </w:tabs>
        <w:snapToGrid w:val="0"/>
        <w:spacing w:before="120" w:beforeLines="50" w:after="120" w:afterLines="50"/>
        <w:ind w:left="708" w:leftChars="337"/>
        <w:rPr>
          <w:rFonts w:hAnsi="宋体"/>
          <w:sz w:val="24"/>
        </w:rPr>
      </w:pPr>
      <w:r>
        <w:rPr>
          <w:rFonts w:hAnsi="宋体"/>
          <w:sz w:val="24"/>
        </w:rPr>
        <w:t>（十）</w:t>
      </w:r>
      <w:r>
        <w:rPr>
          <w:rFonts w:hint="eastAsia" w:hAnsi="宋体"/>
          <w:sz w:val="24"/>
        </w:rPr>
        <w:t xml:space="preserve">  专业工程暂估价表</w:t>
      </w:r>
    </w:p>
    <w:p>
      <w:pPr>
        <w:tabs>
          <w:tab w:val="left" w:pos="720"/>
        </w:tabs>
        <w:snapToGrid w:val="0"/>
        <w:spacing w:before="120" w:beforeLines="50" w:after="120" w:afterLines="50"/>
        <w:ind w:left="708" w:leftChars="337"/>
        <w:rPr>
          <w:rFonts w:hAnsi="宋体"/>
          <w:sz w:val="24"/>
        </w:rPr>
      </w:pPr>
      <w:r>
        <w:rPr>
          <w:rFonts w:hint="eastAsia" w:hAnsi="宋体"/>
          <w:sz w:val="24"/>
        </w:rPr>
        <w:tab/>
      </w:r>
      <w:r>
        <w:rPr>
          <w:rFonts w:hint="eastAsia" w:hAnsi="宋体"/>
          <w:sz w:val="24"/>
        </w:rPr>
        <w:t>（十一</w:t>
      </w:r>
      <w:r>
        <w:rPr>
          <w:rFonts w:hAnsi="宋体"/>
          <w:sz w:val="24"/>
        </w:rPr>
        <w:t>）</w:t>
      </w:r>
      <w:r>
        <w:rPr>
          <w:rFonts w:hint="eastAsia" w:hAnsi="宋体"/>
          <w:sz w:val="24"/>
        </w:rPr>
        <w:t>计日工表</w:t>
      </w:r>
    </w:p>
    <w:p>
      <w:pPr>
        <w:tabs>
          <w:tab w:val="left" w:pos="1080"/>
        </w:tabs>
        <w:snapToGrid w:val="0"/>
        <w:spacing w:before="120" w:beforeLines="50" w:after="120" w:afterLines="50"/>
        <w:ind w:left="708" w:leftChars="337"/>
        <w:rPr>
          <w:rFonts w:hAnsi="宋体"/>
          <w:sz w:val="24"/>
        </w:rPr>
      </w:pPr>
      <w:r>
        <w:rPr>
          <w:rFonts w:hint="eastAsia" w:hAnsi="宋体"/>
          <w:sz w:val="24"/>
        </w:rPr>
        <w:t>（十二</w:t>
      </w:r>
      <w:r>
        <w:rPr>
          <w:rFonts w:hAnsi="宋体"/>
          <w:sz w:val="24"/>
        </w:rPr>
        <w:t>）</w:t>
      </w:r>
      <w:r>
        <w:rPr>
          <w:rFonts w:hint="eastAsia" w:hAnsi="宋体"/>
          <w:sz w:val="24"/>
        </w:rPr>
        <w:t>总承包服务费计价表</w:t>
      </w:r>
    </w:p>
    <w:p>
      <w:pPr>
        <w:tabs>
          <w:tab w:val="left" w:pos="1080"/>
        </w:tabs>
        <w:snapToGrid w:val="0"/>
        <w:spacing w:before="120" w:beforeLines="50" w:after="120" w:afterLines="50"/>
        <w:ind w:left="708" w:leftChars="337"/>
        <w:rPr>
          <w:rFonts w:hAnsi="宋体"/>
          <w:sz w:val="24"/>
        </w:rPr>
      </w:pPr>
      <w:r>
        <w:rPr>
          <w:rFonts w:hint="eastAsia" w:hAnsi="宋体"/>
          <w:sz w:val="24"/>
        </w:rPr>
        <w:t>（十三</w:t>
      </w:r>
      <w:r>
        <w:rPr>
          <w:rFonts w:hAnsi="宋体"/>
          <w:sz w:val="24"/>
        </w:rPr>
        <w:t>）</w:t>
      </w:r>
      <w:r>
        <w:rPr>
          <w:rFonts w:hint="eastAsia" w:hAnsi="宋体"/>
          <w:sz w:val="24"/>
        </w:rPr>
        <w:t>税金项目计价表</w:t>
      </w:r>
    </w:p>
    <w:p>
      <w:pPr>
        <w:tabs>
          <w:tab w:val="left" w:pos="1080"/>
        </w:tabs>
        <w:snapToGrid w:val="0"/>
        <w:spacing w:before="120" w:beforeLines="50" w:after="120" w:afterLines="50"/>
        <w:ind w:left="708" w:leftChars="337"/>
        <w:rPr>
          <w:rFonts w:hAnsi="宋体"/>
          <w:sz w:val="24"/>
        </w:rPr>
      </w:pPr>
      <w:r>
        <w:rPr>
          <w:rFonts w:hint="eastAsia" w:hAnsi="宋体"/>
          <w:sz w:val="24"/>
        </w:rPr>
        <w:t>（十四</w:t>
      </w:r>
      <w:r>
        <w:rPr>
          <w:rFonts w:hAnsi="宋体"/>
          <w:sz w:val="24"/>
        </w:rPr>
        <w:t>）</w:t>
      </w:r>
      <w:r>
        <w:rPr>
          <w:rFonts w:hint="eastAsia" w:hAnsi="宋体"/>
          <w:sz w:val="24"/>
        </w:rPr>
        <w:t>措施项目报价组成分析表</w:t>
      </w:r>
    </w:p>
    <w:p>
      <w:pPr>
        <w:tabs>
          <w:tab w:val="left" w:pos="1080"/>
        </w:tabs>
        <w:snapToGrid w:val="0"/>
        <w:spacing w:before="120" w:beforeLines="50" w:after="120" w:afterLines="50"/>
        <w:ind w:left="708" w:leftChars="337"/>
        <w:rPr>
          <w:rFonts w:hAnsi="宋体"/>
          <w:sz w:val="24"/>
        </w:rPr>
      </w:pPr>
      <w:r>
        <w:rPr>
          <w:rFonts w:hint="eastAsia" w:hAnsi="宋体"/>
          <w:sz w:val="24"/>
        </w:rPr>
        <w:t>（十五）单项工程分部分项工程和单价措施项目投标报价汇总表</w:t>
      </w:r>
    </w:p>
    <w:p>
      <w:pPr>
        <w:tabs>
          <w:tab w:val="left" w:pos="1080"/>
        </w:tabs>
        <w:snapToGrid w:val="0"/>
        <w:spacing w:before="120" w:beforeLines="50" w:after="120" w:afterLines="50"/>
        <w:ind w:left="708" w:leftChars="337"/>
        <w:rPr>
          <w:rFonts w:hAnsi="宋体"/>
          <w:sz w:val="24"/>
        </w:rPr>
      </w:pPr>
      <w:r>
        <w:rPr>
          <w:rFonts w:hAnsi="宋体"/>
          <w:sz w:val="24"/>
        </w:rPr>
        <w:t>（十</w:t>
      </w:r>
      <w:r>
        <w:rPr>
          <w:rFonts w:hint="eastAsia" w:hAnsi="宋体"/>
          <w:sz w:val="24"/>
        </w:rPr>
        <w:t>六</w:t>
      </w:r>
      <w:r>
        <w:rPr>
          <w:rFonts w:hAnsi="宋体"/>
          <w:sz w:val="24"/>
        </w:rPr>
        <w:t>）</w:t>
      </w:r>
      <w:r>
        <w:rPr>
          <w:rFonts w:hint="eastAsia" w:hAnsi="宋体"/>
          <w:sz w:val="24"/>
        </w:rPr>
        <w:t>单位工程分部分项工程和单价措施项目投标报价汇总表</w:t>
      </w:r>
    </w:p>
    <w:p>
      <w:pPr>
        <w:tabs>
          <w:tab w:val="left" w:pos="1080"/>
        </w:tabs>
        <w:snapToGrid w:val="0"/>
        <w:spacing w:before="120" w:beforeLines="50" w:after="120" w:afterLines="50"/>
        <w:ind w:left="708" w:leftChars="337"/>
        <w:rPr>
          <w:rFonts w:hAnsi="宋体"/>
          <w:sz w:val="24"/>
        </w:rPr>
      </w:pPr>
      <w:r>
        <w:rPr>
          <w:rFonts w:hAnsi="宋体"/>
          <w:sz w:val="24"/>
        </w:rPr>
        <w:t>（十</w:t>
      </w:r>
      <w:r>
        <w:rPr>
          <w:rFonts w:hint="eastAsia" w:hAnsi="宋体"/>
          <w:sz w:val="24"/>
        </w:rPr>
        <w:t>七</w:t>
      </w:r>
      <w:r>
        <w:rPr>
          <w:rFonts w:hAnsi="宋体"/>
          <w:sz w:val="24"/>
        </w:rPr>
        <w:t>）</w:t>
      </w:r>
      <w:r>
        <w:rPr>
          <w:rFonts w:hint="eastAsia" w:hAnsi="宋体"/>
          <w:sz w:val="24"/>
        </w:rPr>
        <w:t>分部分项工程和单价措施项目清单与计价表</w:t>
      </w:r>
    </w:p>
    <w:p>
      <w:pPr>
        <w:tabs>
          <w:tab w:val="left" w:pos="1080"/>
        </w:tabs>
        <w:snapToGrid w:val="0"/>
        <w:spacing w:before="120" w:beforeLines="50" w:after="120" w:afterLines="50"/>
        <w:ind w:left="708" w:leftChars="337"/>
        <w:rPr>
          <w:rFonts w:hAnsi="宋体"/>
          <w:sz w:val="24"/>
        </w:rPr>
      </w:pPr>
      <w:r>
        <w:rPr>
          <w:rFonts w:hint="eastAsia" w:hAnsi="宋体"/>
          <w:sz w:val="24"/>
        </w:rPr>
        <w:t>（十八）材料和工程设备暂估价表</w:t>
      </w:r>
    </w:p>
    <w:p>
      <w:pPr>
        <w:snapToGrid w:val="0"/>
        <w:spacing w:before="120" w:beforeLines="50" w:after="120" w:afterLines="50"/>
        <w:ind w:left="708" w:leftChars="337"/>
        <w:rPr>
          <w:rFonts w:hAnsi="宋体"/>
          <w:sz w:val="24"/>
        </w:rPr>
      </w:pPr>
      <w:r>
        <w:rPr>
          <w:rFonts w:hint="eastAsia" w:hAnsi="宋体"/>
          <w:sz w:val="24"/>
        </w:rPr>
        <w:t>（十九）综合单价分析表</w:t>
      </w:r>
    </w:p>
    <w:p>
      <w:pPr>
        <w:tabs>
          <w:tab w:val="left" w:pos="1080"/>
        </w:tabs>
        <w:snapToGrid w:val="0"/>
        <w:spacing w:before="120" w:beforeLines="50" w:after="120" w:afterLines="50"/>
        <w:ind w:left="708" w:leftChars="337"/>
        <w:rPr>
          <w:rFonts w:hAnsi="宋体"/>
          <w:sz w:val="24"/>
        </w:rPr>
      </w:pPr>
      <w:r>
        <w:rPr>
          <w:rFonts w:hint="eastAsia" w:hAnsi="宋体"/>
          <w:sz w:val="24"/>
        </w:rPr>
        <w:t>（二十）费率报价表</w:t>
      </w:r>
      <w:r>
        <w:rPr>
          <w:rFonts w:hAnsi="宋体"/>
          <w:sz w:val="24"/>
        </w:rPr>
        <w:t>投标报价</w:t>
      </w:r>
      <w:r>
        <w:rPr>
          <w:rFonts w:hint="eastAsia" w:hAnsi="宋体"/>
          <w:sz w:val="24"/>
        </w:rPr>
        <w:t>表</w:t>
      </w:r>
    </w:p>
    <w:p>
      <w:pPr>
        <w:widowControl/>
        <w:ind w:firstLine="708" w:firstLineChars="295"/>
        <w:jc w:val="left"/>
        <w:rPr>
          <w:rFonts w:hAnsi="宋体"/>
          <w:sz w:val="24"/>
        </w:rPr>
      </w:pPr>
      <w:r>
        <w:rPr>
          <w:rFonts w:hAnsi="宋体"/>
          <w:sz w:val="24"/>
        </w:rPr>
        <w:t>（</w:t>
      </w:r>
      <w:r>
        <w:rPr>
          <w:rFonts w:hint="eastAsia" w:hAnsi="宋体"/>
          <w:sz w:val="24"/>
        </w:rPr>
        <w:t>二十一</w:t>
      </w:r>
      <w:r>
        <w:rPr>
          <w:rFonts w:hAnsi="宋体"/>
          <w:sz w:val="24"/>
        </w:rPr>
        <w:t>）</w:t>
      </w:r>
      <w:r>
        <w:rPr>
          <w:rFonts w:hint="eastAsia" w:hAnsi="宋体"/>
          <w:sz w:val="24"/>
        </w:rPr>
        <w:t>主要材料和工程设备选用表</w:t>
      </w:r>
    </w:p>
    <w:p>
      <w:pPr>
        <w:widowControl/>
        <w:ind w:firstLine="708" w:firstLineChars="295"/>
        <w:jc w:val="left"/>
        <w:rPr>
          <w:rFonts w:ascii="黑体" w:hAnsi="宋体" w:eastAsia="黑体" w:cs="Arial"/>
          <w:bCs/>
          <w:sz w:val="24"/>
        </w:rPr>
      </w:pPr>
    </w:p>
    <w:p>
      <w:pPr>
        <w:widowControl/>
        <w:ind w:firstLine="708" w:firstLineChars="295"/>
        <w:jc w:val="left"/>
        <w:rPr>
          <w:rFonts w:hAnsi="宋体"/>
          <w:sz w:val="24"/>
        </w:rPr>
      </w:pPr>
      <w:r>
        <w:rPr>
          <w:rFonts w:hint="eastAsia" w:hAnsi="宋体"/>
          <w:sz w:val="24"/>
        </w:rPr>
        <w:t>具体内容略。</w:t>
      </w:r>
      <w:bookmarkStart w:id="1571" w:name="_Toc132477277"/>
      <w:bookmarkStart w:id="1572" w:name="_Toc358203189"/>
    </w:p>
    <w:p>
      <w:pPr>
        <w:pStyle w:val="4"/>
      </w:pPr>
    </w:p>
    <w:p>
      <w:pPr>
        <w:pStyle w:val="3"/>
        <w:rPr>
          <w:rFonts w:hAnsi="宋体"/>
          <w:sz w:val="36"/>
        </w:rPr>
      </w:pPr>
      <w:r>
        <w:rPr>
          <w:b w:val="0"/>
          <w:sz w:val="20"/>
        </w:rPr>
        <w:br w:type="page"/>
      </w:r>
      <w:bookmarkEnd w:id="1571"/>
      <w:bookmarkEnd w:id="1572"/>
      <w:bookmarkStart w:id="1573" w:name="_Toc381265983"/>
      <w:bookmarkStart w:id="1574" w:name="_Toc396818268"/>
      <w:bookmarkStart w:id="1575" w:name="_Toc164230084"/>
      <w:bookmarkStart w:id="1576" w:name="_Toc249901987"/>
      <w:bookmarkStart w:id="1577" w:name="_Toc247566627"/>
      <w:bookmarkStart w:id="1578" w:name="_Toc258414773"/>
      <w:bookmarkStart w:id="1579" w:name="_Toc419547425"/>
      <w:bookmarkStart w:id="1580" w:name="_Toc419547971"/>
      <w:bookmarkStart w:id="1581" w:name="_Toc470011369"/>
      <w:bookmarkStart w:id="1582" w:name="_Toc455409892"/>
      <w:r>
        <w:rPr>
          <w:rFonts w:hint="eastAsia" w:hAnsi="宋体"/>
          <w:sz w:val="36"/>
        </w:rPr>
        <w:t>第三部分</w:t>
      </w:r>
      <w:r>
        <w:rPr>
          <w:rFonts w:hAnsi="宋体"/>
          <w:sz w:val="36"/>
        </w:rPr>
        <w:t xml:space="preserve"> </w:t>
      </w:r>
      <w:r>
        <w:rPr>
          <w:rFonts w:hint="eastAsia" w:hAnsi="宋体"/>
          <w:sz w:val="36"/>
        </w:rPr>
        <w:t>施工组织设计</w:t>
      </w:r>
      <w:bookmarkEnd w:id="1573"/>
      <w:bookmarkEnd w:id="1574"/>
      <w:bookmarkEnd w:id="1575"/>
      <w:bookmarkEnd w:id="1576"/>
      <w:bookmarkEnd w:id="1577"/>
      <w:bookmarkEnd w:id="1578"/>
      <w:bookmarkEnd w:id="1579"/>
      <w:bookmarkEnd w:id="1580"/>
      <w:bookmarkEnd w:id="1581"/>
      <w:bookmarkEnd w:id="1582"/>
    </w:p>
    <w:p>
      <w:pPr>
        <w:tabs>
          <w:tab w:val="left" w:pos="396"/>
        </w:tabs>
        <w:snapToGrid w:val="0"/>
        <w:spacing w:after="84" w:afterLines="35" w:line="400" w:lineRule="exact"/>
        <w:ind w:left="-24" w:firstLine="540" w:firstLineChars="225"/>
        <w:rPr>
          <w:sz w:val="24"/>
        </w:rPr>
      </w:pPr>
      <w:r>
        <w:rPr>
          <w:rFonts w:ascii="宋体" w:hAnsi="宋体"/>
          <w:sz w:val="24"/>
        </w:rPr>
        <w:t xml:space="preserve">1. </w:t>
      </w:r>
      <w:r>
        <w:rPr>
          <w:rFonts w:hint="eastAsia" w:ascii="宋体" w:hAnsi="宋体"/>
          <w:sz w:val="24"/>
        </w:rPr>
        <w:t>投标人应根据招标文件和对现场的勘察情况，采用文字并结合图表形式编制本工程的施工组织设计。</w:t>
      </w:r>
      <w:r>
        <w:rPr>
          <w:rFonts w:hint="eastAsia" w:hAnsi="宋体"/>
          <w:sz w:val="24"/>
        </w:rPr>
        <w:t>施工组织设计中至少应包括并重点描述如下几个方面的内容：</w:t>
      </w:r>
      <w:r>
        <w:rPr>
          <w:sz w:val="24"/>
        </w:rPr>
        <w:t xml:space="preserve"> </w:t>
      </w:r>
    </w:p>
    <w:p>
      <w:pPr>
        <w:tabs>
          <w:tab w:val="left" w:pos="396"/>
        </w:tabs>
        <w:snapToGrid w:val="0"/>
        <w:spacing w:after="84" w:afterLines="35" w:line="400" w:lineRule="exact"/>
        <w:ind w:left="-24" w:firstLine="540" w:firstLineChars="225"/>
        <w:rPr>
          <w:rFonts w:ascii="宋体"/>
          <w:sz w:val="24"/>
        </w:rPr>
      </w:pPr>
      <w:r>
        <w:rPr>
          <w:rFonts w:hint="eastAsia" w:ascii="宋体" w:hAnsi="宋体"/>
          <w:sz w:val="24"/>
        </w:rPr>
        <w:t>（</w:t>
      </w:r>
      <w:r>
        <w:rPr>
          <w:rFonts w:ascii="宋体" w:hAnsi="宋体"/>
          <w:sz w:val="24"/>
        </w:rPr>
        <w:t>1</w:t>
      </w:r>
      <w:r>
        <w:rPr>
          <w:rFonts w:hint="eastAsia" w:ascii="宋体" w:hAnsi="宋体"/>
          <w:sz w:val="24"/>
        </w:rPr>
        <w:t>）工程概况</w:t>
      </w:r>
    </w:p>
    <w:p>
      <w:pPr>
        <w:tabs>
          <w:tab w:val="left" w:pos="396"/>
        </w:tabs>
        <w:snapToGrid w:val="0"/>
        <w:spacing w:after="84" w:afterLines="35" w:line="400" w:lineRule="exact"/>
        <w:ind w:left="-24" w:firstLine="540" w:firstLineChars="225"/>
        <w:rPr>
          <w:rFonts w:ascii="宋体"/>
          <w:sz w:val="24"/>
        </w:rPr>
      </w:pPr>
      <w:r>
        <w:rPr>
          <w:rFonts w:hint="eastAsia" w:ascii="宋体" w:hAnsi="宋体"/>
          <w:sz w:val="24"/>
        </w:rPr>
        <w:t>（</w:t>
      </w:r>
      <w:r>
        <w:rPr>
          <w:rFonts w:ascii="宋体" w:hAnsi="宋体"/>
          <w:sz w:val="24"/>
        </w:rPr>
        <w:t>2</w:t>
      </w:r>
      <w:r>
        <w:rPr>
          <w:rFonts w:hint="eastAsia" w:ascii="宋体" w:hAnsi="宋体"/>
          <w:sz w:val="24"/>
        </w:rPr>
        <w:t>）施工方案与技术措施</w:t>
      </w:r>
    </w:p>
    <w:p>
      <w:pPr>
        <w:tabs>
          <w:tab w:val="left" w:pos="396"/>
        </w:tabs>
        <w:snapToGrid w:val="0"/>
        <w:spacing w:after="84" w:afterLines="35" w:line="400" w:lineRule="exact"/>
        <w:ind w:left="-24" w:firstLine="540" w:firstLineChars="225"/>
        <w:rPr>
          <w:rFonts w:ascii="宋体"/>
          <w:sz w:val="24"/>
        </w:rPr>
      </w:pPr>
      <w:r>
        <w:rPr>
          <w:rFonts w:hint="eastAsia" w:ascii="宋体" w:hAnsi="宋体"/>
          <w:sz w:val="24"/>
        </w:rPr>
        <w:t>（</w:t>
      </w:r>
      <w:r>
        <w:rPr>
          <w:rFonts w:ascii="宋体" w:hAnsi="宋体"/>
          <w:sz w:val="24"/>
        </w:rPr>
        <w:t>3</w:t>
      </w:r>
      <w:r>
        <w:rPr>
          <w:rFonts w:hint="eastAsia" w:ascii="宋体" w:hAnsi="宋体"/>
          <w:sz w:val="24"/>
        </w:rPr>
        <w:t>）质量目标和质量保证措施</w:t>
      </w:r>
    </w:p>
    <w:p>
      <w:pPr>
        <w:tabs>
          <w:tab w:val="left" w:pos="396"/>
        </w:tabs>
        <w:snapToGrid w:val="0"/>
        <w:spacing w:after="84" w:afterLines="35" w:line="400" w:lineRule="exact"/>
        <w:ind w:left="-24" w:firstLine="540" w:firstLineChars="225"/>
        <w:rPr>
          <w:rFonts w:ascii="宋体"/>
          <w:sz w:val="24"/>
        </w:rPr>
      </w:pPr>
      <w:r>
        <w:rPr>
          <w:rFonts w:hint="eastAsia" w:ascii="宋体" w:hAnsi="宋体"/>
          <w:sz w:val="24"/>
        </w:rPr>
        <w:t>（</w:t>
      </w:r>
      <w:r>
        <w:rPr>
          <w:rFonts w:ascii="宋体" w:hAnsi="宋体"/>
          <w:sz w:val="24"/>
        </w:rPr>
        <w:t>4</w:t>
      </w:r>
      <w:r>
        <w:rPr>
          <w:rFonts w:hint="eastAsia" w:ascii="宋体" w:hAnsi="宋体"/>
          <w:sz w:val="24"/>
        </w:rPr>
        <w:t>）施工总体进度计划及保证措施</w:t>
      </w:r>
    </w:p>
    <w:p>
      <w:pPr>
        <w:tabs>
          <w:tab w:val="left" w:pos="396"/>
        </w:tabs>
        <w:snapToGrid w:val="0"/>
        <w:spacing w:after="84" w:afterLines="35" w:line="400" w:lineRule="exact"/>
        <w:ind w:left="-24" w:firstLine="540" w:firstLineChars="225"/>
        <w:rPr>
          <w:rFonts w:ascii="宋体"/>
          <w:sz w:val="24"/>
        </w:rPr>
      </w:pPr>
      <w:r>
        <w:rPr>
          <w:rFonts w:hint="eastAsia" w:ascii="宋体" w:hAnsi="宋体"/>
          <w:sz w:val="24"/>
        </w:rPr>
        <w:t>（</w:t>
      </w:r>
      <w:r>
        <w:rPr>
          <w:rFonts w:ascii="宋体" w:hAnsi="宋体"/>
          <w:sz w:val="24"/>
        </w:rPr>
        <w:t>5</w:t>
      </w:r>
      <w:r>
        <w:rPr>
          <w:rFonts w:hint="eastAsia" w:ascii="宋体" w:hAnsi="宋体"/>
          <w:sz w:val="24"/>
        </w:rPr>
        <w:t>）安全和文明施工保障措施</w:t>
      </w:r>
    </w:p>
    <w:p>
      <w:pPr>
        <w:tabs>
          <w:tab w:val="left" w:pos="396"/>
        </w:tabs>
        <w:snapToGrid w:val="0"/>
        <w:spacing w:after="84" w:afterLines="35" w:line="400" w:lineRule="exact"/>
        <w:ind w:left="-24" w:firstLine="540" w:firstLineChars="225"/>
        <w:rPr>
          <w:rFonts w:ascii="宋体"/>
          <w:sz w:val="24"/>
        </w:rPr>
      </w:pPr>
      <w:r>
        <w:rPr>
          <w:rFonts w:hint="eastAsia" w:ascii="宋体" w:hAnsi="宋体"/>
          <w:sz w:val="24"/>
        </w:rPr>
        <w:t>（</w:t>
      </w:r>
      <w:r>
        <w:rPr>
          <w:rFonts w:ascii="宋体" w:hAnsi="宋体"/>
          <w:sz w:val="24"/>
        </w:rPr>
        <w:t>6</w:t>
      </w:r>
      <w:r>
        <w:rPr>
          <w:rFonts w:hint="eastAsia" w:ascii="宋体" w:hAnsi="宋体"/>
          <w:sz w:val="24"/>
        </w:rPr>
        <w:t>）现场组织管理机构和劳动力计划及保障措施</w:t>
      </w:r>
    </w:p>
    <w:p>
      <w:pPr>
        <w:tabs>
          <w:tab w:val="left" w:pos="396"/>
        </w:tabs>
        <w:snapToGrid w:val="0"/>
        <w:spacing w:after="84" w:afterLines="35" w:line="400" w:lineRule="exact"/>
        <w:ind w:left="-24" w:firstLine="540" w:firstLineChars="225"/>
        <w:rPr>
          <w:rFonts w:ascii="宋体"/>
          <w:sz w:val="24"/>
        </w:rPr>
      </w:pPr>
      <w:r>
        <w:rPr>
          <w:rFonts w:hint="eastAsia" w:ascii="宋体" w:hAnsi="宋体"/>
          <w:sz w:val="24"/>
        </w:rPr>
        <w:t>（</w:t>
      </w:r>
      <w:r>
        <w:rPr>
          <w:rFonts w:ascii="宋体" w:hAnsi="宋体"/>
          <w:sz w:val="24"/>
        </w:rPr>
        <w:t>7</w:t>
      </w:r>
      <w:r>
        <w:rPr>
          <w:rFonts w:hint="eastAsia" w:ascii="宋体" w:hAnsi="宋体"/>
          <w:sz w:val="24"/>
        </w:rPr>
        <w:t>）投入施工机械设备配置</w:t>
      </w:r>
    </w:p>
    <w:p>
      <w:pPr>
        <w:tabs>
          <w:tab w:val="left" w:pos="396"/>
        </w:tabs>
        <w:snapToGrid w:val="0"/>
        <w:spacing w:after="84" w:afterLines="35" w:line="400" w:lineRule="exact"/>
        <w:ind w:left="-24" w:firstLine="540" w:firstLineChars="225"/>
        <w:rPr>
          <w:rFonts w:ascii="宋体"/>
          <w:sz w:val="24"/>
        </w:rPr>
      </w:pPr>
      <w:r>
        <w:rPr>
          <w:rFonts w:hint="eastAsia" w:ascii="宋体" w:hAnsi="宋体"/>
          <w:sz w:val="24"/>
        </w:rPr>
        <w:t>（</w:t>
      </w:r>
      <w:r>
        <w:rPr>
          <w:rFonts w:ascii="宋体" w:hAnsi="宋体"/>
          <w:sz w:val="24"/>
        </w:rPr>
        <w:t>8</w:t>
      </w:r>
      <w:r>
        <w:rPr>
          <w:rFonts w:hint="eastAsia" w:ascii="宋体" w:hAnsi="宋体"/>
          <w:sz w:val="24"/>
        </w:rPr>
        <w:t>）材料设备及苗木采购计划</w:t>
      </w:r>
    </w:p>
    <w:p>
      <w:pPr>
        <w:tabs>
          <w:tab w:val="left" w:pos="396"/>
        </w:tabs>
        <w:snapToGrid w:val="0"/>
        <w:spacing w:after="84" w:afterLines="35" w:line="400" w:lineRule="exact"/>
        <w:ind w:left="-24" w:firstLine="540" w:firstLineChars="225"/>
        <w:rPr>
          <w:rFonts w:ascii="宋体"/>
          <w:sz w:val="24"/>
        </w:rPr>
      </w:pPr>
      <w:r>
        <w:rPr>
          <w:rFonts w:hint="eastAsia" w:ascii="宋体" w:hAnsi="宋体"/>
          <w:sz w:val="24"/>
        </w:rPr>
        <w:t>（</w:t>
      </w:r>
      <w:r>
        <w:rPr>
          <w:rFonts w:ascii="宋体" w:hAnsi="宋体"/>
          <w:sz w:val="24"/>
        </w:rPr>
        <w:t>9</w:t>
      </w:r>
      <w:r>
        <w:rPr>
          <w:rFonts w:hint="eastAsia" w:ascii="宋体" w:hAnsi="宋体"/>
          <w:sz w:val="24"/>
        </w:rPr>
        <w:t>）与发包人、设计人、监理人的配合、协调；紧急情况的处理措施和预案，抵抗风险的措施。</w:t>
      </w:r>
    </w:p>
    <w:p>
      <w:pPr>
        <w:tabs>
          <w:tab w:val="left" w:pos="396"/>
        </w:tabs>
        <w:snapToGrid w:val="0"/>
        <w:spacing w:after="84" w:afterLines="35" w:line="400" w:lineRule="exact"/>
        <w:ind w:left="-24" w:firstLine="540" w:firstLineChars="225"/>
        <w:rPr>
          <w:rFonts w:ascii="宋体"/>
          <w:sz w:val="24"/>
        </w:rPr>
      </w:pPr>
      <w:r>
        <w:rPr>
          <w:rFonts w:hint="eastAsia" w:ascii="宋体" w:hAnsi="宋体"/>
          <w:sz w:val="24"/>
        </w:rPr>
        <w:t>（</w:t>
      </w:r>
      <w:r>
        <w:rPr>
          <w:rFonts w:ascii="宋体" w:hAnsi="宋体"/>
          <w:sz w:val="24"/>
        </w:rPr>
        <w:t>10</w:t>
      </w:r>
      <w:r>
        <w:rPr>
          <w:rFonts w:hint="eastAsia" w:ascii="宋体" w:hAnsi="宋体"/>
          <w:sz w:val="24"/>
        </w:rPr>
        <w:t>）成品保护、工程保修和养护管理的措施</w:t>
      </w:r>
    </w:p>
    <w:p>
      <w:pPr>
        <w:tabs>
          <w:tab w:val="left" w:pos="396"/>
        </w:tabs>
        <w:snapToGrid w:val="0"/>
        <w:spacing w:after="84" w:afterLines="35" w:line="400" w:lineRule="exact"/>
        <w:ind w:left="-24" w:firstLine="540" w:firstLineChars="225"/>
        <w:rPr>
          <w:rFonts w:ascii="宋体"/>
          <w:sz w:val="24"/>
        </w:rPr>
      </w:pPr>
      <w:r>
        <w:rPr>
          <w:rFonts w:hint="eastAsia" w:ascii="宋体" w:hAnsi="宋体"/>
          <w:sz w:val="24"/>
        </w:rPr>
        <w:t>（</w:t>
      </w:r>
      <w:r>
        <w:rPr>
          <w:rFonts w:ascii="宋体" w:hAnsi="宋体"/>
          <w:sz w:val="24"/>
        </w:rPr>
        <w:t>11</w:t>
      </w:r>
      <w:r>
        <w:rPr>
          <w:rFonts w:hint="eastAsia" w:ascii="宋体" w:hAnsi="宋体"/>
          <w:sz w:val="24"/>
        </w:rPr>
        <w:t>）</w:t>
      </w:r>
      <w:commentRangeStart w:id="5"/>
      <w:r>
        <w:rPr>
          <w:rFonts w:hint="eastAsia" w:ascii="宋体" w:hAnsi="宋体"/>
          <w:sz w:val="24"/>
        </w:rPr>
        <w:t>施工现场总平面布置</w:t>
      </w:r>
      <w:commentRangeEnd w:id="5"/>
      <w:r>
        <w:rPr>
          <w:rStyle w:val="57"/>
          <w:kern w:val="0"/>
          <w:szCs w:val="20"/>
        </w:rPr>
        <w:commentReference w:id="5"/>
      </w:r>
      <w:r>
        <w:rPr>
          <w:rFonts w:hint="eastAsia" w:ascii="宋体" w:hAnsi="宋体"/>
          <w:sz w:val="24"/>
        </w:rPr>
        <w:t>：至少应标明临时设施的布置、交通组织等内容。</w:t>
      </w:r>
    </w:p>
    <w:p>
      <w:pPr>
        <w:tabs>
          <w:tab w:val="left" w:pos="396"/>
        </w:tabs>
        <w:snapToGrid w:val="0"/>
        <w:spacing w:after="84" w:afterLines="35" w:line="400" w:lineRule="exact"/>
        <w:ind w:left="-24" w:firstLine="660" w:firstLineChars="275"/>
        <w:rPr>
          <w:rFonts w:ascii="宋体"/>
          <w:sz w:val="24"/>
        </w:rPr>
      </w:pPr>
      <w:r>
        <w:rPr>
          <w:rFonts w:hint="eastAsia" w:ascii="宋体" w:hAnsi="宋体"/>
          <w:sz w:val="24"/>
        </w:rPr>
        <w:t>……</w:t>
      </w:r>
      <w:r>
        <w:rPr>
          <w:rFonts w:ascii="宋体" w:hAnsi="宋体"/>
          <w:sz w:val="24"/>
        </w:rPr>
        <w:t xml:space="preserve"> </w:t>
      </w:r>
      <w:r>
        <w:rPr>
          <w:rFonts w:hint="eastAsia" w:ascii="宋体" w:hAnsi="宋体"/>
          <w:sz w:val="24"/>
        </w:rPr>
        <w:t>其他</w:t>
      </w:r>
    </w:p>
    <w:p>
      <w:pPr>
        <w:tabs>
          <w:tab w:val="left" w:pos="396"/>
        </w:tabs>
        <w:snapToGrid w:val="0"/>
        <w:spacing w:after="84" w:afterLines="35" w:line="400" w:lineRule="exact"/>
        <w:ind w:left="-24" w:firstLine="540" w:firstLineChars="225"/>
        <w:rPr>
          <w:rFonts w:ascii="宋体"/>
          <w:sz w:val="24"/>
        </w:rPr>
      </w:pPr>
      <w:r>
        <w:rPr>
          <w:rFonts w:ascii="宋体" w:hAnsi="宋体"/>
          <w:sz w:val="24"/>
        </w:rPr>
        <w:t>2</w:t>
      </w:r>
      <w:r>
        <w:rPr>
          <w:rFonts w:hint="eastAsia" w:ascii="宋体" w:hAnsi="宋体"/>
          <w:sz w:val="24"/>
        </w:rPr>
        <w:t>．施工组织设计除采用文字表述外可附下列图表。</w:t>
      </w:r>
    </w:p>
    <w:p>
      <w:pPr>
        <w:tabs>
          <w:tab w:val="left" w:pos="396"/>
        </w:tabs>
        <w:snapToGrid w:val="0"/>
        <w:spacing w:after="84" w:afterLines="35" w:line="400" w:lineRule="exact"/>
        <w:ind w:left="-24" w:firstLine="540" w:firstLineChars="225"/>
        <w:rPr>
          <w:rFonts w:ascii="宋体"/>
          <w:sz w:val="24"/>
        </w:rPr>
      </w:pPr>
      <w:r>
        <w:rPr>
          <w:rFonts w:hint="eastAsia" w:ascii="宋体" w:hAnsi="宋体"/>
          <w:sz w:val="24"/>
        </w:rPr>
        <w:t>附表一</w:t>
      </w:r>
      <w:r>
        <w:rPr>
          <w:rFonts w:ascii="宋体" w:hAnsi="宋体"/>
          <w:sz w:val="24"/>
        </w:rPr>
        <w:t xml:space="preserve">  </w:t>
      </w:r>
      <w:r>
        <w:rPr>
          <w:rFonts w:hint="eastAsia" w:ascii="宋体" w:hAnsi="宋体"/>
          <w:sz w:val="24"/>
        </w:rPr>
        <w:t>拟投入本工程的主要施工设备表</w:t>
      </w:r>
    </w:p>
    <w:p>
      <w:pPr>
        <w:tabs>
          <w:tab w:val="left" w:pos="396"/>
        </w:tabs>
        <w:snapToGrid w:val="0"/>
        <w:spacing w:after="84" w:afterLines="35" w:line="400" w:lineRule="exact"/>
        <w:ind w:left="-24" w:firstLine="540" w:firstLineChars="225"/>
        <w:rPr>
          <w:rFonts w:ascii="宋体"/>
          <w:sz w:val="24"/>
        </w:rPr>
      </w:pPr>
      <w:r>
        <w:rPr>
          <w:rFonts w:hint="eastAsia" w:ascii="宋体" w:hAnsi="宋体"/>
          <w:sz w:val="24"/>
        </w:rPr>
        <w:t>附表二</w:t>
      </w:r>
      <w:r>
        <w:rPr>
          <w:rFonts w:ascii="宋体" w:hAnsi="宋体"/>
          <w:sz w:val="24"/>
        </w:rPr>
        <w:t xml:space="preserve">  </w:t>
      </w:r>
      <w:r>
        <w:rPr>
          <w:rFonts w:hint="eastAsia" w:ascii="宋体" w:hAnsi="宋体"/>
          <w:sz w:val="24"/>
        </w:rPr>
        <w:t>拟配备本工程的试验和检测仪器设备表</w:t>
      </w:r>
    </w:p>
    <w:p>
      <w:pPr>
        <w:tabs>
          <w:tab w:val="left" w:pos="396"/>
        </w:tabs>
        <w:snapToGrid w:val="0"/>
        <w:spacing w:after="84" w:afterLines="35" w:line="400" w:lineRule="exact"/>
        <w:ind w:left="-24" w:firstLine="540" w:firstLineChars="225"/>
        <w:rPr>
          <w:rFonts w:ascii="宋体"/>
          <w:sz w:val="24"/>
        </w:rPr>
      </w:pPr>
      <w:r>
        <w:rPr>
          <w:rFonts w:hint="eastAsia" w:ascii="宋体" w:hAnsi="宋体"/>
          <w:sz w:val="24"/>
        </w:rPr>
        <w:t>附表三</w:t>
      </w:r>
      <w:r>
        <w:rPr>
          <w:rFonts w:ascii="宋体" w:hAnsi="宋体"/>
          <w:sz w:val="24"/>
        </w:rPr>
        <w:t xml:space="preserve">  </w:t>
      </w:r>
      <w:r>
        <w:rPr>
          <w:rFonts w:hint="eastAsia" w:ascii="宋体" w:hAnsi="宋体"/>
          <w:sz w:val="24"/>
        </w:rPr>
        <w:t>劳动力计划表</w:t>
      </w:r>
    </w:p>
    <w:p>
      <w:pPr>
        <w:tabs>
          <w:tab w:val="left" w:pos="396"/>
        </w:tabs>
        <w:snapToGrid w:val="0"/>
        <w:spacing w:after="84" w:afterLines="35" w:line="400" w:lineRule="exact"/>
        <w:ind w:left="-24" w:firstLine="540" w:firstLineChars="225"/>
        <w:rPr>
          <w:rFonts w:ascii="宋体"/>
          <w:sz w:val="24"/>
        </w:rPr>
      </w:pPr>
      <w:r>
        <w:rPr>
          <w:rFonts w:hint="eastAsia" w:ascii="宋体" w:hAnsi="宋体"/>
          <w:sz w:val="24"/>
        </w:rPr>
        <w:t>附表四</w:t>
      </w:r>
      <w:r>
        <w:rPr>
          <w:rFonts w:ascii="宋体" w:hAnsi="宋体"/>
          <w:sz w:val="24"/>
        </w:rPr>
        <w:t xml:space="preserve">  </w:t>
      </w:r>
      <w:r>
        <w:rPr>
          <w:rFonts w:hint="eastAsia" w:ascii="宋体" w:hAnsi="宋体"/>
          <w:sz w:val="24"/>
        </w:rPr>
        <w:t>材料设备及苗木供应计划表</w:t>
      </w:r>
    </w:p>
    <w:p>
      <w:pPr>
        <w:tabs>
          <w:tab w:val="left" w:pos="396"/>
        </w:tabs>
        <w:snapToGrid w:val="0"/>
        <w:spacing w:after="84" w:afterLines="35" w:line="400" w:lineRule="exact"/>
        <w:ind w:left="-24" w:firstLine="540" w:firstLineChars="225"/>
        <w:rPr>
          <w:rFonts w:ascii="宋体"/>
          <w:sz w:val="24"/>
        </w:rPr>
      </w:pPr>
      <w:r>
        <w:rPr>
          <w:rFonts w:hint="eastAsia" w:ascii="宋体" w:hAnsi="宋体"/>
          <w:sz w:val="24"/>
        </w:rPr>
        <w:t>附表五</w:t>
      </w:r>
      <w:r>
        <w:rPr>
          <w:rFonts w:ascii="宋体" w:hAnsi="宋体"/>
          <w:sz w:val="24"/>
        </w:rPr>
        <w:t xml:space="preserve">  </w:t>
      </w:r>
      <w:r>
        <w:rPr>
          <w:rFonts w:hint="eastAsia" w:ascii="宋体" w:hAnsi="宋体"/>
          <w:sz w:val="24"/>
        </w:rPr>
        <w:t>计划开、竣工日期和施工进度网络图</w:t>
      </w:r>
    </w:p>
    <w:p>
      <w:pPr>
        <w:tabs>
          <w:tab w:val="left" w:pos="396"/>
        </w:tabs>
        <w:snapToGrid w:val="0"/>
        <w:spacing w:after="84" w:afterLines="35" w:line="400" w:lineRule="exact"/>
        <w:ind w:left="-24" w:firstLine="540" w:firstLineChars="225"/>
        <w:rPr>
          <w:rFonts w:ascii="宋体"/>
          <w:sz w:val="24"/>
        </w:rPr>
      </w:pPr>
    </w:p>
    <w:p>
      <w:pPr>
        <w:tabs>
          <w:tab w:val="left" w:pos="396"/>
        </w:tabs>
        <w:snapToGrid w:val="0"/>
        <w:spacing w:after="84" w:afterLines="35" w:line="400" w:lineRule="exact"/>
        <w:ind w:left="-24" w:firstLine="540" w:firstLineChars="225"/>
        <w:rPr>
          <w:rFonts w:ascii="宋体"/>
          <w:sz w:val="24"/>
        </w:rPr>
        <w:sectPr>
          <w:pgSz w:w="11906" w:h="16838"/>
          <w:pgMar w:top="1361" w:right="1644" w:bottom="993" w:left="1644" w:header="851" w:footer="992" w:gutter="0"/>
          <w:cols w:space="425" w:num="1"/>
          <w:docGrid w:linePitch="312" w:charSpace="0"/>
        </w:sectPr>
      </w:pPr>
    </w:p>
    <w:p>
      <w:pPr>
        <w:pStyle w:val="5"/>
        <w:rPr>
          <w:sz w:val="21"/>
        </w:rPr>
      </w:pPr>
      <w:bookmarkStart w:id="1583" w:name="_Toc179632817"/>
      <w:bookmarkStart w:id="1584" w:name="_Toc470011370"/>
      <w:bookmarkStart w:id="1585" w:name="_Toc396818269"/>
      <w:bookmarkStart w:id="1586" w:name="_Toc152042586"/>
      <w:bookmarkStart w:id="1587" w:name="_Toc152045797"/>
      <w:bookmarkStart w:id="1588" w:name="_Toc362253047"/>
      <w:bookmarkStart w:id="1589" w:name="_Toc419547426"/>
      <w:bookmarkStart w:id="1590" w:name="_Toc419547972"/>
      <w:bookmarkStart w:id="1591" w:name="_Toc241459824"/>
      <w:bookmarkStart w:id="1592" w:name="_Toc455409893"/>
      <w:bookmarkStart w:id="1593" w:name="_Toc144974865"/>
      <w:bookmarkStart w:id="1594" w:name="_Toc342296581"/>
      <w:r>
        <w:rPr>
          <w:rFonts w:hint="eastAsia" w:ascii="宋体" w:hAnsi="宋体" w:cs="Arial"/>
          <w:sz w:val="28"/>
          <w:szCs w:val="24"/>
        </w:rPr>
        <w:t>附表一：拟投入本工程的主要施工设备表</w:t>
      </w:r>
      <w:bookmarkEnd w:id="1583"/>
      <w:bookmarkEnd w:id="1584"/>
      <w:bookmarkEnd w:id="1585"/>
      <w:bookmarkEnd w:id="1586"/>
      <w:bookmarkEnd w:id="1587"/>
      <w:bookmarkEnd w:id="1588"/>
      <w:bookmarkEnd w:id="1589"/>
      <w:bookmarkEnd w:id="1590"/>
      <w:bookmarkEnd w:id="1591"/>
      <w:bookmarkEnd w:id="1592"/>
      <w:bookmarkEnd w:id="1593"/>
      <w:bookmarkEnd w:id="1594"/>
    </w:p>
    <w:tbl>
      <w:tblPr>
        <w:tblStyle w:val="49"/>
        <w:tblW w:w="513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1128"/>
        <w:gridCol w:w="789"/>
        <w:gridCol w:w="870"/>
        <w:gridCol w:w="850"/>
        <w:gridCol w:w="765"/>
        <w:gridCol w:w="1256"/>
        <w:gridCol w:w="906"/>
        <w:gridCol w:w="1093"/>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382" w:type="pct"/>
            <w:vAlign w:val="center"/>
          </w:tcPr>
          <w:p>
            <w:pPr>
              <w:snapToGrid w:val="0"/>
              <w:rPr>
                <w:szCs w:val="21"/>
              </w:rPr>
            </w:pPr>
            <w:r>
              <w:rPr>
                <w:rFonts w:hint="eastAsia"/>
                <w:szCs w:val="21"/>
              </w:rPr>
              <w:t>序号</w:t>
            </w:r>
          </w:p>
        </w:tc>
        <w:tc>
          <w:tcPr>
            <w:tcW w:w="622" w:type="pct"/>
            <w:vAlign w:val="center"/>
          </w:tcPr>
          <w:p>
            <w:pPr>
              <w:snapToGrid w:val="0"/>
              <w:jc w:val="center"/>
              <w:rPr>
                <w:szCs w:val="21"/>
              </w:rPr>
            </w:pPr>
            <w:r>
              <w:rPr>
                <w:rFonts w:hint="eastAsia"/>
                <w:szCs w:val="21"/>
              </w:rPr>
              <w:t>设备名称</w:t>
            </w:r>
          </w:p>
        </w:tc>
        <w:tc>
          <w:tcPr>
            <w:tcW w:w="435" w:type="pct"/>
            <w:vAlign w:val="center"/>
          </w:tcPr>
          <w:p>
            <w:pPr>
              <w:snapToGrid w:val="0"/>
              <w:jc w:val="center"/>
              <w:rPr>
                <w:szCs w:val="21"/>
              </w:rPr>
            </w:pPr>
            <w:r>
              <w:rPr>
                <w:rFonts w:hint="eastAsia"/>
                <w:szCs w:val="21"/>
              </w:rPr>
              <w:t>型号</w:t>
            </w:r>
          </w:p>
          <w:p>
            <w:pPr>
              <w:snapToGrid w:val="0"/>
              <w:jc w:val="center"/>
              <w:rPr>
                <w:szCs w:val="21"/>
              </w:rPr>
            </w:pPr>
            <w:r>
              <w:rPr>
                <w:rFonts w:hint="eastAsia"/>
                <w:szCs w:val="21"/>
              </w:rPr>
              <w:t>规格</w:t>
            </w:r>
          </w:p>
        </w:tc>
        <w:tc>
          <w:tcPr>
            <w:tcW w:w="480" w:type="pct"/>
            <w:vAlign w:val="center"/>
          </w:tcPr>
          <w:p>
            <w:pPr>
              <w:snapToGrid w:val="0"/>
              <w:jc w:val="center"/>
              <w:rPr>
                <w:szCs w:val="21"/>
              </w:rPr>
            </w:pPr>
            <w:r>
              <w:rPr>
                <w:rFonts w:hint="eastAsia"/>
                <w:szCs w:val="21"/>
              </w:rPr>
              <w:t>数量</w:t>
            </w:r>
          </w:p>
        </w:tc>
        <w:tc>
          <w:tcPr>
            <w:tcW w:w="469" w:type="pct"/>
            <w:vAlign w:val="center"/>
          </w:tcPr>
          <w:p>
            <w:pPr>
              <w:snapToGrid w:val="0"/>
              <w:jc w:val="center"/>
              <w:rPr>
                <w:szCs w:val="21"/>
              </w:rPr>
            </w:pPr>
            <w:r>
              <w:rPr>
                <w:rFonts w:hint="eastAsia"/>
                <w:szCs w:val="21"/>
              </w:rPr>
              <w:t>国别</w:t>
            </w:r>
          </w:p>
          <w:p>
            <w:pPr>
              <w:snapToGrid w:val="0"/>
              <w:jc w:val="center"/>
              <w:rPr>
                <w:szCs w:val="21"/>
              </w:rPr>
            </w:pPr>
            <w:r>
              <w:rPr>
                <w:rFonts w:hint="eastAsia"/>
                <w:szCs w:val="21"/>
              </w:rPr>
              <w:t>产地</w:t>
            </w:r>
          </w:p>
        </w:tc>
        <w:tc>
          <w:tcPr>
            <w:tcW w:w="422" w:type="pct"/>
            <w:vAlign w:val="center"/>
          </w:tcPr>
          <w:p>
            <w:pPr>
              <w:snapToGrid w:val="0"/>
              <w:jc w:val="center"/>
              <w:rPr>
                <w:szCs w:val="21"/>
              </w:rPr>
            </w:pPr>
            <w:r>
              <w:rPr>
                <w:rFonts w:hint="eastAsia"/>
                <w:szCs w:val="21"/>
              </w:rPr>
              <w:t>制造</w:t>
            </w:r>
          </w:p>
          <w:p>
            <w:pPr>
              <w:snapToGrid w:val="0"/>
              <w:jc w:val="center"/>
              <w:rPr>
                <w:szCs w:val="21"/>
              </w:rPr>
            </w:pPr>
            <w:r>
              <w:rPr>
                <w:rFonts w:hint="eastAsia"/>
                <w:szCs w:val="21"/>
              </w:rPr>
              <w:t>年份</w:t>
            </w:r>
          </w:p>
        </w:tc>
        <w:tc>
          <w:tcPr>
            <w:tcW w:w="693" w:type="pct"/>
            <w:vAlign w:val="center"/>
          </w:tcPr>
          <w:p>
            <w:pPr>
              <w:snapToGrid w:val="0"/>
              <w:jc w:val="center"/>
              <w:rPr>
                <w:szCs w:val="21"/>
              </w:rPr>
            </w:pPr>
            <w:r>
              <w:rPr>
                <w:rFonts w:hint="eastAsia"/>
                <w:szCs w:val="21"/>
              </w:rPr>
              <w:t>额定功率（</w:t>
            </w:r>
            <w:r>
              <w:rPr>
                <w:szCs w:val="21"/>
              </w:rPr>
              <w:t>KW</w:t>
            </w:r>
            <w:r>
              <w:rPr>
                <w:rFonts w:hint="eastAsia"/>
                <w:szCs w:val="21"/>
              </w:rPr>
              <w:t>）</w:t>
            </w:r>
          </w:p>
        </w:tc>
        <w:tc>
          <w:tcPr>
            <w:tcW w:w="500" w:type="pct"/>
            <w:vAlign w:val="center"/>
          </w:tcPr>
          <w:p>
            <w:pPr>
              <w:snapToGrid w:val="0"/>
              <w:jc w:val="center"/>
              <w:rPr>
                <w:szCs w:val="21"/>
              </w:rPr>
            </w:pPr>
            <w:r>
              <w:rPr>
                <w:rFonts w:hint="eastAsia"/>
                <w:szCs w:val="21"/>
              </w:rPr>
              <w:t>生产</w:t>
            </w:r>
          </w:p>
          <w:p>
            <w:pPr>
              <w:snapToGrid w:val="0"/>
              <w:jc w:val="center"/>
              <w:rPr>
                <w:szCs w:val="21"/>
              </w:rPr>
            </w:pPr>
            <w:r>
              <w:rPr>
                <w:rFonts w:hint="eastAsia"/>
                <w:szCs w:val="21"/>
              </w:rPr>
              <w:t>能力</w:t>
            </w:r>
          </w:p>
        </w:tc>
        <w:tc>
          <w:tcPr>
            <w:tcW w:w="603" w:type="pct"/>
            <w:vAlign w:val="center"/>
          </w:tcPr>
          <w:p>
            <w:pPr>
              <w:snapToGrid w:val="0"/>
              <w:jc w:val="center"/>
              <w:rPr>
                <w:szCs w:val="21"/>
              </w:rPr>
            </w:pPr>
            <w:r>
              <w:rPr>
                <w:rFonts w:hint="eastAsia"/>
                <w:szCs w:val="21"/>
              </w:rPr>
              <w:t>用于施工部位</w:t>
            </w:r>
          </w:p>
        </w:tc>
        <w:tc>
          <w:tcPr>
            <w:tcW w:w="395" w:type="pct"/>
            <w:vAlign w:val="center"/>
          </w:tcPr>
          <w:p>
            <w:pPr>
              <w:snapToGrid w:val="0"/>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Align w:val="center"/>
          </w:tcPr>
          <w:p>
            <w:pPr>
              <w:spacing w:line="440" w:lineRule="exact"/>
              <w:jc w:val="center"/>
              <w:rPr>
                <w:szCs w:val="21"/>
              </w:rPr>
            </w:pPr>
          </w:p>
        </w:tc>
        <w:tc>
          <w:tcPr>
            <w:tcW w:w="622" w:type="pct"/>
            <w:vAlign w:val="center"/>
          </w:tcPr>
          <w:p>
            <w:pPr>
              <w:spacing w:line="440" w:lineRule="exact"/>
              <w:jc w:val="center"/>
              <w:rPr>
                <w:szCs w:val="21"/>
              </w:rPr>
            </w:pPr>
          </w:p>
        </w:tc>
        <w:tc>
          <w:tcPr>
            <w:tcW w:w="435" w:type="pct"/>
            <w:vAlign w:val="center"/>
          </w:tcPr>
          <w:p>
            <w:pPr>
              <w:spacing w:line="440" w:lineRule="exact"/>
              <w:jc w:val="center"/>
              <w:rPr>
                <w:szCs w:val="21"/>
              </w:rPr>
            </w:pPr>
          </w:p>
        </w:tc>
        <w:tc>
          <w:tcPr>
            <w:tcW w:w="480" w:type="pct"/>
            <w:vAlign w:val="center"/>
          </w:tcPr>
          <w:p>
            <w:pPr>
              <w:spacing w:line="440" w:lineRule="exact"/>
              <w:jc w:val="center"/>
              <w:rPr>
                <w:szCs w:val="21"/>
              </w:rPr>
            </w:pPr>
          </w:p>
        </w:tc>
        <w:tc>
          <w:tcPr>
            <w:tcW w:w="469" w:type="pct"/>
            <w:vAlign w:val="center"/>
          </w:tcPr>
          <w:p>
            <w:pPr>
              <w:spacing w:line="440" w:lineRule="exact"/>
              <w:jc w:val="center"/>
              <w:rPr>
                <w:szCs w:val="21"/>
              </w:rPr>
            </w:pPr>
          </w:p>
        </w:tc>
        <w:tc>
          <w:tcPr>
            <w:tcW w:w="422" w:type="pct"/>
            <w:vAlign w:val="center"/>
          </w:tcPr>
          <w:p>
            <w:pPr>
              <w:spacing w:line="440" w:lineRule="exact"/>
              <w:jc w:val="center"/>
              <w:rPr>
                <w:szCs w:val="21"/>
              </w:rPr>
            </w:pPr>
          </w:p>
        </w:tc>
        <w:tc>
          <w:tcPr>
            <w:tcW w:w="693" w:type="pct"/>
            <w:vAlign w:val="center"/>
          </w:tcPr>
          <w:p>
            <w:pPr>
              <w:spacing w:line="440" w:lineRule="exact"/>
              <w:jc w:val="center"/>
              <w:rPr>
                <w:szCs w:val="21"/>
              </w:rPr>
            </w:pPr>
          </w:p>
        </w:tc>
        <w:tc>
          <w:tcPr>
            <w:tcW w:w="500" w:type="pct"/>
            <w:vAlign w:val="center"/>
          </w:tcPr>
          <w:p>
            <w:pPr>
              <w:spacing w:line="440" w:lineRule="exact"/>
              <w:jc w:val="center"/>
              <w:rPr>
                <w:szCs w:val="21"/>
              </w:rPr>
            </w:pPr>
          </w:p>
        </w:tc>
        <w:tc>
          <w:tcPr>
            <w:tcW w:w="603" w:type="pct"/>
            <w:vAlign w:val="center"/>
          </w:tcPr>
          <w:p>
            <w:pPr>
              <w:spacing w:line="440" w:lineRule="exact"/>
              <w:jc w:val="center"/>
              <w:rPr>
                <w:szCs w:val="21"/>
              </w:rPr>
            </w:pPr>
          </w:p>
        </w:tc>
        <w:tc>
          <w:tcPr>
            <w:tcW w:w="395" w:type="pct"/>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vAlign w:val="center"/>
          </w:tcPr>
          <w:p>
            <w:pPr>
              <w:spacing w:line="440" w:lineRule="exact"/>
              <w:jc w:val="center"/>
              <w:rPr>
                <w:szCs w:val="21"/>
              </w:rPr>
            </w:pPr>
          </w:p>
        </w:tc>
        <w:tc>
          <w:tcPr>
            <w:tcW w:w="622" w:type="pct"/>
            <w:vAlign w:val="center"/>
          </w:tcPr>
          <w:p>
            <w:pPr>
              <w:spacing w:line="440" w:lineRule="exact"/>
              <w:jc w:val="center"/>
              <w:rPr>
                <w:szCs w:val="21"/>
              </w:rPr>
            </w:pPr>
          </w:p>
        </w:tc>
        <w:tc>
          <w:tcPr>
            <w:tcW w:w="435" w:type="pct"/>
            <w:vAlign w:val="center"/>
          </w:tcPr>
          <w:p>
            <w:pPr>
              <w:spacing w:line="440" w:lineRule="exact"/>
              <w:jc w:val="center"/>
              <w:rPr>
                <w:szCs w:val="21"/>
              </w:rPr>
            </w:pPr>
          </w:p>
        </w:tc>
        <w:tc>
          <w:tcPr>
            <w:tcW w:w="480" w:type="pct"/>
            <w:vAlign w:val="center"/>
          </w:tcPr>
          <w:p>
            <w:pPr>
              <w:spacing w:line="440" w:lineRule="exact"/>
              <w:jc w:val="center"/>
              <w:rPr>
                <w:szCs w:val="21"/>
              </w:rPr>
            </w:pPr>
          </w:p>
        </w:tc>
        <w:tc>
          <w:tcPr>
            <w:tcW w:w="469" w:type="pct"/>
            <w:vAlign w:val="center"/>
          </w:tcPr>
          <w:p>
            <w:pPr>
              <w:spacing w:line="440" w:lineRule="exact"/>
              <w:jc w:val="center"/>
              <w:rPr>
                <w:szCs w:val="21"/>
              </w:rPr>
            </w:pPr>
          </w:p>
        </w:tc>
        <w:tc>
          <w:tcPr>
            <w:tcW w:w="422" w:type="pct"/>
            <w:vAlign w:val="center"/>
          </w:tcPr>
          <w:p>
            <w:pPr>
              <w:spacing w:line="440" w:lineRule="exact"/>
              <w:jc w:val="center"/>
              <w:rPr>
                <w:szCs w:val="21"/>
              </w:rPr>
            </w:pPr>
          </w:p>
        </w:tc>
        <w:tc>
          <w:tcPr>
            <w:tcW w:w="693" w:type="pct"/>
            <w:vAlign w:val="center"/>
          </w:tcPr>
          <w:p>
            <w:pPr>
              <w:spacing w:line="440" w:lineRule="exact"/>
              <w:jc w:val="center"/>
              <w:rPr>
                <w:szCs w:val="21"/>
              </w:rPr>
            </w:pPr>
          </w:p>
        </w:tc>
        <w:tc>
          <w:tcPr>
            <w:tcW w:w="500" w:type="pct"/>
            <w:vAlign w:val="center"/>
          </w:tcPr>
          <w:p>
            <w:pPr>
              <w:spacing w:line="440" w:lineRule="exact"/>
              <w:jc w:val="center"/>
              <w:rPr>
                <w:szCs w:val="21"/>
              </w:rPr>
            </w:pPr>
          </w:p>
        </w:tc>
        <w:tc>
          <w:tcPr>
            <w:tcW w:w="603" w:type="pct"/>
            <w:vAlign w:val="center"/>
          </w:tcPr>
          <w:p>
            <w:pPr>
              <w:spacing w:line="440" w:lineRule="exact"/>
              <w:jc w:val="center"/>
              <w:rPr>
                <w:szCs w:val="21"/>
              </w:rPr>
            </w:pPr>
          </w:p>
        </w:tc>
        <w:tc>
          <w:tcPr>
            <w:tcW w:w="395" w:type="pct"/>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Pr>
          <w:p>
            <w:pPr>
              <w:spacing w:line="440" w:lineRule="exact"/>
              <w:jc w:val="center"/>
              <w:rPr>
                <w:szCs w:val="21"/>
              </w:rPr>
            </w:pPr>
          </w:p>
        </w:tc>
        <w:tc>
          <w:tcPr>
            <w:tcW w:w="622" w:type="pct"/>
          </w:tcPr>
          <w:p>
            <w:pPr>
              <w:spacing w:line="440" w:lineRule="exact"/>
              <w:jc w:val="center"/>
              <w:rPr>
                <w:szCs w:val="21"/>
              </w:rPr>
            </w:pPr>
          </w:p>
        </w:tc>
        <w:tc>
          <w:tcPr>
            <w:tcW w:w="435" w:type="pct"/>
          </w:tcPr>
          <w:p>
            <w:pPr>
              <w:spacing w:line="440" w:lineRule="exact"/>
              <w:jc w:val="center"/>
              <w:rPr>
                <w:szCs w:val="21"/>
              </w:rPr>
            </w:pPr>
          </w:p>
        </w:tc>
        <w:tc>
          <w:tcPr>
            <w:tcW w:w="480" w:type="pct"/>
          </w:tcPr>
          <w:p>
            <w:pPr>
              <w:spacing w:line="440" w:lineRule="exact"/>
              <w:jc w:val="center"/>
              <w:rPr>
                <w:szCs w:val="21"/>
              </w:rPr>
            </w:pPr>
          </w:p>
        </w:tc>
        <w:tc>
          <w:tcPr>
            <w:tcW w:w="469" w:type="pct"/>
          </w:tcPr>
          <w:p>
            <w:pPr>
              <w:spacing w:line="440" w:lineRule="exact"/>
              <w:jc w:val="center"/>
              <w:rPr>
                <w:szCs w:val="21"/>
              </w:rPr>
            </w:pPr>
          </w:p>
        </w:tc>
        <w:tc>
          <w:tcPr>
            <w:tcW w:w="422" w:type="pct"/>
          </w:tcPr>
          <w:p>
            <w:pPr>
              <w:spacing w:line="440" w:lineRule="exact"/>
              <w:jc w:val="center"/>
              <w:rPr>
                <w:szCs w:val="21"/>
              </w:rPr>
            </w:pPr>
          </w:p>
        </w:tc>
        <w:tc>
          <w:tcPr>
            <w:tcW w:w="693" w:type="pct"/>
          </w:tcPr>
          <w:p>
            <w:pPr>
              <w:spacing w:line="440" w:lineRule="exact"/>
              <w:jc w:val="center"/>
              <w:rPr>
                <w:szCs w:val="21"/>
              </w:rPr>
            </w:pPr>
          </w:p>
        </w:tc>
        <w:tc>
          <w:tcPr>
            <w:tcW w:w="500" w:type="pct"/>
          </w:tcPr>
          <w:p>
            <w:pPr>
              <w:spacing w:line="440" w:lineRule="exact"/>
              <w:jc w:val="center"/>
              <w:rPr>
                <w:szCs w:val="21"/>
              </w:rPr>
            </w:pPr>
          </w:p>
        </w:tc>
        <w:tc>
          <w:tcPr>
            <w:tcW w:w="603" w:type="pct"/>
          </w:tcPr>
          <w:p>
            <w:pPr>
              <w:spacing w:line="440" w:lineRule="exact"/>
              <w:jc w:val="center"/>
              <w:rPr>
                <w:szCs w:val="21"/>
              </w:rPr>
            </w:pPr>
          </w:p>
        </w:tc>
        <w:tc>
          <w:tcPr>
            <w:tcW w:w="395"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Pr>
          <w:p>
            <w:pPr>
              <w:spacing w:line="440" w:lineRule="exact"/>
              <w:jc w:val="center"/>
              <w:rPr>
                <w:szCs w:val="21"/>
              </w:rPr>
            </w:pPr>
          </w:p>
        </w:tc>
        <w:tc>
          <w:tcPr>
            <w:tcW w:w="622" w:type="pct"/>
          </w:tcPr>
          <w:p>
            <w:pPr>
              <w:spacing w:line="440" w:lineRule="exact"/>
              <w:jc w:val="center"/>
              <w:rPr>
                <w:szCs w:val="21"/>
              </w:rPr>
            </w:pPr>
          </w:p>
        </w:tc>
        <w:tc>
          <w:tcPr>
            <w:tcW w:w="435" w:type="pct"/>
          </w:tcPr>
          <w:p>
            <w:pPr>
              <w:spacing w:line="440" w:lineRule="exact"/>
              <w:jc w:val="center"/>
              <w:rPr>
                <w:szCs w:val="21"/>
              </w:rPr>
            </w:pPr>
          </w:p>
        </w:tc>
        <w:tc>
          <w:tcPr>
            <w:tcW w:w="480" w:type="pct"/>
          </w:tcPr>
          <w:p>
            <w:pPr>
              <w:spacing w:line="440" w:lineRule="exact"/>
              <w:jc w:val="center"/>
              <w:rPr>
                <w:szCs w:val="21"/>
              </w:rPr>
            </w:pPr>
          </w:p>
        </w:tc>
        <w:tc>
          <w:tcPr>
            <w:tcW w:w="469" w:type="pct"/>
          </w:tcPr>
          <w:p>
            <w:pPr>
              <w:spacing w:line="440" w:lineRule="exact"/>
              <w:jc w:val="center"/>
              <w:rPr>
                <w:szCs w:val="21"/>
              </w:rPr>
            </w:pPr>
          </w:p>
        </w:tc>
        <w:tc>
          <w:tcPr>
            <w:tcW w:w="422" w:type="pct"/>
          </w:tcPr>
          <w:p>
            <w:pPr>
              <w:spacing w:line="440" w:lineRule="exact"/>
              <w:jc w:val="center"/>
              <w:rPr>
                <w:szCs w:val="21"/>
              </w:rPr>
            </w:pPr>
          </w:p>
        </w:tc>
        <w:tc>
          <w:tcPr>
            <w:tcW w:w="693" w:type="pct"/>
          </w:tcPr>
          <w:p>
            <w:pPr>
              <w:spacing w:line="440" w:lineRule="exact"/>
              <w:jc w:val="center"/>
              <w:rPr>
                <w:szCs w:val="21"/>
              </w:rPr>
            </w:pPr>
          </w:p>
        </w:tc>
        <w:tc>
          <w:tcPr>
            <w:tcW w:w="500" w:type="pct"/>
          </w:tcPr>
          <w:p>
            <w:pPr>
              <w:spacing w:line="440" w:lineRule="exact"/>
              <w:jc w:val="center"/>
              <w:rPr>
                <w:szCs w:val="21"/>
              </w:rPr>
            </w:pPr>
          </w:p>
        </w:tc>
        <w:tc>
          <w:tcPr>
            <w:tcW w:w="603" w:type="pct"/>
          </w:tcPr>
          <w:p>
            <w:pPr>
              <w:spacing w:line="440" w:lineRule="exact"/>
              <w:jc w:val="center"/>
              <w:rPr>
                <w:szCs w:val="21"/>
              </w:rPr>
            </w:pPr>
          </w:p>
        </w:tc>
        <w:tc>
          <w:tcPr>
            <w:tcW w:w="395"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Pr>
          <w:p>
            <w:pPr>
              <w:spacing w:line="440" w:lineRule="exact"/>
              <w:jc w:val="center"/>
              <w:rPr>
                <w:szCs w:val="21"/>
              </w:rPr>
            </w:pPr>
          </w:p>
        </w:tc>
        <w:tc>
          <w:tcPr>
            <w:tcW w:w="622" w:type="pct"/>
          </w:tcPr>
          <w:p>
            <w:pPr>
              <w:spacing w:line="440" w:lineRule="exact"/>
              <w:jc w:val="center"/>
              <w:rPr>
                <w:szCs w:val="21"/>
              </w:rPr>
            </w:pPr>
          </w:p>
        </w:tc>
        <w:tc>
          <w:tcPr>
            <w:tcW w:w="435" w:type="pct"/>
          </w:tcPr>
          <w:p>
            <w:pPr>
              <w:spacing w:line="440" w:lineRule="exact"/>
              <w:jc w:val="center"/>
              <w:rPr>
                <w:szCs w:val="21"/>
              </w:rPr>
            </w:pPr>
          </w:p>
        </w:tc>
        <w:tc>
          <w:tcPr>
            <w:tcW w:w="480" w:type="pct"/>
          </w:tcPr>
          <w:p>
            <w:pPr>
              <w:spacing w:line="440" w:lineRule="exact"/>
              <w:jc w:val="center"/>
              <w:rPr>
                <w:szCs w:val="21"/>
              </w:rPr>
            </w:pPr>
          </w:p>
        </w:tc>
        <w:tc>
          <w:tcPr>
            <w:tcW w:w="469" w:type="pct"/>
          </w:tcPr>
          <w:p>
            <w:pPr>
              <w:spacing w:line="440" w:lineRule="exact"/>
              <w:jc w:val="center"/>
              <w:rPr>
                <w:szCs w:val="21"/>
              </w:rPr>
            </w:pPr>
          </w:p>
        </w:tc>
        <w:tc>
          <w:tcPr>
            <w:tcW w:w="422" w:type="pct"/>
          </w:tcPr>
          <w:p>
            <w:pPr>
              <w:spacing w:line="440" w:lineRule="exact"/>
              <w:jc w:val="center"/>
              <w:rPr>
                <w:szCs w:val="21"/>
              </w:rPr>
            </w:pPr>
          </w:p>
        </w:tc>
        <w:tc>
          <w:tcPr>
            <w:tcW w:w="693" w:type="pct"/>
          </w:tcPr>
          <w:p>
            <w:pPr>
              <w:spacing w:line="440" w:lineRule="exact"/>
              <w:jc w:val="center"/>
              <w:rPr>
                <w:szCs w:val="21"/>
              </w:rPr>
            </w:pPr>
          </w:p>
        </w:tc>
        <w:tc>
          <w:tcPr>
            <w:tcW w:w="500" w:type="pct"/>
          </w:tcPr>
          <w:p>
            <w:pPr>
              <w:spacing w:line="440" w:lineRule="exact"/>
              <w:jc w:val="center"/>
              <w:rPr>
                <w:szCs w:val="21"/>
              </w:rPr>
            </w:pPr>
          </w:p>
        </w:tc>
        <w:tc>
          <w:tcPr>
            <w:tcW w:w="603" w:type="pct"/>
          </w:tcPr>
          <w:p>
            <w:pPr>
              <w:spacing w:line="440" w:lineRule="exact"/>
              <w:jc w:val="center"/>
              <w:rPr>
                <w:szCs w:val="21"/>
              </w:rPr>
            </w:pPr>
          </w:p>
        </w:tc>
        <w:tc>
          <w:tcPr>
            <w:tcW w:w="395"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Pr>
          <w:p>
            <w:pPr>
              <w:spacing w:line="440" w:lineRule="exact"/>
              <w:jc w:val="center"/>
              <w:rPr>
                <w:szCs w:val="21"/>
              </w:rPr>
            </w:pPr>
          </w:p>
        </w:tc>
        <w:tc>
          <w:tcPr>
            <w:tcW w:w="622" w:type="pct"/>
          </w:tcPr>
          <w:p>
            <w:pPr>
              <w:spacing w:line="440" w:lineRule="exact"/>
              <w:jc w:val="center"/>
              <w:rPr>
                <w:szCs w:val="21"/>
              </w:rPr>
            </w:pPr>
          </w:p>
        </w:tc>
        <w:tc>
          <w:tcPr>
            <w:tcW w:w="435" w:type="pct"/>
          </w:tcPr>
          <w:p>
            <w:pPr>
              <w:spacing w:line="440" w:lineRule="exact"/>
              <w:jc w:val="center"/>
              <w:rPr>
                <w:szCs w:val="21"/>
              </w:rPr>
            </w:pPr>
          </w:p>
        </w:tc>
        <w:tc>
          <w:tcPr>
            <w:tcW w:w="480" w:type="pct"/>
          </w:tcPr>
          <w:p>
            <w:pPr>
              <w:spacing w:line="440" w:lineRule="exact"/>
              <w:jc w:val="center"/>
              <w:rPr>
                <w:szCs w:val="21"/>
              </w:rPr>
            </w:pPr>
          </w:p>
        </w:tc>
        <w:tc>
          <w:tcPr>
            <w:tcW w:w="469" w:type="pct"/>
          </w:tcPr>
          <w:p>
            <w:pPr>
              <w:spacing w:line="440" w:lineRule="exact"/>
              <w:jc w:val="center"/>
              <w:rPr>
                <w:szCs w:val="21"/>
              </w:rPr>
            </w:pPr>
          </w:p>
        </w:tc>
        <w:tc>
          <w:tcPr>
            <w:tcW w:w="422" w:type="pct"/>
          </w:tcPr>
          <w:p>
            <w:pPr>
              <w:spacing w:line="440" w:lineRule="exact"/>
              <w:jc w:val="center"/>
              <w:rPr>
                <w:szCs w:val="21"/>
              </w:rPr>
            </w:pPr>
          </w:p>
        </w:tc>
        <w:tc>
          <w:tcPr>
            <w:tcW w:w="693" w:type="pct"/>
          </w:tcPr>
          <w:p>
            <w:pPr>
              <w:spacing w:line="440" w:lineRule="exact"/>
              <w:jc w:val="center"/>
              <w:rPr>
                <w:szCs w:val="21"/>
              </w:rPr>
            </w:pPr>
          </w:p>
        </w:tc>
        <w:tc>
          <w:tcPr>
            <w:tcW w:w="500" w:type="pct"/>
          </w:tcPr>
          <w:p>
            <w:pPr>
              <w:spacing w:line="440" w:lineRule="exact"/>
              <w:jc w:val="center"/>
              <w:rPr>
                <w:szCs w:val="21"/>
              </w:rPr>
            </w:pPr>
          </w:p>
        </w:tc>
        <w:tc>
          <w:tcPr>
            <w:tcW w:w="603" w:type="pct"/>
          </w:tcPr>
          <w:p>
            <w:pPr>
              <w:spacing w:line="440" w:lineRule="exact"/>
              <w:jc w:val="center"/>
              <w:rPr>
                <w:szCs w:val="21"/>
              </w:rPr>
            </w:pPr>
          </w:p>
        </w:tc>
        <w:tc>
          <w:tcPr>
            <w:tcW w:w="395"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Pr>
          <w:p>
            <w:pPr>
              <w:spacing w:line="440" w:lineRule="exact"/>
              <w:jc w:val="center"/>
              <w:rPr>
                <w:szCs w:val="21"/>
              </w:rPr>
            </w:pPr>
          </w:p>
        </w:tc>
        <w:tc>
          <w:tcPr>
            <w:tcW w:w="622" w:type="pct"/>
          </w:tcPr>
          <w:p>
            <w:pPr>
              <w:spacing w:line="440" w:lineRule="exact"/>
              <w:jc w:val="center"/>
              <w:rPr>
                <w:szCs w:val="21"/>
              </w:rPr>
            </w:pPr>
          </w:p>
        </w:tc>
        <w:tc>
          <w:tcPr>
            <w:tcW w:w="435" w:type="pct"/>
          </w:tcPr>
          <w:p>
            <w:pPr>
              <w:spacing w:line="440" w:lineRule="exact"/>
              <w:jc w:val="center"/>
              <w:rPr>
                <w:szCs w:val="21"/>
              </w:rPr>
            </w:pPr>
          </w:p>
        </w:tc>
        <w:tc>
          <w:tcPr>
            <w:tcW w:w="480" w:type="pct"/>
          </w:tcPr>
          <w:p>
            <w:pPr>
              <w:spacing w:line="440" w:lineRule="exact"/>
              <w:jc w:val="center"/>
              <w:rPr>
                <w:szCs w:val="21"/>
              </w:rPr>
            </w:pPr>
          </w:p>
        </w:tc>
        <w:tc>
          <w:tcPr>
            <w:tcW w:w="469" w:type="pct"/>
          </w:tcPr>
          <w:p>
            <w:pPr>
              <w:spacing w:line="440" w:lineRule="exact"/>
              <w:jc w:val="center"/>
              <w:rPr>
                <w:szCs w:val="21"/>
              </w:rPr>
            </w:pPr>
          </w:p>
        </w:tc>
        <w:tc>
          <w:tcPr>
            <w:tcW w:w="422" w:type="pct"/>
          </w:tcPr>
          <w:p>
            <w:pPr>
              <w:spacing w:line="440" w:lineRule="exact"/>
              <w:jc w:val="center"/>
              <w:rPr>
                <w:szCs w:val="21"/>
              </w:rPr>
            </w:pPr>
          </w:p>
        </w:tc>
        <w:tc>
          <w:tcPr>
            <w:tcW w:w="693" w:type="pct"/>
          </w:tcPr>
          <w:p>
            <w:pPr>
              <w:spacing w:line="440" w:lineRule="exact"/>
              <w:jc w:val="center"/>
              <w:rPr>
                <w:szCs w:val="21"/>
              </w:rPr>
            </w:pPr>
          </w:p>
        </w:tc>
        <w:tc>
          <w:tcPr>
            <w:tcW w:w="500" w:type="pct"/>
          </w:tcPr>
          <w:p>
            <w:pPr>
              <w:spacing w:line="440" w:lineRule="exact"/>
              <w:jc w:val="center"/>
              <w:rPr>
                <w:szCs w:val="21"/>
              </w:rPr>
            </w:pPr>
          </w:p>
        </w:tc>
        <w:tc>
          <w:tcPr>
            <w:tcW w:w="603" w:type="pct"/>
          </w:tcPr>
          <w:p>
            <w:pPr>
              <w:spacing w:line="440" w:lineRule="exact"/>
              <w:jc w:val="center"/>
              <w:rPr>
                <w:szCs w:val="21"/>
              </w:rPr>
            </w:pPr>
          </w:p>
        </w:tc>
        <w:tc>
          <w:tcPr>
            <w:tcW w:w="395"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Pr>
          <w:p>
            <w:pPr>
              <w:spacing w:line="440" w:lineRule="exact"/>
              <w:jc w:val="center"/>
              <w:rPr>
                <w:szCs w:val="21"/>
              </w:rPr>
            </w:pPr>
          </w:p>
        </w:tc>
        <w:tc>
          <w:tcPr>
            <w:tcW w:w="622" w:type="pct"/>
          </w:tcPr>
          <w:p>
            <w:pPr>
              <w:spacing w:line="440" w:lineRule="exact"/>
              <w:jc w:val="center"/>
              <w:rPr>
                <w:szCs w:val="21"/>
              </w:rPr>
            </w:pPr>
          </w:p>
        </w:tc>
        <w:tc>
          <w:tcPr>
            <w:tcW w:w="435" w:type="pct"/>
          </w:tcPr>
          <w:p>
            <w:pPr>
              <w:spacing w:line="440" w:lineRule="exact"/>
              <w:jc w:val="center"/>
              <w:rPr>
                <w:szCs w:val="21"/>
              </w:rPr>
            </w:pPr>
          </w:p>
        </w:tc>
        <w:tc>
          <w:tcPr>
            <w:tcW w:w="480" w:type="pct"/>
          </w:tcPr>
          <w:p>
            <w:pPr>
              <w:spacing w:line="440" w:lineRule="exact"/>
              <w:jc w:val="center"/>
              <w:rPr>
                <w:szCs w:val="21"/>
              </w:rPr>
            </w:pPr>
          </w:p>
        </w:tc>
        <w:tc>
          <w:tcPr>
            <w:tcW w:w="469" w:type="pct"/>
          </w:tcPr>
          <w:p>
            <w:pPr>
              <w:spacing w:line="440" w:lineRule="exact"/>
              <w:jc w:val="center"/>
              <w:rPr>
                <w:szCs w:val="21"/>
              </w:rPr>
            </w:pPr>
          </w:p>
        </w:tc>
        <w:tc>
          <w:tcPr>
            <w:tcW w:w="422" w:type="pct"/>
          </w:tcPr>
          <w:p>
            <w:pPr>
              <w:spacing w:line="440" w:lineRule="exact"/>
              <w:jc w:val="center"/>
              <w:rPr>
                <w:szCs w:val="21"/>
              </w:rPr>
            </w:pPr>
          </w:p>
        </w:tc>
        <w:tc>
          <w:tcPr>
            <w:tcW w:w="693" w:type="pct"/>
          </w:tcPr>
          <w:p>
            <w:pPr>
              <w:spacing w:line="440" w:lineRule="exact"/>
              <w:jc w:val="center"/>
              <w:rPr>
                <w:szCs w:val="21"/>
              </w:rPr>
            </w:pPr>
          </w:p>
        </w:tc>
        <w:tc>
          <w:tcPr>
            <w:tcW w:w="500" w:type="pct"/>
          </w:tcPr>
          <w:p>
            <w:pPr>
              <w:spacing w:line="440" w:lineRule="exact"/>
              <w:jc w:val="center"/>
              <w:rPr>
                <w:szCs w:val="21"/>
              </w:rPr>
            </w:pPr>
          </w:p>
        </w:tc>
        <w:tc>
          <w:tcPr>
            <w:tcW w:w="603" w:type="pct"/>
          </w:tcPr>
          <w:p>
            <w:pPr>
              <w:spacing w:line="440" w:lineRule="exact"/>
              <w:jc w:val="center"/>
              <w:rPr>
                <w:szCs w:val="21"/>
              </w:rPr>
            </w:pPr>
          </w:p>
        </w:tc>
        <w:tc>
          <w:tcPr>
            <w:tcW w:w="395"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Pr>
          <w:p>
            <w:pPr>
              <w:spacing w:line="440" w:lineRule="exact"/>
              <w:jc w:val="center"/>
              <w:rPr>
                <w:szCs w:val="21"/>
              </w:rPr>
            </w:pPr>
          </w:p>
        </w:tc>
        <w:tc>
          <w:tcPr>
            <w:tcW w:w="622" w:type="pct"/>
          </w:tcPr>
          <w:p>
            <w:pPr>
              <w:spacing w:line="440" w:lineRule="exact"/>
              <w:jc w:val="center"/>
              <w:rPr>
                <w:szCs w:val="21"/>
              </w:rPr>
            </w:pPr>
          </w:p>
        </w:tc>
        <w:tc>
          <w:tcPr>
            <w:tcW w:w="435" w:type="pct"/>
          </w:tcPr>
          <w:p>
            <w:pPr>
              <w:spacing w:line="440" w:lineRule="exact"/>
              <w:jc w:val="center"/>
              <w:rPr>
                <w:szCs w:val="21"/>
              </w:rPr>
            </w:pPr>
          </w:p>
        </w:tc>
        <w:tc>
          <w:tcPr>
            <w:tcW w:w="480" w:type="pct"/>
          </w:tcPr>
          <w:p>
            <w:pPr>
              <w:spacing w:line="440" w:lineRule="exact"/>
              <w:jc w:val="center"/>
              <w:rPr>
                <w:szCs w:val="21"/>
              </w:rPr>
            </w:pPr>
          </w:p>
        </w:tc>
        <w:tc>
          <w:tcPr>
            <w:tcW w:w="469" w:type="pct"/>
          </w:tcPr>
          <w:p>
            <w:pPr>
              <w:spacing w:line="440" w:lineRule="exact"/>
              <w:jc w:val="center"/>
              <w:rPr>
                <w:szCs w:val="21"/>
              </w:rPr>
            </w:pPr>
          </w:p>
        </w:tc>
        <w:tc>
          <w:tcPr>
            <w:tcW w:w="422" w:type="pct"/>
          </w:tcPr>
          <w:p>
            <w:pPr>
              <w:spacing w:line="440" w:lineRule="exact"/>
              <w:jc w:val="center"/>
              <w:rPr>
                <w:szCs w:val="21"/>
              </w:rPr>
            </w:pPr>
          </w:p>
        </w:tc>
        <w:tc>
          <w:tcPr>
            <w:tcW w:w="693" w:type="pct"/>
          </w:tcPr>
          <w:p>
            <w:pPr>
              <w:spacing w:line="440" w:lineRule="exact"/>
              <w:jc w:val="center"/>
              <w:rPr>
                <w:szCs w:val="21"/>
              </w:rPr>
            </w:pPr>
          </w:p>
        </w:tc>
        <w:tc>
          <w:tcPr>
            <w:tcW w:w="500" w:type="pct"/>
          </w:tcPr>
          <w:p>
            <w:pPr>
              <w:spacing w:line="440" w:lineRule="exact"/>
              <w:jc w:val="center"/>
              <w:rPr>
                <w:szCs w:val="21"/>
              </w:rPr>
            </w:pPr>
          </w:p>
        </w:tc>
        <w:tc>
          <w:tcPr>
            <w:tcW w:w="603" w:type="pct"/>
          </w:tcPr>
          <w:p>
            <w:pPr>
              <w:spacing w:line="440" w:lineRule="exact"/>
              <w:jc w:val="center"/>
              <w:rPr>
                <w:szCs w:val="21"/>
              </w:rPr>
            </w:pPr>
          </w:p>
        </w:tc>
        <w:tc>
          <w:tcPr>
            <w:tcW w:w="395"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Pr>
          <w:p>
            <w:pPr>
              <w:spacing w:line="440" w:lineRule="exact"/>
              <w:jc w:val="center"/>
              <w:rPr>
                <w:szCs w:val="21"/>
              </w:rPr>
            </w:pPr>
          </w:p>
        </w:tc>
        <w:tc>
          <w:tcPr>
            <w:tcW w:w="622" w:type="pct"/>
          </w:tcPr>
          <w:p>
            <w:pPr>
              <w:spacing w:line="440" w:lineRule="exact"/>
              <w:jc w:val="center"/>
              <w:rPr>
                <w:szCs w:val="21"/>
              </w:rPr>
            </w:pPr>
          </w:p>
        </w:tc>
        <w:tc>
          <w:tcPr>
            <w:tcW w:w="435" w:type="pct"/>
          </w:tcPr>
          <w:p>
            <w:pPr>
              <w:spacing w:line="440" w:lineRule="exact"/>
              <w:jc w:val="center"/>
              <w:rPr>
                <w:szCs w:val="21"/>
              </w:rPr>
            </w:pPr>
          </w:p>
        </w:tc>
        <w:tc>
          <w:tcPr>
            <w:tcW w:w="480" w:type="pct"/>
          </w:tcPr>
          <w:p>
            <w:pPr>
              <w:spacing w:line="440" w:lineRule="exact"/>
              <w:jc w:val="center"/>
              <w:rPr>
                <w:szCs w:val="21"/>
              </w:rPr>
            </w:pPr>
          </w:p>
        </w:tc>
        <w:tc>
          <w:tcPr>
            <w:tcW w:w="469" w:type="pct"/>
          </w:tcPr>
          <w:p>
            <w:pPr>
              <w:spacing w:line="440" w:lineRule="exact"/>
              <w:jc w:val="center"/>
              <w:rPr>
                <w:szCs w:val="21"/>
              </w:rPr>
            </w:pPr>
          </w:p>
        </w:tc>
        <w:tc>
          <w:tcPr>
            <w:tcW w:w="422" w:type="pct"/>
          </w:tcPr>
          <w:p>
            <w:pPr>
              <w:spacing w:line="440" w:lineRule="exact"/>
              <w:jc w:val="center"/>
              <w:rPr>
                <w:szCs w:val="21"/>
              </w:rPr>
            </w:pPr>
          </w:p>
        </w:tc>
        <w:tc>
          <w:tcPr>
            <w:tcW w:w="693" w:type="pct"/>
          </w:tcPr>
          <w:p>
            <w:pPr>
              <w:spacing w:line="440" w:lineRule="exact"/>
              <w:jc w:val="center"/>
              <w:rPr>
                <w:szCs w:val="21"/>
              </w:rPr>
            </w:pPr>
          </w:p>
        </w:tc>
        <w:tc>
          <w:tcPr>
            <w:tcW w:w="500" w:type="pct"/>
          </w:tcPr>
          <w:p>
            <w:pPr>
              <w:spacing w:line="440" w:lineRule="exact"/>
              <w:jc w:val="center"/>
              <w:rPr>
                <w:szCs w:val="21"/>
              </w:rPr>
            </w:pPr>
          </w:p>
        </w:tc>
        <w:tc>
          <w:tcPr>
            <w:tcW w:w="603" w:type="pct"/>
          </w:tcPr>
          <w:p>
            <w:pPr>
              <w:spacing w:line="440" w:lineRule="exact"/>
              <w:jc w:val="center"/>
              <w:rPr>
                <w:szCs w:val="21"/>
              </w:rPr>
            </w:pPr>
          </w:p>
        </w:tc>
        <w:tc>
          <w:tcPr>
            <w:tcW w:w="395"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Pr>
          <w:p>
            <w:pPr>
              <w:spacing w:line="440" w:lineRule="exact"/>
              <w:jc w:val="center"/>
              <w:rPr>
                <w:szCs w:val="21"/>
              </w:rPr>
            </w:pPr>
          </w:p>
        </w:tc>
        <w:tc>
          <w:tcPr>
            <w:tcW w:w="622" w:type="pct"/>
          </w:tcPr>
          <w:p>
            <w:pPr>
              <w:spacing w:line="440" w:lineRule="exact"/>
              <w:jc w:val="center"/>
              <w:rPr>
                <w:szCs w:val="21"/>
              </w:rPr>
            </w:pPr>
          </w:p>
        </w:tc>
        <w:tc>
          <w:tcPr>
            <w:tcW w:w="435" w:type="pct"/>
          </w:tcPr>
          <w:p>
            <w:pPr>
              <w:spacing w:line="440" w:lineRule="exact"/>
              <w:jc w:val="center"/>
              <w:rPr>
                <w:szCs w:val="21"/>
              </w:rPr>
            </w:pPr>
          </w:p>
        </w:tc>
        <w:tc>
          <w:tcPr>
            <w:tcW w:w="480" w:type="pct"/>
          </w:tcPr>
          <w:p>
            <w:pPr>
              <w:spacing w:line="440" w:lineRule="exact"/>
              <w:jc w:val="center"/>
              <w:rPr>
                <w:szCs w:val="21"/>
              </w:rPr>
            </w:pPr>
          </w:p>
        </w:tc>
        <w:tc>
          <w:tcPr>
            <w:tcW w:w="469" w:type="pct"/>
          </w:tcPr>
          <w:p>
            <w:pPr>
              <w:spacing w:line="440" w:lineRule="exact"/>
              <w:jc w:val="center"/>
              <w:rPr>
                <w:szCs w:val="21"/>
              </w:rPr>
            </w:pPr>
          </w:p>
        </w:tc>
        <w:tc>
          <w:tcPr>
            <w:tcW w:w="422" w:type="pct"/>
          </w:tcPr>
          <w:p>
            <w:pPr>
              <w:spacing w:line="440" w:lineRule="exact"/>
              <w:jc w:val="center"/>
              <w:rPr>
                <w:szCs w:val="21"/>
              </w:rPr>
            </w:pPr>
          </w:p>
        </w:tc>
        <w:tc>
          <w:tcPr>
            <w:tcW w:w="693" w:type="pct"/>
          </w:tcPr>
          <w:p>
            <w:pPr>
              <w:spacing w:line="440" w:lineRule="exact"/>
              <w:jc w:val="center"/>
              <w:rPr>
                <w:szCs w:val="21"/>
              </w:rPr>
            </w:pPr>
          </w:p>
        </w:tc>
        <w:tc>
          <w:tcPr>
            <w:tcW w:w="500" w:type="pct"/>
          </w:tcPr>
          <w:p>
            <w:pPr>
              <w:spacing w:line="440" w:lineRule="exact"/>
              <w:jc w:val="center"/>
              <w:rPr>
                <w:szCs w:val="21"/>
              </w:rPr>
            </w:pPr>
          </w:p>
        </w:tc>
        <w:tc>
          <w:tcPr>
            <w:tcW w:w="603" w:type="pct"/>
          </w:tcPr>
          <w:p>
            <w:pPr>
              <w:spacing w:line="440" w:lineRule="exact"/>
              <w:jc w:val="center"/>
              <w:rPr>
                <w:szCs w:val="21"/>
              </w:rPr>
            </w:pPr>
          </w:p>
        </w:tc>
        <w:tc>
          <w:tcPr>
            <w:tcW w:w="395"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Pr>
          <w:p>
            <w:pPr>
              <w:spacing w:line="440" w:lineRule="exact"/>
              <w:jc w:val="center"/>
              <w:rPr>
                <w:szCs w:val="21"/>
              </w:rPr>
            </w:pPr>
          </w:p>
        </w:tc>
        <w:tc>
          <w:tcPr>
            <w:tcW w:w="622" w:type="pct"/>
          </w:tcPr>
          <w:p>
            <w:pPr>
              <w:spacing w:line="440" w:lineRule="exact"/>
              <w:jc w:val="center"/>
              <w:rPr>
                <w:szCs w:val="21"/>
              </w:rPr>
            </w:pPr>
          </w:p>
        </w:tc>
        <w:tc>
          <w:tcPr>
            <w:tcW w:w="435" w:type="pct"/>
          </w:tcPr>
          <w:p>
            <w:pPr>
              <w:spacing w:line="440" w:lineRule="exact"/>
              <w:jc w:val="center"/>
              <w:rPr>
                <w:szCs w:val="21"/>
              </w:rPr>
            </w:pPr>
          </w:p>
        </w:tc>
        <w:tc>
          <w:tcPr>
            <w:tcW w:w="480" w:type="pct"/>
          </w:tcPr>
          <w:p>
            <w:pPr>
              <w:spacing w:line="440" w:lineRule="exact"/>
              <w:jc w:val="center"/>
              <w:rPr>
                <w:szCs w:val="21"/>
              </w:rPr>
            </w:pPr>
          </w:p>
        </w:tc>
        <w:tc>
          <w:tcPr>
            <w:tcW w:w="469" w:type="pct"/>
          </w:tcPr>
          <w:p>
            <w:pPr>
              <w:spacing w:line="440" w:lineRule="exact"/>
              <w:jc w:val="center"/>
              <w:rPr>
                <w:szCs w:val="21"/>
              </w:rPr>
            </w:pPr>
          </w:p>
        </w:tc>
        <w:tc>
          <w:tcPr>
            <w:tcW w:w="422" w:type="pct"/>
          </w:tcPr>
          <w:p>
            <w:pPr>
              <w:spacing w:line="440" w:lineRule="exact"/>
              <w:jc w:val="center"/>
              <w:rPr>
                <w:szCs w:val="21"/>
              </w:rPr>
            </w:pPr>
          </w:p>
        </w:tc>
        <w:tc>
          <w:tcPr>
            <w:tcW w:w="693" w:type="pct"/>
          </w:tcPr>
          <w:p>
            <w:pPr>
              <w:spacing w:line="440" w:lineRule="exact"/>
              <w:jc w:val="center"/>
              <w:rPr>
                <w:szCs w:val="21"/>
              </w:rPr>
            </w:pPr>
          </w:p>
        </w:tc>
        <w:tc>
          <w:tcPr>
            <w:tcW w:w="500" w:type="pct"/>
          </w:tcPr>
          <w:p>
            <w:pPr>
              <w:spacing w:line="440" w:lineRule="exact"/>
              <w:jc w:val="center"/>
              <w:rPr>
                <w:szCs w:val="21"/>
              </w:rPr>
            </w:pPr>
          </w:p>
        </w:tc>
        <w:tc>
          <w:tcPr>
            <w:tcW w:w="603" w:type="pct"/>
          </w:tcPr>
          <w:p>
            <w:pPr>
              <w:spacing w:line="440" w:lineRule="exact"/>
              <w:jc w:val="center"/>
              <w:rPr>
                <w:szCs w:val="21"/>
              </w:rPr>
            </w:pPr>
          </w:p>
        </w:tc>
        <w:tc>
          <w:tcPr>
            <w:tcW w:w="395"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Pr>
          <w:p>
            <w:pPr>
              <w:spacing w:line="440" w:lineRule="exact"/>
              <w:jc w:val="center"/>
              <w:rPr>
                <w:szCs w:val="21"/>
              </w:rPr>
            </w:pPr>
          </w:p>
        </w:tc>
        <w:tc>
          <w:tcPr>
            <w:tcW w:w="622" w:type="pct"/>
          </w:tcPr>
          <w:p>
            <w:pPr>
              <w:spacing w:line="440" w:lineRule="exact"/>
              <w:jc w:val="center"/>
              <w:rPr>
                <w:szCs w:val="21"/>
              </w:rPr>
            </w:pPr>
          </w:p>
        </w:tc>
        <w:tc>
          <w:tcPr>
            <w:tcW w:w="435" w:type="pct"/>
          </w:tcPr>
          <w:p>
            <w:pPr>
              <w:spacing w:line="440" w:lineRule="exact"/>
              <w:jc w:val="center"/>
              <w:rPr>
                <w:szCs w:val="21"/>
              </w:rPr>
            </w:pPr>
          </w:p>
        </w:tc>
        <w:tc>
          <w:tcPr>
            <w:tcW w:w="480" w:type="pct"/>
          </w:tcPr>
          <w:p>
            <w:pPr>
              <w:spacing w:line="440" w:lineRule="exact"/>
              <w:jc w:val="center"/>
              <w:rPr>
                <w:szCs w:val="21"/>
              </w:rPr>
            </w:pPr>
          </w:p>
        </w:tc>
        <w:tc>
          <w:tcPr>
            <w:tcW w:w="469" w:type="pct"/>
          </w:tcPr>
          <w:p>
            <w:pPr>
              <w:spacing w:line="440" w:lineRule="exact"/>
              <w:jc w:val="center"/>
              <w:rPr>
                <w:szCs w:val="21"/>
              </w:rPr>
            </w:pPr>
          </w:p>
        </w:tc>
        <w:tc>
          <w:tcPr>
            <w:tcW w:w="422" w:type="pct"/>
          </w:tcPr>
          <w:p>
            <w:pPr>
              <w:spacing w:line="440" w:lineRule="exact"/>
              <w:jc w:val="center"/>
              <w:rPr>
                <w:szCs w:val="21"/>
              </w:rPr>
            </w:pPr>
          </w:p>
        </w:tc>
        <w:tc>
          <w:tcPr>
            <w:tcW w:w="693" w:type="pct"/>
          </w:tcPr>
          <w:p>
            <w:pPr>
              <w:spacing w:line="440" w:lineRule="exact"/>
              <w:jc w:val="center"/>
              <w:rPr>
                <w:szCs w:val="21"/>
              </w:rPr>
            </w:pPr>
          </w:p>
        </w:tc>
        <w:tc>
          <w:tcPr>
            <w:tcW w:w="500" w:type="pct"/>
          </w:tcPr>
          <w:p>
            <w:pPr>
              <w:spacing w:line="440" w:lineRule="exact"/>
              <w:jc w:val="center"/>
              <w:rPr>
                <w:szCs w:val="21"/>
              </w:rPr>
            </w:pPr>
          </w:p>
        </w:tc>
        <w:tc>
          <w:tcPr>
            <w:tcW w:w="603" w:type="pct"/>
          </w:tcPr>
          <w:p>
            <w:pPr>
              <w:spacing w:line="440" w:lineRule="exact"/>
              <w:jc w:val="center"/>
              <w:rPr>
                <w:szCs w:val="21"/>
              </w:rPr>
            </w:pPr>
          </w:p>
        </w:tc>
        <w:tc>
          <w:tcPr>
            <w:tcW w:w="395"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Pr>
          <w:p>
            <w:pPr>
              <w:spacing w:line="440" w:lineRule="exact"/>
              <w:jc w:val="center"/>
              <w:rPr>
                <w:szCs w:val="21"/>
              </w:rPr>
            </w:pPr>
          </w:p>
        </w:tc>
        <w:tc>
          <w:tcPr>
            <w:tcW w:w="622" w:type="pct"/>
          </w:tcPr>
          <w:p>
            <w:pPr>
              <w:spacing w:line="440" w:lineRule="exact"/>
              <w:jc w:val="center"/>
              <w:rPr>
                <w:szCs w:val="21"/>
              </w:rPr>
            </w:pPr>
          </w:p>
        </w:tc>
        <w:tc>
          <w:tcPr>
            <w:tcW w:w="435" w:type="pct"/>
          </w:tcPr>
          <w:p>
            <w:pPr>
              <w:spacing w:line="440" w:lineRule="exact"/>
              <w:jc w:val="center"/>
              <w:rPr>
                <w:szCs w:val="21"/>
              </w:rPr>
            </w:pPr>
          </w:p>
        </w:tc>
        <w:tc>
          <w:tcPr>
            <w:tcW w:w="480" w:type="pct"/>
          </w:tcPr>
          <w:p>
            <w:pPr>
              <w:spacing w:line="440" w:lineRule="exact"/>
              <w:jc w:val="center"/>
              <w:rPr>
                <w:szCs w:val="21"/>
              </w:rPr>
            </w:pPr>
          </w:p>
        </w:tc>
        <w:tc>
          <w:tcPr>
            <w:tcW w:w="469" w:type="pct"/>
          </w:tcPr>
          <w:p>
            <w:pPr>
              <w:spacing w:line="440" w:lineRule="exact"/>
              <w:jc w:val="center"/>
              <w:rPr>
                <w:szCs w:val="21"/>
              </w:rPr>
            </w:pPr>
          </w:p>
        </w:tc>
        <w:tc>
          <w:tcPr>
            <w:tcW w:w="422" w:type="pct"/>
          </w:tcPr>
          <w:p>
            <w:pPr>
              <w:spacing w:line="440" w:lineRule="exact"/>
              <w:jc w:val="center"/>
              <w:rPr>
                <w:szCs w:val="21"/>
              </w:rPr>
            </w:pPr>
          </w:p>
        </w:tc>
        <w:tc>
          <w:tcPr>
            <w:tcW w:w="693" w:type="pct"/>
          </w:tcPr>
          <w:p>
            <w:pPr>
              <w:spacing w:line="440" w:lineRule="exact"/>
              <w:jc w:val="center"/>
              <w:rPr>
                <w:szCs w:val="21"/>
              </w:rPr>
            </w:pPr>
          </w:p>
        </w:tc>
        <w:tc>
          <w:tcPr>
            <w:tcW w:w="500" w:type="pct"/>
          </w:tcPr>
          <w:p>
            <w:pPr>
              <w:spacing w:line="440" w:lineRule="exact"/>
              <w:jc w:val="center"/>
              <w:rPr>
                <w:szCs w:val="21"/>
              </w:rPr>
            </w:pPr>
          </w:p>
        </w:tc>
        <w:tc>
          <w:tcPr>
            <w:tcW w:w="603" w:type="pct"/>
          </w:tcPr>
          <w:p>
            <w:pPr>
              <w:spacing w:line="440" w:lineRule="exact"/>
              <w:jc w:val="center"/>
              <w:rPr>
                <w:szCs w:val="21"/>
              </w:rPr>
            </w:pPr>
          </w:p>
        </w:tc>
        <w:tc>
          <w:tcPr>
            <w:tcW w:w="395"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Pr>
          <w:p>
            <w:pPr>
              <w:spacing w:line="440" w:lineRule="exact"/>
              <w:jc w:val="center"/>
              <w:rPr>
                <w:szCs w:val="21"/>
              </w:rPr>
            </w:pPr>
          </w:p>
        </w:tc>
        <w:tc>
          <w:tcPr>
            <w:tcW w:w="622" w:type="pct"/>
          </w:tcPr>
          <w:p>
            <w:pPr>
              <w:spacing w:line="440" w:lineRule="exact"/>
              <w:jc w:val="center"/>
              <w:rPr>
                <w:szCs w:val="21"/>
              </w:rPr>
            </w:pPr>
          </w:p>
        </w:tc>
        <w:tc>
          <w:tcPr>
            <w:tcW w:w="435" w:type="pct"/>
          </w:tcPr>
          <w:p>
            <w:pPr>
              <w:spacing w:line="440" w:lineRule="exact"/>
              <w:jc w:val="center"/>
              <w:rPr>
                <w:szCs w:val="21"/>
              </w:rPr>
            </w:pPr>
          </w:p>
        </w:tc>
        <w:tc>
          <w:tcPr>
            <w:tcW w:w="480" w:type="pct"/>
          </w:tcPr>
          <w:p>
            <w:pPr>
              <w:spacing w:line="440" w:lineRule="exact"/>
              <w:jc w:val="center"/>
              <w:rPr>
                <w:szCs w:val="21"/>
              </w:rPr>
            </w:pPr>
          </w:p>
        </w:tc>
        <w:tc>
          <w:tcPr>
            <w:tcW w:w="469" w:type="pct"/>
          </w:tcPr>
          <w:p>
            <w:pPr>
              <w:spacing w:line="440" w:lineRule="exact"/>
              <w:jc w:val="center"/>
              <w:rPr>
                <w:szCs w:val="21"/>
              </w:rPr>
            </w:pPr>
          </w:p>
        </w:tc>
        <w:tc>
          <w:tcPr>
            <w:tcW w:w="422" w:type="pct"/>
          </w:tcPr>
          <w:p>
            <w:pPr>
              <w:spacing w:line="440" w:lineRule="exact"/>
              <w:jc w:val="center"/>
              <w:rPr>
                <w:szCs w:val="21"/>
              </w:rPr>
            </w:pPr>
          </w:p>
        </w:tc>
        <w:tc>
          <w:tcPr>
            <w:tcW w:w="693" w:type="pct"/>
          </w:tcPr>
          <w:p>
            <w:pPr>
              <w:spacing w:line="440" w:lineRule="exact"/>
              <w:jc w:val="center"/>
              <w:rPr>
                <w:szCs w:val="21"/>
              </w:rPr>
            </w:pPr>
          </w:p>
        </w:tc>
        <w:tc>
          <w:tcPr>
            <w:tcW w:w="500" w:type="pct"/>
          </w:tcPr>
          <w:p>
            <w:pPr>
              <w:spacing w:line="440" w:lineRule="exact"/>
              <w:jc w:val="center"/>
              <w:rPr>
                <w:szCs w:val="21"/>
              </w:rPr>
            </w:pPr>
          </w:p>
        </w:tc>
        <w:tc>
          <w:tcPr>
            <w:tcW w:w="603" w:type="pct"/>
          </w:tcPr>
          <w:p>
            <w:pPr>
              <w:spacing w:line="440" w:lineRule="exact"/>
              <w:jc w:val="center"/>
              <w:rPr>
                <w:szCs w:val="21"/>
              </w:rPr>
            </w:pPr>
          </w:p>
        </w:tc>
        <w:tc>
          <w:tcPr>
            <w:tcW w:w="395"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Pr>
          <w:p>
            <w:pPr>
              <w:spacing w:line="440" w:lineRule="exact"/>
              <w:jc w:val="center"/>
              <w:rPr>
                <w:szCs w:val="21"/>
              </w:rPr>
            </w:pPr>
          </w:p>
        </w:tc>
        <w:tc>
          <w:tcPr>
            <w:tcW w:w="622" w:type="pct"/>
          </w:tcPr>
          <w:p>
            <w:pPr>
              <w:spacing w:line="440" w:lineRule="exact"/>
              <w:jc w:val="center"/>
              <w:rPr>
                <w:szCs w:val="21"/>
              </w:rPr>
            </w:pPr>
          </w:p>
        </w:tc>
        <w:tc>
          <w:tcPr>
            <w:tcW w:w="435" w:type="pct"/>
          </w:tcPr>
          <w:p>
            <w:pPr>
              <w:spacing w:line="440" w:lineRule="exact"/>
              <w:jc w:val="center"/>
              <w:rPr>
                <w:szCs w:val="21"/>
              </w:rPr>
            </w:pPr>
          </w:p>
        </w:tc>
        <w:tc>
          <w:tcPr>
            <w:tcW w:w="480" w:type="pct"/>
          </w:tcPr>
          <w:p>
            <w:pPr>
              <w:spacing w:line="440" w:lineRule="exact"/>
              <w:jc w:val="center"/>
              <w:rPr>
                <w:szCs w:val="21"/>
              </w:rPr>
            </w:pPr>
          </w:p>
        </w:tc>
        <w:tc>
          <w:tcPr>
            <w:tcW w:w="469" w:type="pct"/>
          </w:tcPr>
          <w:p>
            <w:pPr>
              <w:spacing w:line="440" w:lineRule="exact"/>
              <w:jc w:val="center"/>
              <w:rPr>
                <w:szCs w:val="21"/>
              </w:rPr>
            </w:pPr>
          </w:p>
        </w:tc>
        <w:tc>
          <w:tcPr>
            <w:tcW w:w="422" w:type="pct"/>
          </w:tcPr>
          <w:p>
            <w:pPr>
              <w:spacing w:line="440" w:lineRule="exact"/>
              <w:jc w:val="center"/>
              <w:rPr>
                <w:szCs w:val="21"/>
              </w:rPr>
            </w:pPr>
          </w:p>
        </w:tc>
        <w:tc>
          <w:tcPr>
            <w:tcW w:w="693" w:type="pct"/>
          </w:tcPr>
          <w:p>
            <w:pPr>
              <w:spacing w:line="440" w:lineRule="exact"/>
              <w:jc w:val="center"/>
              <w:rPr>
                <w:szCs w:val="21"/>
              </w:rPr>
            </w:pPr>
          </w:p>
        </w:tc>
        <w:tc>
          <w:tcPr>
            <w:tcW w:w="500" w:type="pct"/>
          </w:tcPr>
          <w:p>
            <w:pPr>
              <w:spacing w:line="440" w:lineRule="exact"/>
              <w:jc w:val="center"/>
              <w:rPr>
                <w:szCs w:val="21"/>
              </w:rPr>
            </w:pPr>
          </w:p>
        </w:tc>
        <w:tc>
          <w:tcPr>
            <w:tcW w:w="603" w:type="pct"/>
          </w:tcPr>
          <w:p>
            <w:pPr>
              <w:spacing w:line="440" w:lineRule="exact"/>
              <w:jc w:val="center"/>
              <w:rPr>
                <w:szCs w:val="21"/>
              </w:rPr>
            </w:pPr>
          </w:p>
        </w:tc>
        <w:tc>
          <w:tcPr>
            <w:tcW w:w="395"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Pr>
          <w:p>
            <w:pPr>
              <w:spacing w:line="440" w:lineRule="exact"/>
              <w:jc w:val="center"/>
              <w:rPr>
                <w:szCs w:val="21"/>
              </w:rPr>
            </w:pPr>
          </w:p>
        </w:tc>
        <w:tc>
          <w:tcPr>
            <w:tcW w:w="622" w:type="pct"/>
          </w:tcPr>
          <w:p>
            <w:pPr>
              <w:spacing w:line="440" w:lineRule="exact"/>
              <w:jc w:val="center"/>
              <w:rPr>
                <w:szCs w:val="21"/>
              </w:rPr>
            </w:pPr>
          </w:p>
        </w:tc>
        <w:tc>
          <w:tcPr>
            <w:tcW w:w="435" w:type="pct"/>
          </w:tcPr>
          <w:p>
            <w:pPr>
              <w:spacing w:line="440" w:lineRule="exact"/>
              <w:jc w:val="center"/>
              <w:rPr>
                <w:szCs w:val="21"/>
              </w:rPr>
            </w:pPr>
          </w:p>
        </w:tc>
        <w:tc>
          <w:tcPr>
            <w:tcW w:w="480" w:type="pct"/>
          </w:tcPr>
          <w:p>
            <w:pPr>
              <w:spacing w:line="440" w:lineRule="exact"/>
              <w:jc w:val="center"/>
              <w:rPr>
                <w:szCs w:val="21"/>
              </w:rPr>
            </w:pPr>
          </w:p>
        </w:tc>
        <w:tc>
          <w:tcPr>
            <w:tcW w:w="469" w:type="pct"/>
          </w:tcPr>
          <w:p>
            <w:pPr>
              <w:spacing w:line="440" w:lineRule="exact"/>
              <w:jc w:val="center"/>
              <w:rPr>
                <w:szCs w:val="21"/>
              </w:rPr>
            </w:pPr>
          </w:p>
        </w:tc>
        <w:tc>
          <w:tcPr>
            <w:tcW w:w="422" w:type="pct"/>
          </w:tcPr>
          <w:p>
            <w:pPr>
              <w:spacing w:line="440" w:lineRule="exact"/>
              <w:jc w:val="center"/>
              <w:rPr>
                <w:szCs w:val="21"/>
              </w:rPr>
            </w:pPr>
          </w:p>
        </w:tc>
        <w:tc>
          <w:tcPr>
            <w:tcW w:w="693" w:type="pct"/>
          </w:tcPr>
          <w:p>
            <w:pPr>
              <w:spacing w:line="440" w:lineRule="exact"/>
              <w:jc w:val="center"/>
              <w:rPr>
                <w:szCs w:val="21"/>
              </w:rPr>
            </w:pPr>
          </w:p>
        </w:tc>
        <w:tc>
          <w:tcPr>
            <w:tcW w:w="500" w:type="pct"/>
          </w:tcPr>
          <w:p>
            <w:pPr>
              <w:spacing w:line="440" w:lineRule="exact"/>
              <w:jc w:val="center"/>
              <w:rPr>
                <w:szCs w:val="21"/>
              </w:rPr>
            </w:pPr>
          </w:p>
        </w:tc>
        <w:tc>
          <w:tcPr>
            <w:tcW w:w="603" w:type="pct"/>
          </w:tcPr>
          <w:p>
            <w:pPr>
              <w:spacing w:line="440" w:lineRule="exact"/>
              <w:jc w:val="center"/>
              <w:rPr>
                <w:szCs w:val="21"/>
              </w:rPr>
            </w:pPr>
          </w:p>
        </w:tc>
        <w:tc>
          <w:tcPr>
            <w:tcW w:w="395"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Pr>
          <w:p>
            <w:pPr>
              <w:spacing w:line="440" w:lineRule="exact"/>
              <w:jc w:val="center"/>
              <w:rPr>
                <w:szCs w:val="21"/>
              </w:rPr>
            </w:pPr>
          </w:p>
        </w:tc>
        <w:tc>
          <w:tcPr>
            <w:tcW w:w="622" w:type="pct"/>
          </w:tcPr>
          <w:p>
            <w:pPr>
              <w:spacing w:line="440" w:lineRule="exact"/>
              <w:jc w:val="center"/>
              <w:rPr>
                <w:szCs w:val="21"/>
              </w:rPr>
            </w:pPr>
          </w:p>
        </w:tc>
        <w:tc>
          <w:tcPr>
            <w:tcW w:w="435" w:type="pct"/>
          </w:tcPr>
          <w:p>
            <w:pPr>
              <w:spacing w:line="440" w:lineRule="exact"/>
              <w:jc w:val="center"/>
              <w:rPr>
                <w:szCs w:val="21"/>
              </w:rPr>
            </w:pPr>
          </w:p>
        </w:tc>
        <w:tc>
          <w:tcPr>
            <w:tcW w:w="480" w:type="pct"/>
          </w:tcPr>
          <w:p>
            <w:pPr>
              <w:spacing w:line="440" w:lineRule="exact"/>
              <w:jc w:val="center"/>
              <w:rPr>
                <w:szCs w:val="21"/>
              </w:rPr>
            </w:pPr>
          </w:p>
        </w:tc>
        <w:tc>
          <w:tcPr>
            <w:tcW w:w="469" w:type="pct"/>
          </w:tcPr>
          <w:p>
            <w:pPr>
              <w:spacing w:line="440" w:lineRule="exact"/>
              <w:jc w:val="center"/>
              <w:rPr>
                <w:szCs w:val="21"/>
              </w:rPr>
            </w:pPr>
          </w:p>
        </w:tc>
        <w:tc>
          <w:tcPr>
            <w:tcW w:w="422" w:type="pct"/>
          </w:tcPr>
          <w:p>
            <w:pPr>
              <w:spacing w:line="440" w:lineRule="exact"/>
              <w:jc w:val="center"/>
              <w:rPr>
                <w:szCs w:val="21"/>
              </w:rPr>
            </w:pPr>
          </w:p>
        </w:tc>
        <w:tc>
          <w:tcPr>
            <w:tcW w:w="693" w:type="pct"/>
          </w:tcPr>
          <w:p>
            <w:pPr>
              <w:spacing w:line="440" w:lineRule="exact"/>
              <w:jc w:val="center"/>
              <w:rPr>
                <w:szCs w:val="21"/>
              </w:rPr>
            </w:pPr>
          </w:p>
        </w:tc>
        <w:tc>
          <w:tcPr>
            <w:tcW w:w="500" w:type="pct"/>
          </w:tcPr>
          <w:p>
            <w:pPr>
              <w:spacing w:line="440" w:lineRule="exact"/>
              <w:jc w:val="center"/>
              <w:rPr>
                <w:szCs w:val="21"/>
              </w:rPr>
            </w:pPr>
          </w:p>
        </w:tc>
        <w:tc>
          <w:tcPr>
            <w:tcW w:w="603" w:type="pct"/>
          </w:tcPr>
          <w:p>
            <w:pPr>
              <w:spacing w:line="440" w:lineRule="exact"/>
              <w:jc w:val="center"/>
              <w:rPr>
                <w:szCs w:val="21"/>
              </w:rPr>
            </w:pPr>
          </w:p>
        </w:tc>
        <w:tc>
          <w:tcPr>
            <w:tcW w:w="395"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Pr>
          <w:p>
            <w:pPr>
              <w:spacing w:line="440" w:lineRule="exact"/>
              <w:jc w:val="center"/>
              <w:rPr>
                <w:szCs w:val="21"/>
              </w:rPr>
            </w:pPr>
          </w:p>
        </w:tc>
        <w:tc>
          <w:tcPr>
            <w:tcW w:w="622" w:type="pct"/>
          </w:tcPr>
          <w:p>
            <w:pPr>
              <w:spacing w:line="440" w:lineRule="exact"/>
              <w:jc w:val="center"/>
              <w:rPr>
                <w:szCs w:val="21"/>
              </w:rPr>
            </w:pPr>
          </w:p>
        </w:tc>
        <w:tc>
          <w:tcPr>
            <w:tcW w:w="435" w:type="pct"/>
          </w:tcPr>
          <w:p>
            <w:pPr>
              <w:spacing w:line="440" w:lineRule="exact"/>
              <w:jc w:val="center"/>
              <w:rPr>
                <w:szCs w:val="21"/>
              </w:rPr>
            </w:pPr>
          </w:p>
        </w:tc>
        <w:tc>
          <w:tcPr>
            <w:tcW w:w="480" w:type="pct"/>
          </w:tcPr>
          <w:p>
            <w:pPr>
              <w:spacing w:line="440" w:lineRule="exact"/>
              <w:jc w:val="center"/>
              <w:rPr>
                <w:szCs w:val="21"/>
              </w:rPr>
            </w:pPr>
          </w:p>
        </w:tc>
        <w:tc>
          <w:tcPr>
            <w:tcW w:w="469" w:type="pct"/>
          </w:tcPr>
          <w:p>
            <w:pPr>
              <w:spacing w:line="440" w:lineRule="exact"/>
              <w:jc w:val="center"/>
              <w:rPr>
                <w:szCs w:val="21"/>
              </w:rPr>
            </w:pPr>
          </w:p>
        </w:tc>
        <w:tc>
          <w:tcPr>
            <w:tcW w:w="422" w:type="pct"/>
          </w:tcPr>
          <w:p>
            <w:pPr>
              <w:spacing w:line="440" w:lineRule="exact"/>
              <w:jc w:val="center"/>
              <w:rPr>
                <w:szCs w:val="21"/>
              </w:rPr>
            </w:pPr>
          </w:p>
        </w:tc>
        <w:tc>
          <w:tcPr>
            <w:tcW w:w="693" w:type="pct"/>
          </w:tcPr>
          <w:p>
            <w:pPr>
              <w:spacing w:line="440" w:lineRule="exact"/>
              <w:jc w:val="center"/>
              <w:rPr>
                <w:szCs w:val="21"/>
              </w:rPr>
            </w:pPr>
          </w:p>
        </w:tc>
        <w:tc>
          <w:tcPr>
            <w:tcW w:w="500" w:type="pct"/>
          </w:tcPr>
          <w:p>
            <w:pPr>
              <w:spacing w:line="440" w:lineRule="exact"/>
              <w:jc w:val="center"/>
              <w:rPr>
                <w:szCs w:val="21"/>
              </w:rPr>
            </w:pPr>
          </w:p>
        </w:tc>
        <w:tc>
          <w:tcPr>
            <w:tcW w:w="603" w:type="pct"/>
          </w:tcPr>
          <w:p>
            <w:pPr>
              <w:spacing w:line="440" w:lineRule="exact"/>
              <w:jc w:val="center"/>
              <w:rPr>
                <w:szCs w:val="21"/>
              </w:rPr>
            </w:pPr>
          </w:p>
        </w:tc>
        <w:tc>
          <w:tcPr>
            <w:tcW w:w="395"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Pr>
          <w:p>
            <w:pPr>
              <w:spacing w:line="440" w:lineRule="exact"/>
              <w:jc w:val="center"/>
              <w:rPr>
                <w:szCs w:val="21"/>
              </w:rPr>
            </w:pPr>
          </w:p>
        </w:tc>
        <w:tc>
          <w:tcPr>
            <w:tcW w:w="622" w:type="pct"/>
          </w:tcPr>
          <w:p>
            <w:pPr>
              <w:spacing w:line="440" w:lineRule="exact"/>
              <w:jc w:val="center"/>
              <w:rPr>
                <w:szCs w:val="21"/>
              </w:rPr>
            </w:pPr>
          </w:p>
        </w:tc>
        <w:tc>
          <w:tcPr>
            <w:tcW w:w="435" w:type="pct"/>
          </w:tcPr>
          <w:p>
            <w:pPr>
              <w:spacing w:line="440" w:lineRule="exact"/>
              <w:jc w:val="center"/>
              <w:rPr>
                <w:szCs w:val="21"/>
              </w:rPr>
            </w:pPr>
          </w:p>
        </w:tc>
        <w:tc>
          <w:tcPr>
            <w:tcW w:w="480" w:type="pct"/>
          </w:tcPr>
          <w:p>
            <w:pPr>
              <w:spacing w:line="440" w:lineRule="exact"/>
              <w:jc w:val="center"/>
              <w:rPr>
                <w:szCs w:val="21"/>
              </w:rPr>
            </w:pPr>
          </w:p>
        </w:tc>
        <w:tc>
          <w:tcPr>
            <w:tcW w:w="469" w:type="pct"/>
          </w:tcPr>
          <w:p>
            <w:pPr>
              <w:spacing w:line="440" w:lineRule="exact"/>
              <w:jc w:val="center"/>
              <w:rPr>
                <w:szCs w:val="21"/>
              </w:rPr>
            </w:pPr>
          </w:p>
        </w:tc>
        <w:tc>
          <w:tcPr>
            <w:tcW w:w="422" w:type="pct"/>
          </w:tcPr>
          <w:p>
            <w:pPr>
              <w:spacing w:line="440" w:lineRule="exact"/>
              <w:jc w:val="center"/>
              <w:rPr>
                <w:szCs w:val="21"/>
              </w:rPr>
            </w:pPr>
          </w:p>
        </w:tc>
        <w:tc>
          <w:tcPr>
            <w:tcW w:w="693" w:type="pct"/>
          </w:tcPr>
          <w:p>
            <w:pPr>
              <w:spacing w:line="440" w:lineRule="exact"/>
              <w:jc w:val="center"/>
              <w:rPr>
                <w:szCs w:val="21"/>
              </w:rPr>
            </w:pPr>
          </w:p>
        </w:tc>
        <w:tc>
          <w:tcPr>
            <w:tcW w:w="500" w:type="pct"/>
          </w:tcPr>
          <w:p>
            <w:pPr>
              <w:spacing w:line="440" w:lineRule="exact"/>
              <w:jc w:val="center"/>
              <w:rPr>
                <w:szCs w:val="21"/>
              </w:rPr>
            </w:pPr>
          </w:p>
        </w:tc>
        <w:tc>
          <w:tcPr>
            <w:tcW w:w="603" w:type="pct"/>
          </w:tcPr>
          <w:p>
            <w:pPr>
              <w:spacing w:line="440" w:lineRule="exact"/>
              <w:jc w:val="center"/>
              <w:rPr>
                <w:szCs w:val="21"/>
              </w:rPr>
            </w:pPr>
          </w:p>
        </w:tc>
        <w:tc>
          <w:tcPr>
            <w:tcW w:w="395"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Pr>
          <w:p>
            <w:pPr>
              <w:spacing w:line="440" w:lineRule="exact"/>
              <w:jc w:val="center"/>
              <w:rPr>
                <w:szCs w:val="21"/>
              </w:rPr>
            </w:pPr>
          </w:p>
        </w:tc>
        <w:tc>
          <w:tcPr>
            <w:tcW w:w="622" w:type="pct"/>
          </w:tcPr>
          <w:p>
            <w:pPr>
              <w:spacing w:line="440" w:lineRule="exact"/>
              <w:jc w:val="center"/>
              <w:rPr>
                <w:szCs w:val="21"/>
              </w:rPr>
            </w:pPr>
          </w:p>
        </w:tc>
        <w:tc>
          <w:tcPr>
            <w:tcW w:w="435" w:type="pct"/>
          </w:tcPr>
          <w:p>
            <w:pPr>
              <w:spacing w:line="440" w:lineRule="exact"/>
              <w:jc w:val="center"/>
              <w:rPr>
                <w:szCs w:val="21"/>
              </w:rPr>
            </w:pPr>
          </w:p>
        </w:tc>
        <w:tc>
          <w:tcPr>
            <w:tcW w:w="480" w:type="pct"/>
          </w:tcPr>
          <w:p>
            <w:pPr>
              <w:spacing w:line="440" w:lineRule="exact"/>
              <w:jc w:val="center"/>
              <w:rPr>
                <w:szCs w:val="21"/>
              </w:rPr>
            </w:pPr>
          </w:p>
        </w:tc>
        <w:tc>
          <w:tcPr>
            <w:tcW w:w="469" w:type="pct"/>
          </w:tcPr>
          <w:p>
            <w:pPr>
              <w:spacing w:line="440" w:lineRule="exact"/>
              <w:jc w:val="center"/>
              <w:rPr>
                <w:szCs w:val="21"/>
              </w:rPr>
            </w:pPr>
          </w:p>
        </w:tc>
        <w:tc>
          <w:tcPr>
            <w:tcW w:w="422" w:type="pct"/>
          </w:tcPr>
          <w:p>
            <w:pPr>
              <w:spacing w:line="440" w:lineRule="exact"/>
              <w:jc w:val="center"/>
              <w:rPr>
                <w:szCs w:val="21"/>
              </w:rPr>
            </w:pPr>
          </w:p>
        </w:tc>
        <w:tc>
          <w:tcPr>
            <w:tcW w:w="693" w:type="pct"/>
          </w:tcPr>
          <w:p>
            <w:pPr>
              <w:spacing w:line="440" w:lineRule="exact"/>
              <w:jc w:val="center"/>
              <w:rPr>
                <w:szCs w:val="21"/>
              </w:rPr>
            </w:pPr>
          </w:p>
        </w:tc>
        <w:tc>
          <w:tcPr>
            <w:tcW w:w="500" w:type="pct"/>
          </w:tcPr>
          <w:p>
            <w:pPr>
              <w:spacing w:line="440" w:lineRule="exact"/>
              <w:jc w:val="center"/>
              <w:rPr>
                <w:szCs w:val="21"/>
              </w:rPr>
            </w:pPr>
          </w:p>
        </w:tc>
        <w:tc>
          <w:tcPr>
            <w:tcW w:w="603" w:type="pct"/>
          </w:tcPr>
          <w:p>
            <w:pPr>
              <w:spacing w:line="440" w:lineRule="exact"/>
              <w:jc w:val="center"/>
              <w:rPr>
                <w:szCs w:val="21"/>
              </w:rPr>
            </w:pPr>
          </w:p>
        </w:tc>
        <w:tc>
          <w:tcPr>
            <w:tcW w:w="395"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Pr>
          <w:p>
            <w:pPr>
              <w:spacing w:line="440" w:lineRule="exact"/>
              <w:jc w:val="center"/>
              <w:rPr>
                <w:szCs w:val="21"/>
              </w:rPr>
            </w:pPr>
          </w:p>
        </w:tc>
        <w:tc>
          <w:tcPr>
            <w:tcW w:w="622" w:type="pct"/>
          </w:tcPr>
          <w:p>
            <w:pPr>
              <w:spacing w:line="440" w:lineRule="exact"/>
              <w:jc w:val="center"/>
              <w:rPr>
                <w:szCs w:val="21"/>
              </w:rPr>
            </w:pPr>
          </w:p>
        </w:tc>
        <w:tc>
          <w:tcPr>
            <w:tcW w:w="435" w:type="pct"/>
          </w:tcPr>
          <w:p>
            <w:pPr>
              <w:spacing w:line="440" w:lineRule="exact"/>
              <w:jc w:val="center"/>
              <w:rPr>
                <w:szCs w:val="21"/>
              </w:rPr>
            </w:pPr>
          </w:p>
        </w:tc>
        <w:tc>
          <w:tcPr>
            <w:tcW w:w="480" w:type="pct"/>
          </w:tcPr>
          <w:p>
            <w:pPr>
              <w:spacing w:line="440" w:lineRule="exact"/>
              <w:jc w:val="center"/>
              <w:rPr>
                <w:szCs w:val="21"/>
              </w:rPr>
            </w:pPr>
          </w:p>
        </w:tc>
        <w:tc>
          <w:tcPr>
            <w:tcW w:w="469" w:type="pct"/>
          </w:tcPr>
          <w:p>
            <w:pPr>
              <w:spacing w:line="440" w:lineRule="exact"/>
              <w:jc w:val="center"/>
              <w:rPr>
                <w:szCs w:val="21"/>
              </w:rPr>
            </w:pPr>
          </w:p>
        </w:tc>
        <w:tc>
          <w:tcPr>
            <w:tcW w:w="422" w:type="pct"/>
          </w:tcPr>
          <w:p>
            <w:pPr>
              <w:spacing w:line="440" w:lineRule="exact"/>
              <w:jc w:val="center"/>
              <w:rPr>
                <w:szCs w:val="21"/>
              </w:rPr>
            </w:pPr>
          </w:p>
        </w:tc>
        <w:tc>
          <w:tcPr>
            <w:tcW w:w="693" w:type="pct"/>
          </w:tcPr>
          <w:p>
            <w:pPr>
              <w:spacing w:line="440" w:lineRule="exact"/>
              <w:jc w:val="center"/>
              <w:rPr>
                <w:szCs w:val="21"/>
              </w:rPr>
            </w:pPr>
          </w:p>
        </w:tc>
        <w:tc>
          <w:tcPr>
            <w:tcW w:w="500" w:type="pct"/>
          </w:tcPr>
          <w:p>
            <w:pPr>
              <w:spacing w:line="440" w:lineRule="exact"/>
              <w:jc w:val="center"/>
              <w:rPr>
                <w:szCs w:val="21"/>
              </w:rPr>
            </w:pPr>
          </w:p>
        </w:tc>
        <w:tc>
          <w:tcPr>
            <w:tcW w:w="603" w:type="pct"/>
          </w:tcPr>
          <w:p>
            <w:pPr>
              <w:spacing w:line="440" w:lineRule="exact"/>
              <w:jc w:val="center"/>
              <w:rPr>
                <w:szCs w:val="21"/>
              </w:rPr>
            </w:pPr>
          </w:p>
        </w:tc>
        <w:tc>
          <w:tcPr>
            <w:tcW w:w="395"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tcPr>
          <w:p>
            <w:pPr>
              <w:spacing w:line="440" w:lineRule="exact"/>
              <w:jc w:val="center"/>
              <w:rPr>
                <w:szCs w:val="21"/>
              </w:rPr>
            </w:pPr>
          </w:p>
        </w:tc>
        <w:tc>
          <w:tcPr>
            <w:tcW w:w="622" w:type="pct"/>
          </w:tcPr>
          <w:p>
            <w:pPr>
              <w:spacing w:line="440" w:lineRule="exact"/>
              <w:jc w:val="center"/>
              <w:rPr>
                <w:szCs w:val="21"/>
              </w:rPr>
            </w:pPr>
          </w:p>
        </w:tc>
        <w:tc>
          <w:tcPr>
            <w:tcW w:w="435" w:type="pct"/>
          </w:tcPr>
          <w:p>
            <w:pPr>
              <w:spacing w:line="440" w:lineRule="exact"/>
              <w:jc w:val="center"/>
              <w:rPr>
                <w:szCs w:val="21"/>
              </w:rPr>
            </w:pPr>
          </w:p>
        </w:tc>
        <w:tc>
          <w:tcPr>
            <w:tcW w:w="480" w:type="pct"/>
          </w:tcPr>
          <w:p>
            <w:pPr>
              <w:spacing w:line="440" w:lineRule="exact"/>
              <w:jc w:val="center"/>
              <w:rPr>
                <w:szCs w:val="21"/>
              </w:rPr>
            </w:pPr>
          </w:p>
        </w:tc>
        <w:tc>
          <w:tcPr>
            <w:tcW w:w="469" w:type="pct"/>
          </w:tcPr>
          <w:p>
            <w:pPr>
              <w:spacing w:line="440" w:lineRule="exact"/>
              <w:jc w:val="center"/>
              <w:rPr>
                <w:szCs w:val="21"/>
              </w:rPr>
            </w:pPr>
          </w:p>
        </w:tc>
        <w:tc>
          <w:tcPr>
            <w:tcW w:w="422" w:type="pct"/>
          </w:tcPr>
          <w:p>
            <w:pPr>
              <w:spacing w:line="440" w:lineRule="exact"/>
              <w:jc w:val="center"/>
              <w:rPr>
                <w:szCs w:val="21"/>
              </w:rPr>
            </w:pPr>
          </w:p>
        </w:tc>
        <w:tc>
          <w:tcPr>
            <w:tcW w:w="693" w:type="pct"/>
          </w:tcPr>
          <w:p>
            <w:pPr>
              <w:spacing w:line="440" w:lineRule="exact"/>
              <w:jc w:val="center"/>
              <w:rPr>
                <w:szCs w:val="21"/>
              </w:rPr>
            </w:pPr>
          </w:p>
        </w:tc>
        <w:tc>
          <w:tcPr>
            <w:tcW w:w="500" w:type="pct"/>
          </w:tcPr>
          <w:p>
            <w:pPr>
              <w:spacing w:line="440" w:lineRule="exact"/>
              <w:jc w:val="center"/>
              <w:rPr>
                <w:szCs w:val="21"/>
              </w:rPr>
            </w:pPr>
          </w:p>
        </w:tc>
        <w:tc>
          <w:tcPr>
            <w:tcW w:w="603" w:type="pct"/>
          </w:tcPr>
          <w:p>
            <w:pPr>
              <w:spacing w:line="440" w:lineRule="exact"/>
              <w:jc w:val="center"/>
              <w:rPr>
                <w:szCs w:val="21"/>
              </w:rPr>
            </w:pPr>
          </w:p>
        </w:tc>
        <w:tc>
          <w:tcPr>
            <w:tcW w:w="395" w:type="pct"/>
          </w:tcPr>
          <w:p>
            <w:pPr>
              <w:spacing w:line="440" w:lineRule="exact"/>
              <w:jc w:val="center"/>
              <w:rPr>
                <w:szCs w:val="21"/>
              </w:rPr>
            </w:pPr>
          </w:p>
        </w:tc>
      </w:tr>
    </w:tbl>
    <w:p>
      <w:pPr>
        <w:spacing w:line="440" w:lineRule="exact"/>
        <w:rPr>
          <w:rFonts w:eastAsia="黑体"/>
          <w:sz w:val="20"/>
          <w:szCs w:val="20"/>
        </w:rPr>
      </w:pPr>
    </w:p>
    <w:p>
      <w:pPr>
        <w:spacing w:line="440" w:lineRule="exact"/>
        <w:rPr>
          <w:rFonts w:eastAsia="黑体"/>
          <w:sz w:val="20"/>
          <w:szCs w:val="20"/>
        </w:rPr>
      </w:pPr>
      <w:r>
        <w:rPr>
          <w:rFonts w:eastAsia="黑体"/>
          <w:sz w:val="20"/>
          <w:szCs w:val="20"/>
        </w:rPr>
        <w:t xml:space="preserve"> </w:t>
      </w:r>
    </w:p>
    <w:p>
      <w:pPr>
        <w:spacing w:line="440" w:lineRule="exact"/>
        <w:rPr>
          <w:rFonts w:eastAsia="黑体"/>
          <w:sz w:val="20"/>
          <w:szCs w:val="20"/>
        </w:rPr>
      </w:pPr>
    </w:p>
    <w:p>
      <w:pPr>
        <w:spacing w:line="440" w:lineRule="exact"/>
        <w:rPr>
          <w:rFonts w:eastAsia="黑体"/>
          <w:sz w:val="20"/>
          <w:szCs w:val="20"/>
        </w:rPr>
      </w:pPr>
    </w:p>
    <w:p>
      <w:pPr>
        <w:pStyle w:val="5"/>
        <w:rPr>
          <w:sz w:val="21"/>
        </w:rPr>
      </w:pPr>
      <w:bookmarkStart w:id="1595" w:name="_Toc152045798"/>
      <w:bookmarkStart w:id="1596" w:name="_Toc144974866"/>
      <w:bookmarkStart w:id="1597" w:name="_Toc152042587"/>
      <w:bookmarkStart w:id="1598" w:name="_Toc179632818"/>
      <w:bookmarkStart w:id="1599" w:name="_Toc241459825"/>
      <w:bookmarkStart w:id="1600" w:name="_Toc342296582"/>
      <w:bookmarkStart w:id="1601" w:name="_Toc362253048"/>
      <w:bookmarkStart w:id="1602" w:name="_Toc396818270"/>
      <w:bookmarkStart w:id="1603" w:name="_Toc419547427"/>
      <w:bookmarkStart w:id="1604" w:name="_Toc419547973"/>
      <w:bookmarkStart w:id="1605" w:name="_Toc455409894"/>
      <w:bookmarkStart w:id="1606" w:name="_Toc470011371"/>
      <w:r>
        <w:rPr>
          <w:rFonts w:hint="eastAsia" w:ascii="宋体" w:hAnsi="宋体" w:cs="Arial"/>
          <w:sz w:val="28"/>
          <w:szCs w:val="24"/>
        </w:rPr>
        <w:t>附表二：拟配备本工程的试验和检测仪器设备表</w:t>
      </w:r>
      <w:bookmarkEnd w:id="1595"/>
      <w:bookmarkEnd w:id="1596"/>
      <w:bookmarkEnd w:id="1597"/>
      <w:bookmarkEnd w:id="1598"/>
      <w:bookmarkEnd w:id="1599"/>
      <w:bookmarkEnd w:id="1600"/>
      <w:bookmarkEnd w:id="1601"/>
      <w:bookmarkEnd w:id="1602"/>
      <w:bookmarkEnd w:id="1603"/>
      <w:bookmarkEnd w:id="1604"/>
      <w:bookmarkEnd w:id="1605"/>
      <w:bookmarkEnd w:id="1606"/>
    </w:p>
    <w:tbl>
      <w:tblPr>
        <w:tblStyle w:val="49"/>
        <w:tblW w:w="4968"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127"/>
        <w:gridCol w:w="788"/>
        <w:gridCol w:w="1027"/>
        <w:gridCol w:w="697"/>
        <w:gridCol w:w="765"/>
        <w:gridCol w:w="1257"/>
        <w:gridCol w:w="1713"/>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pPr>
              <w:snapToGrid w:val="0"/>
              <w:spacing w:before="120" w:beforeLines="50" w:after="120" w:afterLines="50"/>
              <w:jc w:val="center"/>
              <w:rPr>
                <w:szCs w:val="21"/>
              </w:rPr>
            </w:pPr>
            <w:r>
              <w:rPr>
                <w:rFonts w:hint="eastAsia"/>
                <w:szCs w:val="21"/>
              </w:rPr>
              <w:t>序号</w:t>
            </w:r>
          </w:p>
        </w:tc>
        <w:tc>
          <w:tcPr>
            <w:tcW w:w="642" w:type="pct"/>
            <w:vAlign w:val="center"/>
          </w:tcPr>
          <w:p>
            <w:pPr>
              <w:snapToGrid w:val="0"/>
              <w:spacing w:before="120" w:beforeLines="50" w:after="120" w:afterLines="50"/>
              <w:jc w:val="center"/>
              <w:rPr>
                <w:szCs w:val="21"/>
              </w:rPr>
            </w:pPr>
            <w:r>
              <w:rPr>
                <w:rFonts w:hint="eastAsia"/>
                <w:szCs w:val="21"/>
              </w:rPr>
              <w:t>仪器设备名</w:t>
            </w:r>
            <w:r>
              <w:rPr>
                <w:szCs w:val="21"/>
              </w:rPr>
              <w:t xml:space="preserve">    </w:t>
            </w:r>
            <w:r>
              <w:rPr>
                <w:rFonts w:hint="eastAsia"/>
                <w:szCs w:val="21"/>
              </w:rPr>
              <w:t>称</w:t>
            </w:r>
          </w:p>
        </w:tc>
        <w:tc>
          <w:tcPr>
            <w:tcW w:w="449" w:type="pct"/>
            <w:vAlign w:val="center"/>
          </w:tcPr>
          <w:p>
            <w:pPr>
              <w:snapToGrid w:val="0"/>
              <w:jc w:val="center"/>
              <w:rPr>
                <w:szCs w:val="21"/>
              </w:rPr>
            </w:pPr>
            <w:r>
              <w:rPr>
                <w:rFonts w:hint="eastAsia"/>
                <w:szCs w:val="21"/>
              </w:rPr>
              <w:t>型号</w:t>
            </w:r>
          </w:p>
          <w:p>
            <w:pPr>
              <w:snapToGrid w:val="0"/>
              <w:jc w:val="center"/>
              <w:rPr>
                <w:szCs w:val="21"/>
              </w:rPr>
            </w:pPr>
            <w:r>
              <w:rPr>
                <w:rFonts w:hint="eastAsia"/>
                <w:szCs w:val="21"/>
              </w:rPr>
              <w:t>规格</w:t>
            </w:r>
          </w:p>
        </w:tc>
        <w:tc>
          <w:tcPr>
            <w:tcW w:w="585" w:type="pct"/>
            <w:vAlign w:val="center"/>
          </w:tcPr>
          <w:p>
            <w:pPr>
              <w:snapToGrid w:val="0"/>
              <w:spacing w:before="120" w:beforeLines="50" w:after="120" w:afterLines="50"/>
              <w:jc w:val="center"/>
              <w:rPr>
                <w:szCs w:val="21"/>
              </w:rPr>
            </w:pPr>
            <w:r>
              <w:rPr>
                <w:rFonts w:hint="eastAsia"/>
                <w:szCs w:val="21"/>
              </w:rPr>
              <w:t>数</w:t>
            </w:r>
            <w:r>
              <w:rPr>
                <w:szCs w:val="21"/>
              </w:rPr>
              <w:t xml:space="preserve">  </w:t>
            </w:r>
            <w:r>
              <w:rPr>
                <w:rFonts w:hint="eastAsia"/>
                <w:szCs w:val="21"/>
              </w:rPr>
              <w:t>量</w:t>
            </w:r>
          </w:p>
        </w:tc>
        <w:tc>
          <w:tcPr>
            <w:tcW w:w="397" w:type="pct"/>
            <w:vAlign w:val="center"/>
          </w:tcPr>
          <w:p>
            <w:pPr>
              <w:snapToGrid w:val="0"/>
              <w:jc w:val="center"/>
              <w:rPr>
                <w:szCs w:val="21"/>
              </w:rPr>
            </w:pPr>
            <w:r>
              <w:rPr>
                <w:rFonts w:hint="eastAsia"/>
                <w:szCs w:val="21"/>
              </w:rPr>
              <w:t>国别</w:t>
            </w:r>
          </w:p>
          <w:p>
            <w:pPr>
              <w:snapToGrid w:val="0"/>
              <w:jc w:val="center"/>
              <w:rPr>
                <w:szCs w:val="21"/>
              </w:rPr>
            </w:pPr>
            <w:r>
              <w:rPr>
                <w:rFonts w:hint="eastAsia"/>
                <w:szCs w:val="21"/>
              </w:rPr>
              <w:t>产地</w:t>
            </w:r>
          </w:p>
        </w:tc>
        <w:tc>
          <w:tcPr>
            <w:tcW w:w="436" w:type="pct"/>
            <w:vAlign w:val="center"/>
          </w:tcPr>
          <w:p>
            <w:pPr>
              <w:snapToGrid w:val="0"/>
              <w:jc w:val="center"/>
              <w:rPr>
                <w:szCs w:val="21"/>
              </w:rPr>
            </w:pPr>
            <w:r>
              <w:rPr>
                <w:rFonts w:hint="eastAsia"/>
                <w:szCs w:val="21"/>
              </w:rPr>
              <w:t>制造</w:t>
            </w:r>
          </w:p>
          <w:p>
            <w:pPr>
              <w:snapToGrid w:val="0"/>
              <w:jc w:val="center"/>
              <w:rPr>
                <w:szCs w:val="21"/>
              </w:rPr>
            </w:pPr>
            <w:r>
              <w:rPr>
                <w:rFonts w:hint="eastAsia"/>
                <w:szCs w:val="21"/>
              </w:rPr>
              <w:t>年份</w:t>
            </w:r>
          </w:p>
        </w:tc>
        <w:tc>
          <w:tcPr>
            <w:tcW w:w="716" w:type="pct"/>
            <w:vAlign w:val="center"/>
          </w:tcPr>
          <w:p>
            <w:pPr>
              <w:snapToGrid w:val="0"/>
              <w:jc w:val="center"/>
              <w:rPr>
                <w:szCs w:val="21"/>
              </w:rPr>
            </w:pPr>
            <w:r>
              <w:rPr>
                <w:rFonts w:hint="eastAsia"/>
                <w:szCs w:val="21"/>
              </w:rPr>
              <w:t>已使用台时</w:t>
            </w:r>
            <w:r>
              <w:rPr>
                <w:szCs w:val="21"/>
              </w:rPr>
              <w:t xml:space="preserve">    </w:t>
            </w:r>
            <w:r>
              <w:rPr>
                <w:rFonts w:hint="eastAsia"/>
                <w:szCs w:val="21"/>
              </w:rPr>
              <w:t>数</w:t>
            </w:r>
          </w:p>
        </w:tc>
        <w:tc>
          <w:tcPr>
            <w:tcW w:w="976" w:type="pct"/>
            <w:vAlign w:val="center"/>
          </w:tcPr>
          <w:p>
            <w:pPr>
              <w:snapToGrid w:val="0"/>
              <w:spacing w:before="120" w:beforeLines="50" w:after="120" w:afterLines="50"/>
              <w:jc w:val="center"/>
              <w:rPr>
                <w:szCs w:val="21"/>
              </w:rPr>
            </w:pPr>
            <w:r>
              <w:rPr>
                <w:rFonts w:hint="eastAsia"/>
                <w:szCs w:val="21"/>
              </w:rPr>
              <w:t>用</w:t>
            </w:r>
            <w:r>
              <w:rPr>
                <w:szCs w:val="21"/>
              </w:rPr>
              <w:t xml:space="preserve">  </w:t>
            </w:r>
            <w:r>
              <w:rPr>
                <w:rFonts w:hint="eastAsia"/>
                <w:szCs w:val="21"/>
              </w:rPr>
              <w:t>途</w:t>
            </w:r>
          </w:p>
        </w:tc>
        <w:tc>
          <w:tcPr>
            <w:tcW w:w="408" w:type="pct"/>
            <w:vAlign w:val="center"/>
          </w:tcPr>
          <w:p>
            <w:pPr>
              <w:snapToGrid w:val="0"/>
              <w:spacing w:before="120" w:beforeLines="50" w:after="120" w:afterLines="50"/>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pPr>
              <w:spacing w:line="440" w:lineRule="exact"/>
              <w:jc w:val="center"/>
              <w:rPr>
                <w:szCs w:val="21"/>
              </w:rPr>
            </w:pPr>
          </w:p>
        </w:tc>
        <w:tc>
          <w:tcPr>
            <w:tcW w:w="642" w:type="pct"/>
            <w:vAlign w:val="center"/>
          </w:tcPr>
          <w:p>
            <w:pPr>
              <w:spacing w:line="440" w:lineRule="exact"/>
              <w:jc w:val="center"/>
              <w:rPr>
                <w:szCs w:val="21"/>
              </w:rPr>
            </w:pPr>
          </w:p>
        </w:tc>
        <w:tc>
          <w:tcPr>
            <w:tcW w:w="449" w:type="pct"/>
            <w:vAlign w:val="center"/>
          </w:tcPr>
          <w:p>
            <w:pPr>
              <w:spacing w:line="440" w:lineRule="exact"/>
              <w:jc w:val="center"/>
              <w:rPr>
                <w:szCs w:val="21"/>
              </w:rPr>
            </w:pPr>
          </w:p>
        </w:tc>
        <w:tc>
          <w:tcPr>
            <w:tcW w:w="585" w:type="pct"/>
            <w:vAlign w:val="center"/>
          </w:tcPr>
          <w:p>
            <w:pPr>
              <w:spacing w:line="440" w:lineRule="exact"/>
              <w:jc w:val="center"/>
              <w:rPr>
                <w:szCs w:val="21"/>
              </w:rPr>
            </w:pPr>
          </w:p>
        </w:tc>
        <w:tc>
          <w:tcPr>
            <w:tcW w:w="397" w:type="pct"/>
            <w:vAlign w:val="center"/>
          </w:tcPr>
          <w:p>
            <w:pPr>
              <w:snapToGrid w:val="0"/>
              <w:jc w:val="center"/>
              <w:rPr>
                <w:szCs w:val="21"/>
              </w:rPr>
            </w:pPr>
          </w:p>
        </w:tc>
        <w:tc>
          <w:tcPr>
            <w:tcW w:w="436" w:type="pct"/>
            <w:vAlign w:val="center"/>
          </w:tcPr>
          <w:p>
            <w:pPr>
              <w:spacing w:line="440" w:lineRule="exact"/>
              <w:jc w:val="center"/>
              <w:rPr>
                <w:szCs w:val="21"/>
              </w:rPr>
            </w:pPr>
          </w:p>
        </w:tc>
        <w:tc>
          <w:tcPr>
            <w:tcW w:w="716" w:type="pct"/>
            <w:vAlign w:val="center"/>
          </w:tcPr>
          <w:p>
            <w:pPr>
              <w:spacing w:line="440" w:lineRule="exact"/>
              <w:jc w:val="center"/>
              <w:rPr>
                <w:szCs w:val="21"/>
              </w:rPr>
            </w:pPr>
          </w:p>
        </w:tc>
        <w:tc>
          <w:tcPr>
            <w:tcW w:w="976" w:type="pct"/>
            <w:vAlign w:val="center"/>
          </w:tcPr>
          <w:p>
            <w:pPr>
              <w:spacing w:line="440" w:lineRule="exact"/>
              <w:jc w:val="center"/>
              <w:rPr>
                <w:szCs w:val="21"/>
              </w:rPr>
            </w:pPr>
          </w:p>
        </w:tc>
        <w:tc>
          <w:tcPr>
            <w:tcW w:w="408" w:type="pct"/>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Align w:val="center"/>
          </w:tcPr>
          <w:p>
            <w:pPr>
              <w:spacing w:line="440" w:lineRule="exact"/>
              <w:jc w:val="center"/>
              <w:rPr>
                <w:szCs w:val="21"/>
              </w:rPr>
            </w:pPr>
          </w:p>
        </w:tc>
        <w:tc>
          <w:tcPr>
            <w:tcW w:w="642" w:type="pct"/>
            <w:vAlign w:val="center"/>
          </w:tcPr>
          <w:p>
            <w:pPr>
              <w:spacing w:line="440" w:lineRule="exact"/>
              <w:jc w:val="center"/>
              <w:rPr>
                <w:szCs w:val="21"/>
              </w:rPr>
            </w:pPr>
          </w:p>
        </w:tc>
        <w:tc>
          <w:tcPr>
            <w:tcW w:w="449" w:type="pct"/>
            <w:vAlign w:val="center"/>
          </w:tcPr>
          <w:p>
            <w:pPr>
              <w:spacing w:line="440" w:lineRule="exact"/>
              <w:jc w:val="center"/>
              <w:rPr>
                <w:szCs w:val="21"/>
              </w:rPr>
            </w:pPr>
          </w:p>
        </w:tc>
        <w:tc>
          <w:tcPr>
            <w:tcW w:w="585" w:type="pct"/>
            <w:vAlign w:val="center"/>
          </w:tcPr>
          <w:p>
            <w:pPr>
              <w:spacing w:line="440" w:lineRule="exact"/>
              <w:jc w:val="center"/>
              <w:rPr>
                <w:szCs w:val="21"/>
              </w:rPr>
            </w:pPr>
          </w:p>
        </w:tc>
        <w:tc>
          <w:tcPr>
            <w:tcW w:w="397" w:type="pct"/>
            <w:vAlign w:val="center"/>
          </w:tcPr>
          <w:p>
            <w:pPr>
              <w:spacing w:line="440" w:lineRule="exact"/>
              <w:jc w:val="center"/>
              <w:rPr>
                <w:szCs w:val="21"/>
              </w:rPr>
            </w:pPr>
          </w:p>
        </w:tc>
        <w:tc>
          <w:tcPr>
            <w:tcW w:w="436" w:type="pct"/>
            <w:vAlign w:val="center"/>
          </w:tcPr>
          <w:p>
            <w:pPr>
              <w:spacing w:line="440" w:lineRule="exact"/>
              <w:jc w:val="center"/>
              <w:rPr>
                <w:szCs w:val="21"/>
              </w:rPr>
            </w:pPr>
          </w:p>
        </w:tc>
        <w:tc>
          <w:tcPr>
            <w:tcW w:w="716" w:type="pct"/>
            <w:vAlign w:val="center"/>
          </w:tcPr>
          <w:p>
            <w:pPr>
              <w:spacing w:line="440" w:lineRule="exact"/>
              <w:jc w:val="center"/>
              <w:rPr>
                <w:szCs w:val="21"/>
              </w:rPr>
            </w:pPr>
          </w:p>
        </w:tc>
        <w:tc>
          <w:tcPr>
            <w:tcW w:w="976" w:type="pct"/>
            <w:vAlign w:val="center"/>
          </w:tcPr>
          <w:p>
            <w:pPr>
              <w:spacing w:line="440" w:lineRule="exact"/>
              <w:jc w:val="center"/>
              <w:rPr>
                <w:szCs w:val="21"/>
              </w:rPr>
            </w:pPr>
          </w:p>
        </w:tc>
        <w:tc>
          <w:tcPr>
            <w:tcW w:w="408" w:type="pct"/>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 w:type="pct"/>
          </w:tcPr>
          <w:p>
            <w:pPr>
              <w:spacing w:line="440" w:lineRule="exact"/>
              <w:jc w:val="center"/>
              <w:rPr>
                <w:szCs w:val="21"/>
              </w:rPr>
            </w:pPr>
          </w:p>
        </w:tc>
        <w:tc>
          <w:tcPr>
            <w:tcW w:w="642" w:type="pct"/>
          </w:tcPr>
          <w:p>
            <w:pPr>
              <w:spacing w:line="440" w:lineRule="exact"/>
              <w:jc w:val="center"/>
              <w:rPr>
                <w:szCs w:val="21"/>
              </w:rPr>
            </w:pPr>
          </w:p>
        </w:tc>
        <w:tc>
          <w:tcPr>
            <w:tcW w:w="449" w:type="pct"/>
          </w:tcPr>
          <w:p>
            <w:pPr>
              <w:spacing w:line="440" w:lineRule="exact"/>
              <w:jc w:val="center"/>
              <w:rPr>
                <w:szCs w:val="21"/>
              </w:rPr>
            </w:pPr>
          </w:p>
        </w:tc>
        <w:tc>
          <w:tcPr>
            <w:tcW w:w="585" w:type="pct"/>
          </w:tcPr>
          <w:p>
            <w:pPr>
              <w:spacing w:line="440" w:lineRule="exact"/>
              <w:jc w:val="center"/>
              <w:rPr>
                <w:szCs w:val="21"/>
              </w:rPr>
            </w:pPr>
          </w:p>
        </w:tc>
        <w:tc>
          <w:tcPr>
            <w:tcW w:w="397" w:type="pct"/>
          </w:tcPr>
          <w:p>
            <w:pPr>
              <w:spacing w:line="440" w:lineRule="exact"/>
              <w:jc w:val="center"/>
              <w:rPr>
                <w:szCs w:val="21"/>
              </w:rPr>
            </w:pPr>
          </w:p>
        </w:tc>
        <w:tc>
          <w:tcPr>
            <w:tcW w:w="436" w:type="pct"/>
          </w:tcPr>
          <w:p>
            <w:pPr>
              <w:spacing w:line="440" w:lineRule="exact"/>
              <w:jc w:val="center"/>
              <w:rPr>
                <w:szCs w:val="21"/>
              </w:rPr>
            </w:pPr>
          </w:p>
        </w:tc>
        <w:tc>
          <w:tcPr>
            <w:tcW w:w="716" w:type="pct"/>
          </w:tcPr>
          <w:p>
            <w:pPr>
              <w:spacing w:line="440" w:lineRule="exact"/>
              <w:jc w:val="center"/>
              <w:rPr>
                <w:szCs w:val="21"/>
              </w:rPr>
            </w:pPr>
          </w:p>
        </w:tc>
        <w:tc>
          <w:tcPr>
            <w:tcW w:w="976" w:type="pct"/>
          </w:tcPr>
          <w:p>
            <w:pPr>
              <w:spacing w:line="440" w:lineRule="exact"/>
              <w:jc w:val="center"/>
              <w:rPr>
                <w:szCs w:val="21"/>
              </w:rPr>
            </w:pPr>
          </w:p>
        </w:tc>
        <w:tc>
          <w:tcPr>
            <w:tcW w:w="408"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Pr>
          <w:p>
            <w:pPr>
              <w:spacing w:line="440" w:lineRule="exact"/>
              <w:jc w:val="center"/>
              <w:rPr>
                <w:szCs w:val="21"/>
              </w:rPr>
            </w:pPr>
          </w:p>
        </w:tc>
        <w:tc>
          <w:tcPr>
            <w:tcW w:w="642" w:type="pct"/>
          </w:tcPr>
          <w:p>
            <w:pPr>
              <w:spacing w:line="440" w:lineRule="exact"/>
              <w:jc w:val="center"/>
              <w:rPr>
                <w:szCs w:val="21"/>
              </w:rPr>
            </w:pPr>
          </w:p>
        </w:tc>
        <w:tc>
          <w:tcPr>
            <w:tcW w:w="449" w:type="pct"/>
          </w:tcPr>
          <w:p>
            <w:pPr>
              <w:spacing w:line="440" w:lineRule="exact"/>
              <w:jc w:val="center"/>
              <w:rPr>
                <w:szCs w:val="21"/>
              </w:rPr>
            </w:pPr>
          </w:p>
        </w:tc>
        <w:tc>
          <w:tcPr>
            <w:tcW w:w="585" w:type="pct"/>
          </w:tcPr>
          <w:p>
            <w:pPr>
              <w:spacing w:line="440" w:lineRule="exact"/>
              <w:jc w:val="center"/>
              <w:rPr>
                <w:szCs w:val="21"/>
              </w:rPr>
            </w:pPr>
          </w:p>
        </w:tc>
        <w:tc>
          <w:tcPr>
            <w:tcW w:w="397" w:type="pct"/>
          </w:tcPr>
          <w:p>
            <w:pPr>
              <w:spacing w:line="440" w:lineRule="exact"/>
              <w:jc w:val="center"/>
              <w:rPr>
                <w:szCs w:val="21"/>
              </w:rPr>
            </w:pPr>
          </w:p>
        </w:tc>
        <w:tc>
          <w:tcPr>
            <w:tcW w:w="436" w:type="pct"/>
          </w:tcPr>
          <w:p>
            <w:pPr>
              <w:spacing w:line="440" w:lineRule="exact"/>
              <w:jc w:val="center"/>
              <w:rPr>
                <w:szCs w:val="21"/>
              </w:rPr>
            </w:pPr>
          </w:p>
        </w:tc>
        <w:tc>
          <w:tcPr>
            <w:tcW w:w="716" w:type="pct"/>
          </w:tcPr>
          <w:p>
            <w:pPr>
              <w:spacing w:line="440" w:lineRule="exact"/>
              <w:jc w:val="center"/>
              <w:rPr>
                <w:szCs w:val="21"/>
              </w:rPr>
            </w:pPr>
          </w:p>
        </w:tc>
        <w:tc>
          <w:tcPr>
            <w:tcW w:w="976" w:type="pct"/>
          </w:tcPr>
          <w:p>
            <w:pPr>
              <w:spacing w:line="440" w:lineRule="exact"/>
              <w:jc w:val="center"/>
              <w:rPr>
                <w:szCs w:val="21"/>
              </w:rPr>
            </w:pPr>
          </w:p>
        </w:tc>
        <w:tc>
          <w:tcPr>
            <w:tcW w:w="408"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Pr>
          <w:p>
            <w:pPr>
              <w:spacing w:line="440" w:lineRule="exact"/>
              <w:jc w:val="center"/>
              <w:rPr>
                <w:szCs w:val="21"/>
              </w:rPr>
            </w:pPr>
          </w:p>
        </w:tc>
        <w:tc>
          <w:tcPr>
            <w:tcW w:w="642" w:type="pct"/>
          </w:tcPr>
          <w:p>
            <w:pPr>
              <w:spacing w:line="440" w:lineRule="exact"/>
              <w:jc w:val="center"/>
              <w:rPr>
                <w:szCs w:val="21"/>
              </w:rPr>
            </w:pPr>
          </w:p>
        </w:tc>
        <w:tc>
          <w:tcPr>
            <w:tcW w:w="449" w:type="pct"/>
          </w:tcPr>
          <w:p>
            <w:pPr>
              <w:spacing w:line="440" w:lineRule="exact"/>
              <w:jc w:val="center"/>
              <w:rPr>
                <w:szCs w:val="21"/>
              </w:rPr>
            </w:pPr>
          </w:p>
        </w:tc>
        <w:tc>
          <w:tcPr>
            <w:tcW w:w="585" w:type="pct"/>
          </w:tcPr>
          <w:p>
            <w:pPr>
              <w:spacing w:line="440" w:lineRule="exact"/>
              <w:jc w:val="center"/>
              <w:rPr>
                <w:szCs w:val="21"/>
              </w:rPr>
            </w:pPr>
          </w:p>
        </w:tc>
        <w:tc>
          <w:tcPr>
            <w:tcW w:w="397" w:type="pct"/>
          </w:tcPr>
          <w:p>
            <w:pPr>
              <w:spacing w:line="440" w:lineRule="exact"/>
              <w:jc w:val="center"/>
              <w:rPr>
                <w:szCs w:val="21"/>
              </w:rPr>
            </w:pPr>
          </w:p>
        </w:tc>
        <w:tc>
          <w:tcPr>
            <w:tcW w:w="436" w:type="pct"/>
          </w:tcPr>
          <w:p>
            <w:pPr>
              <w:spacing w:line="440" w:lineRule="exact"/>
              <w:jc w:val="center"/>
              <w:rPr>
                <w:szCs w:val="21"/>
              </w:rPr>
            </w:pPr>
          </w:p>
        </w:tc>
        <w:tc>
          <w:tcPr>
            <w:tcW w:w="716" w:type="pct"/>
          </w:tcPr>
          <w:p>
            <w:pPr>
              <w:spacing w:line="440" w:lineRule="exact"/>
              <w:jc w:val="center"/>
              <w:rPr>
                <w:szCs w:val="21"/>
              </w:rPr>
            </w:pPr>
          </w:p>
        </w:tc>
        <w:tc>
          <w:tcPr>
            <w:tcW w:w="976" w:type="pct"/>
          </w:tcPr>
          <w:p>
            <w:pPr>
              <w:spacing w:line="440" w:lineRule="exact"/>
              <w:jc w:val="center"/>
              <w:rPr>
                <w:szCs w:val="21"/>
              </w:rPr>
            </w:pPr>
          </w:p>
        </w:tc>
        <w:tc>
          <w:tcPr>
            <w:tcW w:w="408"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Pr>
          <w:p>
            <w:pPr>
              <w:spacing w:line="440" w:lineRule="exact"/>
              <w:jc w:val="center"/>
              <w:rPr>
                <w:szCs w:val="21"/>
              </w:rPr>
            </w:pPr>
          </w:p>
        </w:tc>
        <w:tc>
          <w:tcPr>
            <w:tcW w:w="642" w:type="pct"/>
          </w:tcPr>
          <w:p>
            <w:pPr>
              <w:spacing w:line="440" w:lineRule="exact"/>
              <w:jc w:val="center"/>
              <w:rPr>
                <w:szCs w:val="21"/>
              </w:rPr>
            </w:pPr>
          </w:p>
        </w:tc>
        <w:tc>
          <w:tcPr>
            <w:tcW w:w="449" w:type="pct"/>
          </w:tcPr>
          <w:p>
            <w:pPr>
              <w:spacing w:line="440" w:lineRule="exact"/>
              <w:jc w:val="center"/>
              <w:rPr>
                <w:szCs w:val="21"/>
              </w:rPr>
            </w:pPr>
          </w:p>
        </w:tc>
        <w:tc>
          <w:tcPr>
            <w:tcW w:w="585" w:type="pct"/>
          </w:tcPr>
          <w:p>
            <w:pPr>
              <w:spacing w:line="440" w:lineRule="exact"/>
              <w:jc w:val="center"/>
              <w:rPr>
                <w:szCs w:val="21"/>
              </w:rPr>
            </w:pPr>
          </w:p>
        </w:tc>
        <w:tc>
          <w:tcPr>
            <w:tcW w:w="397" w:type="pct"/>
          </w:tcPr>
          <w:p>
            <w:pPr>
              <w:spacing w:line="440" w:lineRule="exact"/>
              <w:jc w:val="center"/>
              <w:rPr>
                <w:szCs w:val="21"/>
              </w:rPr>
            </w:pPr>
          </w:p>
        </w:tc>
        <w:tc>
          <w:tcPr>
            <w:tcW w:w="436" w:type="pct"/>
          </w:tcPr>
          <w:p>
            <w:pPr>
              <w:spacing w:line="440" w:lineRule="exact"/>
              <w:jc w:val="center"/>
              <w:rPr>
                <w:szCs w:val="21"/>
              </w:rPr>
            </w:pPr>
          </w:p>
        </w:tc>
        <w:tc>
          <w:tcPr>
            <w:tcW w:w="716" w:type="pct"/>
          </w:tcPr>
          <w:p>
            <w:pPr>
              <w:spacing w:line="440" w:lineRule="exact"/>
              <w:jc w:val="center"/>
              <w:rPr>
                <w:szCs w:val="21"/>
              </w:rPr>
            </w:pPr>
          </w:p>
        </w:tc>
        <w:tc>
          <w:tcPr>
            <w:tcW w:w="976" w:type="pct"/>
          </w:tcPr>
          <w:p>
            <w:pPr>
              <w:spacing w:line="440" w:lineRule="exact"/>
              <w:jc w:val="center"/>
              <w:rPr>
                <w:szCs w:val="21"/>
              </w:rPr>
            </w:pPr>
          </w:p>
        </w:tc>
        <w:tc>
          <w:tcPr>
            <w:tcW w:w="408"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 w:type="pct"/>
          </w:tcPr>
          <w:p>
            <w:pPr>
              <w:spacing w:line="440" w:lineRule="exact"/>
              <w:jc w:val="center"/>
              <w:rPr>
                <w:szCs w:val="21"/>
              </w:rPr>
            </w:pPr>
          </w:p>
        </w:tc>
        <w:tc>
          <w:tcPr>
            <w:tcW w:w="642" w:type="pct"/>
          </w:tcPr>
          <w:p>
            <w:pPr>
              <w:spacing w:line="440" w:lineRule="exact"/>
              <w:jc w:val="center"/>
              <w:rPr>
                <w:szCs w:val="21"/>
              </w:rPr>
            </w:pPr>
          </w:p>
        </w:tc>
        <w:tc>
          <w:tcPr>
            <w:tcW w:w="449" w:type="pct"/>
          </w:tcPr>
          <w:p>
            <w:pPr>
              <w:spacing w:line="440" w:lineRule="exact"/>
              <w:jc w:val="center"/>
              <w:rPr>
                <w:szCs w:val="21"/>
              </w:rPr>
            </w:pPr>
          </w:p>
        </w:tc>
        <w:tc>
          <w:tcPr>
            <w:tcW w:w="585" w:type="pct"/>
          </w:tcPr>
          <w:p>
            <w:pPr>
              <w:spacing w:line="440" w:lineRule="exact"/>
              <w:jc w:val="center"/>
              <w:rPr>
                <w:szCs w:val="21"/>
              </w:rPr>
            </w:pPr>
          </w:p>
        </w:tc>
        <w:tc>
          <w:tcPr>
            <w:tcW w:w="397" w:type="pct"/>
          </w:tcPr>
          <w:p>
            <w:pPr>
              <w:spacing w:line="440" w:lineRule="exact"/>
              <w:jc w:val="center"/>
              <w:rPr>
                <w:szCs w:val="21"/>
              </w:rPr>
            </w:pPr>
          </w:p>
        </w:tc>
        <w:tc>
          <w:tcPr>
            <w:tcW w:w="436" w:type="pct"/>
          </w:tcPr>
          <w:p>
            <w:pPr>
              <w:spacing w:line="440" w:lineRule="exact"/>
              <w:jc w:val="center"/>
              <w:rPr>
                <w:szCs w:val="21"/>
              </w:rPr>
            </w:pPr>
          </w:p>
        </w:tc>
        <w:tc>
          <w:tcPr>
            <w:tcW w:w="716" w:type="pct"/>
          </w:tcPr>
          <w:p>
            <w:pPr>
              <w:spacing w:line="440" w:lineRule="exact"/>
              <w:jc w:val="center"/>
              <w:rPr>
                <w:szCs w:val="21"/>
              </w:rPr>
            </w:pPr>
          </w:p>
        </w:tc>
        <w:tc>
          <w:tcPr>
            <w:tcW w:w="976" w:type="pct"/>
          </w:tcPr>
          <w:p>
            <w:pPr>
              <w:spacing w:line="440" w:lineRule="exact"/>
              <w:jc w:val="center"/>
              <w:rPr>
                <w:szCs w:val="21"/>
              </w:rPr>
            </w:pPr>
          </w:p>
        </w:tc>
        <w:tc>
          <w:tcPr>
            <w:tcW w:w="408"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Pr>
          <w:p>
            <w:pPr>
              <w:spacing w:line="440" w:lineRule="exact"/>
              <w:jc w:val="center"/>
              <w:rPr>
                <w:szCs w:val="21"/>
              </w:rPr>
            </w:pPr>
          </w:p>
        </w:tc>
        <w:tc>
          <w:tcPr>
            <w:tcW w:w="642" w:type="pct"/>
          </w:tcPr>
          <w:p>
            <w:pPr>
              <w:spacing w:line="440" w:lineRule="exact"/>
              <w:jc w:val="center"/>
              <w:rPr>
                <w:szCs w:val="21"/>
              </w:rPr>
            </w:pPr>
          </w:p>
        </w:tc>
        <w:tc>
          <w:tcPr>
            <w:tcW w:w="449" w:type="pct"/>
          </w:tcPr>
          <w:p>
            <w:pPr>
              <w:spacing w:line="440" w:lineRule="exact"/>
              <w:jc w:val="center"/>
              <w:rPr>
                <w:szCs w:val="21"/>
              </w:rPr>
            </w:pPr>
          </w:p>
        </w:tc>
        <w:tc>
          <w:tcPr>
            <w:tcW w:w="585" w:type="pct"/>
          </w:tcPr>
          <w:p>
            <w:pPr>
              <w:spacing w:line="440" w:lineRule="exact"/>
              <w:jc w:val="center"/>
              <w:rPr>
                <w:szCs w:val="21"/>
              </w:rPr>
            </w:pPr>
          </w:p>
        </w:tc>
        <w:tc>
          <w:tcPr>
            <w:tcW w:w="397" w:type="pct"/>
          </w:tcPr>
          <w:p>
            <w:pPr>
              <w:spacing w:line="440" w:lineRule="exact"/>
              <w:jc w:val="center"/>
              <w:rPr>
                <w:szCs w:val="21"/>
              </w:rPr>
            </w:pPr>
          </w:p>
        </w:tc>
        <w:tc>
          <w:tcPr>
            <w:tcW w:w="436" w:type="pct"/>
          </w:tcPr>
          <w:p>
            <w:pPr>
              <w:spacing w:line="440" w:lineRule="exact"/>
              <w:jc w:val="center"/>
              <w:rPr>
                <w:szCs w:val="21"/>
              </w:rPr>
            </w:pPr>
          </w:p>
        </w:tc>
        <w:tc>
          <w:tcPr>
            <w:tcW w:w="716" w:type="pct"/>
          </w:tcPr>
          <w:p>
            <w:pPr>
              <w:spacing w:line="440" w:lineRule="exact"/>
              <w:jc w:val="center"/>
              <w:rPr>
                <w:szCs w:val="21"/>
              </w:rPr>
            </w:pPr>
          </w:p>
        </w:tc>
        <w:tc>
          <w:tcPr>
            <w:tcW w:w="976" w:type="pct"/>
          </w:tcPr>
          <w:p>
            <w:pPr>
              <w:spacing w:line="440" w:lineRule="exact"/>
              <w:jc w:val="center"/>
              <w:rPr>
                <w:szCs w:val="21"/>
              </w:rPr>
            </w:pPr>
          </w:p>
        </w:tc>
        <w:tc>
          <w:tcPr>
            <w:tcW w:w="408"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Pr>
          <w:p>
            <w:pPr>
              <w:spacing w:line="440" w:lineRule="exact"/>
              <w:jc w:val="center"/>
              <w:rPr>
                <w:szCs w:val="21"/>
              </w:rPr>
            </w:pPr>
          </w:p>
        </w:tc>
        <w:tc>
          <w:tcPr>
            <w:tcW w:w="642" w:type="pct"/>
          </w:tcPr>
          <w:p>
            <w:pPr>
              <w:spacing w:line="440" w:lineRule="exact"/>
              <w:jc w:val="center"/>
              <w:rPr>
                <w:szCs w:val="21"/>
              </w:rPr>
            </w:pPr>
          </w:p>
        </w:tc>
        <w:tc>
          <w:tcPr>
            <w:tcW w:w="449" w:type="pct"/>
          </w:tcPr>
          <w:p>
            <w:pPr>
              <w:spacing w:line="440" w:lineRule="exact"/>
              <w:jc w:val="center"/>
              <w:rPr>
                <w:szCs w:val="21"/>
              </w:rPr>
            </w:pPr>
          </w:p>
        </w:tc>
        <w:tc>
          <w:tcPr>
            <w:tcW w:w="585" w:type="pct"/>
          </w:tcPr>
          <w:p>
            <w:pPr>
              <w:spacing w:line="440" w:lineRule="exact"/>
              <w:jc w:val="center"/>
              <w:rPr>
                <w:szCs w:val="21"/>
              </w:rPr>
            </w:pPr>
          </w:p>
        </w:tc>
        <w:tc>
          <w:tcPr>
            <w:tcW w:w="397" w:type="pct"/>
          </w:tcPr>
          <w:p>
            <w:pPr>
              <w:spacing w:line="440" w:lineRule="exact"/>
              <w:jc w:val="center"/>
              <w:rPr>
                <w:szCs w:val="21"/>
              </w:rPr>
            </w:pPr>
          </w:p>
        </w:tc>
        <w:tc>
          <w:tcPr>
            <w:tcW w:w="436" w:type="pct"/>
          </w:tcPr>
          <w:p>
            <w:pPr>
              <w:spacing w:line="440" w:lineRule="exact"/>
              <w:jc w:val="center"/>
              <w:rPr>
                <w:szCs w:val="21"/>
              </w:rPr>
            </w:pPr>
          </w:p>
        </w:tc>
        <w:tc>
          <w:tcPr>
            <w:tcW w:w="716" w:type="pct"/>
          </w:tcPr>
          <w:p>
            <w:pPr>
              <w:spacing w:line="440" w:lineRule="exact"/>
              <w:jc w:val="center"/>
              <w:rPr>
                <w:szCs w:val="21"/>
              </w:rPr>
            </w:pPr>
          </w:p>
        </w:tc>
        <w:tc>
          <w:tcPr>
            <w:tcW w:w="976" w:type="pct"/>
          </w:tcPr>
          <w:p>
            <w:pPr>
              <w:spacing w:line="440" w:lineRule="exact"/>
              <w:jc w:val="center"/>
              <w:rPr>
                <w:szCs w:val="21"/>
              </w:rPr>
            </w:pPr>
          </w:p>
        </w:tc>
        <w:tc>
          <w:tcPr>
            <w:tcW w:w="408"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Pr>
          <w:p>
            <w:pPr>
              <w:spacing w:line="440" w:lineRule="exact"/>
              <w:jc w:val="center"/>
              <w:rPr>
                <w:szCs w:val="21"/>
              </w:rPr>
            </w:pPr>
          </w:p>
        </w:tc>
        <w:tc>
          <w:tcPr>
            <w:tcW w:w="642" w:type="pct"/>
          </w:tcPr>
          <w:p>
            <w:pPr>
              <w:spacing w:line="440" w:lineRule="exact"/>
              <w:jc w:val="center"/>
              <w:rPr>
                <w:szCs w:val="21"/>
              </w:rPr>
            </w:pPr>
          </w:p>
        </w:tc>
        <w:tc>
          <w:tcPr>
            <w:tcW w:w="449" w:type="pct"/>
          </w:tcPr>
          <w:p>
            <w:pPr>
              <w:spacing w:line="440" w:lineRule="exact"/>
              <w:jc w:val="center"/>
              <w:rPr>
                <w:szCs w:val="21"/>
              </w:rPr>
            </w:pPr>
          </w:p>
        </w:tc>
        <w:tc>
          <w:tcPr>
            <w:tcW w:w="585" w:type="pct"/>
          </w:tcPr>
          <w:p>
            <w:pPr>
              <w:spacing w:line="440" w:lineRule="exact"/>
              <w:jc w:val="center"/>
              <w:rPr>
                <w:szCs w:val="21"/>
              </w:rPr>
            </w:pPr>
          </w:p>
        </w:tc>
        <w:tc>
          <w:tcPr>
            <w:tcW w:w="397" w:type="pct"/>
          </w:tcPr>
          <w:p>
            <w:pPr>
              <w:spacing w:line="440" w:lineRule="exact"/>
              <w:jc w:val="center"/>
              <w:rPr>
                <w:szCs w:val="21"/>
              </w:rPr>
            </w:pPr>
          </w:p>
        </w:tc>
        <w:tc>
          <w:tcPr>
            <w:tcW w:w="436" w:type="pct"/>
          </w:tcPr>
          <w:p>
            <w:pPr>
              <w:spacing w:line="440" w:lineRule="exact"/>
              <w:jc w:val="center"/>
              <w:rPr>
                <w:szCs w:val="21"/>
              </w:rPr>
            </w:pPr>
          </w:p>
        </w:tc>
        <w:tc>
          <w:tcPr>
            <w:tcW w:w="716" w:type="pct"/>
          </w:tcPr>
          <w:p>
            <w:pPr>
              <w:spacing w:line="440" w:lineRule="exact"/>
              <w:jc w:val="center"/>
              <w:rPr>
                <w:szCs w:val="21"/>
              </w:rPr>
            </w:pPr>
          </w:p>
        </w:tc>
        <w:tc>
          <w:tcPr>
            <w:tcW w:w="976" w:type="pct"/>
          </w:tcPr>
          <w:p>
            <w:pPr>
              <w:spacing w:line="440" w:lineRule="exact"/>
              <w:jc w:val="center"/>
              <w:rPr>
                <w:szCs w:val="21"/>
              </w:rPr>
            </w:pPr>
          </w:p>
        </w:tc>
        <w:tc>
          <w:tcPr>
            <w:tcW w:w="408"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 w:type="pct"/>
          </w:tcPr>
          <w:p>
            <w:pPr>
              <w:spacing w:line="440" w:lineRule="exact"/>
              <w:jc w:val="center"/>
              <w:rPr>
                <w:szCs w:val="21"/>
              </w:rPr>
            </w:pPr>
          </w:p>
        </w:tc>
        <w:tc>
          <w:tcPr>
            <w:tcW w:w="642" w:type="pct"/>
          </w:tcPr>
          <w:p>
            <w:pPr>
              <w:spacing w:line="440" w:lineRule="exact"/>
              <w:jc w:val="center"/>
              <w:rPr>
                <w:szCs w:val="21"/>
              </w:rPr>
            </w:pPr>
          </w:p>
        </w:tc>
        <w:tc>
          <w:tcPr>
            <w:tcW w:w="449" w:type="pct"/>
          </w:tcPr>
          <w:p>
            <w:pPr>
              <w:spacing w:line="440" w:lineRule="exact"/>
              <w:jc w:val="center"/>
              <w:rPr>
                <w:szCs w:val="21"/>
              </w:rPr>
            </w:pPr>
          </w:p>
        </w:tc>
        <w:tc>
          <w:tcPr>
            <w:tcW w:w="585" w:type="pct"/>
          </w:tcPr>
          <w:p>
            <w:pPr>
              <w:spacing w:line="440" w:lineRule="exact"/>
              <w:jc w:val="center"/>
              <w:rPr>
                <w:szCs w:val="21"/>
              </w:rPr>
            </w:pPr>
          </w:p>
        </w:tc>
        <w:tc>
          <w:tcPr>
            <w:tcW w:w="397" w:type="pct"/>
          </w:tcPr>
          <w:p>
            <w:pPr>
              <w:spacing w:line="440" w:lineRule="exact"/>
              <w:jc w:val="center"/>
              <w:rPr>
                <w:szCs w:val="21"/>
              </w:rPr>
            </w:pPr>
          </w:p>
        </w:tc>
        <w:tc>
          <w:tcPr>
            <w:tcW w:w="436" w:type="pct"/>
          </w:tcPr>
          <w:p>
            <w:pPr>
              <w:spacing w:line="440" w:lineRule="exact"/>
              <w:jc w:val="center"/>
              <w:rPr>
                <w:szCs w:val="21"/>
              </w:rPr>
            </w:pPr>
          </w:p>
        </w:tc>
        <w:tc>
          <w:tcPr>
            <w:tcW w:w="716" w:type="pct"/>
          </w:tcPr>
          <w:p>
            <w:pPr>
              <w:spacing w:line="440" w:lineRule="exact"/>
              <w:jc w:val="center"/>
              <w:rPr>
                <w:szCs w:val="21"/>
              </w:rPr>
            </w:pPr>
          </w:p>
        </w:tc>
        <w:tc>
          <w:tcPr>
            <w:tcW w:w="976" w:type="pct"/>
          </w:tcPr>
          <w:p>
            <w:pPr>
              <w:spacing w:line="440" w:lineRule="exact"/>
              <w:jc w:val="center"/>
              <w:rPr>
                <w:szCs w:val="21"/>
              </w:rPr>
            </w:pPr>
          </w:p>
        </w:tc>
        <w:tc>
          <w:tcPr>
            <w:tcW w:w="408"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Pr>
          <w:p>
            <w:pPr>
              <w:spacing w:line="440" w:lineRule="exact"/>
              <w:jc w:val="center"/>
              <w:rPr>
                <w:szCs w:val="21"/>
              </w:rPr>
            </w:pPr>
          </w:p>
        </w:tc>
        <w:tc>
          <w:tcPr>
            <w:tcW w:w="642" w:type="pct"/>
          </w:tcPr>
          <w:p>
            <w:pPr>
              <w:spacing w:line="440" w:lineRule="exact"/>
              <w:jc w:val="center"/>
              <w:rPr>
                <w:szCs w:val="21"/>
              </w:rPr>
            </w:pPr>
          </w:p>
        </w:tc>
        <w:tc>
          <w:tcPr>
            <w:tcW w:w="449" w:type="pct"/>
          </w:tcPr>
          <w:p>
            <w:pPr>
              <w:spacing w:line="440" w:lineRule="exact"/>
              <w:jc w:val="center"/>
              <w:rPr>
                <w:szCs w:val="21"/>
              </w:rPr>
            </w:pPr>
          </w:p>
        </w:tc>
        <w:tc>
          <w:tcPr>
            <w:tcW w:w="585" w:type="pct"/>
          </w:tcPr>
          <w:p>
            <w:pPr>
              <w:spacing w:line="440" w:lineRule="exact"/>
              <w:jc w:val="center"/>
              <w:rPr>
                <w:szCs w:val="21"/>
              </w:rPr>
            </w:pPr>
          </w:p>
        </w:tc>
        <w:tc>
          <w:tcPr>
            <w:tcW w:w="397" w:type="pct"/>
          </w:tcPr>
          <w:p>
            <w:pPr>
              <w:spacing w:line="440" w:lineRule="exact"/>
              <w:jc w:val="center"/>
              <w:rPr>
                <w:szCs w:val="21"/>
              </w:rPr>
            </w:pPr>
          </w:p>
        </w:tc>
        <w:tc>
          <w:tcPr>
            <w:tcW w:w="436" w:type="pct"/>
          </w:tcPr>
          <w:p>
            <w:pPr>
              <w:spacing w:line="440" w:lineRule="exact"/>
              <w:jc w:val="center"/>
              <w:rPr>
                <w:szCs w:val="21"/>
              </w:rPr>
            </w:pPr>
          </w:p>
        </w:tc>
        <w:tc>
          <w:tcPr>
            <w:tcW w:w="716" w:type="pct"/>
          </w:tcPr>
          <w:p>
            <w:pPr>
              <w:spacing w:line="440" w:lineRule="exact"/>
              <w:jc w:val="center"/>
              <w:rPr>
                <w:szCs w:val="21"/>
              </w:rPr>
            </w:pPr>
          </w:p>
        </w:tc>
        <w:tc>
          <w:tcPr>
            <w:tcW w:w="976" w:type="pct"/>
          </w:tcPr>
          <w:p>
            <w:pPr>
              <w:spacing w:line="440" w:lineRule="exact"/>
              <w:jc w:val="center"/>
              <w:rPr>
                <w:szCs w:val="21"/>
              </w:rPr>
            </w:pPr>
          </w:p>
        </w:tc>
        <w:tc>
          <w:tcPr>
            <w:tcW w:w="408"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Pr>
          <w:p>
            <w:pPr>
              <w:spacing w:line="440" w:lineRule="exact"/>
              <w:jc w:val="center"/>
              <w:rPr>
                <w:szCs w:val="21"/>
              </w:rPr>
            </w:pPr>
          </w:p>
        </w:tc>
        <w:tc>
          <w:tcPr>
            <w:tcW w:w="642" w:type="pct"/>
          </w:tcPr>
          <w:p>
            <w:pPr>
              <w:spacing w:line="440" w:lineRule="exact"/>
              <w:jc w:val="center"/>
              <w:rPr>
                <w:szCs w:val="21"/>
              </w:rPr>
            </w:pPr>
          </w:p>
        </w:tc>
        <w:tc>
          <w:tcPr>
            <w:tcW w:w="449" w:type="pct"/>
          </w:tcPr>
          <w:p>
            <w:pPr>
              <w:spacing w:line="440" w:lineRule="exact"/>
              <w:jc w:val="center"/>
              <w:rPr>
                <w:szCs w:val="21"/>
              </w:rPr>
            </w:pPr>
          </w:p>
        </w:tc>
        <w:tc>
          <w:tcPr>
            <w:tcW w:w="585" w:type="pct"/>
          </w:tcPr>
          <w:p>
            <w:pPr>
              <w:spacing w:line="440" w:lineRule="exact"/>
              <w:jc w:val="center"/>
              <w:rPr>
                <w:szCs w:val="21"/>
              </w:rPr>
            </w:pPr>
          </w:p>
        </w:tc>
        <w:tc>
          <w:tcPr>
            <w:tcW w:w="397" w:type="pct"/>
          </w:tcPr>
          <w:p>
            <w:pPr>
              <w:spacing w:line="440" w:lineRule="exact"/>
              <w:jc w:val="center"/>
              <w:rPr>
                <w:szCs w:val="21"/>
              </w:rPr>
            </w:pPr>
          </w:p>
        </w:tc>
        <w:tc>
          <w:tcPr>
            <w:tcW w:w="436" w:type="pct"/>
          </w:tcPr>
          <w:p>
            <w:pPr>
              <w:spacing w:line="440" w:lineRule="exact"/>
              <w:jc w:val="center"/>
              <w:rPr>
                <w:szCs w:val="21"/>
              </w:rPr>
            </w:pPr>
          </w:p>
        </w:tc>
        <w:tc>
          <w:tcPr>
            <w:tcW w:w="716" w:type="pct"/>
          </w:tcPr>
          <w:p>
            <w:pPr>
              <w:spacing w:line="440" w:lineRule="exact"/>
              <w:jc w:val="center"/>
              <w:rPr>
                <w:szCs w:val="21"/>
              </w:rPr>
            </w:pPr>
          </w:p>
        </w:tc>
        <w:tc>
          <w:tcPr>
            <w:tcW w:w="976" w:type="pct"/>
          </w:tcPr>
          <w:p>
            <w:pPr>
              <w:spacing w:line="440" w:lineRule="exact"/>
              <w:jc w:val="center"/>
              <w:rPr>
                <w:szCs w:val="21"/>
              </w:rPr>
            </w:pPr>
          </w:p>
        </w:tc>
        <w:tc>
          <w:tcPr>
            <w:tcW w:w="408"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Pr>
          <w:p>
            <w:pPr>
              <w:spacing w:line="440" w:lineRule="exact"/>
              <w:jc w:val="center"/>
              <w:rPr>
                <w:szCs w:val="21"/>
              </w:rPr>
            </w:pPr>
          </w:p>
        </w:tc>
        <w:tc>
          <w:tcPr>
            <w:tcW w:w="642" w:type="pct"/>
          </w:tcPr>
          <w:p>
            <w:pPr>
              <w:spacing w:line="440" w:lineRule="exact"/>
              <w:jc w:val="center"/>
              <w:rPr>
                <w:szCs w:val="21"/>
              </w:rPr>
            </w:pPr>
          </w:p>
        </w:tc>
        <w:tc>
          <w:tcPr>
            <w:tcW w:w="449" w:type="pct"/>
          </w:tcPr>
          <w:p>
            <w:pPr>
              <w:spacing w:line="440" w:lineRule="exact"/>
              <w:jc w:val="center"/>
              <w:rPr>
                <w:szCs w:val="21"/>
              </w:rPr>
            </w:pPr>
          </w:p>
        </w:tc>
        <w:tc>
          <w:tcPr>
            <w:tcW w:w="585" w:type="pct"/>
          </w:tcPr>
          <w:p>
            <w:pPr>
              <w:spacing w:line="440" w:lineRule="exact"/>
              <w:jc w:val="center"/>
              <w:rPr>
                <w:szCs w:val="21"/>
              </w:rPr>
            </w:pPr>
          </w:p>
        </w:tc>
        <w:tc>
          <w:tcPr>
            <w:tcW w:w="397" w:type="pct"/>
          </w:tcPr>
          <w:p>
            <w:pPr>
              <w:spacing w:line="440" w:lineRule="exact"/>
              <w:jc w:val="center"/>
              <w:rPr>
                <w:szCs w:val="21"/>
              </w:rPr>
            </w:pPr>
          </w:p>
        </w:tc>
        <w:tc>
          <w:tcPr>
            <w:tcW w:w="436" w:type="pct"/>
          </w:tcPr>
          <w:p>
            <w:pPr>
              <w:spacing w:line="440" w:lineRule="exact"/>
              <w:jc w:val="center"/>
              <w:rPr>
                <w:szCs w:val="21"/>
              </w:rPr>
            </w:pPr>
          </w:p>
        </w:tc>
        <w:tc>
          <w:tcPr>
            <w:tcW w:w="716" w:type="pct"/>
          </w:tcPr>
          <w:p>
            <w:pPr>
              <w:spacing w:line="440" w:lineRule="exact"/>
              <w:jc w:val="center"/>
              <w:rPr>
                <w:szCs w:val="21"/>
              </w:rPr>
            </w:pPr>
          </w:p>
        </w:tc>
        <w:tc>
          <w:tcPr>
            <w:tcW w:w="976" w:type="pct"/>
          </w:tcPr>
          <w:p>
            <w:pPr>
              <w:spacing w:line="440" w:lineRule="exact"/>
              <w:jc w:val="center"/>
              <w:rPr>
                <w:szCs w:val="21"/>
              </w:rPr>
            </w:pPr>
          </w:p>
        </w:tc>
        <w:tc>
          <w:tcPr>
            <w:tcW w:w="408"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 w:type="pct"/>
          </w:tcPr>
          <w:p>
            <w:pPr>
              <w:spacing w:line="440" w:lineRule="exact"/>
              <w:jc w:val="center"/>
              <w:rPr>
                <w:szCs w:val="21"/>
              </w:rPr>
            </w:pPr>
          </w:p>
        </w:tc>
        <w:tc>
          <w:tcPr>
            <w:tcW w:w="642" w:type="pct"/>
          </w:tcPr>
          <w:p>
            <w:pPr>
              <w:spacing w:line="440" w:lineRule="exact"/>
              <w:jc w:val="center"/>
              <w:rPr>
                <w:szCs w:val="21"/>
              </w:rPr>
            </w:pPr>
          </w:p>
        </w:tc>
        <w:tc>
          <w:tcPr>
            <w:tcW w:w="449" w:type="pct"/>
          </w:tcPr>
          <w:p>
            <w:pPr>
              <w:spacing w:line="440" w:lineRule="exact"/>
              <w:jc w:val="center"/>
              <w:rPr>
                <w:szCs w:val="21"/>
              </w:rPr>
            </w:pPr>
          </w:p>
        </w:tc>
        <w:tc>
          <w:tcPr>
            <w:tcW w:w="585" w:type="pct"/>
          </w:tcPr>
          <w:p>
            <w:pPr>
              <w:spacing w:line="440" w:lineRule="exact"/>
              <w:jc w:val="center"/>
              <w:rPr>
                <w:szCs w:val="21"/>
              </w:rPr>
            </w:pPr>
          </w:p>
        </w:tc>
        <w:tc>
          <w:tcPr>
            <w:tcW w:w="397" w:type="pct"/>
          </w:tcPr>
          <w:p>
            <w:pPr>
              <w:spacing w:line="440" w:lineRule="exact"/>
              <w:jc w:val="center"/>
              <w:rPr>
                <w:szCs w:val="21"/>
              </w:rPr>
            </w:pPr>
          </w:p>
        </w:tc>
        <w:tc>
          <w:tcPr>
            <w:tcW w:w="436" w:type="pct"/>
          </w:tcPr>
          <w:p>
            <w:pPr>
              <w:spacing w:line="440" w:lineRule="exact"/>
              <w:jc w:val="center"/>
              <w:rPr>
                <w:szCs w:val="21"/>
              </w:rPr>
            </w:pPr>
          </w:p>
        </w:tc>
        <w:tc>
          <w:tcPr>
            <w:tcW w:w="716" w:type="pct"/>
          </w:tcPr>
          <w:p>
            <w:pPr>
              <w:spacing w:line="440" w:lineRule="exact"/>
              <w:jc w:val="center"/>
              <w:rPr>
                <w:szCs w:val="21"/>
              </w:rPr>
            </w:pPr>
          </w:p>
        </w:tc>
        <w:tc>
          <w:tcPr>
            <w:tcW w:w="976" w:type="pct"/>
          </w:tcPr>
          <w:p>
            <w:pPr>
              <w:spacing w:line="440" w:lineRule="exact"/>
              <w:jc w:val="center"/>
              <w:rPr>
                <w:szCs w:val="21"/>
              </w:rPr>
            </w:pPr>
          </w:p>
        </w:tc>
        <w:tc>
          <w:tcPr>
            <w:tcW w:w="408"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Pr>
          <w:p>
            <w:pPr>
              <w:spacing w:line="440" w:lineRule="exact"/>
              <w:jc w:val="center"/>
              <w:rPr>
                <w:szCs w:val="21"/>
              </w:rPr>
            </w:pPr>
          </w:p>
        </w:tc>
        <w:tc>
          <w:tcPr>
            <w:tcW w:w="642" w:type="pct"/>
          </w:tcPr>
          <w:p>
            <w:pPr>
              <w:spacing w:line="440" w:lineRule="exact"/>
              <w:jc w:val="center"/>
              <w:rPr>
                <w:szCs w:val="21"/>
              </w:rPr>
            </w:pPr>
          </w:p>
        </w:tc>
        <w:tc>
          <w:tcPr>
            <w:tcW w:w="449" w:type="pct"/>
          </w:tcPr>
          <w:p>
            <w:pPr>
              <w:spacing w:line="440" w:lineRule="exact"/>
              <w:jc w:val="center"/>
              <w:rPr>
                <w:szCs w:val="21"/>
              </w:rPr>
            </w:pPr>
          </w:p>
        </w:tc>
        <w:tc>
          <w:tcPr>
            <w:tcW w:w="585" w:type="pct"/>
          </w:tcPr>
          <w:p>
            <w:pPr>
              <w:spacing w:line="440" w:lineRule="exact"/>
              <w:jc w:val="center"/>
              <w:rPr>
                <w:szCs w:val="21"/>
              </w:rPr>
            </w:pPr>
          </w:p>
        </w:tc>
        <w:tc>
          <w:tcPr>
            <w:tcW w:w="397" w:type="pct"/>
          </w:tcPr>
          <w:p>
            <w:pPr>
              <w:spacing w:line="440" w:lineRule="exact"/>
              <w:jc w:val="center"/>
              <w:rPr>
                <w:szCs w:val="21"/>
              </w:rPr>
            </w:pPr>
          </w:p>
        </w:tc>
        <w:tc>
          <w:tcPr>
            <w:tcW w:w="436" w:type="pct"/>
          </w:tcPr>
          <w:p>
            <w:pPr>
              <w:spacing w:line="440" w:lineRule="exact"/>
              <w:jc w:val="center"/>
              <w:rPr>
                <w:szCs w:val="21"/>
              </w:rPr>
            </w:pPr>
          </w:p>
        </w:tc>
        <w:tc>
          <w:tcPr>
            <w:tcW w:w="716" w:type="pct"/>
          </w:tcPr>
          <w:p>
            <w:pPr>
              <w:spacing w:line="440" w:lineRule="exact"/>
              <w:jc w:val="center"/>
              <w:rPr>
                <w:szCs w:val="21"/>
              </w:rPr>
            </w:pPr>
          </w:p>
        </w:tc>
        <w:tc>
          <w:tcPr>
            <w:tcW w:w="976" w:type="pct"/>
          </w:tcPr>
          <w:p>
            <w:pPr>
              <w:spacing w:line="440" w:lineRule="exact"/>
              <w:jc w:val="center"/>
              <w:rPr>
                <w:szCs w:val="21"/>
              </w:rPr>
            </w:pPr>
          </w:p>
        </w:tc>
        <w:tc>
          <w:tcPr>
            <w:tcW w:w="408"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Pr>
          <w:p>
            <w:pPr>
              <w:spacing w:line="440" w:lineRule="exact"/>
              <w:jc w:val="center"/>
              <w:rPr>
                <w:szCs w:val="21"/>
              </w:rPr>
            </w:pPr>
          </w:p>
        </w:tc>
        <w:tc>
          <w:tcPr>
            <w:tcW w:w="642" w:type="pct"/>
          </w:tcPr>
          <w:p>
            <w:pPr>
              <w:spacing w:line="440" w:lineRule="exact"/>
              <w:jc w:val="center"/>
              <w:rPr>
                <w:szCs w:val="21"/>
              </w:rPr>
            </w:pPr>
          </w:p>
        </w:tc>
        <w:tc>
          <w:tcPr>
            <w:tcW w:w="449" w:type="pct"/>
          </w:tcPr>
          <w:p>
            <w:pPr>
              <w:spacing w:line="440" w:lineRule="exact"/>
              <w:jc w:val="center"/>
              <w:rPr>
                <w:szCs w:val="21"/>
              </w:rPr>
            </w:pPr>
          </w:p>
        </w:tc>
        <w:tc>
          <w:tcPr>
            <w:tcW w:w="585" w:type="pct"/>
          </w:tcPr>
          <w:p>
            <w:pPr>
              <w:spacing w:line="440" w:lineRule="exact"/>
              <w:jc w:val="center"/>
              <w:rPr>
                <w:szCs w:val="21"/>
              </w:rPr>
            </w:pPr>
          </w:p>
        </w:tc>
        <w:tc>
          <w:tcPr>
            <w:tcW w:w="397" w:type="pct"/>
          </w:tcPr>
          <w:p>
            <w:pPr>
              <w:spacing w:line="440" w:lineRule="exact"/>
              <w:jc w:val="center"/>
              <w:rPr>
                <w:szCs w:val="21"/>
              </w:rPr>
            </w:pPr>
          </w:p>
        </w:tc>
        <w:tc>
          <w:tcPr>
            <w:tcW w:w="436" w:type="pct"/>
          </w:tcPr>
          <w:p>
            <w:pPr>
              <w:spacing w:line="440" w:lineRule="exact"/>
              <w:jc w:val="center"/>
              <w:rPr>
                <w:szCs w:val="21"/>
              </w:rPr>
            </w:pPr>
          </w:p>
        </w:tc>
        <w:tc>
          <w:tcPr>
            <w:tcW w:w="716" w:type="pct"/>
          </w:tcPr>
          <w:p>
            <w:pPr>
              <w:spacing w:line="440" w:lineRule="exact"/>
              <w:jc w:val="center"/>
              <w:rPr>
                <w:szCs w:val="21"/>
              </w:rPr>
            </w:pPr>
          </w:p>
        </w:tc>
        <w:tc>
          <w:tcPr>
            <w:tcW w:w="976" w:type="pct"/>
          </w:tcPr>
          <w:p>
            <w:pPr>
              <w:spacing w:line="440" w:lineRule="exact"/>
              <w:jc w:val="center"/>
              <w:rPr>
                <w:szCs w:val="21"/>
              </w:rPr>
            </w:pPr>
          </w:p>
        </w:tc>
        <w:tc>
          <w:tcPr>
            <w:tcW w:w="408"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Pr>
          <w:p>
            <w:pPr>
              <w:spacing w:line="440" w:lineRule="exact"/>
              <w:jc w:val="center"/>
              <w:rPr>
                <w:szCs w:val="21"/>
              </w:rPr>
            </w:pPr>
          </w:p>
        </w:tc>
        <w:tc>
          <w:tcPr>
            <w:tcW w:w="642" w:type="pct"/>
          </w:tcPr>
          <w:p>
            <w:pPr>
              <w:spacing w:line="440" w:lineRule="exact"/>
              <w:jc w:val="center"/>
              <w:rPr>
                <w:szCs w:val="21"/>
              </w:rPr>
            </w:pPr>
          </w:p>
        </w:tc>
        <w:tc>
          <w:tcPr>
            <w:tcW w:w="449" w:type="pct"/>
          </w:tcPr>
          <w:p>
            <w:pPr>
              <w:spacing w:line="440" w:lineRule="exact"/>
              <w:jc w:val="center"/>
              <w:rPr>
                <w:szCs w:val="21"/>
              </w:rPr>
            </w:pPr>
          </w:p>
        </w:tc>
        <w:tc>
          <w:tcPr>
            <w:tcW w:w="585" w:type="pct"/>
          </w:tcPr>
          <w:p>
            <w:pPr>
              <w:spacing w:line="440" w:lineRule="exact"/>
              <w:jc w:val="center"/>
              <w:rPr>
                <w:szCs w:val="21"/>
              </w:rPr>
            </w:pPr>
          </w:p>
        </w:tc>
        <w:tc>
          <w:tcPr>
            <w:tcW w:w="397" w:type="pct"/>
          </w:tcPr>
          <w:p>
            <w:pPr>
              <w:spacing w:line="440" w:lineRule="exact"/>
              <w:jc w:val="center"/>
              <w:rPr>
                <w:szCs w:val="21"/>
              </w:rPr>
            </w:pPr>
          </w:p>
        </w:tc>
        <w:tc>
          <w:tcPr>
            <w:tcW w:w="436" w:type="pct"/>
          </w:tcPr>
          <w:p>
            <w:pPr>
              <w:spacing w:line="440" w:lineRule="exact"/>
              <w:jc w:val="center"/>
              <w:rPr>
                <w:szCs w:val="21"/>
              </w:rPr>
            </w:pPr>
          </w:p>
        </w:tc>
        <w:tc>
          <w:tcPr>
            <w:tcW w:w="716" w:type="pct"/>
          </w:tcPr>
          <w:p>
            <w:pPr>
              <w:spacing w:line="440" w:lineRule="exact"/>
              <w:jc w:val="center"/>
              <w:rPr>
                <w:szCs w:val="21"/>
              </w:rPr>
            </w:pPr>
          </w:p>
        </w:tc>
        <w:tc>
          <w:tcPr>
            <w:tcW w:w="976" w:type="pct"/>
          </w:tcPr>
          <w:p>
            <w:pPr>
              <w:spacing w:line="440" w:lineRule="exact"/>
              <w:jc w:val="center"/>
              <w:rPr>
                <w:szCs w:val="21"/>
              </w:rPr>
            </w:pPr>
          </w:p>
        </w:tc>
        <w:tc>
          <w:tcPr>
            <w:tcW w:w="408"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 w:type="pct"/>
          </w:tcPr>
          <w:p>
            <w:pPr>
              <w:spacing w:line="440" w:lineRule="exact"/>
              <w:jc w:val="center"/>
              <w:rPr>
                <w:szCs w:val="21"/>
              </w:rPr>
            </w:pPr>
          </w:p>
        </w:tc>
        <w:tc>
          <w:tcPr>
            <w:tcW w:w="642" w:type="pct"/>
          </w:tcPr>
          <w:p>
            <w:pPr>
              <w:spacing w:line="440" w:lineRule="exact"/>
              <w:jc w:val="center"/>
              <w:rPr>
                <w:szCs w:val="21"/>
              </w:rPr>
            </w:pPr>
          </w:p>
        </w:tc>
        <w:tc>
          <w:tcPr>
            <w:tcW w:w="449" w:type="pct"/>
          </w:tcPr>
          <w:p>
            <w:pPr>
              <w:spacing w:line="440" w:lineRule="exact"/>
              <w:jc w:val="center"/>
              <w:rPr>
                <w:szCs w:val="21"/>
              </w:rPr>
            </w:pPr>
          </w:p>
        </w:tc>
        <w:tc>
          <w:tcPr>
            <w:tcW w:w="585" w:type="pct"/>
          </w:tcPr>
          <w:p>
            <w:pPr>
              <w:spacing w:line="440" w:lineRule="exact"/>
              <w:jc w:val="center"/>
              <w:rPr>
                <w:szCs w:val="21"/>
              </w:rPr>
            </w:pPr>
          </w:p>
        </w:tc>
        <w:tc>
          <w:tcPr>
            <w:tcW w:w="397" w:type="pct"/>
          </w:tcPr>
          <w:p>
            <w:pPr>
              <w:spacing w:line="440" w:lineRule="exact"/>
              <w:jc w:val="center"/>
              <w:rPr>
                <w:szCs w:val="21"/>
              </w:rPr>
            </w:pPr>
          </w:p>
        </w:tc>
        <w:tc>
          <w:tcPr>
            <w:tcW w:w="436" w:type="pct"/>
          </w:tcPr>
          <w:p>
            <w:pPr>
              <w:spacing w:line="440" w:lineRule="exact"/>
              <w:jc w:val="center"/>
              <w:rPr>
                <w:szCs w:val="21"/>
              </w:rPr>
            </w:pPr>
          </w:p>
        </w:tc>
        <w:tc>
          <w:tcPr>
            <w:tcW w:w="716" w:type="pct"/>
          </w:tcPr>
          <w:p>
            <w:pPr>
              <w:spacing w:line="440" w:lineRule="exact"/>
              <w:jc w:val="center"/>
              <w:rPr>
                <w:szCs w:val="21"/>
              </w:rPr>
            </w:pPr>
          </w:p>
        </w:tc>
        <w:tc>
          <w:tcPr>
            <w:tcW w:w="976" w:type="pct"/>
          </w:tcPr>
          <w:p>
            <w:pPr>
              <w:spacing w:line="440" w:lineRule="exact"/>
              <w:jc w:val="center"/>
              <w:rPr>
                <w:szCs w:val="21"/>
              </w:rPr>
            </w:pPr>
          </w:p>
        </w:tc>
        <w:tc>
          <w:tcPr>
            <w:tcW w:w="408"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Pr>
          <w:p>
            <w:pPr>
              <w:spacing w:line="440" w:lineRule="exact"/>
              <w:jc w:val="center"/>
              <w:rPr>
                <w:szCs w:val="21"/>
              </w:rPr>
            </w:pPr>
          </w:p>
        </w:tc>
        <w:tc>
          <w:tcPr>
            <w:tcW w:w="642" w:type="pct"/>
          </w:tcPr>
          <w:p>
            <w:pPr>
              <w:spacing w:line="440" w:lineRule="exact"/>
              <w:jc w:val="center"/>
              <w:rPr>
                <w:szCs w:val="21"/>
              </w:rPr>
            </w:pPr>
          </w:p>
        </w:tc>
        <w:tc>
          <w:tcPr>
            <w:tcW w:w="449" w:type="pct"/>
          </w:tcPr>
          <w:p>
            <w:pPr>
              <w:spacing w:line="440" w:lineRule="exact"/>
              <w:jc w:val="center"/>
              <w:rPr>
                <w:szCs w:val="21"/>
              </w:rPr>
            </w:pPr>
          </w:p>
        </w:tc>
        <w:tc>
          <w:tcPr>
            <w:tcW w:w="585" w:type="pct"/>
          </w:tcPr>
          <w:p>
            <w:pPr>
              <w:spacing w:line="440" w:lineRule="exact"/>
              <w:jc w:val="center"/>
              <w:rPr>
                <w:szCs w:val="21"/>
              </w:rPr>
            </w:pPr>
          </w:p>
        </w:tc>
        <w:tc>
          <w:tcPr>
            <w:tcW w:w="397" w:type="pct"/>
          </w:tcPr>
          <w:p>
            <w:pPr>
              <w:spacing w:line="440" w:lineRule="exact"/>
              <w:jc w:val="center"/>
              <w:rPr>
                <w:szCs w:val="21"/>
              </w:rPr>
            </w:pPr>
          </w:p>
        </w:tc>
        <w:tc>
          <w:tcPr>
            <w:tcW w:w="436" w:type="pct"/>
          </w:tcPr>
          <w:p>
            <w:pPr>
              <w:spacing w:line="440" w:lineRule="exact"/>
              <w:jc w:val="center"/>
              <w:rPr>
                <w:szCs w:val="21"/>
              </w:rPr>
            </w:pPr>
          </w:p>
        </w:tc>
        <w:tc>
          <w:tcPr>
            <w:tcW w:w="716" w:type="pct"/>
          </w:tcPr>
          <w:p>
            <w:pPr>
              <w:spacing w:line="440" w:lineRule="exact"/>
              <w:jc w:val="center"/>
              <w:rPr>
                <w:szCs w:val="21"/>
              </w:rPr>
            </w:pPr>
          </w:p>
        </w:tc>
        <w:tc>
          <w:tcPr>
            <w:tcW w:w="976" w:type="pct"/>
          </w:tcPr>
          <w:p>
            <w:pPr>
              <w:spacing w:line="440" w:lineRule="exact"/>
              <w:jc w:val="center"/>
              <w:rPr>
                <w:szCs w:val="21"/>
              </w:rPr>
            </w:pPr>
          </w:p>
        </w:tc>
        <w:tc>
          <w:tcPr>
            <w:tcW w:w="408"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Pr>
          <w:p>
            <w:pPr>
              <w:spacing w:line="440" w:lineRule="exact"/>
              <w:jc w:val="center"/>
              <w:rPr>
                <w:szCs w:val="21"/>
              </w:rPr>
            </w:pPr>
          </w:p>
        </w:tc>
        <w:tc>
          <w:tcPr>
            <w:tcW w:w="642" w:type="pct"/>
          </w:tcPr>
          <w:p>
            <w:pPr>
              <w:spacing w:line="440" w:lineRule="exact"/>
              <w:jc w:val="center"/>
              <w:rPr>
                <w:szCs w:val="21"/>
              </w:rPr>
            </w:pPr>
          </w:p>
        </w:tc>
        <w:tc>
          <w:tcPr>
            <w:tcW w:w="449" w:type="pct"/>
          </w:tcPr>
          <w:p>
            <w:pPr>
              <w:spacing w:line="440" w:lineRule="exact"/>
              <w:jc w:val="center"/>
              <w:rPr>
                <w:szCs w:val="21"/>
              </w:rPr>
            </w:pPr>
          </w:p>
        </w:tc>
        <w:tc>
          <w:tcPr>
            <w:tcW w:w="585" w:type="pct"/>
          </w:tcPr>
          <w:p>
            <w:pPr>
              <w:spacing w:line="440" w:lineRule="exact"/>
              <w:jc w:val="center"/>
              <w:rPr>
                <w:szCs w:val="21"/>
              </w:rPr>
            </w:pPr>
          </w:p>
        </w:tc>
        <w:tc>
          <w:tcPr>
            <w:tcW w:w="397" w:type="pct"/>
          </w:tcPr>
          <w:p>
            <w:pPr>
              <w:spacing w:line="440" w:lineRule="exact"/>
              <w:jc w:val="center"/>
              <w:rPr>
                <w:szCs w:val="21"/>
              </w:rPr>
            </w:pPr>
          </w:p>
        </w:tc>
        <w:tc>
          <w:tcPr>
            <w:tcW w:w="436" w:type="pct"/>
          </w:tcPr>
          <w:p>
            <w:pPr>
              <w:spacing w:line="440" w:lineRule="exact"/>
              <w:jc w:val="center"/>
              <w:rPr>
                <w:szCs w:val="21"/>
              </w:rPr>
            </w:pPr>
          </w:p>
        </w:tc>
        <w:tc>
          <w:tcPr>
            <w:tcW w:w="716" w:type="pct"/>
          </w:tcPr>
          <w:p>
            <w:pPr>
              <w:spacing w:line="440" w:lineRule="exact"/>
              <w:jc w:val="center"/>
              <w:rPr>
                <w:szCs w:val="21"/>
              </w:rPr>
            </w:pPr>
          </w:p>
        </w:tc>
        <w:tc>
          <w:tcPr>
            <w:tcW w:w="976" w:type="pct"/>
          </w:tcPr>
          <w:p>
            <w:pPr>
              <w:spacing w:line="440" w:lineRule="exact"/>
              <w:jc w:val="center"/>
              <w:rPr>
                <w:szCs w:val="21"/>
              </w:rPr>
            </w:pPr>
          </w:p>
        </w:tc>
        <w:tc>
          <w:tcPr>
            <w:tcW w:w="408"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Pr>
          <w:p>
            <w:pPr>
              <w:spacing w:line="440" w:lineRule="exact"/>
              <w:jc w:val="center"/>
              <w:rPr>
                <w:szCs w:val="21"/>
              </w:rPr>
            </w:pPr>
          </w:p>
        </w:tc>
        <w:tc>
          <w:tcPr>
            <w:tcW w:w="642" w:type="pct"/>
          </w:tcPr>
          <w:p>
            <w:pPr>
              <w:spacing w:line="440" w:lineRule="exact"/>
              <w:jc w:val="center"/>
              <w:rPr>
                <w:szCs w:val="21"/>
              </w:rPr>
            </w:pPr>
          </w:p>
        </w:tc>
        <w:tc>
          <w:tcPr>
            <w:tcW w:w="449" w:type="pct"/>
          </w:tcPr>
          <w:p>
            <w:pPr>
              <w:spacing w:line="440" w:lineRule="exact"/>
              <w:jc w:val="center"/>
              <w:rPr>
                <w:szCs w:val="21"/>
              </w:rPr>
            </w:pPr>
          </w:p>
        </w:tc>
        <w:tc>
          <w:tcPr>
            <w:tcW w:w="585" w:type="pct"/>
          </w:tcPr>
          <w:p>
            <w:pPr>
              <w:spacing w:line="440" w:lineRule="exact"/>
              <w:jc w:val="center"/>
              <w:rPr>
                <w:szCs w:val="21"/>
              </w:rPr>
            </w:pPr>
          </w:p>
        </w:tc>
        <w:tc>
          <w:tcPr>
            <w:tcW w:w="397" w:type="pct"/>
          </w:tcPr>
          <w:p>
            <w:pPr>
              <w:spacing w:line="440" w:lineRule="exact"/>
              <w:jc w:val="center"/>
              <w:rPr>
                <w:szCs w:val="21"/>
              </w:rPr>
            </w:pPr>
          </w:p>
        </w:tc>
        <w:tc>
          <w:tcPr>
            <w:tcW w:w="436" w:type="pct"/>
          </w:tcPr>
          <w:p>
            <w:pPr>
              <w:spacing w:line="440" w:lineRule="exact"/>
              <w:jc w:val="center"/>
              <w:rPr>
                <w:szCs w:val="21"/>
              </w:rPr>
            </w:pPr>
          </w:p>
        </w:tc>
        <w:tc>
          <w:tcPr>
            <w:tcW w:w="716" w:type="pct"/>
          </w:tcPr>
          <w:p>
            <w:pPr>
              <w:spacing w:line="440" w:lineRule="exact"/>
              <w:jc w:val="center"/>
              <w:rPr>
                <w:szCs w:val="21"/>
              </w:rPr>
            </w:pPr>
          </w:p>
        </w:tc>
        <w:tc>
          <w:tcPr>
            <w:tcW w:w="976" w:type="pct"/>
          </w:tcPr>
          <w:p>
            <w:pPr>
              <w:spacing w:line="440" w:lineRule="exact"/>
              <w:jc w:val="center"/>
              <w:rPr>
                <w:szCs w:val="21"/>
              </w:rPr>
            </w:pPr>
          </w:p>
        </w:tc>
        <w:tc>
          <w:tcPr>
            <w:tcW w:w="408"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 w:type="pct"/>
          </w:tcPr>
          <w:p>
            <w:pPr>
              <w:spacing w:line="440" w:lineRule="exact"/>
              <w:jc w:val="center"/>
              <w:rPr>
                <w:szCs w:val="21"/>
              </w:rPr>
            </w:pPr>
          </w:p>
        </w:tc>
        <w:tc>
          <w:tcPr>
            <w:tcW w:w="642" w:type="pct"/>
          </w:tcPr>
          <w:p>
            <w:pPr>
              <w:spacing w:line="440" w:lineRule="exact"/>
              <w:jc w:val="center"/>
              <w:rPr>
                <w:szCs w:val="21"/>
              </w:rPr>
            </w:pPr>
          </w:p>
        </w:tc>
        <w:tc>
          <w:tcPr>
            <w:tcW w:w="449" w:type="pct"/>
          </w:tcPr>
          <w:p>
            <w:pPr>
              <w:spacing w:line="440" w:lineRule="exact"/>
              <w:jc w:val="center"/>
              <w:rPr>
                <w:szCs w:val="21"/>
              </w:rPr>
            </w:pPr>
          </w:p>
        </w:tc>
        <w:tc>
          <w:tcPr>
            <w:tcW w:w="585" w:type="pct"/>
          </w:tcPr>
          <w:p>
            <w:pPr>
              <w:spacing w:line="440" w:lineRule="exact"/>
              <w:jc w:val="center"/>
              <w:rPr>
                <w:szCs w:val="21"/>
              </w:rPr>
            </w:pPr>
          </w:p>
        </w:tc>
        <w:tc>
          <w:tcPr>
            <w:tcW w:w="397" w:type="pct"/>
          </w:tcPr>
          <w:p>
            <w:pPr>
              <w:spacing w:line="440" w:lineRule="exact"/>
              <w:jc w:val="center"/>
              <w:rPr>
                <w:szCs w:val="21"/>
              </w:rPr>
            </w:pPr>
          </w:p>
        </w:tc>
        <w:tc>
          <w:tcPr>
            <w:tcW w:w="436" w:type="pct"/>
          </w:tcPr>
          <w:p>
            <w:pPr>
              <w:spacing w:line="440" w:lineRule="exact"/>
              <w:jc w:val="center"/>
              <w:rPr>
                <w:szCs w:val="21"/>
              </w:rPr>
            </w:pPr>
          </w:p>
        </w:tc>
        <w:tc>
          <w:tcPr>
            <w:tcW w:w="716" w:type="pct"/>
          </w:tcPr>
          <w:p>
            <w:pPr>
              <w:spacing w:line="440" w:lineRule="exact"/>
              <w:jc w:val="center"/>
              <w:rPr>
                <w:szCs w:val="21"/>
              </w:rPr>
            </w:pPr>
          </w:p>
        </w:tc>
        <w:tc>
          <w:tcPr>
            <w:tcW w:w="976" w:type="pct"/>
          </w:tcPr>
          <w:p>
            <w:pPr>
              <w:spacing w:line="440" w:lineRule="exact"/>
              <w:jc w:val="center"/>
              <w:rPr>
                <w:szCs w:val="21"/>
              </w:rPr>
            </w:pPr>
          </w:p>
        </w:tc>
        <w:tc>
          <w:tcPr>
            <w:tcW w:w="408" w:type="pct"/>
          </w:tcPr>
          <w:p>
            <w:pPr>
              <w:spacing w:line="440" w:lineRule="exact"/>
              <w:jc w:val="center"/>
              <w:rPr>
                <w:szCs w:val="21"/>
              </w:rPr>
            </w:pPr>
          </w:p>
        </w:tc>
      </w:tr>
    </w:tbl>
    <w:p>
      <w:pPr>
        <w:spacing w:line="440" w:lineRule="exact"/>
        <w:rPr>
          <w:rFonts w:eastAsia="黑体"/>
          <w:sz w:val="20"/>
          <w:szCs w:val="20"/>
        </w:rPr>
      </w:pPr>
    </w:p>
    <w:p>
      <w:pPr>
        <w:spacing w:line="440" w:lineRule="exact"/>
        <w:rPr>
          <w:rFonts w:eastAsia="黑体"/>
          <w:sz w:val="20"/>
          <w:szCs w:val="20"/>
        </w:rPr>
      </w:pPr>
    </w:p>
    <w:p>
      <w:pPr>
        <w:spacing w:line="440" w:lineRule="exact"/>
        <w:rPr>
          <w:rFonts w:eastAsia="黑体"/>
          <w:sz w:val="20"/>
          <w:szCs w:val="20"/>
        </w:rPr>
      </w:pPr>
    </w:p>
    <w:p>
      <w:pPr>
        <w:spacing w:line="440" w:lineRule="exact"/>
        <w:rPr>
          <w:rFonts w:eastAsia="黑体"/>
          <w:sz w:val="20"/>
          <w:szCs w:val="20"/>
        </w:rPr>
      </w:pPr>
    </w:p>
    <w:p>
      <w:pPr>
        <w:pStyle w:val="5"/>
        <w:rPr>
          <w:rFonts w:ascii="宋体" w:cs="Arial"/>
          <w:sz w:val="28"/>
          <w:szCs w:val="24"/>
        </w:rPr>
      </w:pPr>
      <w:bookmarkStart w:id="1607" w:name="_Toc455409895"/>
      <w:bookmarkStart w:id="1608" w:name="_Toc179632819"/>
      <w:bookmarkStart w:id="1609" w:name="_Toc152042588"/>
      <w:bookmarkStart w:id="1610" w:name="_Toc419547974"/>
      <w:bookmarkStart w:id="1611" w:name="_Toc396818271"/>
      <w:bookmarkStart w:id="1612" w:name="_Toc152045799"/>
      <w:bookmarkStart w:id="1613" w:name="_Toc419547428"/>
      <w:bookmarkStart w:id="1614" w:name="_Toc470011372"/>
      <w:bookmarkStart w:id="1615" w:name="_Toc342296583"/>
      <w:bookmarkStart w:id="1616" w:name="_Toc241459826"/>
      <w:bookmarkStart w:id="1617" w:name="_Toc144974867"/>
      <w:bookmarkStart w:id="1618" w:name="_Toc362253049"/>
      <w:r>
        <w:rPr>
          <w:rFonts w:hint="eastAsia" w:ascii="宋体" w:hAnsi="宋体" w:cs="Arial"/>
          <w:sz w:val="28"/>
          <w:szCs w:val="24"/>
        </w:rPr>
        <w:t>附表三：劳动力计划表</w:t>
      </w:r>
      <w:bookmarkEnd w:id="1607"/>
      <w:bookmarkEnd w:id="1608"/>
      <w:bookmarkEnd w:id="1609"/>
      <w:bookmarkEnd w:id="1610"/>
      <w:bookmarkEnd w:id="1611"/>
      <w:bookmarkEnd w:id="1612"/>
      <w:bookmarkEnd w:id="1613"/>
      <w:bookmarkEnd w:id="1614"/>
      <w:bookmarkEnd w:id="1615"/>
      <w:bookmarkEnd w:id="1616"/>
      <w:bookmarkEnd w:id="1617"/>
      <w:bookmarkEnd w:id="1618"/>
    </w:p>
    <w:p>
      <w:pPr>
        <w:wordWrap w:val="0"/>
        <w:spacing w:line="440" w:lineRule="exact"/>
        <w:ind w:right="200"/>
        <w:jc w:val="right"/>
        <w:rPr>
          <w:rFonts w:eastAsia="黑体"/>
          <w:szCs w:val="21"/>
        </w:rPr>
      </w:pPr>
      <w:r>
        <w:rPr>
          <w:rFonts w:hint="eastAsia" w:eastAsia="黑体"/>
          <w:szCs w:val="21"/>
        </w:rPr>
        <w:t>单位：</w:t>
      </w:r>
      <w:r>
        <w:rPr>
          <w:rFonts w:hint="eastAsia" w:eastAsia="黑体"/>
          <w:szCs w:val="21"/>
          <w:u w:val="single"/>
        </w:rPr>
        <w:t>人</w:t>
      </w:r>
      <w:r>
        <w:rPr>
          <w:rFonts w:eastAsia="黑体"/>
          <w:szCs w:val="21"/>
          <w:u w:val="single"/>
        </w:rPr>
        <w:t xml:space="preserve"> </w:t>
      </w:r>
    </w:p>
    <w:tbl>
      <w:tblPr>
        <w:tblStyle w:val="4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352"/>
        <w:gridCol w:w="1104"/>
        <w:gridCol w:w="1104"/>
        <w:gridCol w:w="1104"/>
        <w:gridCol w:w="1104"/>
        <w:gridCol w:w="1104"/>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Align w:val="center"/>
          </w:tcPr>
          <w:p>
            <w:pPr>
              <w:snapToGrid w:val="0"/>
              <w:spacing w:before="120" w:beforeLines="50" w:after="120" w:afterLines="50"/>
              <w:jc w:val="center"/>
              <w:rPr>
                <w:szCs w:val="21"/>
              </w:rPr>
            </w:pPr>
            <w:r>
              <w:rPr>
                <w:rFonts w:hint="eastAsia"/>
                <w:szCs w:val="21"/>
              </w:rPr>
              <w:t>工种</w:t>
            </w:r>
          </w:p>
        </w:tc>
        <w:tc>
          <w:tcPr>
            <w:tcW w:w="4514" w:type="pct"/>
            <w:gridSpan w:val="7"/>
            <w:vAlign w:val="center"/>
          </w:tcPr>
          <w:p>
            <w:pPr>
              <w:snapToGrid w:val="0"/>
              <w:spacing w:before="120" w:beforeLines="50" w:after="120" w:afterLines="50"/>
              <w:jc w:val="center"/>
              <w:rPr>
                <w:szCs w:val="21"/>
              </w:rPr>
            </w:pPr>
            <w:r>
              <w:rPr>
                <w:rFonts w:hint="eastAsia"/>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Align w:val="center"/>
          </w:tcPr>
          <w:p>
            <w:pPr>
              <w:spacing w:line="440" w:lineRule="exact"/>
              <w:jc w:val="center"/>
              <w:rPr>
                <w:szCs w:val="21"/>
              </w:rPr>
            </w:pPr>
          </w:p>
        </w:tc>
        <w:tc>
          <w:tcPr>
            <w:tcW w:w="765" w:type="pct"/>
            <w:vAlign w:val="center"/>
          </w:tcPr>
          <w:p>
            <w:pPr>
              <w:spacing w:line="440" w:lineRule="exact"/>
              <w:jc w:val="center"/>
              <w:rPr>
                <w:szCs w:val="21"/>
              </w:rPr>
            </w:pPr>
          </w:p>
        </w:tc>
        <w:tc>
          <w:tcPr>
            <w:tcW w:w="625" w:type="pct"/>
            <w:vAlign w:val="center"/>
          </w:tcPr>
          <w:p>
            <w:pPr>
              <w:spacing w:line="440" w:lineRule="exact"/>
              <w:jc w:val="center"/>
              <w:rPr>
                <w:szCs w:val="21"/>
              </w:rPr>
            </w:pPr>
          </w:p>
        </w:tc>
        <w:tc>
          <w:tcPr>
            <w:tcW w:w="625" w:type="pct"/>
            <w:vAlign w:val="center"/>
          </w:tcPr>
          <w:p>
            <w:pPr>
              <w:spacing w:line="440" w:lineRule="exact"/>
              <w:jc w:val="center"/>
              <w:rPr>
                <w:szCs w:val="21"/>
              </w:rPr>
            </w:pPr>
          </w:p>
        </w:tc>
        <w:tc>
          <w:tcPr>
            <w:tcW w:w="625" w:type="pct"/>
            <w:vAlign w:val="center"/>
          </w:tcPr>
          <w:p>
            <w:pPr>
              <w:spacing w:line="440" w:lineRule="exact"/>
              <w:jc w:val="center"/>
              <w:rPr>
                <w:szCs w:val="21"/>
              </w:rPr>
            </w:pPr>
          </w:p>
        </w:tc>
        <w:tc>
          <w:tcPr>
            <w:tcW w:w="625" w:type="pct"/>
            <w:vAlign w:val="center"/>
          </w:tcPr>
          <w:p>
            <w:pPr>
              <w:spacing w:line="440" w:lineRule="exact"/>
              <w:jc w:val="center"/>
              <w:rPr>
                <w:szCs w:val="21"/>
              </w:rPr>
            </w:pPr>
          </w:p>
        </w:tc>
        <w:tc>
          <w:tcPr>
            <w:tcW w:w="625" w:type="pct"/>
            <w:vAlign w:val="center"/>
          </w:tcPr>
          <w:p>
            <w:pPr>
              <w:spacing w:line="440" w:lineRule="exact"/>
              <w:jc w:val="center"/>
              <w:rPr>
                <w:szCs w:val="21"/>
              </w:rPr>
            </w:pPr>
          </w:p>
        </w:tc>
        <w:tc>
          <w:tcPr>
            <w:tcW w:w="624" w:type="pct"/>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Align w:val="center"/>
          </w:tcPr>
          <w:p>
            <w:pPr>
              <w:spacing w:line="440" w:lineRule="exact"/>
              <w:jc w:val="center"/>
              <w:rPr>
                <w:szCs w:val="21"/>
              </w:rPr>
            </w:pPr>
          </w:p>
        </w:tc>
        <w:tc>
          <w:tcPr>
            <w:tcW w:w="765" w:type="pct"/>
            <w:vAlign w:val="center"/>
          </w:tcPr>
          <w:p>
            <w:pPr>
              <w:spacing w:line="440" w:lineRule="exact"/>
              <w:jc w:val="center"/>
              <w:rPr>
                <w:szCs w:val="21"/>
              </w:rPr>
            </w:pPr>
          </w:p>
        </w:tc>
        <w:tc>
          <w:tcPr>
            <w:tcW w:w="625" w:type="pct"/>
            <w:vAlign w:val="center"/>
          </w:tcPr>
          <w:p>
            <w:pPr>
              <w:spacing w:line="440" w:lineRule="exact"/>
              <w:jc w:val="center"/>
              <w:rPr>
                <w:szCs w:val="21"/>
              </w:rPr>
            </w:pPr>
          </w:p>
        </w:tc>
        <w:tc>
          <w:tcPr>
            <w:tcW w:w="625" w:type="pct"/>
            <w:vAlign w:val="center"/>
          </w:tcPr>
          <w:p>
            <w:pPr>
              <w:spacing w:line="440" w:lineRule="exact"/>
              <w:jc w:val="center"/>
              <w:rPr>
                <w:szCs w:val="21"/>
              </w:rPr>
            </w:pPr>
          </w:p>
        </w:tc>
        <w:tc>
          <w:tcPr>
            <w:tcW w:w="625" w:type="pct"/>
            <w:vAlign w:val="center"/>
          </w:tcPr>
          <w:p>
            <w:pPr>
              <w:spacing w:line="440" w:lineRule="exact"/>
              <w:jc w:val="center"/>
              <w:rPr>
                <w:szCs w:val="21"/>
              </w:rPr>
            </w:pPr>
          </w:p>
        </w:tc>
        <w:tc>
          <w:tcPr>
            <w:tcW w:w="625" w:type="pct"/>
            <w:vAlign w:val="center"/>
          </w:tcPr>
          <w:p>
            <w:pPr>
              <w:spacing w:line="440" w:lineRule="exact"/>
              <w:jc w:val="center"/>
              <w:rPr>
                <w:szCs w:val="21"/>
              </w:rPr>
            </w:pPr>
          </w:p>
        </w:tc>
        <w:tc>
          <w:tcPr>
            <w:tcW w:w="625" w:type="pct"/>
            <w:vAlign w:val="center"/>
          </w:tcPr>
          <w:p>
            <w:pPr>
              <w:spacing w:line="440" w:lineRule="exact"/>
              <w:jc w:val="center"/>
              <w:rPr>
                <w:szCs w:val="21"/>
              </w:rPr>
            </w:pPr>
          </w:p>
        </w:tc>
        <w:tc>
          <w:tcPr>
            <w:tcW w:w="624" w:type="pct"/>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6" w:type="pct"/>
          </w:tcPr>
          <w:p>
            <w:pPr>
              <w:spacing w:line="440" w:lineRule="exact"/>
              <w:jc w:val="center"/>
              <w:rPr>
                <w:szCs w:val="21"/>
              </w:rPr>
            </w:pPr>
          </w:p>
        </w:tc>
        <w:tc>
          <w:tcPr>
            <w:tcW w:w="76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4"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pPr>
              <w:spacing w:line="440" w:lineRule="exact"/>
              <w:jc w:val="center"/>
              <w:rPr>
                <w:szCs w:val="21"/>
              </w:rPr>
            </w:pPr>
          </w:p>
        </w:tc>
        <w:tc>
          <w:tcPr>
            <w:tcW w:w="76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4"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pPr>
              <w:spacing w:line="440" w:lineRule="exact"/>
              <w:jc w:val="center"/>
              <w:rPr>
                <w:szCs w:val="21"/>
              </w:rPr>
            </w:pPr>
          </w:p>
        </w:tc>
        <w:tc>
          <w:tcPr>
            <w:tcW w:w="76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4"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pPr>
              <w:spacing w:line="440" w:lineRule="exact"/>
              <w:jc w:val="center"/>
              <w:rPr>
                <w:szCs w:val="21"/>
              </w:rPr>
            </w:pPr>
          </w:p>
        </w:tc>
        <w:tc>
          <w:tcPr>
            <w:tcW w:w="76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4"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6" w:type="pct"/>
          </w:tcPr>
          <w:p>
            <w:pPr>
              <w:spacing w:line="440" w:lineRule="exact"/>
              <w:jc w:val="center"/>
              <w:rPr>
                <w:szCs w:val="21"/>
              </w:rPr>
            </w:pPr>
          </w:p>
        </w:tc>
        <w:tc>
          <w:tcPr>
            <w:tcW w:w="76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4"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pPr>
              <w:spacing w:line="440" w:lineRule="exact"/>
              <w:jc w:val="center"/>
              <w:rPr>
                <w:szCs w:val="21"/>
              </w:rPr>
            </w:pPr>
          </w:p>
        </w:tc>
        <w:tc>
          <w:tcPr>
            <w:tcW w:w="76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4"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pPr>
              <w:spacing w:line="440" w:lineRule="exact"/>
              <w:jc w:val="center"/>
              <w:rPr>
                <w:szCs w:val="21"/>
              </w:rPr>
            </w:pPr>
          </w:p>
        </w:tc>
        <w:tc>
          <w:tcPr>
            <w:tcW w:w="76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4"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pPr>
              <w:spacing w:line="440" w:lineRule="exact"/>
              <w:jc w:val="center"/>
              <w:rPr>
                <w:szCs w:val="21"/>
              </w:rPr>
            </w:pPr>
          </w:p>
        </w:tc>
        <w:tc>
          <w:tcPr>
            <w:tcW w:w="76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4"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6" w:type="pct"/>
          </w:tcPr>
          <w:p>
            <w:pPr>
              <w:spacing w:line="440" w:lineRule="exact"/>
              <w:jc w:val="center"/>
              <w:rPr>
                <w:szCs w:val="21"/>
              </w:rPr>
            </w:pPr>
          </w:p>
        </w:tc>
        <w:tc>
          <w:tcPr>
            <w:tcW w:w="76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4"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pPr>
              <w:spacing w:line="440" w:lineRule="exact"/>
              <w:jc w:val="center"/>
              <w:rPr>
                <w:szCs w:val="21"/>
              </w:rPr>
            </w:pPr>
          </w:p>
        </w:tc>
        <w:tc>
          <w:tcPr>
            <w:tcW w:w="76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4"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pPr>
              <w:spacing w:line="440" w:lineRule="exact"/>
              <w:jc w:val="center"/>
              <w:rPr>
                <w:szCs w:val="21"/>
              </w:rPr>
            </w:pPr>
          </w:p>
        </w:tc>
        <w:tc>
          <w:tcPr>
            <w:tcW w:w="76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4"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pPr>
              <w:spacing w:line="440" w:lineRule="exact"/>
              <w:jc w:val="center"/>
              <w:rPr>
                <w:szCs w:val="21"/>
              </w:rPr>
            </w:pPr>
          </w:p>
        </w:tc>
        <w:tc>
          <w:tcPr>
            <w:tcW w:w="76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4"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6" w:type="pct"/>
          </w:tcPr>
          <w:p>
            <w:pPr>
              <w:spacing w:line="440" w:lineRule="exact"/>
              <w:jc w:val="center"/>
              <w:rPr>
                <w:szCs w:val="21"/>
              </w:rPr>
            </w:pPr>
          </w:p>
        </w:tc>
        <w:tc>
          <w:tcPr>
            <w:tcW w:w="76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4"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pPr>
              <w:spacing w:line="440" w:lineRule="exact"/>
              <w:jc w:val="center"/>
              <w:rPr>
                <w:szCs w:val="21"/>
              </w:rPr>
            </w:pPr>
          </w:p>
        </w:tc>
        <w:tc>
          <w:tcPr>
            <w:tcW w:w="76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4"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pPr>
              <w:spacing w:line="440" w:lineRule="exact"/>
              <w:jc w:val="center"/>
              <w:rPr>
                <w:szCs w:val="21"/>
              </w:rPr>
            </w:pPr>
          </w:p>
        </w:tc>
        <w:tc>
          <w:tcPr>
            <w:tcW w:w="76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4"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pPr>
              <w:spacing w:line="440" w:lineRule="exact"/>
              <w:jc w:val="center"/>
              <w:rPr>
                <w:szCs w:val="21"/>
              </w:rPr>
            </w:pPr>
          </w:p>
        </w:tc>
        <w:tc>
          <w:tcPr>
            <w:tcW w:w="76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4"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6" w:type="pct"/>
          </w:tcPr>
          <w:p>
            <w:pPr>
              <w:spacing w:line="440" w:lineRule="exact"/>
              <w:jc w:val="center"/>
              <w:rPr>
                <w:szCs w:val="21"/>
              </w:rPr>
            </w:pPr>
          </w:p>
        </w:tc>
        <w:tc>
          <w:tcPr>
            <w:tcW w:w="76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4"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pPr>
              <w:spacing w:line="440" w:lineRule="exact"/>
              <w:jc w:val="center"/>
              <w:rPr>
                <w:szCs w:val="21"/>
              </w:rPr>
            </w:pPr>
          </w:p>
        </w:tc>
        <w:tc>
          <w:tcPr>
            <w:tcW w:w="76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4"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pPr>
              <w:spacing w:line="440" w:lineRule="exact"/>
              <w:jc w:val="center"/>
              <w:rPr>
                <w:szCs w:val="21"/>
              </w:rPr>
            </w:pPr>
          </w:p>
        </w:tc>
        <w:tc>
          <w:tcPr>
            <w:tcW w:w="76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4"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pPr>
              <w:spacing w:line="440" w:lineRule="exact"/>
              <w:jc w:val="center"/>
              <w:rPr>
                <w:szCs w:val="21"/>
              </w:rPr>
            </w:pPr>
          </w:p>
        </w:tc>
        <w:tc>
          <w:tcPr>
            <w:tcW w:w="76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4"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6" w:type="pct"/>
          </w:tcPr>
          <w:p>
            <w:pPr>
              <w:spacing w:line="440" w:lineRule="exact"/>
              <w:jc w:val="center"/>
              <w:rPr>
                <w:szCs w:val="21"/>
              </w:rPr>
            </w:pPr>
          </w:p>
        </w:tc>
        <w:tc>
          <w:tcPr>
            <w:tcW w:w="76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4"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pPr>
              <w:spacing w:line="440" w:lineRule="exact"/>
              <w:jc w:val="center"/>
              <w:rPr>
                <w:szCs w:val="21"/>
              </w:rPr>
            </w:pPr>
          </w:p>
        </w:tc>
        <w:tc>
          <w:tcPr>
            <w:tcW w:w="76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4"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pPr>
              <w:spacing w:line="440" w:lineRule="exact"/>
              <w:jc w:val="center"/>
              <w:rPr>
                <w:szCs w:val="21"/>
              </w:rPr>
            </w:pPr>
          </w:p>
        </w:tc>
        <w:tc>
          <w:tcPr>
            <w:tcW w:w="76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5" w:type="pct"/>
          </w:tcPr>
          <w:p>
            <w:pPr>
              <w:spacing w:line="440" w:lineRule="exact"/>
              <w:jc w:val="center"/>
              <w:rPr>
                <w:szCs w:val="21"/>
              </w:rPr>
            </w:pPr>
          </w:p>
        </w:tc>
        <w:tc>
          <w:tcPr>
            <w:tcW w:w="624" w:type="pct"/>
          </w:tcPr>
          <w:p>
            <w:pPr>
              <w:spacing w:line="440" w:lineRule="exact"/>
              <w:jc w:val="center"/>
              <w:rPr>
                <w:szCs w:val="21"/>
              </w:rPr>
            </w:pPr>
          </w:p>
        </w:tc>
      </w:tr>
    </w:tbl>
    <w:p>
      <w:pPr>
        <w:tabs>
          <w:tab w:val="left" w:pos="720"/>
        </w:tabs>
        <w:spacing w:line="440" w:lineRule="exact"/>
        <w:ind w:firstLine="756" w:firstLineChars="360"/>
        <w:rPr>
          <w:szCs w:val="21"/>
        </w:rPr>
      </w:pPr>
    </w:p>
    <w:p>
      <w:pPr>
        <w:spacing w:line="440" w:lineRule="exact"/>
        <w:ind w:left="315" w:hanging="315" w:hangingChars="150"/>
        <w:rPr>
          <w:rFonts w:ascii="宋体"/>
          <w:szCs w:val="21"/>
        </w:rPr>
        <w:sectPr>
          <w:pgSz w:w="11906" w:h="16838"/>
          <w:pgMar w:top="1361" w:right="1644" w:bottom="1191" w:left="1644" w:header="851" w:footer="992" w:gutter="0"/>
          <w:cols w:space="425" w:num="1"/>
          <w:docGrid w:linePitch="312" w:charSpace="0"/>
        </w:sectPr>
      </w:pPr>
    </w:p>
    <w:p>
      <w:pPr>
        <w:pStyle w:val="5"/>
        <w:rPr>
          <w:rFonts w:ascii="宋体" w:cs="Arial"/>
          <w:sz w:val="28"/>
          <w:szCs w:val="24"/>
        </w:rPr>
      </w:pPr>
      <w:bookmarkStart w:id="1619" w:name="_Toc396818272"/>
      <w:bookmarkStart w:id="1620" w:name="_Toc470011373"/>
      <w:bookmarkStart w:id="1621" w:name="_Toc455409896"/>
      <w:bookmarkStart w:id="1622" w:name="_Toc419547429"/>
      <w:bookmarkStart w:id="1623" w:name="_Toc419547975"/>
      <w:r>
        <w:rPr>
          <w:rFonts w:hint="eastAsia" w:ascii="宋体" w:hAnsi="宋体" w:cs="Arial"/>
          <w:sz w:val="28"/>
          <w:szCs w:val="24"/>
        </w:rPr>
        <w:t>附表四：</w:t>
      </w:r>
      <w:r>
        <w:rPr>
          <w:rFonts w:hint="eastAsia" w:ascii="宋体" w:hAnsi="宋体"/>
          <w:sz w:val="28"/>
        </w:rPr>
        <w:t>材料设备及</w:t>
      </w:r>
      <w:r>
        <w:rPr>
          <w:rFonts w:hint="eastAsia" w:ascii="宋体" w:hAnsi="宋体" w:cs="Arial"/>
          <w:sz w:val="28"/>
          <w:szCs w:val="24"/>
        </w:rPr>
        <w:t>苗木供应计划表</w:t>
      </w:r>
      <w:bookmarkEnd w:id="1619"/>
      <w:bookmarkEnd w:id="1620"/>
      <w:bookmarkEnd w:id="1621"/>
      <w:bookmarkEnd w:id="1622"/>
      <w:bookmarkEnd w:id="1623"/>
    </w:p>
    <w:p>
      <w:pPr>
        <w:wordWrap w:val="0"/>
        <w:spacing w:line="440" w:lineRule="exact"/>
        <w:ind w:right="200"/>
        <w:jc w:val="right"/>
        <w:rPr>
          <w:rFonts w:eastAsia="黑体"/>
          <w:szCs w:val="21"/>
        </w:rPr>
      </w:pPr>
      <w:r>
        <w:rPr>
          <w:rFonts w:hint="eastAsia" w:eastAsia="黑体"/>
          <w:szCs w:val="21"/>
        </w:rPr>
        <w:t>单位：</w:t>
      </w:r>
      <w:r>
        <w:rPr>
          <w:rFonts w:eastAsia="黑体"/>
          <w:szCs w:val="21"/>
          <w:u w:val="single"/>
        </w:rPr>
        <w:t xml:space="preserve">    </w:t>
      </w:r>
    </w:p>
    <w:tbl>
      <w:tblPr>
        <w:tblStyle w:val="49"/>
        <w:tblW w:w="49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1353"/>
        <w:gridCol w:w="1105"/>
        <w:gridCol w:w="1105"/>
        <w:gridCol w:w="1105"/>
        <w:gridCol w:w="1105"/>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pct"/>
            <w:vMerge w:val="restart"/>
            <w:vAlign w:val="center"/>
          </w:tcPr>
          <w:p>
            <w:pPr>
              <w:snapToGrid w:val="0"/>
              <w:jc w:val="center"/>
              <w:rPr>
                <w:szCs w:val="21"/>
              </w:rPr>
            </w:pPr>
            <w:r>
              <w:rPr>
                <w:rFonts w:hint="eastAsia"/>
                <w:szCs w:val="21"/>
              </w:rPr>
              <w:t>序号</w:t>
            </w:r>
          </w:p>
        </w:tc>
        <w:tc>
          <w:tcPr>
            <w:tcW w:w="4512" w:type="pct"/>
            <w:gridSpan w:val="6"/>
            <w:vAlign w:val="center"/>
          </w:tcPr>
          <w:p>
            <w:pPr>
              <w:snapToGrid w:val="0"/>
              <w:spacing w:before="120" w:beforeLines="50" w:after="120" w:afterLines="50"/>
              <w:jc w:val="center"/>
              <w:rPr>
                <w:szCs w:val="21"/>
              </w:rPr>
            </w:pPr>
            <w:r>
              <w:rPr>
                <w:rFonts w:hint="eastAsia"/>
                <w:szCs w:val="21"/>
              </w:rPr>
              <w:t>按工程施工阶段材料设备及苗木供应情况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pct"/>
            <w:vMerge w:val="continue"/>
            <w:vAlign w:val="center"/>
          </w:tcPr>
          <w:p>
            <w:pPr>
              <w:snapToGrid w:val="0"/>
              <w:jc w:val="center"/>
              <w:rPr>
                <w:szCs w:val="21"/>
              </w:rPr>
            </w:pPr>
          </w:p>
        </w:tc>
        <w:tc>
          <w:tcPr>
            <w:tcW w:w="769" w:type="pct"/>
            <w:vAlign w:val="center"/>
          </w:tcPr>
          <w:p>
            <w:pPr>
              <w:snapToGrid w:val="0"/>
              <w:spacing w:before="120" w:beforeLines="50" w:after="120" w:afterLines="50"/>
              <w:jc w:val="center"/>
              <w:rPr>
                <w:szCs w:val="21"/>
              </w:rPr>
            </w:pPr>
            <w:r>
              <w:rPr>
                <w:rFonts w:hint="eastAsia"/>
                <w:szCs w:val="21"/>
              </w:rPr>
              <w:t>品种</w:t>
            </w:r>
          </w:p>
        </w:tc>
        <w:tc>
          <w:tcPr>
            <w:tcW w:w="628" w:type="pct"/>
            <w:vAlign w:val="center"/>
          </w:tcPr>
          <w:p>
            <w:pPr>
              <w:snapToGrid w:val="0"/>
              <w:jc w:val="center"/>
              <w:rPr>
                <w:szCs w:val="21"/>
              </w:rPr>
            </w:pPr>
            <w:r>
              <w:rPr>
                <w:rFonts w:hint="eastAsia"/>
                <w:szCs w:val="21"/>
              </w:rPr>
              <w:t>规格</w:t>
            </w:r>
          </w:p>
        </w:tc>
        <w:tc>
          <w:tcPr>
            <w:tcW w:w="628" w:type="pct"/>
            <w:vAlign w:val="center"/>
          </w:tcPr>
          <w:p>
            <w:pPr>
              <w:snapToGrid w:val="0"/>
              <w:jc w:val="center"/>
              <w:rPr>
                <w:szCs w:val="21"/>
              </w:rPr>
            </w:pPr>
            <w:r>
              <w:rPr>
                <w:rFonts w:hint="eastAsia"/>
                <w:szCs w:val="21"/>
              </w:rPr>
              <w:t>数量</w:t>
            </w:r>
          </w:p>
        </w:tc>
        <w:tc>
          <w:tcPr>
            <w:tcW w:w="628" w:type="pct"/>
            <w:vAlign w:val="center"/>
          </w:tcPr>
          <w:p>
            <w:pPr>
              <w:snapToGrid w:val="0"/>
              <w:jc w:val="center"/>
              <w:rPr>
                <w:szCs w:val="21"/>
              </w:rPr>
            </w:pPr>
            <w:r>
              <w:rPr>
                <w:rFonts w:hint="eastAsia"/>
                <w:szCs w:val="21"/>
              </w:rPr>
              <w:t>产地</w:t>
            </w:r>
          </w:p>
        </w:tc>
        <w:tc>
          <w:tcPr>
            <w:tcW w:w="628" w:type="pct"/>
            <w:vAlign w:val="center"/>
          </w:tcPr>
          <w:p>
            <w:pPr>
              <w:snapToGrid w:val="0"/>
              <w:jc w:val="center"/>
              <w:rPr>
                <w:szCs w:val="21"/>
              </w:rPr>
            </w:pPr>
            <w:r>
              <w:rPr>
                <w:rFonts w:hint="eastAsia"/>
                <w:szCs w:val="21"/>
              </w:rPr>
              <w:t>进场时间</w:t>
            </w:r>
          </w:p>
        </w:tc>
        <w:tc>
          <w:tcPr>
            <w:tcW w:w="1232" w:type="pct"/>
            <w:vAlign w:val="center"/>
          </w:tcPr>
          <w:p>
            <w:pPr>
              <w:snapToGrid w:val="0"/>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pct"/>
            <w:vAlign w:val="center"/>
          </w:tcPr>
          <w:p>
            <w:pPr>
              <w:spacing w:line="440" w:lineRule="exact"/>
              <w:jc w:val="center"/>
              <w:rPr>
                <w:szCs w:val="21"/>
              </w:rPr>
            </w:pPr>
          </w:p>
        </w:tc>
        <w:tc>
          <w:tcPr>
            <w:tcW w:w="769" w:type="pct"/>
            <w:vAlign w:val="center"/>
          </w:tcPr>
          <w:p>
            <w:pPr>
              <w:spacing w:line="440" w:lineRule="exact"/>
              <w:jc w:val="center"/>
              <w:rPr>
                <w:szCs w:val="21"/>
              </w:rPr>
            </w:pPr>
          </w:p>
        </w:tc>
        <w:tc>
          <w:tcPr>
            <w:tcW w:w="628" w:type="pct"/>
            <w:vAlign w:val="center"/>
          </w:tcPr>
          <w:p>
            <w:pPr>
              <w:spacing w:line="440" w:lineRule="exact"/>
              <w:jc w:val="center"/>
              <w:rPr>
                <w:szCs w:val="21"/>
              </w:rPr>
            </w:pPr>
          </w:p>
        </w:tc>
        <w:tc>
          <w:tcPr>
            <w:tcW w:w="628" w:type="pct"/>
            <w:vAlign w:val="center"/>
          </w:tcPr>
          <w:p>
            <w:pPr>
              <w:spacing w:line="440" w:lineRule="exact"/>
              <w:jc w:val="center"/>
              <w:rPr>
                <w:szCs w:val="21"/>
              </w:rPr>
            </w:pPr>
          </w:p>
        </w:tc>
        <w:tc>
          <w:tcPr>
            <w:tcW w:w="628" w:type="pct"/>
            <w:vAlign w:val="center"/>
          </w:tcPr>
          <w:p>
            <w:pPr>
              <w:spacing w:line="440" w:lineRule="exact"/>
              <w:jc w:val="center"/>
              <w:rPr>
                <w:szCs w:val="21"/>
              </w:rPr>
            </w:pPr>
          </w:p>
        </w:tc>
        <w:tc>
          <w:tcPr>
            <w:tcW w:w="628" w:type="pct"/>
            <w:vAlign w:val="center"/>
          </w:tcPr>
          <w:p>
            <w:pPr>
              <w:spacing w:line="440" w:lineRule="exact"/>
              <w:jc w:val="center"/>
              <w:rPr>
                <w:szCs w:val="21"/>
              </w:rPr>
            </w:pPr>
          </w:p>
        </w:tc>
        <w:tc>
          <w:tcPr>
            <w:tcW w:w="1232" w:type="pct"/>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8" w:type="pct"/>
          </w:tcPr>
          <w:p>
            <w:pPr>
              <w:spacing w:line="440" w:lineRule="exact"/>
              <w:jc w:val="center"/>
              <w:rPr>
                <w:szCs w:val="21"/>
              </w:rPr>
            </w:pPr>
          </w:p>
        </w:tc>
        <w:tc>
          <w:tcPr>
            <w:tcW w:w="769"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1232"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pct"/>
          </w:tcPr>
          <w:p>
            <w:pPr>
              <w:spacing w:line="440" w:lineRule="exact"/>
              <w:jc w:val="center"/>
              <w:rPr>
                <w:szCs w:val="21"/>
              </w:rPr>
            </w:pPr>
          </w:p>
        </w:tc>
        <w:tc>
          <w:tcPr>
            <w:tcW w:w="769"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1232"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pct"/>
          </w:tcPr>
          <w:p>
            <w:pPr>
              <w:spacing w:line="440" w:lineRule="exact"/>
              <w:jc w:val="center"/>
              <w:rPr>
                <w:szCs w:val="21"/>
              </w:rPr>
            </w:pPr>
          </w:p>
        </w:tc>
        <w:tc>
          <w:tcPr>
            <w:tcW w:w="769"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1232"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pct"/>
          </w:tcPr>
          <w:p>
            <w:pPr>
              <w:spacing w:line="440" w:lineRule="exact"/>
              <w:jc w:val="center"/>
              <w:rPr>
                <w:szCs w:val="21"/>
              </w:rPr>
            </w:pPr>
          </w:p>
        </w:tc>
        <w:tc>
          <w:tcPr>
            <w:tcW w:w="769"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1232"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8" w:type="pct"/>
          </w:tcPr>
          <w:p>
            <w:pPr>
              <w:spacing w:line="440" w:lineRule="exact"/>
              <w:jc w:val="center"/>
              <w:rPr>
                <w:szCs w:val="21"/>
              </w:rPr>
            </w:pPr>
          </w:p>
        </w:tc>
        <w:tc>
          <w:tcPr>
            <w:tcW w:w="769"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1232"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pct"/>
          </w:tcPr>
          <w:p>
            <w:pPr>
              <w:spacing w:line="440" w:lineRule="exact"/>
              <w:jc w:val="center"/>
              <w:rPr>
                <w:szCs w:val="21"/>
              </w:rPr>
            </w:pPr>
          </w:p>
        </w:tc>
        <w:tc>
          <w:tcPr>
            <w:tcW w:w="769"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1232"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pct"/>
          </w:tcPr>
          <w:p>
            <w:pPr>
              <w:spacing w:line="440" w:lineRule="exact"/>
              <w:jc w:val="center"/>
              <w:rPr>
                <w:szCs w:val="21"/>
              </w:rPr>
            </w:pPr>
          </w:p>
        </w:tc>
        <w:tc>
          <w:tcPr>
            <w:tcW w:w="769"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1232"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pct"/>
          </w:tcPr>
          <w:p>
            <w:pPr>
              <w:spacing w:line="440" w:lineRule="exact"/>
              <w:jc w:val="center"/>
              <w:rPr>
                <w:szCs w:val="21"/>
              </w:rPr>
            </w:pPr>
          </w:p>
        </w:tc>
        <w:tc>
          <w:tcPr>
            <w:tcW w:w="769"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1232"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8" w:type="pct"/>
          </w:tcPr>
          <w:p>
            <w:pPr>
              <w:spacing w:line="440" w:lineRule="exact"/>
              <w:jc w:val="center"/>
              <w:rPr>
                <w:szCs w:val="21"/>
              </w:rPr>
            </w:pPr>
          </w:p>
        </w:tc>
        <w:tc>
          <w:tcPr>
            <w:tcW w:w="769"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1232"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pct"/>
          </w:tcPr>
          <w:p>
            <w:pPr>
              <w:spacing w:line="440" w:lineRule="exact"/>
              <w:jc w:val="center"/>
              <w:rPr>
                <w:szCs w:val="21"/>
              </w:rPr>
            </w:pPr>
          </w:p>
        </w:tc>
        <w:tc>
          <w:tcPr>
            <w:tcW w:w="769"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1232"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pct"/>
          </w:tcPr>
          <w:p>
            <w:pPr>
              <w:spacing w:line="440" w:lineRule="exact"/>
              <w:jc w:val="center"/>
              <w:rPr>
                <w:szCs w:val="21"/>
              </w:rPr>
            </w:pPr>
          </w:p>
        </w:tc>
        <w:tc>
          <w:tcPr>
            <w:tcW w:w="769"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1232"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pct"/>
          </w:tcPr>
          <w:p>
            <w:pPr>
              <w:spacing w:line="440" w:lineRule="exact"/>
              <w:jc w:val="center"/>
              <w:rPr>
                <w:szCs w:val="21"/>
              </w:rPr>
            </w:pPr>
          </w:p>
        </w:tc>
        <w:tc>
          <w:tcPr>
            <w:tcW w:w="769"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1232"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8" w:type="pct"/>
          </w:tcPr>
          <w:p>
            <w:pPr>
              <w:spacing w:line="440" w:lineRule="exact"/>
              <w:jc w:val="center"/>
              <w:rPr>
                <w:szCs w:val="21"/>
              </w:rPr>
            </w:pPr>
          </w:p>
        </w:tc>
        <w:tc>
          <w:tcPr>
            <w:tcW w:w="769"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1232"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pct"/>
          </w:tcPr>
          <w:p>
            <w:pPr>
              <w:spacing w:line="440" w:lineRule="exact"/>
              <w:jc w:val="center"/>
              <w:rPr>
                <w:szCs w:val="21"/>
              </w:rPr>
            </w:pPr>
          </w:p>
        </w:tc>
        <w:tc>
          <w:tcPr>
            <w:tcW w:w="769"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1232"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pct"/>
          </w:tcPr>
          <w:p>
            <w:pPr>
              <w:spacing w:line="440" w:lineRule="exact"/>
              <w:jc w:val="center"/>
              <w:rPr>
                <w:szCs w:val="21"/>
              </w:rPr>
            </w:pPr>
          </w:p>
        </w:tc>
        <w:tc>
          <w:tcPr>
            <w:tcW w:w="769"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1232"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pct"/>
          </w:tcPr>
          <w:p>
            <w:pPr>
              <w:spacing w:line="440" w:lineRule="exact"/>
              <w:jc w:val="center"/>
              <w:rPr>
                <w:szCs w:val="21"/>
              </w:rPr>
            </w:pPr>
          </w:p>
        </w:tc>
        <w:tc>
          <w:tcPr>
            <w:tcW w:w="769"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1232"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8" w:type="pct"/>
          </w:tcPr>
          <w:p>
            <w:pPr>
              <w:spacing w:line="440" w:lineRule="exact"/>
              <w:jc w:val="center"/>
              <w:rPr>
                <w:szCs w:val="21"/>
              </w:rPr>
            </w:pPr>
          </w:p>
        </w:tc>
        <w:tc>
          <w:tcPr>
            <w:tcW w:w="769"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1232"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pct"/>
          </w:tcPr>
          <w:p>
            <w:pPr>
              <w:spacing w:line="440" w:lineRule="exact"/>
              <w:jc w:val="center"/>
              <w:rPr>
                <w:szCs w:val="21"/>
              </w:rPr>
            </w:pPr>
          </w:p>
        </w:tc>
        <w:tc>
          <w:tcPr>
            <w:tcW w:w="769"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1232"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pct"/>
          </w:tcPr>
          <w:p>
            <w:pPr>
              <w:spacing w:line="440" w:lineRule="exact"/>
              <w:jc w:val="center"/>
              <w:rPr>
                <w:szCs w:val="21"/>
              </w:rPr>
            </w:pPr>
          </w:p>
        </w:tc>
        <w:tc>
          <w:tcPr>
            <w:tcW w:w="769"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1232"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pct"/>
          </w:tcPr>
          <w:p>
            <w:pPr>
              <w:spacing w:line="440" w:lineRule="exact"/>
              <w:jc w:val="center"/>
              <w:rPr>
                <w:szCs w:val="21"/>
              </w:rPr>
            </w:pPr>
          </w:p>
        </w:tc>
        <w:tc>
          <w:tcPr>
            <w:tcW w:w="769"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1232"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8" w:type="pct"/>
          </w:tcPr>
          <w:p>
            <w:pPr>
              <w:spacing w:line="440" w:lineRule="exact"/>
              <w:jc w:val="center"/>
              <w:rPr>
                <w:szCs w:val="21"/>
              </w:rPr>
            </w:pPr>
          </w:p>
        </w:tc>
        <w:tc>
          <w:tcPr>
            <w:tcW w:w="769"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1232"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pct"/>
          </w:tcPr>
          <w:p>
            <w:pPr>
              <w:spacing w:line="440" w:lineRule="exact"/>
              <w:jc w:val="center"/>
              <w:rPr>
                <w:szCs w:val="21"/>
              </w:rPr>
            </w:pPr>
          </w:p>
        </w:tc>
        <w:tc>
          <w:tcPr>
            <w:tcW w:w="769"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1232" w:type="pct"/>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pct"/>
          </w:tcPr>
          <w:p>
            <w:pPr>
              <w:spacing w:line="440" w:lineRule="exact"/>
              <w:jc w:val="center"/>
              <w:rPr>
                <w:szCs w:val="21"/>
              </w:rPr>
            </w:pPr>
          </w:p>
        </w:tc>
        <w:tc>
          <w:tcPr>
            <w:tcW w:w="769"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628" w:type="pct"/>
          </w:tcPr>
          <w:p>
            <w:pPr>
              <w:spacing w:line="440" w:lineRule="exact"/>
              <w:jc w:val="center"/>
              <w:rPr>
                <w:szCs w:val="21"/>
              </w:rPr>
            </w:pPr>
          </w:p>
        </w:tc>
        <w:tc>
          <w:tcPr>
            <w:tcW w:w="1232" w:type="pct"/>
          </w:tcPr>
          <w:p>
            <w:pPr>
              <w:spacing w:line="440" w:lineRule="exact"/>
              <w:jc w:val="center"/>
              <w:rPr>
                <w:szCs w:val="21"/>
              </w:rPr>
            </w:pPr>
          </w:p>
        </w:tc>
      </w:tr>
    </w:tbl>
    <w:p>
      <w:pPr>
        <w:spacing w:line="440" w:lineRule="exact"/>
        <w:rPr>
          <w:rFonts w:ascii="宋体"/>
          <w:szCs w:val="21"/>
        </w:rPr>
        <w:sectPr>
          <w:pgSz w:w="11906" w:h="16838"/>
          <w:pgMar w:top="1361" w:right="1644" w:bottom="1191" w:left="1644" w:header="851" w:footer="992" w:gutter="0"/>
          <w:cols w:space="425" w:num="1"/>
          <w:docGrid w:linePitch="312" w:charSpace="0"/>
        </w:sectPr>
      </w:pPr>
    </w:p>
    <w:p>
      <w:pPr>
        <w:pStyle w:val="5"/>
        <w:rPr>
          <w:rFonts w:ascii="宋体" w:cs="Arial"/>
          <w:sz w:val="28"/>
          <w:szCs w:val="24"/>
        </w:rPr>
      </w:pPr>
      <w:bookmarkStart w:id="1624" w:name="_Toc396818273"/>
      <w:bookmarkStart w:id="1625" w:name="_Toc152045800"/>
      <w:bookmarkStart w:id="1626" w:name="_Toc419547976"/>
      <w:bookmarkStart w:id="1627" w:name="_Toc419547430"/>
      <w:bookmarkStart w:id="1628" w:name="_Toc470011374"/>
      <w:bookmarkStart w:id="1629" w:name="_Toc179632820"/>
      <w:bookmarkStart w:id="1630" w:name="_Toc455409897"/>
      <w:bookmarkStart w:id="1631" w:name="_Toc144974868"/>
      <w:bookmarkStart w:id="1632" w:name="_Toc241459827"/>
      <w:bookmarkStart w:id="1633" w:name="_Toc342296584"/>
      <w:bookmarkStart w:id="1634" w:name="_Toc152042589"/>
      <w:bookmarkStart w:id="1635" w:name="_Toc362253050"/>
      <w:r>
        <w:rPr>
          <w:rFonts w:hint="eastAsia" w:ascii="宋体" w:hAnsi="宋体" w:cs="Arial"/>
          <w:sz w:val="28"/>
          <w:szCs w:val="24"/>
        </w:rPr>
        <w:t>附表五：计划开、竣工日期和施工进度网络图</w:t>
      </w:r>
      <w:bookmarkEnd w:id="1624"/>
      <w:bookmarkEnd w:id="1625"/>
      <w:bookmarkEnd w:id="1626"/>
      <w:bookmarkEnd w:id="1627"/>
      <w:bookmarkEnd w:id="1628"/>
      <w:bookmarkEnd w:id="1629"/>
      <w:bookmarkEnd w:id="1630"/>
      <w:bookmarkEnd w:id="1631"/>
      <w:bookmarkEnd w:id="1632"/>
      <w:bookmarkEnd w:id="1633"/>
      <w:bookmarkEnd w:id="1634"/>
      <w:bookmarkEnd w:id="1635"/>
    </w:p>
    <w:p>
      <w:pPr>
        <w:spacing w:line="440" w:lineRule="exact"/>
        <w:rPr>
          <w:rFonts w:eastAsia="黑体"/>
          <w:sz w:val="20"/>
          <w:szCs w:val="20"/>
        </w:rPr>
      </w:pPr>
    </w:p>
    <w:p>
      <w:pPr>
        <w:spacing w:line="360" w:lineRule="auto"/>
        <w:ind w:firstLine="480" w:firstLineChars="200"/>
        <w:rPr>
          <w:rFonts w:ascii="宋体" w:hAnsi="宋体" w:cs="宋体"/>
          <w:sz w:val="24"/>
        </w:rPr>
      </w:pPr>
      <w:r>
        <w:rPr>
          <w:rFonts w:hint="eastAsia" w:ascii="宋体" w:hAnsi="宋体" w:cs="宋体"/>
          <w:sz w:val="24"/>
        </w:rPr>
        <w:t>1. 投标人应递交施工进度网络图或施工进度表，说明按招标文件要求的计划工期进行施工的各个关键日期。</w:t>
      </w:r>
    </w:p>
    <w:p>
      <w:pPr>
        <w:spacing w:line="360" w:lineRule="auto"/>
        <w:ind w:firstLine="480" w:firstLineChars="200"/>
        <w:rPr>
          <w:rFonts w:ascii="宋体" w:hAnsi="宋体" w:cs="宋体"/>
          <w:sz w:val="24"/>
        </w:rPr>
      </w:pPr>
      <w:r>
        <w:rPr>
          <w:rFonts w:hint="eastAsia" w:ascii="宋体" w:hAnsi="宋体" w:cs="宋体"/>
          <w:sz w:val="24"/>
        </w:rPr>
        <w:t>2. 施工进度表可采用网络图和（或）横道图表示。</w:t>
      </w:r>
    </w:p>
    <w:p>
      <w:pPr>
        <w:spacing w:line="360" w:lineRule="auto"/>
        <w:rPr>
          <w:rFonts w:ascii="宋体" w:hAnsi="宋体" w:cs="宋体"/>
          <w:sz w:val="24"/>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pStyle w:val="2"/>
        <w:spacing w:before="120" w:after="120" w:line="360" w:lineRule="auto"/>
        <w:ind w:left="431" w:right="46" w:rightChars="22" w:hanging="431"/>
        <w:rPr>
          <w:rFonts w:ascii="宋体" w:hAnsi="宋体" w:eastAsia="宋体"/>
          <w:b/>
          <w:sz w:val="48"/>
          <w:szCs w:val="48"/>
        </w:rPr>
      </w:pPr>
      <w:bookmarkStart w:id="1636" w:name="_Toc470011375"/>
      <w:r>
        <w:rPr>
          <w:rFonts w:hint="eastAsia" w:ascii="宋体" w:hAnsi="宋体" w:eastAsia="宋体"/>
          <w:b/>
          <w:sz w:val="48"/>
          <w:szCs w:val="48"/>
        </w:rPr>
        <w:t>第九章</w:t>
      </w:r>
      <w:r>
        <w:rPr>
          <w:rFonts w:ascii="宋体" w:hAnsi="宋体" w:eastAsia="宋体"/>
          <w:b/>
          <w:sz w:val="48"/>
          <w:szCs w:val="48"/>
        </w:rPr>
        <w:t xml:space="preserve"> </w:t>
      </w:r>
      <w:r>
        <w:rPr>
          <w:rFonts w:hint="eastAsia" w:ascii="宋体" w:hAnsi="宋体" w:eastAsia="宋体"/>
          <w:b/>
          <w:sz w:val="48"/>
          <w:szCs w:val="48"/>
        </w:rPr>
        <w:t>招标控制价</w:t>
      </w:r>
      <w:bookmarkEnd w:id="1636"/>
    </w:p>
    <w:p>
      <w:pPr>
        <w:spacing w:line="360" w:lineRule="auto"/>
        <w:rPr>
          <w:rFonts w:ascii="宋体" w:hAnsi="宋体" w:cs="Arial"/>
          <w:szCs w:val="21"/>
        </w:rPr>
      </w:pPr>
      <w:r>
        <w:rPr>
          <w:rFonts w:hint="eastAsia" w:ascii="宋体" w:hAnsi="宋体" w:cs="Arial"/>
          <w:iCs/>
          <w:szCs w:val="28"/>
        </w:rPr>
        <w:t>招标控制价为：</w:t>
      </w:r>
      <w:r>
        <w:rPr>
          <w:rFonts w:hint="eastAsia" w:ascii="宋体" w:hAnsi="宋体" w:cs="Arial"/>
          <w:iCs/>
          <w:szCs w:val="28"/>
          <w:u w:val="single"/>
        </w:rPr>
        <w:t xml:space="preserve">                                        </w:t>
      </w:r>
      <w:r>
        <w:rPr>
          <w:rFonts w:hint="eastAsia" w:ascii="宋体" w:hAnsi="宋体" w:cs="Arial"/>
          <w:iCs/>
          <w:szCs w:val="28"/>
        </w:rPr>
        <w:t>元。</w:t>
      </w:r>
    </w:p>
    <w:p>
      <w:pPr>
        <w:spacing w:line="360" w:lineRule="auto"/>
        <w:rPr>
          <w:rFonts w:ascii="宋体" w:hAnsi="宋体" w:cs="Arial"/>
          <w:bCs/>
          <w:szCs w:val="21"/>
        </w:rPr>
      </w:pPr>
      <w:r>
        <w:rPr>
          <w:rFonts w:hint="eastAsia" w:ascii="Arial" w:hAnsi="Arial" w:cs="Arial"/>
          <w:bCs/>
          <w:szCs w:val="21"/>
        </w:rPr>
        <w:t>其</w:t>
      </w:r>
      <w:r>
        <w:rPr>
          <w:rFonts w:hint="eastAsia" w:ascii="宋体" w:hAnsi="宋体" w:cs="Arial"/>
          <w:bCs/>
          <w:szCs w:val="21"/>
        </w:rPr>
        <w:t>中：分部分项工程合价为：</w:t>
      </w:r>
      <w:r>
        <w:rPr>
          <w:rFonts w:hint="eastAsia" w:ascii="宋体" w:hAnsi="宋体" w:cs="Arial"/>
          <w:bCs/>
          <w:szCs w:val="21"/>
          <w:u w:val="single"/>
        </w:rPr>
        <w:t xml:space="preserve">                           </w:t>
      </w:r>
      <w:r>
        <w:rPr>
          <w:rFonts w:ascii="宋体" w:hAnsi="宋体" w:cs="Arial"/>
          <w:bCs/>
          <w:szCs w:val="21"/>
          <w:u w:val="single"/>
        </w:rPr>
        <w:t xml:space="preserve"> </w:t>
      </w:r>
      <w:r>
        <w:rPr>
          <w:rFonts w:hint="eastAsia" w:ascii="宋体" w:hAnsi="宋体" w:cs="Arial"/>
          <w:bCs/>
          <w:szCs w:val="21"/>
        </w:rPr>
        <w:t xml:space="preserve">元； </w:t>
      </w:r>
    </w:p>
    <w:p>
      <w:pPr>
        <w:spacing w:line="360" w:lineRule="auto"/>
        <w:rPr>
          <w:rFonts w:ascii="宋体" w:hAnsi="宋体" w:cs="Arial"/>
          <w:bCs/>
          <w:szCs w:val="21"/>
        </w:rPr>
      </w:pPr>
      <w:r>
        <w:rPr>
          <w:rFonts w:hint="eastAsia" w:ascii="宋体" w:hAnsi="宋体" w:cs="Arial"/>
          <w:bCs/>
          <w:szCs w:val="21"/>
        </w:rPr>
        <w:t>措施项目合价为：</w:t>
      </w:r>
      <w:r>
        <w:rPr>
          <w:rFonts w:hint="eastAsia" w:ascii="宋体" w:hAnsi="宋体" w:cs="Arial"/>
          <w:bCs/>
          <w:szCs w:val="21"/>
          <w:u w:val="single"/>
        </w:rPr>
        <w:t xml:space="preserve">                                </w:t>
      </w:r>
      <w:r>
        <w:rPr>
          <w:rFonts w:ascii="宋体" w:hAnsi="宋体" w:cs="Arial"/>
          <w:bCs/>
          <w:szCs w:val="21"/>
          <w:u w:val="single"/>
        </w:rPr>
        <w:t xml:space="preserve">   </w:t>
      </w:r>
      <w:r>
        <w:rPr>
          <w:rFonts w:hint="eastAsia" w:ascii="宋体" w:hAnsi="宋体" w:cs="Arial"/>
          <w:bCs/>
          <w:szCs w:val="21"/>
          <w:u w:val="single"/>
        </w:rPr>
        <w:t xml:space="preserve">   </w:t>
      </w:r>
      <w:r>
        <w:rPr>
          <w:rFonts w:hint="eastAsia" w:ascii="宋体" w:hAnsi="宋体" w:cs="Arial"/>
          <w:bCs/>
          <w:szCs w:val="21"/>
        </w:rPr>
        <w:t>元；</w:t>
      </w:r>
    </w:p>
    <w:p>
      <w:pPr>
        <w:spacing w:line="360" w:lineRule="auto"/>
        <w:ind w:left="840" w:hanging="840" w:hangingChars="400"/>
        <w:rPr>
          <w:rFonts w:ascii="宋体" w:cs="Arial"/>
          <w:bCs/>
          <w:szCs w:val="21"/>
        </w:rPr>
      </w:pPr>
      <w:r>
        <w:rPr>
          <w:rFonts w:hint="eastAsia" w:ascii="宋体" w:cs="Arial"/>
          <w:bCs/>
          <w:szCs w:val="21"/>
        </w:rPr>
        <w:t>安全文明施工费（含税）RMB￥：</w:t>
      </w:r>
      <w:r>
        <w:rPr>
          <w:rFonts w:hint="eastAsia" w:ascii="宋体" w:cs="Arial"/>
          <w:bCs/>
          <w:szCs w:val="21"/>
          <w:u w:val="single"/>
        </w:rPr>
        <w:t xml:space="preserve">                         </w:t>
      </w:r>
      <w:r>
        <w:rPr>
          <w:rFonts w:hint="eastAsia" w:ascii="宋体" w:cs="Arial"/>
          <w:bCs/>
          <w:szCs w:val="21"/>
        </w:rPr>
        <w:t>元；</w:t>
      </w:r>
    </w:p>
    <w:p>
      <w:pPr>
        <w:spacing w:line="360" w:lineRule="auto"/>
        <w:ind w:left="840" w:hanging="840" w:hangingChars="400"/>
        <w:rPr>
          <w:rFonts w:ascii="宋体" w:hAnsi="宋体" w:cs="Arial"/>
          <w:bCs/>
          <w:szCs w:val="21"/>
        </w:rPr>
      </w:pPr>
      <w:r>
        <w:rPr>
          <w:rFonts w:hint="eastAsia" w:ascii="宋体" w:hAnsi="宋体" w:cs="Arial"/>
          <w:bCs/>
          <w:szCs w:val="21"/>
        </w:rPr>
        <w:t>其他项目合价为：</w:t>
      </w:r>
      <w:r>
        <w:rPr>
          <w:rFonts w:hint="eastAsia" w:ascii="宋体" w:hAnsi="宋体" w:cs="Arial"/>
          <w:bCs/>
          <w:szCs w:val="21"/>
          <w:u w:val="single"/>
        </w:rPr>
        <w:t xml:space="preserve">                                </w:t>
      </w:r>
      <w:r>
        <w:rPr>
          <w:rFonts w:ascii="宋体" w:hAnsi="宋体" w:cs="Arial"/>
          <w:bCs/>
          <w:szCs w:val="21"/>
          <w:u w:val="single"/>
        </w:rPr>
        <w:t xml:space="preserve"> </w:t>
      </w:r>
      <w:r>
        <w:rPr>
          <w:rFonts w:hint="eastAsia" w:ascii="宋体" w:hAnsi="宋体" w:cs="Arial"/>
          <w:bCs/>
          <w:szCs w:val="21"/>
          <w:u w:val="single"/>
        </w:rPr>
        <w:t xml:space="preserve"> </w:t>
      </w:r>
      <w:r>
        <w:rPr>
          <w:rFonts w:ascii="宋体" w:hAnsi="宋体" w:cs="Arial"/>
          <w:bCs/>
          <w:szCs w:val="21"/>
          <w:u w:val="single"/>
        </w:rPr>
        <w:t xml:space="preserve">  </w:t>
      </w:r>
      <w:r>
        <w:rPr>
          <w:rFonts w:hint="eastAsia" w:ascii="宋体" w:hAnsi="宋体" w:cs="Arial"/>
          <w:bCs/>
          <w:szCs w:val="21"/>
          <w:u w:val="single"/>
        </w:rPr>
        <w:t xml:space="preserve">  </w:t>
      </w:r>
      <w:r>
        <w:rPr>
          <w:rFonts w:hint="eastAsia" w:ascii="宋体" w:hAnsi="宋体" w:cs="Arial"/>
          <w:bCs/>
          <w:szCs w:val="21"/>
        </w:rPr>
        <w:t>元；</w:t>
      </w:r>
    </w:p>
    <w:p>
      <w:pPr>
        <w:spacing w:line="360" w:lineRule="auto"/>
        <w:ind w:left="840" w:hanging="840" w:hangingChars="400"/>
        <w:rPr>
          <w:rFonts w:ascii="宋体" w:hAnsi="宋体" w:cs="Arial"/>
          <w:bCs/>
          <w:szCs w:val="21"/>
        </w:rPr>
      </w:pPr>
      <w:r>
        <w:rPr>
          <w:rFonts w:hint="eastAsia" w:ascii="宋体" w:hAnsi="宋体" w:cs="Arial"/>
          <w:bCs/>
          <w:szCs w:val="21"/>
        </w:rPr>
        <w:t>规费合价为：</w:t>
      </w:r>
      <w:r>
        <w:rPr>
          <w:rFonts w:hint="eastAsia" w:ascii="宋体" w:hAnsi="宋体" w:cs="Arial"/>
          <w:bCs/>
          <w:szCs w:val="21"/>
          <w:u w:val="single"/>
        </w:rPr>
        <w:t xml:space="preserve">                                    </w:t>
      </w:r>
      <w:r>
        <w:rPr>
          <w:rFonts w:ascii="宋体" w:hAnsi="宋体" w:cs="Arial"/>
          <w:bCs/>
          <w:szCs w:val="21"/>
          <w:u w:val="single"/>
        </w:rPr>
        <w:t xml:space="preserve"> </w:t>
      </w:r>
      <w:r>
        <w:rPr>
          <w:rFonts w:hint="eastAsia" w:ascii="宋体" w:hAnsi="宋体" w:cs="Arial"/>
          <w:bCs/>
          <w:szCs w:val="21"/>
          <w:u w:val="single"/>
        </w:rPr>
        <w:t xml:space="preserve"> </w:t>
      </w:r>
      <w:r>
        <w:rPr>
          <w:rFonts w:ascii="宋体" w:hAnsi="宋体" w:cs="Arial"/>
          <w:bCs/>
          <w:szCs w:val="21"/>
          <w:u w:val="single"/>
        </w:rPr>
        <w:t xml:space="preserve"> </w:t>
      </w:r>
      <w:r>
        <w:rPr>
          <w:rFonts w:hint="eastAsia" w:ascii="宋体" w:hAnsi="宋体" w:cs="Arial"/>
          <w:bCs/>
          <w:szCs w:val="21"/>
          <w:u w:val="single"/>
        </w:rPr>
        <w:t xml:space="preserve">   </w:t>
      </w:r>
      <w:r>
        <w:rPr>
          <w:rFonts w:hint="eastAsia" w:ascii="宋体" w:hAnsi="宋体" w:cs="Arial"/>
          <w:bCs/>
          <w:szCs w:val="21"/>
        </w:rPr>
        <w:t>元；</w:t>
      </w:r>
    </w:p>
    <w:p>
      <w:pPr>
        <w:spacing w:line="360" w:lineRule="auto"/>
        <w:ind w:left="840" w:hanging="840" w:hangingChars="400"/>
        <w:rPr>
          <w:rFonts w:ascii="宋体" w:hAnsi="宋体" w:cs="Arial"/>
          <w:bCs/>
          <w:szCs w:val="21"/>
        </w:rPr>
      </w:pPr>
      <w:r>
        <w:rPr>
          <w:rFonts w:hint="eastAsia" w:ascii="宋体" w:hAnsi="宋体" w:cs="Arial"/>
          <w:bCs/>
          <w:szCs w:val="21"/>
        </w:rPr>
        <w:t>税金的合价为：</w:t>
      </w:r>
      <w:r>
        <w:rPr>
          <w:rFonts w:hint="eastAsia" w:ascii="宋体" w:hAnsi="宋体" w:cs="Arial"/>
          <w:bCs/>
          <w:szCs w:val="21"/>
          <w:u w:val="single"/>
        </w:rPr>
        <w:t xml:space="preserve">                                   </w:t>
      </w:r>
      <w:r>
        <w:rPr>
          <w:rFonts w:ascii="宋体" w:hAnsi="宋体" w:cs="Arial"/>
          <w:bCs/>
          <w:szCs w:val="21"/>
          <w:u w:val="single"/>
        </w:rPr>
        <w:t xml:space="preserve"> </w:t>
      </w:r>
      <w:r>
        <w:rPr>
          <w:rFonts w:hint="eastAsia" w:ascii="宋体" w:hAnsi="宋体" w:cs="Arial"/>
          <w:bCs/>
          <w:szCs w:val="21"/>
          <w:u w:val="single"/>
        </w:rPr>
        <w:t xml:space="preserve"> </w:t>
      </w:r>
      <w:r>
        <w:rPr>
          <w:rFonts w:ascii="宋体" w:hAnsi="宋体" w:cs="Arial"/>
          <w:bCs/>
          <w:szCs w:val="21"/>
          <w:u w:val="single"/>
        </w:rPr>
        <w:t xml:space="preserve"> </w:t>
      </w:r>
      <w:r>
        <w:rPr>
          <w:rFonts w:hint="eastAsia" w:ascii="宋体" w:hAnsi="宋体" w:cs="Arial"/>
          <w:bCs/>
          <w:szCs w:val="21"/>
          <w:u w:val="single"/>
        </w:rPr>
        <w:t xml:space="preserve">  </w:t>
      </w:r>
      <w:r>
        <w:rPr>
          <w:rFonts w:hint="eastAsia" w:ascii="宋体" w:hAnsi="宋体" w:cs="Arial"/>
          <w:bCs/>
          <w:szCs w:val="21"/>
        </w:rPr>
        <w:t>元。</w:t>
      </w:r>
    </w:p>
    <w:p>
      <w:pPr>
        <w:spacing w:line="360" w:lineRule="auto"/>
        <w:rPr>
          <w:rFonts w:ascii="宋体" w:hAnsi="宋体" w:cs="Arial"/>
          <w:bCs/>
          <w:szCs w:val="21"/>
        </w:rPr>
      </w:pPr>
      <w:r>
        <w:rPr>
          <w:rFonts w:hint="eastAsia" w:ascii="宋体" w:hAnsi="宋体" w:cs="Arial"/>
          <w:bCs/>
          <w:szCs w:val="21"/>
        </w:rPr>
        <w:t>其他说明：</w:t>
      </w:r>
      <w:r>
        <w:rPr>
          <w:rFonts w:hint="eastAsia" w:ascii="宋体" w:hAnsi="宋体" w:cs="Arial"/>
          <w:szCs w:val="21"/>
        </w:rPr>
        <w:t>专业工程暂估价(含税)合计金额</w:t>
      </w:r>
      <w:r>
        <w:rPr>
          <w:rFonts w:hint="eastAsia" w:ascii="宋体" w:hAnsi="宋体" w:cs="Arial"/>
          <w:bCs/>
          <w:szCs w:val="21"/>
        </w:rPr>
        <w:t>：</w:t>
      </w:r>
      <w:r>
        <w:rPr>
          <w:rFonts w:hint="eastAsia" w:ascii="宋体" w:hAnsi="宋体" w:cs="Arial"/>
          <w:bCs/>
          <w:szCs w:val="21"/>
          <w:u w:val="single"/>
        </w:rPr>
        <w:t xml:space="preserve">    </w:t>
      </w:r>
      <w:r>
        <w:rPr>
          <w:rFonts w:ascii="宋体" w:hAnsi="宋体" w:cs="Arial"/>
          <w:bCs/>
          <w:szCs w:val="21"/>
          <w:u w:val="single"/>
        </w:rPr>
        <w:t xml:space="preserve"> </w:t>
      </w:r>
      <w:r>
        <w:rPr>
          <w:rFonts w:hint="eastAsia" w:ascii="宋体" w:hAnsi="宋体" w:cs="Arial"/>
          <w:bCs/>
          <w:szCs w:val="21"/>
          <w:u w:val="single"/>
        </w:rPr>
        <w:t xml:space="preserve"> </w:t>
      </w:r>
      <w:r>
        <w:rPr>
          <w:rFonts w:ascii="宋体" w:hAnsi="宋体" w:cs="Arial"/>
          <w:bCs/>
          <w:szCs w:val="21"/>
          <w:u w:val="single"/>
        </w:rPr>
        <w:t xml:space="preserve">        </w:t>
      </w:r>
      <w:r>
        <w:rPr>
          <w:rFonts w:hint="eastAsia" w:ascii="宋体" w:hAnsi="宋体" w:cs="Arial"/>
          <w:bCs/>
          <w:szCs w:val="21"/>
        </w:rPr>
        <w:t>元；</w:t>
      </w:r>
    </w:p>
    <w:p>
      <w:pPr>
        <w:spacing w:line="360" w:lineRule="auto"/>
        <w:ind w:left="840" w:hanging="840" w:hangingChars="400"/>
        <w:rPr>
          <w:rFonts w:ascii="宋体" w:hAnsi="宋体" w:cs="Arial"/>
          <w:bCs/>
          <w:szCs w:val="21"/>
        </w:rPr>
      </w:pPr>
      <w:r>
        <w:rPr>
          <w:rFonts w:hint="eastAsia" w:ascii="宋体" w:hAnsi="宋体"/>
          <w:szCs w:val="22"/>
        </w:rPr>
        <w:t>材料和工程设备暂估价</w:t>
      </w:r>
      <w:r>
        <w:rPr>
          <w:rFonts w:hint="eastAsia" w:ascii="宋体" w:hAnsi="宋体" w:cs="Arial"/>
          <w:szCs w:val="21"/>
        </w:rPr>
        <w:t>(含税)</w:t>
      </w:r>
      <w:r>
        <w:rPr>
          <w:rFonts w:hint="eastAsia" w:ascii="宋体" w:hAnsi="宋体" w:cs="Arial"/>
          <w:bCs/>
          <w:szCs w:val="21"/>
        </w:rPr>
        <w:t>合计金额：</w:t>
      </w:r>
      <w:r>
        <w:rPr>
          <w:rFonts w:hint="eastAsia" w:ascii="宋体" w:hAnsi="宋体" w:cs="Arial"/>
          <w:bCs/>
          <w:szCs w:val="21"/>
          <w:u w:val="single"/>
        </w:rPr>
        <w:t xml:space="preserve">     </w:t>
      </w:r>
      <w:r>
        <w:rPr>
          <w:rFonts w:ascii="宋体" w:hAnsi="宋体" w:cs="Arial"/>
          <w:bCs/>
          <w:szCs w:val="21"/>
          <w:u w:val="single"/>
        </w:rPr>
        <w:t xml:space="preserve">       </w:t>
      </w:r>
      <w:r>
        <w:rPr>
          <w:rFonts w:hint="eastAsia" w:ascii="宋体" w:hAnsi="宋体" w:cs="Arial"/>
          <w:bCs/>
          <w:szCs w:val="21"/>
          <w:u w:val="single"/>
        </w:rPr>
        <w:t xml:space="preserve">      </w:t>
      </w:r>
      <w:r>
        <w:rPr>
          <w:rFonts w:hint="eastAsia" w:ascii="宋体" w:hAnsi="宋体" w:cs="Arial"/>
          <w:bCs/>
          <w:szCs w:val="21"/>
        </w:rPr>
        <w:t>元；</w:t>
      </w:r>
    </w:p>
    <w:p>
      <w:pPr>
        <w:spacing w:line="360" w:lineRule="auto"/>
        <w:ind w:left="840" w:hanging="840" w:hangingChars="400"/>
        <w:rPr>
          <w:rFonts w:ascii="宋体" w:hAnsi="宋体" w:cs="Arial"/>
          <w:bCs/>
          <w:szCs w:val="21"/>
        </w:rPr>
      </w:pPr>
      <w:r>
        <w:rPr>
          <w:rFonts w:hint="eastAsia" w:ascii="宋体" w:hAnsi="宋体" w:cs="Arial"/>
          <w:szCs w:val="21"/>
        </w:rPr>
        <w:t>暂列金额（不含计日工）（含税）合计金额：</w:t>
      </w:r>
      <w:r>
        <w:rPr>
          <w:rFonts w:ascii="宋体" w:hAnsi="宋体" w:cs="Arial"/>
          <w:bCs/>
          <w:szCs w:val="21"/>
          <w:u w:val="single"/>
        </w:rPr>
        <w:t xml:space="preserve">              </w:t>
      </w:r>
      <w:r>
        <w:rPr>
          <w:rFonts w:hint="eastAsia" w:ascii="宋体" w:hAnsi="宋体" w:cs="Arial"/>
          <w:bCs/>
          <w:szCs w:val="21"/>
        </w:rPr>
        <w:t>元；</w:t>
      </w:r>
    </w:p>
    <w:p>
      <w:pPr>
        <w:spacing w:line="360" w:lineRule="auto"/>
        <w:ind w:left="840" w:hanging="840" w:hangingChars="400"/>
        <w:rPr>
          <w:rFonts w:ascii="宋体" w:hAnsi="宋体" w:cs="Arial"/>
          <w:bCs/>
          <w:szCs w:val="21"/>
          <w:u w:val="single"/>
        </w:rPr>
      </w:pPr>
      <w:r>
        <w:rPr>
          <w:rFonts w:hint="eastAsia" w:ascii="宋体" w:hAnsi="宋体" w:cs="Arial"/>
          <w:bCs/>
          <w:szCs w:val="21"/>
          <w:u w:val="single"/>
        </w:rPr>
        <w:t xml:space="preserve">                                      </w:t>
      </w:r>
      <w:r>
        <w:rPr>
          <w:rFonts w:ascii="宋体" w:hAnsi="宋体" w:cs="Arial"/>
          <w:bCs/>
          <w:szCs w:val="21"/>
          <w:u w:val="single"/>
        </w:rPr>
        <w:t xml:space="preserve">        </w:t>
      </w:r>
      <w:r>
        <w:rPr>
          <w:rFonts w:hint="eastAsia" w:ascii="宋体" w:hAnsi="宋体" w:cs="Arial"/>
          <w:bCs/>
          <w:szCs w:val="21"/>
          <w:u w:val="single"/>
        </w:rPr>
        <w:t xml:space="preserve">          </w:t>
      </w:r>
    </w:p>
    <w:p>
      <w:pPr>
        <w:rPr>
          <w:sz w:val="36"/>
        </w:rPr>
      </w:pPr>
    </w:p>
    <w:p/>
    <w:sectPr>
      <w:headerReference r:id="rId26" w:type="default"/>
      <w:pgSz w:w="11906" w:h="16838"/>
      <w:pgMar w:top="1418" w:right="1644" w:bottom="1361" w:left="1644" w:header="504" w:footer="792" w:gutter="0"/>
      <w:cols w:space="425" w:num="1"/>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蔡迪" w:date="2022-04-21T16:24:00Z" w:initials="c">
    <w:p w14:paraId="767D82BA">
      <w:pPr>
        <w:pStyle w:val="19"/>
      </w:pPr>
      <w:r>
        <w:rPr>
          <w:rFonts w:hint="eastAsia"/>
        </w:rPr>
        <w:t>可编辑</w:t>
      </w:r>
    </w:p>
  </w:comment>
  <w:comment w:id="1" w:author="蔡迪" w:date="2023-02-01T15:36:00Z" w:initials="c">
    <w:p w14:paraId="FEFCFA7E">
      <w:pPr>
        <w:pStyle w:val="19"/>
      </w:pPr>
      <w:r>
        <w:rPr>
          <w:rFonts w:hint="eastAsia"/>
        </w:rPr>
        <w:t>可编辑</w:t>
      </w:r>
    </w:p>
  </w:comment>
  <w:comment w:id="2" w:author="蔡迪" w:date="2022-04-21T16:32:00Z" w:initials="c">
    <w:p w14:paraId="AF278618">
      <w:pPr>
        <w:pStyle w:val="19"/>
      </w:pPr>
      <w:r>
        <w:rPr>
          <w:rFonts w:hint="eastAsia"/>
        </w:rPr>
        <w:t>投标人须知前附表中选项了投标担保，在开标记录表中显示此列，选择有/无</w:t>
      </w:r>
    </w:p>
  </w:comment>
  <w:comment w:id="3" w:author="蔡迪" w:date="2023-01-06T11:35:00Z" w:initials="c">
    <w:p w14:paraId="6EB6F641">
      <w:pPr>
        <w:pStyle w:val="19"/>
      </w:pPr>
      <w:r>
        <w:rPr>
          <w:rFonts w:hint="eastAsia"/>
        </w:rPr>
        <w:t>身份证号，是否可以隐去中间的八位数---只显示前六位和后四位</w:t>
      </w:r>
    </w:p>
  </w:comment>
  <w:comment w:id="4" w:author="蔡迪" w:date="2022-08-25T16:40:00Z" w:initials="c">
    <w:p w14:paraId="1EFDB943">
      <w:pPr>
        <w:pStyle w:val="19"/>
      </w:pPr>
      <w:r>
        <w:rPr>
          <w:rFonts w:hint="eastAsia"/>
        </w:rPr>
        <w:t>做成可编辑</w:t>
      </w:r>
    </w:p>
  </w:comment>
  <w:comment w:id="5" w:author="蔡迪" w:date="2022-08-25T16:41:00Z" w:initials="c">
    <w:p w14:paraId="FF7664CC">
      <w:pPr>
        <w:pStyle w:val="19"/>
      </w:pPr>
      <w:r>
        <w:rPr>
          <w:rFonts w:hint="eastAsia"/>
        </w:rPr>
        <w:t>可编辑</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67D82BA" w15:done="0"/>
  <w15:commentEx w15:paraId="FEFCFA7E" w15:done="0"/>
  <w15:commentEx w15:paraId="AF278618" w15:done="0"/>
  <w15:commentEx w15:paraId="6EB6F641" w15:done="0"/>
  <w15:commentEx w15:paraId="1EFDB943" w15:done="0"/>
  <w15:commentEx w15:paraId="FF7664C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ì.">
    <w:altName w:val="仿宋_GB2312"/>
    <w:panose1 w:val="00000000000000000000"/>
    <w:charset w:val="86"/>
    <w:family w:val="swiss"/>
    <w:pitch w:val="default"/>
    <w:sig w:usb0="00000000" w:usb1="00000000" w:usb2="0000001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仿宋_GB2312">
    <w:panose1 w:val="02010609030101010101"/>
    <w:charset w:val="86"/>
    <w:family w:val="auto"/>
    <w:pitch w:val="default"/>
    <w:sig w:usb0="00000001" w:usb1="080E0000" w:usb2="00000000" w:usb3="00000000" w:csb0="00040000" w:csb1="00000000"/>
  </w:font>
  <w:font w:name="MS Sans Serif">
    <w:altName w:val="DejaVu Math TeX Gyre"/>
    <w:panose1 w:val="00000000000000000000"/>
    <w:charset w:val="00"/>
    <w:family w:val="swiss"/>
    <w:pitch w:val="default"/>
    <w:sig w:usb0="00000000" w:usb1="00000000" w:usb2="00000000" w:usb3="00000000" w:csb0="00000001" w:csb1="00000000"/>
  </w:font>
  <w:font w:name="Tahoma">
    <w:altName w:val="DejaVu Sans"/>
    <w:panose1 w:val="020B0604030504040204"/>
    <w:charset w:val="00"/>
    <w:family w:val="swiss"/>
    <w:pitch w:val="default"/>
    <w:sig w:usb0="00000000" w:usb1="00000000" w:usb2="00000029" w:usb3="00000000" w:csb0="000101FF" w:csb1="00000000"/>
  </w:font>
  <w:font w:name="Arial Unicode MS">
    <w:altName w:val="DejaVu Sans"/>
    <w:panose1 w:val="020B0604020202020204"/>
    <w:charset w:val="86"/>
    <w:family w:val="swiss"/>
    <w:pitch w:val="default"/>
    <w:sig w:usb0="00000000" w:usb1="00000000" w:usb2="0000003F" w:usb3="00000000" w:csb0="003F01FF" w:csb1="00000000"/>
  </w:font>
  <w:font w:name="长城仿宋">
    <w:altName w:val="方正仿宋_GBK"/>
    <w:panose1 w:val="00000000000000000000"/>
    <w:charset w:val="86"/>
    <w:family w:val="modern"/>
    <w:pitch w:val="default"/>
    <w:sig w:usb0="00000000" w:usb1="00000000" w:usb2="00000010" w:usb3="00000000" w:csb0="00040000" w:csb1="00000000"/>
  </w:font>
  <w:font w:name="华文细黑">
    <w:altName w:val="汉仪中等线简"/>
    <w:panose1 w:val="02010600040101010101"/>
    <w:charset w:val="86"/>
    <w:family w:val="auto"/>
    <w:pitch w:val="default"/>
    <w:sig w:usb0="00000000" w:usb1="00000000" w:usb2="00000010" w:usb3="00000000" w:csb0="0004009F" w:csb1="00000000"/>
  </w:font>
  <w:font w:name="仿宋">
    <w:altName w:val="方正仿宋_GBK"/>
    <w:panose1 w:val="0201060906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PMingLiU">
    <w:altName w:val="文泉驿微米黑"/>
    <w:panose1 w:val="02020500000000000000"/>
    <w:charset w:val="88"/>
    <w:family w:val="roman"/>
    <w:pitch w:val="default"/>
    <w:sig w:usb0="00000000" w:usb1="00000000" w:usb2="00000016" w:usb3="00000000" w:csb0="00100001" w:csb1="00000000"/>
  </w:font>
  <w:font w:name="华文中宋">
    <w:altName w:val="汉仪中宋简"/>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汉仪中宋简">
    <w:panose1 w:val="02010600000101010101"/>
    <w:charset w:val="86"/>
    <w:family w:val="auto"/>
    <w:pitch w:val="default"/>
    <w:sig w:usb0="00000001" w:usb1="080E0800" w:usb2="00000002" w:usb3="00000000" w:csb0="00040000" w:csb1="0000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jc w:val="center"/>
                          </w:pPr>
                          <w:r>
                            <w:rPr>
                              <w:rStyle w:val="53"/>
                            </w:rPr>
                            <w:fldChar w:fldCharType="begin"/>
                          </w:r>
                          <w:r>
                            <w:rPr>
                              <w:rStyle w:val="53"/>
                            </w:rPr>
                            <w:instrText xml:space="preserve"> PAGE </w:instrText>
                          </w:r>
                          <w:r>
                            <w:rPr>
                              <w:rStyle w:val="53"/>
                            </w:rPr>
                            <w:fldChar w:fldCharType="separate"/>
                          </w:r>
                          <w:r>
                            <w:rPr>
                              <w:rStyle w:val="53"/>
                            </w:rPr>
                            <w:t>20</w:t>
                          </w:r>
                          <w:r>
                            <w:rPr>
                              <w:rStyle w:val="53"/>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33"/>
                      <w:jc w:val="center"/>
                    </w:pPr>
                    <w:r>
                      <w:rPr>
                        <w:rStyle w:val="53"/>
                      </w:rPr>
                      <w:fldChar w:fldCharType="begin"/>
                    </w:r>
                    <w:r>
                      <w:rPr>
                        <w:rStyle w:val="53"/>
                      </w:rPr>
                      <w:instrText xml:space="preserve"> PAGE </w:instrText>
                    </w:r>
                    <w:r>
                      <w:rPr>
                        <w:rStyle w:val="53"/>
                      </w:rPr>
                      <w:fldChar w:fldCharType="separate"/>
                    </w:r>
                    <w:r>
                      <w:rPr>
                        <w:rStyle w:val="53"/>
                      </w:rPr>
                      <w:t>20</w:t>
                    </w:r>
                    <w:r>
                      <w:rPr>
                        <w:rStyle w:val="53"/>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53035" cy="197485"/>
              <wp:effectExtent l="0" t="0" r="0" b="0"/>
              <wp:wrapNone/>
              <wp:docPr id="25" name="文本框 25"/>
              <wp:cNvGraphicFramePr/>
              <a:graphic xmlns:a="http://schemas.openxmlformats.org/drawingml/2006/main">
                <a:graphicData uri="http://schemas.microsoft.com/office/word/2010/wordprocessingShape">
                  <wps:wsp>
                    <wps:cNvSpPr txBox="true"/>
                    <wps:spPr>
                      <a:xfrm>
                        <a:off x="0" y="0"/>
                        <a:ext cx="153035" cy="197485"/>
                      </a:xfrm>
                      <a:prstGeom prst="rect">
                        <a:avLst/>
                      </a:prstGeom>
                      <a:noFill/>
                      <a:ln>
                        <a:noFill/>
                      </a:ln>
                      <a:effectLst/>
                    </wps:spPr>
                    <wps:txbx>
                      <w:txbxContent>
                        <w:p>
                          <w:pPr>
                            <w:jc w:val="center"/>
                            <w:rPr>
                              <w:rFonts w:ascii="宋体" w:hAnsi="宋体" w:cs="宋体"/>
                              <w:sz w:val="28"/>
                              <w:szCs w:val="28"/>
                            </w:rPr>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ascii="宋体" w:hAnsi="宋体" w:cs="宋体"/>
                              <w:sz w:val="24"/>
                            </w:rPr>
                            <w:t>119</w:t>
                          </w:r>
                          <w:r>
                            <w:rPr>
                              <w:rFonts w:hint="eastAsia" w:ascii="宋体" w:hAnsi="宋体" w:cs="宋体"/>
                              <w:sz w:val="24"/>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5.55pt;width:12.05pt;mso-position-horizontal:center;mso-position-horizontal-relative:margin;mso-wrap-style:none;z-index:251659264;mso-width-relative:page;mso-height-relative:page;" filled="f" stroked="f" coordsize="21600,21600" o:gfxdata="UEsFBgAAAAAAAAAAAAAAAAAAAAAAAFBLAwQKAAAAAACHTuJAAAAAAAAAAAAAAAAABAAAAGRycy9Q&#10;SwMEFAAAAAgAh07iQHghb4DRAAAAAwEAAA8AAABkcnMvZG93bnJldi54bWxNj8FOwzAQRO9I/IO1&#10;SNyo44KgCnF6qMSFGwUh9baNt3GEvY5sN03+HsMFLiuNZjTzttnO3omJYhoCa1CrCgRxF8zAvYaP&#10;95e7DYiUkQ26wKRhoQTb9vqqwdqEC7/RtM+9KCWcatRgcx5rKVNnyWNahZG4eKcQPeYiYy9NxEsp&#10;906uq+pRehy4LFgcaWep+9qfvYan+TPQmGhHh9PURTssG/e6aH17o6pnEJnm/BeGH/yCDm1hOoYz&#10;mySchvJI/r3FWz8oEEcN90qBbBv5n739BlBLAwQUAAAACACHTuJAdtE4vLcBAABQAwAADgAAAGRy&#10;cy9lMm9Eb2MueG1srVPBbtswDL0P2D8Iui920rVrjSjFhqJFgaIb0O0DFFmKBUiiICmx8wPbH/TU&#10;S+/7rnzHKMVJu+027CJTJPX4HknPLwdryEaGqMExOp3UlEgnoNVuxei3r9fvzimJibuWG3CS0a2M&#10;9HLx9s28942cQQemlYEgiItN7xntUvJNVUXRScvjBLx0GFQQLE94DauqDbxHdGuqWV2fVT2E1gcQ&#10;Mkb0Xu2DdFHwlZIifVYqykQMo8gtlTOUc5nPajHnzSpw32kx0uD/wMJy7bDoEeqKJ07WQf8FZbUI&#10;EEGliQBbgVJayKIB1UzrP9Q8dNzLogWbE/2xTfH/wYr7zZdAdMvo7JQSxy3OaPf4Y/f0c/f8naAP&#10;G9T72GDeg8fMNHyCgdEU1vIQiujP0gcVbP6iKIIp2O3tscNySESgc3p6Up9gIYGh6cWH9+elQPXy&#10;2IeYbiRYkg1GAw6w9JVv7mJCLph6SMm1HFxrY8oQjfvNgYl7jyxbML7OUvZ8s5WG5TDqW0K7RXk9&#10;bgKjDleVEnPrsNF5aQ5GOBjL0cgVo/+4TkijsMuoeyikmi84tkJ6XLG8F6/vJevlR1j8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Hghb4DRAAAAAwEAAA8AAAAAAAAAAQAgAAAAOAAAAGRycy9kb3du&#10;cmV2LnhtbFBLAQIUABQAAAAIAIdO4kB20Ti8twEAAFADAAAOAAAAAAAAAAEAIAAAADYBAABkcnMv&#10;ZTJvRG9jLnhtbFBLBQYAAAAABgAGAFkBAABfBQAAAAA=&#10;">
              <v:fill on="f" focussize="0,0"/>
              <v:stroke on="f"/>
              <v:imagedata o:title=""/>
              <o:lock v:ext="edit" aspectratio="f"/>
              <v:textbox inset="0mm,0mm,0mm,0mm" style="mso-fit-shape-to-text:t;">
                <w:txbxContent>
                  <w:p>
                    <w:pPr>
                      <w:jc w:val="center"/>
                      <w:rPr>
                        <w:rFonts w:ascii="宋体" w:hAnsi="宋体" w:cs="宋体"/>
                        <w:sz w:val="28"/>
                        <w:szCs w:val="28"/>
                      </w:rPr>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ascii="宋体" w:hAnsi="宋体" w:cs="宋体"/>
                        <w:sz w:val="24"/>
                      </w:rPr>
                      <w:t>119</w:t>
                    </w:r>
                    <w:r>
                      <w:rPr>
                        <w:rFonts w:hint="eastAsia" w:ascii="宋体" w:hAnsi="宋体" w:cs="宋体"/>
                        <w:sz w:val="24"/>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ascii="宋体" w:hAnsi="宋体" w:cs="宋体"/>
        <w:sz w:val="28"/>
        <w:szCs w:val="28"/>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76835" cy="197485"/>
              <wp:effectExtent l="0" t="0" r="0" b="0"/>
              <wp:wrapNone/>
              <wp:docPr id="24" name="文本框 24"/>
              <wp:cNvGraphicFramePr/>
              <a:graphic xmlns:a="http://schemas.openxmlformats.org/drawingml/2006/main">
                <a:graphicData uri="http://schemas.microsoft.com/office/word/2010/wordprocessingShape">
                  <wps:wsp>
                    <wps:cNvSpPr txBox="true"/>
                    <wps:spPr>
                      <a:xfrm>
                        <a:off x="0" y="0"/>
                        <a:ext cx="76835" cy="197485"/>
                      </a:xfrm>
                      <a:prstGeom prst="rect">
                        <a:avLst/>
                      </a:prstGeom>
                      <a:noFill/>
                      <a:ln w="6350">
                        <a:noFill/>
                      </a:ln>
                      <a:effectLst/>
                    </wps:spPr>
                    <wps:txbx>
                      <w:txbxContent>
                        <w:p>
                          <w:pPr>
                            <w:pStyle w:val="33"/>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186</w:t>
                          </w:r>
                          <w:r>
                            <w:rPr>
                              <w:rFonts w:hint="eastAsia" w:ascii="宋体" w:hAnsi="宋体" w:cs="宋体"/>
                              <w:sz w:val="24"/>
                              <w:szCs w:val="24"/>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5.55pt;width:6.05pt;mso-position-horizontal:center;mso-position-horizontal-relative:margin;mso-wrap-style:none;z-index:251663360;mso-width-relative:page;mso-height-relative:page;" filled="f" stroked="f" coordsize="21600,21600" o:gfxdata="UEsFBgAAAAAAAAAAAAAAAAAAAAAAAFBLAwQKAAAAAACHTuJAAAAAAAAAAAAAAAAABAAAAGRycy9Q&#10;SwMEFAAAAAgAh07iQLx9xBzRAAAAAwEAAA8AAABkcnMvZG93bnJldi54bWxNj8FOwzAQRO9I/IO1&#10;SNyo4xYhFOJUoiIckWg4cNzGSxKw15HtpuHvcbnAZaXRjGbeVtvFWTFTiKNnDWpVgCDuvBm51/DW&#10;Njf3IGJCNmg9k4ZvirCtLy8qLI0/8SvN+9SLXMKxRA1DSlMpZewGchhXfiLO3ocPDlOWoZcm4CmX&#10;OyvXRXEnHY6cFwacaDdQ97U/Og27pm3DTDHYd3puNp8vj7f0tGh9faWKBxCJlvQXhjN+Roc6Mx38&#10;kU0UVkN+JP3es7dWIA4aNkqBrCv5n73+AVBLAwQUAAAACACHTuJAtt2IgCICAAAmBAAADgAAAGRy&#10;cy9lMm9Eb2MueG1srVPNjtMwEL4j8Q6W7zRtd9stVdNV2VURUsWuVBBn17HbSI5t2W6T8gDwBpz2&#10;wp3n6nPw2U26CDghLs785ZuZb2Zmt02lyEE4Xxqd00GvT4nQ3BSl3ub044flqwklPjBdMGW0yOlR&#10;eHo7f/liVtupGJqdUYVwBCDaT2ub010Idpplnu9ExXzPWKHhlMZVLEB126xwrAZ6pbJhvz/OauMK&#10;6wwX3sN6f3bSecKXUvDwIKUXgaicoraQXpfeTXyz+YxNt47ZXcnbMtg/VFGxUiPpBeqeBUb2rvwD&#10;qiq5M97I0OOmyoyUJRepB3Qz6P/WzXrHrEi9gBxvLzT5/wfL3x8eHSmLnA6vKdGswoxO376enn6c&#10;vn8hsIGg2vop4tYWkaF5Y5qcBrcXncvDHltvpKviF00RhIDt44Vh0QTCYbwZT65GlHB4Bq9vriej&#10;CJI9/2udD2+FqUgUcuowv0QrO6x8OId2ITGVNstSqTRDpUmd0/HVqJ9+uHgArnSMFWkbWpjY0rnu&#10;KIVm07R9bkxxRJvOnDfFW74sUcqK+fDIHFYDbWHdwwMeqQxSmlaiZGfc57/ZYzwmBi8lNVYtpxq3&#10;QIl6pzHJuJWd4Dph0wl6X90Z7O4AZ2R5EvGDC6oTpTPVJ9zAIuaQTHkAM82RDVPqxLsArXXilrhY&#10;LC469tCysNJry9u5Rra8XewD2E2kR47OxGBYUcEyprG1hxO3/Vc9RT2f9/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vH3EHNEAAAADAQAADwAAAAAAAAABACAAAAA4AAAAZHJzL2Rvd25yZXYueG1s&#10;UEsBAhQAFAAAAAgAh07iQLbdiIAiAgAAJgQAAA4AAAAAAAAAAQAgAAAANgEAAGRycy9lMm9Eb2Mu&#10;eG1sUEsFBgAAAAAGAAYAWQEAAMoFAAAAAA==&#10;">
              <v:fill on="f" focussize="0,0"/>
              <v:stroke on="f" weight="0.5pt"/>
              <v:imagedata o:title=""/>
              <o:lock v:ext="edit" aspectratio="f"/>
              <v:textbox inset="0mm,0mm,0mm,0mm" style="mso-fit-shape-to-text:t;">
                <w:txbxContent>
                  <w:p>
                    <w:pPr>
                      <w:pStyle w:val="33"/>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186</w:t>
                    </w:r>
                    <w:r>
                      <w:rPr>
                        <w:rFonts w:hint="eastAsia" w:ascii="宋体" w:hAnsi="宋体" w:cs="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rPr>
                              <w:rStyle w:val="53"/>
                            </w:rPr>
                          </w:pPr>
                          <w:r>
                            <w:rPr>
                              <w:rStyle w:val="53"/>
                            </w:rPr>
                            <w:fldChar w:fldCharType="begin"/>
                          </w:r>
                          <w:r>
                            <w:rPr>
                              <w:rStyle w:val="53"/>
                            </w:rPr>
                            <w:instrText xml:space="preserve">PAGE  </w:instrText>
                          </w:r>
                          <w:r>
                            <w:rPr>
                              <w:rStyle w:val="53"/>
                            </w:rPr>
                            <w:fldChar w:fldCharType="separate"/>
                          </w:r>
                          <w:r>
                            <w:rPr>
                              <w:rStyle w:val="53"/>
                            </w:rPr>
                            <w:t>51</w:t>
                          </w:r>
                          <w:r>
                            <w:rPr>
                              <w:rStyle w:val="53"/>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33"/>
                      <w:rPr>
                        <w:rStyle w:val="53"/>
                      </w:rPr>
                    </w:pPr>
                    <w:r>
                      <w:rPr>
                        <w:rStyle w:val="53"/>
                      </w:rPr>
                      <w:fldChar w:fldCharType="begin"/>
                    </w:r>
                    <w:r>
                      <w:rPr>
                        <w:rStyle w:val="53"/>
                      </w:rPr>
                      <w:instrText xml:space="preserve">PAGE  </w:instrText>
                    </w:r>
                    <w:r>
                      <w:rPr>
                        <w:rStyle w:val="53"/>
                      </w:rPr>
                      <w:fldChar w:fldCharType="separate"/>
                    </w:r>
                    <w:r>
                      <w:rPr>
                        <w:rStyle w:val="53"/>
                      </w:rPr>
                      <w:t>51</w:t>
                    </w:r>
                    <w:r>
                      <w:rPr>
                        <w:rStyle w:val="53"/>
                      </w:rPr>
                      <w:fldChar w:fldCharType="end"/>
                    </w:r>
                  </w:p>
                </w:txbxContent>
              </v:textbox>
            </v:shape>
          </w:pict>
        </mc:Fallback>
      </mc:AlternateContent>
    </w:r>
    <w:r>
      <w:rPr>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rPr>
                              <w:rStyle w:val="53"/>
                            </w:rPr>
                          </w:pPr>
                          <w:r>
                            <w:rPr>
                              <w:rStyle w:val="53"/>
                            </w:rPr>
                            <w:fldChar w:fldCharType="begin"/>
                          </w:r>
                          <w:r>
                            <w:rPr>
                              <w:rStyle w:val="53"/>
                            </w:rPr>
                            <w:instrText xml:space="preserve">PAGE  </w:instrText>
                          </w:r>
                          <w:r>
                            <w:rPr>
                              <w:rStyle w:val="53"/>
                            </w:rPr>
                            <w:fldChar w:fldCharType="separate"/>
                          </w:r>
                          <w:r>
                            <w:rPr>
                              <w:rStyle w:val="53"/>
                            </w:rPr>
                            <w:t>73</w:t>
                          </w:r>
                          <w:r>
                            <w:rPr>
                              <w:rStyle w:val="53"/>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pPr>
                      <w:pStyle w:val="33"/>
                      <w:rPr>
                        <w:rStyle w:val="53"/>
                      </w:rPr>
                    </w:pPr>
                    <w:r>
                      <w:rPr>
                        <w:rStyle w:val="53"/>
                      </w:rPr>
                      <w:fldChar w:fldCharType="begin"/>
                    </w:r>
                    <w:r>
                      <w:rPr>
                        <w:rStyle w:val="53"/>
                      </w:rPr>
                      <w:instrText xml:space="preserve">PAGE  </w:instrText>
                    </w:r>
                    <w:r>
                      <w:rPr>
                        <w:rStyle w:val="53"/>
                      </w:rPr>
                      <w:fldChar w:fldCharType="separate"/>
                    </w:r>
                    <w:r>
                      <w:rPr>
                        <w:rStyle w:val="53"/>
                      </w:rPr>
                      <w:t>73</w:t>
                    </w:r>
                    <w:r>
                      <w:rPr>
                        <w:rStyle w:val="53"/>
                      </w:rPr>
                      <w:fldChar w:fldCharType="end"/>
                    </w:r>
                  </w:p>
                </w:txbxContent>
              </v:textbox>
            </v:shape>
          </w:pict>
        </mc:Fallback>
      </mc:AlternateContent>
    </w:r>
    <w:r>
      <w:rPr>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jc w:val="center"/>
                          </w:pPr>
                          <w:r>
                            <w:fldChar w:fldCharType="begin"/>
                          </w:r>
                          <w:r>
                            <w:instrText xml:space="preserve">PAGE   \* MERGEFORMAT</w:instrText>
                          </w:r>
                          <w:r>
                            <w:fldChar w:fldCharType="separate"/>
                          </w:r>
                          <w:r>
                            <w:rPr>
                              <w:lang w:val="zh-CN"/>
                            </w:rPr>
                            <w:t>80</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9p1WFgIAABkEAAAOAAAAZHJz&#10;L2Uyb0RvYy54bWytU8uO0zAU3SPxD5b3NGkZRlXVdFRmVIQ0YkYqiLXr2G0kv2S7TcoHwB+wYsOe&#10;7+p3cOwmHQSsEBvnXN+b+zj3eH7TaUUOwofGmoqORyUlwnBbN2Zb0Q/vVy+mlITITM2UNaKiRxHo&#10;zeL5s3nrZmJid1bVwhMkMWHWuoruYnSzogh8JzQLI+uEgVNar1mE6bdF7VmL7FoVk7K8Llrra+ct&#10;FyHg9u7spIucX0rB44OUQUSiKoreYj59PjfpLBZzNtt65nYN79tg/9CFZo1B0UuqOxYZ2fvmj1S6&#10;4d4GK+OIW11YKRsu8gyYZlz+Ns16x5zIs4Cc4C40hf+Xlr87PHrS1BW9osQwjRWdvn45fftx+v6Z&#10;XCV6WhdmiFo7xMXute0qGv1eDK6A+zR4J71OX4xEEAKujxd+RRcJx+V4OplOS7g4fIOBEsXT786H&#10;+EZYTRKoqMcCM6/scB/iOXQISdWMXTVK5SUqQ9qKXr9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kPadVhYCAAAZBAAADgAAAAAAAAABACAAAAA1AQAAZHJzL2Uyb0RvYy54bWxQSwUGAAAAAAYA&#10;BgBZAQAAvQUAAAAA&#10;">
              <v:fill on="f" focussize="0,0"/>
              <v:stroke on="f" weight="0.5pt"/>
              <v:imagedata o:title=""/>
              <o:lock v:ext="edit" aspectratio="f"/>
              <v:textbox inset="0mm,0mm,0mm,0mm" style="mso-fit-shape-to-text:t;">
                <w:txbxContent>
                  <w:p>
                    <w:pPr>
                      <w:pStyle w:val="33"/>
                      <w:jc w:val="center"/>
                    </w:pPr>
                    <w:r>
                      <w:fldChar w:fldCharType="begin"/>
                    </w:r>
                    <w:r>
                      <w:instrText xml:space="preserve">PAGE   \* MERGEFORMAT</w:instrText>
                    </w:r>
                    <w:r>
                      <w:fldChar w:fldCharType="separate"/>
                    </w:r>
                    <w:r>
                      <w:rPr>
                        <w:lang w:val="zh-CN"/>
                      </w:rPr>
                      <w:t>80</w:t>
                    </w:r>
                    <w:r>
                      <w:fldChar w:fldCharType="end"/>
                    </w:r>
                  </w:p>
                </w:txbxContent>
              </v:textbox>
            </v:shape>
          </w:pict>
        </mc:Fallback>
      </mc:AlternateContent>
    </w:r>
  </w:p>
  <w:p>
    <w:pPr>
      <w:pStyle w:val="33"/>
      <w:ind w:firstLine="400"/>
      <w:jc w:val="center"/>
      <w:rPr>
        <w:rFonts w:eastAsia="仿宋_GB2312"/>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jc w:val="center"/>
                          </w:pPr>
                          <w:r>
                            <w:fldChar w:fldCharType="begin"/>
                          </w:r>
                          <w:r>
                            <w:instrText xml:space="preserve">PAGE   \* MERGEFORMAT</w:instrText>
                          </w:r>
                          <w:r>
                            <w:fldChar w:fldCharType="separate"/>
                          </w:r>
                          <w:r>
                            <w:rPr>
                              <w:lang w:val="zh-CN"/>
                            </w:rPr>
                            <w:t>74</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WxrOFQIAABkEAAAOAAAAZHJz&#10;L2Uyb0RvYy54bWytU8uO0zAU3SPxD5b3NGlRR1XVdFRmVIRUMSMVxNp1nCaSX7LdJuUD4A9YsWHP&#10;d/U75thNOghYITbOub4393Hu8eK2U5IchfON0QUdj3JKhOambPS+oB8/rF/NKPGB6ZJJo0VBT8LT&#10;2+XLF4vWzsXE1EaWwhEk0X7e2oLWIdh5lnleC8X8yFih4ayMUyzAdPusdKxFdiWzSZ7fZK1xpXWG&#10;C+9xe39x0mXKX1WCh4eq8iIQWVD0FtLp0rmLZ7ZcsPneMVs3vG+D/UMXijUaRa+p7llg5OCaP1Kp&#10;hjvjTRVG3KjMVFXDRZoB04zz36bZ1syKNAvI8fZKk/9/afn746MjTVnQKSWaKazo/O3r+fvP848v&#10;ZBrpaa2fI2prERe6N6YraHAHMbg87uPgXeVU/GIkghBwfbryK7pAOC7Hs8lslsPF4RsMlMief7fO&#10;h7fCKBJBQR0WmHhlx40Pl9AhJFbTZt1ImZYoNWkLevN6mqcfrh4klxo14hyXZiMK3a7rh9uZ8oTZ&#10;nLmIw1u+blB8w3x4ZA5qQMNQeHjAUUmDIqZHlNTGff7bfYzHkuClpIW6Cqohf0rkO43lRSEOwA1g&#10;NwB9UHcGch3j5VieIH5wQQ6wckZ9guxXsUbFpEdipjmqYTUDvAuweieeDxer1dWG9CwLG721vF9m&#10;5NLb1SGAz0Rz5OhCTE8d9JcW1b+VKPBf7RT1/KKX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nWxrOFQIAABkEAAAOAAAAAAAAAAEAIAAAADUBAABkcnMvZTJvRG9jLnhtbFBLBQYAAAAABgAG&#10;AFkBAAC8BQAAAAA=&#10;">
              <v:fill on="f" focussize="0,0"/>
              <v:stroke on="f" weight="0.5pt"/>
              <v:imagedata o:title=""/>
              <o:lock v:ext="edit" aspectratio="f"/>
              <v:textbox inset="0mm,0mm,0mm,0mm" style="mso-fit-shape-to-text:t;">
                <w:txbxContent>
                  <w:p>
                    <w:pPr>
                      <w:pStyle w:val="33"/>
                      <w:jc w:val="center"/>
                    </w:pPr>
                    <w:r>
                      <w:fldChar w:fldCharType="begin"/>
                    </w:r>
                    <w:r>
                      <w:instrText xml:space="preserve">PAGE   \* MERGEFORMAT</w:instrText>
                    </w:r>
                    <w:r>
                      <w:fldChar w:fldCharType="separate"/>
                    </w:r>
                    <w:r>
                      <w:rPr>
                        <w:lang w:val="zh-CN"/>
                      </w:rPr>
                      <w:t>74</w:t>
                    </w:r>
                    <w:r>
                      <w:fldChar w:fldCharType="end"/>
                    </w:r>
                  </w:p>
                </w:txbxContent>
              </v:textbox>
            </v:shape>
          </w:pict>
        </mc:Fallback>
      </mc:AlternateContent>
    </w:r>
  </w:p>
  <w:p>
    <w:pPr>
      <w:pStyle w:val="33"/>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400"/>
      <w:jc w:val="center"/>
      <w:rPr>
        <w:rFonts w:eastAsia="仿宋_GB2312"/>
        <w:sz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30835" cy="197485"/>
              <wp:effectExtent l="0" t="0" r="0" b="0"/>
              <wp:wrapNone/>
              <wp:docPr id="28" name="文本框 28"/>
              <wp:cNvGraphicFramePr/>
              <a:graphic xmlns:a="http://schemas.openxmlformats.org/drawingml/2006/main">
                <a:graphicData uri="http://schemas.microsoft.com/office/word/2010/wordprocessingShape">
                  <wps:wsp>
                    <wps:cNvSpPr txBox="true"/>
                    <wps:spPr>
                      <a:xfrm>
                        <a:off x="0" y="0"/>
                        <a:ext cx="330835" cy="197485"/>
                      </a:xfrm>
                      <a:prstGeom prst="rect">
                        <a:avLst/>
                      </a:prstGeom>
                      <a:noFill/>
                      <a:ln>
                        <a:noFill/>
                      </a:ln>
                      <a:effectLst/>
                    </wps:spPr>
                    <wps:txbx>
                      <w:txbxContent>
                        <w:p>
                          <w:pPr>
                            <w:pStyle w:val="33"/>
                            <w:ind w:firstLine="400"/>
                            <w:jc w:val="center"/>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84</w:t>
                          </w:r>
                          <w:r>
                            <w:rPr>
                              <w:rFonts w:hint="eastAsia" w:ascii="宋体" w:hAnsi="宋体" w:cs="宋体"/>
                              <w:sz w:val="24"/>
                              <w:szCs w:val="24"/>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5.55pt;width:26.05pt;mso-position-horizontal:center;mso-position-horizontal-relative:margin;mso-wrap-style:none;z-index:251661312;mso-width-relative:page;mso-height-relative:page;" filled="f" stroked="f" coordsize="21600,21600" o:gfxdata="UEsFBgAAAAAAAAAAAAAAAAAAAAAAAFBLAwQKAAAAAACHTuJAAAAAAAAAAAAAAAAABAAAAGRycy9Q&#10;SwMEFAAAAAgAh07iQIsmtXfRAAAAAwEAAA8AAABkcnMvZG93bnJldi54bWxNj8FOwzAQRO9I/IO1&#10;SNyo4yKgCnF6qMSFGwUh9baNt3GEvY5sN03+HsMFLiuNZjTzttnO3omJYhoCa1CrCgRxF8zAvYaP&#10;95e7DYiUkQ26wKRhoQTb9vqqwdqEC7/RtM+9KCWcatRgcx5rKVNnyWNahZG4eKcQPeYiYy9NxEsp&#10;906uq+pRehy4LFgcaWep+9qfvYan+TPQmGhHh9PURTssG/e6aH17o6pnEJnm/BeGH/yCDm1hOoYz&#10;mySchvJI/r3Fe1grEEcN90qBbBv5n739BlBLAwQUAAAACACHTuJAnMN++bUBAABQAwAADgAAAGRy&#10;cy9lMm9Eb2MueG1srVPNjtMwEL4j8Q6W7zRpy0I3qrsCrRYhIUBaeADXsRtL/tPYbdIXgDfgxIU7&#10;z9XnYOyk3QVuiMtkPDP+PN83k/XNYA05SIjaO0bns5oS6YRvtdsx+vnT3bMVJTFx13LjnWT0KCO9&#10;2Tx9su5DIxe+86aVQBDExaYPjHYphaaqouik5XHmg3SYVB4sT3iEXdUC7xHdmmpR1y+q3kMbwAsZ&#10;I0ZvxyTdFHylpEgflIoyEcMo9paKhWK32VabNW92wEOnxdQG/4cuLNcOH71A3fLEyR70X1BWC/DR&#10;qzQT3lZeKS1k4YBs5vUfbO47HmThguLEcJEp/j9Y8f7wEYhuGV3gpBy3OKPTt6+n7z9PP74QjKFA&#10;fYgN1t0HrEzDaz8wmmAvz6mI8Ux9UGDzF0kRLEG1jxeF5ZCIwOByWa+WV5QITM2vXz5fXWWU6uFy&#10;gJjeSG9JdhgFHGDRlR/exTSWnkvyW87faWPKEI37LYCYY0SWLZhuZypjv9lLw3aY+G19e0R6PW4C&#10;ow5XlRLz1qHQeWnODpyd7eTkF2N4tU/YRukuo45QyCofcGyF37RieS8en0vVw4+w+Q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CLJrV30QAAAAMBAAAPAAAAAAAAAAEAIAAAADgAAABkcnMvZG93bnJl&#10;di54bWxQSwECFAAUAAAACACHTuJAnMN++bUBAABQAwAADgAAAAAAAAABACAAAAA2AQAAZHJzL2Uy&#10;b0RvYy54bWxQSwUGAAAAAAYABgBZAQAAXQUAAAAA&#10;">
              <v:fill on="f" focussize="0,0"/>
              <v:stroke on="f"/>
              <v:imagedata o:title=""/>
              <o:lock v:ext="edit" aspectratio="f"/>
              <v:textbox inset="0mm,0mm,0mm,0mm" style="mso-fit-shape-to-text:t;">
                <w:txbxContent>
                  <w:p>
                    <w:pPr>
                      <w:pStyle w:val="33"/>
                      <w:ind w:firstLine="400"/>
                      <w:jc w:val="center"/>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84</w:t>
                    </w:r>
                    <w:r>
                      <w:rPr>
                        <w:rFonts w:hint="eastAsia" w:ascii="宋体" w:hAnsi="宋体" w:cs="宋体"/>
                        <w:sz w:val="24"/>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3"/>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8DdUlHAIAACk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R1RSevKTFMY0enb19P3x9PP74Q&#10;2ABQ68IMcWuHyNi9sV1Fo9+LwRVgT6N30uv0xVAEIUD7eEFYdJFwGMfTyXRawsXhGxSUKJ5+dz7E&#10;t8JqkoSKeqwwI8sOdyGeQ4eQVM3YVaNUXqMypK3o1ctXZf7h4kFyZVKsyITo06Spzq0nKXabrh91&#10;Y+sjJvX2TJbg+KpBK3csxAfmwQ60D8bHezxSWZS0vUTJzvrPf7OneCwNXkpasK2iBudAiXpnsMxE&#10;zEHwg7AZBLPXNxb0HeOSHM8ifvBRDaL0Vn/CGSxTDclUQGJmOKphUYN4E6H1TpwTF8vlRQcVHYt3&#10;Zu14v9qEVnDLfQS6GfSE0RkYLCsp4GNeW387ifC/6jnq6cI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vA3VJRwCAAApBAAADgAAAAAAAAABACAAAAA1AQAAZHJzL2Uyb0RvYy54bWxQSwUG&#10;AAAAAAYABgBZAQAAwwUAAAAA&#10;">
              <v:fill on="f" focussize="0,0"/>
              <v:stroke on="f" weight="0.5pt"/>
              <v:imagedata o:title=""/>
              <o:lock v:ext="edit" aspectratio="f"/>
              <v:textbox inset="0mm,0mm,0mm,0mm" style="mso-fit-shape-to-text:t;">
                <w:txbxContent>
                  <w:p>
                    <w:pPr>
                      <w:pStyle w:val="33"/>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rPr>
        <w:rFonts w:ascii="宋体" w:hAnsi="宋体" w:cs="宋体"/>
        <w:sz w:val="28"/>
        <w:szCs w:val="2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76835" cy="197485"/>
              <wp:effectExtent l="0" t="0" r="0" b="0"/>
              <wp:wrapNone/>
              <wp:docPr id="26" name="文本框 26"/>
              <wp:cNvGraphicFramePr/>
              <a:graphic xmlns:a="http://schemas.openxmlformats.org/drawingml/2006/main">
                <a:graphicData uri="http://schemas.microsoft.com/office/word/2010/wordprocessingShape">
                  <wps:wsp>
                    <wps:cNvSpPr txBox="true"/>
                    <wps:spPr>
                      <a:xfrm>
                        <a:off x="0" y="0"/>
                        <a:ext cx="76835" cy="197485"/>
                      </a:xfrm>
                      <a:prstGeom prst="rect">
                        <a:avLst/>
                      </a:prstGeom>
                      <a:noFill/>
                      <a:ln w="6350">
                        <a:noFill/>
                      </a:ln>
                      <a:effectLst/>
                    </wps:spPr>
                    <wps:txbx>
                      <w:txbxContent>
                        <w:p>
                          <w:pPr>
                            <w:pStyle w:val="33"/>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87</w:t>
                          </w:r>
                          <w:r>
                            <w:rPr>
                              <w:rFonts w:hint="eastAsia" w:ascii="宋体" w:hAnsi="宋体" w:cs="宋体"/>
                              <w:sz w:val="24"/>
                              <w:szCs w:val="24"/>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5.55pt;width:6.05pt;mso-position-horizontal:center;mso-position-horizontal-relative:margin;mso-wrap-style:none;z-index:251660288;mso-width-relative:page;mso-height-relative:page;" filled="f" stroked="f" coordsize="21600,21600" o:gfxdata="UEsFBgAAAAAAAAAAAAAAAAAAAAAAAFBLAwQKAAAAAACHTuJAAAAAAAAAAAAAAAAABAAAAGRycy9Q&#10;SwMEFAAAAAgAh07iQLx9xBzRAAAAAwEAAA8AAABkcnMvZG93bnJldi54bWxNj8FOwzAQRO9I/IO1&#10;SNyo4xYhFOJUoiIckWg4cNzGSxKw15HtpuHvcbnAZaXRjGbeVtvFWTFTiKNnDWpVgCDuvBm51/DW&#10;Njf3IGJCNmg9k4ZvirCtLy8qLI0/8SvN+9SLXMKxRA1DSlMpZewGchhXfiLO3ocPDlOWoZcm4CmX&#10;OyvXRXEnHY6cFwacaDdQ97U/Og27pm3DTDHYd3puNp8vj7f0tGh9faWKBxCJlvQXhjN+Roc6Mx38&#10;kU0UVkN+JP3es7dWIA4aNkqBrCv5n73+AVBLAwQUAAAACACHTuJA+k1iciICAAAmBAAADgAAAGRy&#10;cy9lMm9Eb2MueG1srVPNjtMwEL4j8Q6W7zRtl3ZL1XRVdlWEtGJXKoiz69hNJMe2bLdJeQB4A05c&#10;uPNcfQ4+u0kXASfExZm/fDPzzczipq0VOQjnK6NzOhoMKRGam6LSu5x+eL9+MaPEB6YLpowWOT0K&#10;T2+Wz58tGjsXY1MaVQhHAKL9vLE5LUOw8yzzvBQ18wNjhYZTGlezANXtssKxBui1ysbD4TRrjCus&#10;M1x4D+vd2UmXCV9KwcODlF4EonKK2kJ6XXq38c2WCzbfOWbLindlsH+oomaVRtIL1B0LjOxd9QdU&#10;XXFnvJFhwE2dGSkrLlIP6GY0/K2bTcmsSL2AHG8vNPn/B8vfHR4dqYqcjqeUaFZjRqevX07ffpy+&#10;fyawgaDG+jniNhaRoX1t2pwGtxe9y8MeW2+lq+MXTRGEgO3jhWHRBsJhvJ7OriaUcHhGr65fziYR&#10;JHv61zof3ghTkyjk1GF+iVZ2uPfhHNqHxFTarCul0gyVJk1Op1eTYfrh4gG40jFWpG3oYGJL57qj&#10;FNpt2/W5NcURbTpz3hRv+bpCKffMh0fmsBpoC+seHvBIZZDSdBIlpXGf/maP8ZgYvJQ0WLWcatwC&#10;JeqtxiTjVvaC64VtL+h9fWuwuyOckeVJxA8uqF6UztQfcQOrmEMy5QHMNEc2TKkXbwO0zolb4mK1&#10;uujYQ8vCvd5Y3s01suXtah/AbiI9cnQmBsOKCpYxja07nLjtv+op6um8l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vH3EHNEAAAADAQAADwAAAAAAAAABACAAAAA4AAAAZHJzL2Rvd25yZXYueG1s&#10;UEsBAhQAFAAAAAgAh07iQPpNYnIiAgAAJgQAAA4AAAAAAAAAAQAgAAAANgEAAGRycy9lMm9Eb2Mu&#10;eG1sUEsFBgAAAAAGAAYAWQEAAMoFAAAAAA==&#10;">
              <v:fill on="f" focussize="0,0"/>
              <v:stroke on="f" weight="0.5pt"/>
              <v:imagedata o:title=""/>
              <o:lock v:ext="edit" aspectratio="f"/>
              <v:textbox inset="0mm,0mm,0mm,0mm" style="mso-fit-shape-to-text:t;">
                <w:txbxContent>
                  <w:p>
                    <w:pPr>
                      <w:pStyle w:val="33"/>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87</w:t>
                    </w:r>
                    <w:r>
                      <w:rPr>
                        <w:rFonts w:hint="eastAsia" w:ascii="宋体" w:hAnsi="宋体" w:cs="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rPr>
        <w:sz w:val="15"/>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723EB7"/>
    <w:multiLevelType w:val="singleLevel"/>
    <w:tmpl w:val="A7723EB7"/>
    <w:lvl w:ilvl="0" w:tentative="0">
      <w:start w:val="1"/>
      <w:numFmt w:val="chineseCounting"/>
      <w:suff w:val="nothing"/>
      <w:lvlText w:val="（%1）"/>
      <w:lvlJc w:val="left"/>
      <w:rPr>
        <w:rFonts w:hint="eastAsia"/>
      </w:rPr>
    </w:lvl>
  </w:abstractNum>
  <w:abstractNum w:abstractNumId="1">
    <w:nsid w:val="BCEA77AC"/>
    <w:multiLevelType w:val="singleLevel"/>
    <w:tmpl w:val="BCEA77AC"/>
    <w:lvl w:ilvl="0" w:tentative="0">
      <w:start w:val="1"/>
      <w:numFmt w:val="decimal"/>
      <w:suff w:val="space"/>
      <w:lvlText w:val="%1."/>
      <w:lvlJc w:val="left"/>
    </w:lvl>
  </w:abstractNum>
  <w:abstractNum w:abstractNumId="2">
    <w:nsid w:val="DBA42958"/>
    <w:multiLevelType w:val="singleLevel"/>
    <w:tmpl w:val="DBA42958"/>
    <w:lvl w:ilvl="0" w:tentative="0">
      <w:start w:val="2"/>
      <w:numFmt w:val="decimal"/>
      <w:suff w:val="nothing"/>
      <w:lvlText w:val="（%1）"/>
      <w:lvlJc w:val="left"/>
    </w:lvl>
  </w:abstractNum>
  <w:abstractNum w:abstractNumId="3">
    <w:nsid w:val="FF8BA312"/>
    <w:multiLevelType w:val="singleLevel"/>
    <w:tmpl w:val="FF8BA312"/>
    <w:lvl w:ilvl="0" w:tentative="0">
      <w:start w:val="1"/>
      <w:numFmt w:val="decimal"/>
      <w:suff w:val="nothing"/>
      <w:lvlText w:val="%1、"/>
      <w:lvlJc w:val="left"/>
    </w:lvl>
  </w:abstractNum>
  <w:abstractNum w:abstractNumId="4">
    <w:nsid w:val="06651259"/>
    <w:multiLevelType w:val="multilevel"/>
    <w:tmpl w:val="06651259"/>
    <w:lvl w:ilvl="0" w:tentative="0">
      <w:start w:val="1"/>
      <w:numFmt w:val="decimal"/>
      <w:lvlText w:val="（%1）"/>
      <w:lvlJc w:val="left"/>
      <w:pPr>
        <w:ind w:left="273" w:hanging="420"/>
      </w:pPr>
      <w:rPr>
        <w:rFonts w:hint="default" w:cs="Times New Roman"/>
      </w:rPr>
    </w:lvl>
    <w:lvl w:ilvl="1" w:tentative="0">
      <w:start w:val="1"/>
      <w:numFmt w:val="lowerLetter"/>
      <w:lvlText w:val="%2)"/>
      <w:lvlJc w:val="left"/>
      <w:pPr>
        <w:ind w:left="693" w:hanging="420"/>
      </w:pPr>
      <w:rPr>
        <w:rFonts w:cs="Times New Roman"/>
      </w:rPr>
    </w:lvl>
    <w:lvl w:ilvl="2" w:tentative="0">
      <w:start w:val="1"/>
      <w:numFmt w:val="lowerRoman"/>
      <w:lvlText w:val="%3."/>
      <w:lvlJc w:val="right"/>
      <w:pPr>
        <w:ind w:left="1113" w:hanging="420"/>
      </w:pPr>
      <w:rPr>
        <w:rFonts w:cs="Times New Roman"/>
      </w:rPr>
    </w:lvl>
    <w:lvl w:ilvl="3" w:tentative="0">
      <w:start w:val="1"/>
      <w:numFmt w:val="decimal"/>
      <w:lvlText w:val="%4."/>
      <w:lvlJc w:val="left"/>
      <w:pPr>
        <w:ind w:left="1533" w:hanging="420"/>
      </w:pPr>
      <w:rPr>
        <w:rFonts w:cs="Times New Roman"/>
      </w:rPr>
    </w:lvl>
    <w:lvl w:ilvl="4" w:tentative="0">
      <w:start w:val="1"/>
      <w:numFmt w:val="lowerLetter"/>
      <w:lvlText w:val="%5)"/>
      <w:lvlJc w:val="left"/>
      <w:pPr>
        <w:ind w:left="1953" w:hanging="420"/>
      </w:pPr>
      <w:rPr>
        <w:rFonts w:cs="Times New Roman"/>
      </w:rPr>
    </w:lvl>
    <w:lvl w:ilvl="5" w:tentative="0">
      <w:start w:val="1"/>
      <w:numFmt w:val="lowerRoman"/>
      <w:lvlText w:val="%6."/>
      <w:lvlJc w:val="right"/>
      <w:pPr>
        <w:ind w:left="2373" w:hanging="420"/>
      </w:pPr>
      <w:rPr>
        <w:rFonts w:cs="Times New Roman"/>
      </w:rPr>
    </w:lvl>
    <w:lvl w:ilvl="6" w:tentative="0">
      <w:start w:val="1"/>
      <w:numFmt w:val="decimal"/>
      <w:lvlText w:val="%7."/>
      <w:lvlJc w:val="left"/>
      <w:pPr>
        <w:ind w:left="2793" w:hanging="420"/>
      </w:pPr>
      <w:rPr>
        <w:rFonts w:cs="Times New Roman"/>
      </w:rPr>
    </w:lvl>
    <w:lvl w:ilvl="7" w:tentative="0">
      <w:start w:val="1"/>
      <w:numFmt w:val="lowerLetter"/>
      <w:lvlText w:val="%8)"/>
      <w:lvlJc w:val="left"/>
      <w:pPr>
        <w:ind w:left="3213" w:hanging="420"/>
      </w:pPr>
      <w:rPr>
        <w:rFonts w:cs="Times New Roman"/>
      </w:rPr>
    </w:lvl>
    <w:lvl w:ilvl="8" w:tentative="0">
      <w:start w:val="1"/>
      <w:numFmt w:val="lowerRoman"/>
      <w:lvlText w:val="%9."/>
      <w:lvlJc w:val="right"/>
      <w:pPr>
        <w:ind w:left="3633" w:hanging="420"/>
      </w:pPr>
      <w:rPr>
        <w:rFonts w:cs="Times New Roman"/>
      </w:rPr>
    </w:lvl>
  </w:abstractNum>
  <w:abstractNum w:abstractNumId="5">
    <w:nsid w:val="180C37A7"/>
    <w:multiLevelType w:val="multilevel"/>
    <w:tmpl w:val="180C37A7"/>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1AAD08D7"/>
    <w:multiLevelType w:val="multilevel"/>
    <w:tmpl w:val="1AAD08D7"/>
    <w:lvl w:ilvl="0" w:tentative="0">
      <w:start w:val="1"/>
      <w:numFmt w:val="decimal"/>
      <w:lvlText w:val="(%1)"/>
      <w:lvlJc w:val="left"/>
      <w:pPr>
        <w:ind w:left="984" w:hanging="420"/>
      </w:pPr>
      <w:rPr>
        <w:rFonts w:hint="eastAsia" w:cs="Times New Roman"/>
      </w:rPr>
    </w:lvl>
    <w:lvl w:ilvl="1" w:tentative="0">
      <w:start w:val="1"/>
      <w:numFmt w:val="lowerLetter"/>
      <w:lvlText w:val="%2)"/>
      <w:lvlJc w:val="left"/>
      <w:pPr>
        <w:ind w:left="1404" w:hanging="420"/>
      </w:pPr>
      <w:rPr>
        <w:rFonts w:cs="Times New Roman"/>
      </w:rPr>
    </w:lvl>
    <w:lvl w:ilvl="2" w:tentative="0">
      <w:start w:val="1"/>
      <w:numFmt w:val="lowerRoman"/>
      <w:lvlText w:val="%3."/>
      <w:lvlJc w:val="right"/>
      <w:pPr>
        <w:ind w:left="1824" w:hanging="420"/>
      </w:pPr>
      <w:rPr>
        <w:rFonts w:cs="Times New Roman"/>
      </w:rPr>
    </w:lvl>
    <w:lvl w:ilvl="3" w:tentative="0">
      <w:start w:val="1"/>
      <w:numFmt w:val="decimal"/>
      <w:lvlText w:val="%4."/>
      <w:lvlJc w:val="left"/>
      <w:pPr>
        <w:ind w:left="2244" w:hanging="420"/>
      </w:pPr>
      <w:rPr>
        <w:rFonts w:cs="Times New Roman"/>
      </w:rPr>
    </w:lvl>
    <w:lvl w:ilvl="4" w:tentative="0">
      <w:start w:val="1"/>
      <w:numFmt w:val="lowerLetter"/>
      <w:lvlText w:val="%5)"/>
      <w:lvlJc w:val="left"/>
      <w:pPr>
        <w:ind w:left="2664" w:hanging="420"/>
      </w:pPr>
      <w:rPr>
        <w:rFonts w:cs="Times New Roman"/>
      </w:rPr>
    </w:lvl>
    <w:lvl w:ilvl="5" w:tentative="0">
      <w:start w:val="1"/>
      <w:numFmt w:val="lowerRoman"/>
      <w:lvlText w:val="%6."/>
      <w:lvlJc w:val="right"/>
      <w:pPr>
        <w:ind w:left="3084" w:hanging="420"/>
      </w:pPr>
      <w:rPr>
        <w:rFonts w:cs="Times New Roman"/>
      </w:rPr>
    </w:lvl>
    <w:lvl w:ilvl="6" w:tentative="0">
      <w:start w:val="1"/>
      <w:numFmt w:val="decimal"/>
      <w:lvlText w:val="%7."/>
      <w:lvlJc w:val="left"/>
      <w:pPr>
        <w:ind w:left="3504" w:hanging="420"/>
      </w:pPr>
      <w:rPr>
        <w:rFonts w:cs="Times New Roman"/>
      </w:rPr>
    </w:lvl>
    <w:lvl w:ilvl="7" w:tentative="0">
      <w:start w:val="1"/>
      <w:numFmt w:val="lowerLetter"/>
      <w:lvlText w:val="%8)"/>
      <w:lvlJc w:val="left"/>
      <w:pPr>
        <w:ind w:left="3924" w:hanging="420"/>
      </w:pPr>
      <w:rPr>
        <w:rFonts w:cs="Times New Roman"/>
      </w:rPr>
    </w:lvl>
    <w:lvl w:ilvl="8" w:tentative="0">
      <w:start w:val="1"/>
      <w:numFmt w:val="lowerRoman"/>
      <w:lvlText w:val="%9."/>
      <w:lvlJc w:val="right"/>
      <w:pPr>
        <w:ind w:left="4344" w:hanging="420"/>
      </w:pPr>
      <w:rPr>
        <w:rFonts w:cs="Times New Roman"/>
      </w:rPr>
    </w:lvl>
  </w:abstractNum>
  <w:abstractNum w:abstractNumId="7">
    <w:nsid w:val="2EAC4913"/>
    <w:multiLevelType w:val="multilevel"/>
    <w:tmpl w:val="2EAC4913"/>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33A7590A"/>
    <w:multiLevelType w:val="multilevel"/>
    <w:tmpl w:val="33A7590A"/>
    <w:lvl w:ilvl="0" w:tentative="0">
      <w:start w:val="3"/>
      <w:numFmt w:val="upperLetter"/>
      <w:lvlText w:val="%1."/>
      <w:lvlJc w:val="left"/>
      <w:pPr>
        <w:ind w:left="733" w:hanging="420"/>
      </w:pPr>
      <w:rPr>
        <w:rFonts w:hint="eastAsia" w:cs="Times New Roman"/>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372A1672"/>
    <w:multiLevelType w:val="multilevel"/>
    <w:tmpl w:val="372A1672"/>
    <w:lvl w:ilvl="0" w:tentative="0">
      <w:start w:val="1"/>
      <w:numFmt w:val="decimal"/>
      <w:lvlText w:val="（%1）"/>
      <w:lvlJc w:val="left"/>
      <w:pPr>
        <w:tabs>
          <w:tab w:val="left" w:pos="720"/>
        </w:tabs>
        <w:ind w:left="720" w:hanging="7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37CF4228"/>
    <w:multiLevelType w:val="multilevel"/>
    <w:tmpl w:val="37CF4228"/>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3FC47ECA"/>
    <w:multiLevelType w:val="multilevel"/>
    <w:tmpl w:val="3FC47EC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441D4937"/>
    <w:multiLevelType w:val="multilevel"/>
    <w:tmpl w:val="441D4937"/>
    <w:lvl w:ilvl="0" w:tentative="0">
      <w:start w:val="1"/>
      <w:numFmt w:val="decimal"/>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3">
    <w:nsid w:val="547968B0"/>
    <w:multiLevelType w:val="multilevel"/>
    <w:tmpl w:val="547968B0"/>
    <w:lvl w:ilvl="0" w:tentative="0">
      <w:start w:val="1"/>
      <w:numFmt w:val="decimal"/>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4">
    <w:nsid w:val="5BBC0647"/>
    <w:multiLevelType w:val="multilevel"/>
    <w:tmpl w:val="5BBC0647"/>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5">
    <w:nsid w:val="60AE39CC"/>
    <w:multiLevelType w:val="multilevel"/>
    <w:tmpl w:val="60AE39CC"/>
    <w:lvl w:ilvl="0" w:tentative="0">
      <w:start w:val="1"/>
      <w:numFmt w:val="none"/>
      <w:lvlText w:val=""/>
      <w:lvlJc w:val="left"/>
      <w:pPr>
        <w:tabs>
          <w:tab w:val="left" w:pos="432"/>
        </w:tabs>
        <w:ind w:left="432" w:hanging="432"/>
      </w:pPr>
      <w:rPr>
        <w:rFonts w:hint="eastAsia" w:cs="Times New Roman"/>
      </w:rPr>
    </w:lvl>
    <w:lvl w:ilvl="1" w:tentative="0">
      <w:start w:val="1"/>
      <w:numFmt w:val="none"/>
      <w:lvlText w:val=" "/>
      <w:lvlJc w:val="left"/>
      <w:pPr>
        <w:tabs>
          <w:tab w:val="left" w:pos="576"/>
        </w:tabs>
        <w:ind w:left="576" w:hanging="576"/>
      </w:pPr>
      <w:rPr>
        <w:rFonts w:hint="eastAsia" w:cs="Times New Roman"/>
      </w:rPr>
    </w:lvl>
    <w:lvl w:ilvl="2" w:tentative="0">
      <w:start w:val="1"/>
      <w:numFmt w:val="none"/>
      <w:lvlText w:val=""/>
      <w:lvlJc w:val="left"/>
      <w:pPr>
        <w:tabs>
          <w:tab w:val="left" w:pos="720"/>
        </w:tabs>
        <w:ind w:left="720" w:hanging="720"/>
      </w:pPr>
      <w:rPr>
        <w:rFonts w:hint="eastAsia" w:cs="Times New Roman"/>
      </w:rPr>
    </w:lvl>
    <w:lvl w:ilvl="3" w:tentative="0">
      <w:start w:val="1"/>
      <w:numFmt w:val="none"/>
      <w:lvlText w:val="    "/>
      <w:lvlJc w:val="left"/>
      <w:pPr>
        <w:tabs>
          <w:tab w:val="left" w:pos="4152"/>
        </w:tabs>
        <w:ind w:left="4152" w:hanging="864"/>
      </w:pPr>
      <w:rPr>
        <w:rFonts w:hint="eastAsia" w:cs="Times New Roman"/>
      </w:rPr>
    </w:lvl>
    <w:lvl w:ilvl="4" w:tentative="0">
      <w:start w:val="1"/>
      <w:numFmt w:val="none"/>
      <w:lvlText w:val="      "/>
      <w:lvlJc w:val="left"/>
      <w:pPr>
        <w:tabs>
          <w:tab w:val="left" w:pos="1008"/>
        </w:tabs>
        <w:ind w:left="1008" w:hanging="1008"/>
      </w:pPr>
      <w:rPr>
        <w:rFonts w:hint="eastAsia" w:cs="Times New Roman"/>
      </w:rPr>
    </w:lvl>
    <w:lvl w:ilvl="5" w:tentative="0">
      <w:start w:val="1"/>
      <w:numFmt w:val="none"/>
      <w:lvlText w:val="           "/>
      <w:lvlJc w:val="left"/>
      <w:pPr>
        <w:tabs>
          <w:tab w:val="left" w:pos="1440"/>
        </w:tabs>
        <w:ind w:left="1152" w:hanging="1152"/>
      </w:pPr>
      <w:rPr>
        <w:rFonts w:hint="eastAsia" w:cs="Times New Roman"/>
      </w:rPr>
    </w:lvl>
    <w:lvl w:ilvl="6" w:tentative="0">
      <w:start w:val="1"/>
      <w:numFmt w:val="decimal"/>
      <w:lvlText w:val="%1.%2.%3.%4.%5.%6.%7"/>
      <w:lvlJc w:val="left"/>
      <w:pPr>
        <w:tabs>
          <w:tab w:val="left" w:pos="2520"/>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16">
    <w:nsid w:val="66C26553"/>
    <w:multiLevelType w:val="multilevel"/>
    <w:tmpl w:val="66C26553"/>
    <w:lvl w:ilvl="0" w:tentative="0">
      <w:start w:val="1"/>
      <w:numFmt w:val="upperLetter"/>
      <w:lvlText w:val="%1."/>
      <w:lvlJc w:val="left"/>
      <w:pPr>
        <w:ind w:left="733" w:hanging="420"/>
      </w:pPr>
      <w:rPr>
        <w:rFonts w:cs="Times New Roman"/>
      </w:rPr>
    </w:lvl>
    <w:lvl w:ilvl="1" w:tentative="0">
      <w:start w:val="1"/>
      <w:numFmt w:val="lowerLetter"/>
      <w:lvlText w:val="%2)"/>
      <w:lvlJc w:val="left"/>
      <w:pPr>
        <w:ind w:left="1153" w:hanging="420"/>
      </w:pPr>
      <w:rPr>
        <w:rFonts w:cs="Times New Roman"/>
      </w:rPr>
    </w:lvl>
    <w:lvl w:ilvl="2" w:tentative="0">
      <w:start w:val="1"/>
      <w:numFmt w:val="lowerRoman"/>
      <w:lvlText w:val="%3."/>
      <w:lvlJc w:val="right"/>
      <w:pPr>
        <w:ind w:left="1573" w:hanging="420"/>
      </w:pPr>
      <w:rPr>
        <w:rFonts w:cs="Times New Roman"/>
      </w:rPr>
    </w:lvl>
    <w:lvl w:ilvl="3" w:tentative="0">
      <w:start w:val="1"/>
      <w:numFmt w:val="decimal"/>
      <w:lvlText w:val="%4."/>
      <w:lvlJc w:val="left"/>
      <w:pPr>
        <w:ind w:left="1993" w:hanging="420"/>
      </w:pPr>
      <w:rPr>
        <w:rFonts w:cs="Times New Roman"/>
      </w:rPr>
    </w:lvl>
    <w:lvl w:ilvl="4" w:tentative="0">
      <w:start w:val="1"/>
      <w:numFmt w:val="lowerLetter"/>
      <w:lvlText w:val="%5)"/>
      <w:lvlJc w:val="left"/>
      <w:pPr>
        <w:ind w:left="2413" w:hanging="420"/>
      </w:pPr>
      <w:rPr>
        <w:rFonts w:cs="Times New Roman"/>
      </w:rPr>
    </w:lvl>
    <w:lvl w:ilvl="5" w:tentative="0">
      <w:start w:val="1"/>
      <w:numFmt w:val="lowerRoman"/>
      <w:lvlText w:val="%6."/>
      <w:lvlJc w:val="right"/>
      <w:pPr>
        <w:ind w:left="2833" w:hanging="420"/>
      </w:pPr>
      <w:rPr>
        <w:rFonts w:cs="Times New Roman"/>
      </w:rPr>
    </w:lvl>
    <w:lvl w:ilvl="6" w:tentative="0">
      <w:start w:val="1"/>
      <w:numFmt w:val="decimal"/>
      <w:lvlText w:val="%7."/>
      <w:lvlJc w:val="left"/>
      <w:pPr>
        <w:ind w:left="3253" w:hanging="420"/>
      </w:pPr>
      <w:rPr>
        <w:rFonts w:cs="Times New Roman"/>
      </w:rPr>
    </w:lvl>
    <w:lvl w:ilvl="7" w:tentative="0">
      <w:start w:val="1"/>
      <w:numFmt w:val="lowerLetter"/>
      <w:lvlText w:val="%8)"/>
      <w:lvlJc w:val="left"/>
      <w:pPr>
        <w:ind w:left="3673" w:hanging="420"/>
      </w:pPr>
      <w:rPr>
        <w:rFonts w:cs="Times New Roman"/>
      </w:rPr>
    </w:lvl>
    <w:lvl w:ilvl="8" w:tentative="0">
      <w:start w:val="1"/>
      <w:numFmt w:val="lowerRoman"/>
      <w:lvlText w:val="%9."/>
      <w:lvlJc w:val="right"/>
      <w:pPr>
        <w:ind w:left="4093" w:hanging="420"/>
      </w:pPr>
      <w:rPr>
        <w:rFonts w:cs="Times New Roman"/>
      </w:rPr>
    </w:lvl>
  </w:abstractNum>
  <w:abstractNum w:abstractNumId="17">
    <w:nsid w:val="6CEA2025"/>
    <w:multiLevelType w:val="multilevel"/>
    <w:tmpl w:val="6CEA2025"/>
    <w:lvl w:ilvl="0" w:tentative="0">
      <w:start w:val="1"/>
      <w:numFmt w:val="none"/>
      <w:pStyle w:val="185"/>
      <w:suff w:val="nothing"/>
      <w:lvlText w:val="%1"/>
      <w:lvlJc w:val="left"/>
      <w:rPr>
        <w:rFonts w:hint="default" w:ascii="Times New Roman" w:hAnsi="Times New Roman" w:cs="Times New Roman"/>
        <w:b/>
        <w:i w:val="0"/>
        <w:sz w:val="21"/>
      </w:rPr>
    </w:lvl>
    <w:lvl w:ilvl="1" w:tentative="0">
      <w:start w:val="1"/>
      <w:numFmt w:val="decimal"/>
      <w:pStyle w:val="186"/>
      <w:suff w:val="nothing"/>
      <w:lvlText w:val="%1%2　"/>
      <w:lvlJc w:val="left"/>
      <w:pPr>
        <w:ind w:left="315"/>
      </w:pPr>
      <w:rPr>
        <w:rFonts w:hint="eastAsia" w:ascii="黑体" w:hAnsi="Times New Roman" w:eastAsia="黑体" w:cs="Times New Roman"/>
        <w:b w:val="0"/>
        <w:i w:val="0"/>
        <w:sz w:val="21"/>
      </w:rPr>
    </w:lvl>
    <w:lvl w:ilvl="2" w:tentative="0">
      <w:start w:val="1"/>
      <w:numFmt w:val="decimal"/>
      <w:pStyle w:val="187"/>
      <w:suff w:val="nothing"/>
      <w:lvlText w:val="%1%2.%3　"/>
      <w:lvlJc w:val="left"/>
      <w:pPr>
        <w:ind w:left="630"/>
      </w:pPr>
      <w:rPr>
        <w:rFonts w:hint="eastAsia" w:ascii="黑体" w:hAnsi="Times New Roman" w:eastAsia="黑体" w:cs="Times New Roman"/>
        <w:b w:val="0"/>
        <w:i w:val="0"/>
        <w:sz w:val="21"/>
      </w:rPr>
    </w:lvl>
    <w:lvl w:ilvl="3" w:tentative="0">
      <w:start w:val="1"/>
      <w:numFmt w:val="decimal"/>
      <w:pStyle w:val="188"/>
      <w:suff w:val="nothing"/>
      <w:lvlText w:val="%1%2.%3.%4　"/>
      <w:lvlJc w:val="left"/>
      <w:pPr>
        <w:ind w:left="567"/>
      </w:pPr>
      <w:rPr>
        <w:rFonts w:hint="eastAsia" w:ascii="黑体" w:hAnsi="Times New Roman" w:eastAsia="黑体" w:cs="Times New Roman"/>
        <w:b w:val="0"/>
        <w:i w:val="0"/>
        <w:sz w:val="21"/>
      </w:rPr>
    </w:lvl>
    <w:lvl w:ilvl="4" w:tentative="0">
      <w:start w:val="1"/>
      <w:numFmt w:val="decimal"/>
      <w:pStyle w:val="190"/>
      <w:suff w:val="nothing"/>
      <w:lvlText w:val="%1%2.%3.%4.%5　"/>
      <w:lvlJc w:val="left"/>
      <w:pPr>
        <w:ind w:left="1050"/>
      </w:pPr>
      <w:rPr>
        <w:rFonts w:hint="eastAsia" w:ascii="黑体" w:hAnsi="Times New Roman" w:eastAsia="黑体" w:cs="Times New Roman"/>
        <w:b w:val="0"/>
        <w:i w:val="0"/>
        <w:sz w:val="21"/>
        <w:szCs w:val="21"/>
      </w:rPr>
    </w:lvl>
    <w:lvl w:ilvl="5" w:tentative="0">
      <w:start w:val="1"/>
      <w:numFmt w:val="decimal"/>
      <w:pStyle w:val="191"/>
      <w:suff w:val="nothing"/>
      <w:lvlText w:val="%1%2.%3.%4.%5.%6　"/>
      <w:lvlJc w:val="left"/>
      <w:rPr>
        <w:rFonts w:hint="eastAsia" w:ascii="黑体" w:hAnsi="Times New Roman" w:eastAsia="黑体" w:cs="Times New Roman"/>
        <w:b w:val="0"/>
        <w:i w:val="0"/>
        <w:sz w:val="21"/>
      </w:rPr>
    </w:lvl>
    <w:lvl w:ilvl="6" w:tentative="0">
      <w:start w:val="1"/>
      <w:numFmt w:val="decimal"/>
      <w:pStyle w:val="192"/>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8">
    <w:nsid w:val="6EB4130E"/>
    <w:multiLevelType w:val="singleLevel"/>
    <w:tmpl w:val="6EB4130E"/>
    <w:lvl w:ilvl="0" w:tentative="0">
      <w:start w:val="3"/>
      <w:numFmt w:val="chineseCounting"/>
      <w:suff w:val="nothing"/>
      <w:lvlText w:val="%1、"/>
      <w:lvlJc w:val="left"/>
      <w:rPr>
        <w:rFonts w:hint="eastAsia"/>
      </w:rPr>
    </w:lvl>
  </w:abstractNum>
  <w:abstractNum w:abstractNumId="19">
    <w:nsid w:val="76933334"/>
    <w:multiLevelType w:val="multilevel"/>
    <w:tmpl w:val="76933334"/>
    <w:lvl w:ilvl="0" w:tentative="0">
      <w:start w:val="1"/>
      <w:numFmt w:val="none"/>
      <w:pStyle w:val="189"/>
      <w:lvlText w:val="%1——"/>
      <w:lvlJc w:val="left"/>
      <w:pPr>
        <w:tabs>
          <w:tab w:val="left" w:pos="1140"/>
        </w:tabs>
        <w:ind w:left="84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0">
    <w:nsid w:val="76D80E55"/>
    <w:multiLevelType w:val="multilevel"/>
    <w:tmpl w:val="76D80E55"/>
    <w:lvl w:ilvl="0" w:tentative="0">
      <w:start w:val="2"/>
      <w:numFmt w:val="decimal"/>
      <w:pStyle w:val="97"/>
      <w:lvlText w:val="%1"/>
      <w:lvlJc w:val="left"/>
      <w:pPr>
        <w:tabs>
          <w:tab w:val="left" w:pos="480"/>
        </w:tabs>
        <w:ind w:left="480" w:hanging="480"/>
      </w:pPr>
      <w:rPr>
        <w:rFonts w:hint="default" w:cs="Times New Roman"/>
      </w:rPr>
    </w:lvl>
    <w:lvl w:ilvl="1" w:tentative="0">
      <w:start w:val="1"/>
      <w:numFmt w:val="decimal"/>
      <w:lvlText w:val="%1.%2"/>
      <w:lvlJc w:val="left"/>
      <w:pPr>
        <w:tabs>
          <w:tab w:val="left" w:pos="480"/>
        </w:tabs>
        <w:ind w:left="480" w:hanging="480"/>
      </w:pPr>
      <w:rPr>
        <w:rFonts w:hint="default" w:cs="Times New Roman"/>
      </w:rPr>
    </w:lvl>
    <w:lvl w:ilvl="2" w:tentative="0">
      <w:start w:val="2"/>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num w:numId="1">
    <w:abstractNumId w:val="20"/>
  </w:num>
  <w:num w:numId="2">
    <w:abstractNumId w:val="17"/>
  </w:num>
  <w:num w:numId="3">
    <w:abstractNumId w:val="19"/>
  </w:num>
  <w:num w:numId="4">
    <w:abstractNumId w:val="12"/>
  </w:num>
  <w:num w:numId="5">
    <w:abstractNumId w:val="4"/>
  </w:num>
  <w:num w:numId="6">
    <w:abstractNumId w:val="6"/>
  </w:num>
  <w:num w:numId="7">
    <w:abstractNumId w:val="3"/>
  </w:num>
  <w:num w:numId="8">
    <w:abstractNumId w:val="0"/>
  </w:num>
  <w:num w:numId="9">
    <w:abstractNumId w:val="15"/>
  </w:num>
  <w:num w:numId="10">
    <w:abstractNumId w:val="2"/>
  </w:num>
  <w:num w:numId="11">
    <w:abstractNumId w:val="18"/>
  </w:num>
  <w:num w:numId="12">
    <w:abstractNumId w:val="1"/>
  </w:num>
  <w:num w:numId="13">
    <w:abstractNumId w:val="9"/>
  </w:num>
  <w:num w:numId="14">
    <w:abstractNumId w:val="10"/>
  </w:num>
  <w:num w:numId="15">
    <w:abstractNumId w:val="13"/>
  </w:num>
  <w:num w:numId="16">
    <w:abstractNumId w:val="7"/>
  </w:num>
  <w:num w:numId="17">
    <w:abstractNumId w:val="11"/>
  </w:num>
  <w:num w:numId="18">
    <w:abstractNumId w:val="5"/>
  </w:num>
  <w:num w:numId="19">
    <w:abstractNumId w:val="16"/>
  </w:num>
  <w:num w:numId="20">
    <w:abstractNumId w:val="8"/>
  </w:num>
  <w:num w:numId="21">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蔡迪">
    <w15:presenceInfo w15:providerId="None" w15:userId="蔡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xOGQ5ZTkxMzNlN2EzY2NmOGY0ZjhkZTU1NWVhYzQifQ=="/>
  </w:docVars>
  <w:rsids>
    <w:rsidRoot w:val="00BB6422"/>
    <w:rsid w:val="00000EBE"/>
    <w:rsid w:val="00006A29"/>
    <w:rsid w:val="00006C4E"/>
    <w:rsid w:val="00012EBB"/>
    <w:rsid w:val="0001622F"/>
    <w:rsid w:val="00016C79"/>
    <w:rsid w:val="000207F2"/>
    <w:rsid w:val="00020E1E"/>
    <w:rsid w:val="00022279"/>
    <w:rsid w:val="00022352"/>
    <w:rsid w:val="00024BD9"/>
    <w:rsid w:val="0002505E"/>
    <w:rsid w:val="00025A9A"/>
    <w:rsid w:val="00031960"/>
    <w:rsid w:val="00034FF9"/>
    <w:rsid w:val="00036652"/>
    <w:rsid w:val="00037BFF"/>
    <w:rsid w:val="000400B0"/>
    <w:rsid w:val="000432C9"/>
    <w:rsid w:val="00046629"/>
    <w:rsid w:val="000467D0"/>
    <w:rsid w:val="000501B4"/>
    <w:rsid w:val="00050CDE"/>
    <w:rsid w:val="0005275C"/>
    <w:rsid w:val="000579EF"/>
    <w:rsid w:val="0006473F"/>
    <w:rsid w:val="00066351"/>
    <w:rsid w:val="0006718F"/>
    <w:rsid w:val="00067DA8"/>
    <w:rsid w:val="00067E63"/>
    <w:rsid w:val="00071DDD"/>
    <w:rsid w:val="0007453C"/>
    <w:rsid w:val="00076A61"/>
    <w:rsid w:val="00076FAC"/>
    <w:rsid w:val="00077C4E"/>
    <w:rsid w:val="000801A2"/>
    <w:rsid w:val="0008130B"/>
    <w:rsid w:val="0008335B"/>
    <w:rsid w:val="00090769"/>
    <w:rsid w:val="00092C18"/>
    <w:rsid w:val="00092C55"/>
    <w:rsid w:val="00095717"/>
    <w:rsid w:val="0009768D"/>
    <w:rsid w:val="000A4499"/>
    <w:rsid w:val="000B36EE"/>
    <w:rsid w:val="000B6699"/>
    <w:rsid w:val="000B70DE"/>
    <w:rsid w:val="000C1ECA"/>
    <w:rsid w:val="000C22E9"/>
    <w:rsid w:val="000C25F0"/>
    <w:rsid w:val="000C336A"/>
    <w:rsid w:val="000C4A82"/>
    <w:rsid w:val="000C6552"/>
    <w:rsid w:val="000C76FD"/>
    <w:rsid w:val="000D09A8"/>
    <w:rsid w:val="000D58F9"/>
    <w:rsid w:val="000E1574"/>
    <w:rsid w:val="000E337B"/>
    <w:rsid w:val="000E595B"/>
    <w:rsid w:val="000E5D42"/>
    <w:rsid w:val="000E71B4"/>
    <w:rsid w:val="000F109B"/>
    <w:rsid w:val="000F7C87"/>
    <w:rsid w:val="001038AE"/>
    <w:rsid w:val="00105478"/>
    <w:rsid w:val="00106268"/>
    <w:rsid w:val="001065F0"/>
    <w:rsid w:val="0011040F"/>
    <w:rsid w:val="00110450"/>
    <w:rsid w:val="00111556"/>
    <w:rsid w:val="00111C81"/>
    <w:rsid w:val="001131B6"/>
    <w:rsid w:val="00120A6C"/>
    <w:rsid w:val="001219B6"/>
    <w:rsid w:val="00121EDF"/>
    <w:rsid w:val="00122C6C"/>
    <w:rsid w:val="00125BFF"/>
    <w:rsid w:val="00130BB0"/>
    <w:rsid w:val="00134389"/>
    <w:rsid w:val="00136F20"/>
    <w:rsid w:val="00141A72"/>
    <w:rsid w:val="001447C7"/>
    <w:rsid w:val="00144910"/>
    <w:rsid w:val="00146734"/>
    <w:rsid w:val="00151A6F"/>
    <w:rsid w:val="00153CDC"/>
    <w:rsid w:val="0015504E"/>
    <w:rsid w:val="00156F6D"/>
    <w:rsid w:val="00161617"/>
    <w:rsid w:val="00167E68"/>
    <w:rsid w:val="0017097C"/>
    <w:rsid w:val="001722F7"/>
    <w:rsid w:val="001756BC"/>
    <w:rsid w:val="00175E4D"/>
    <w:rsid w:val="001769A4"/>
    <w:rsid w:val="00177AEC"/>
    <w:rsid w:val="001825C4"/>
    <w:rsid w:val="00183B1C"/>
    <w:rsid w:val="00183F7F"/>
    <w:rsid w:val="001928BF"/>
    <w:rsid w:val="001A4DA5"/>
    <w:rsid w:val="001A5344"/>
    <w:rsid w:val="001B548B"/>
    <w:rsid w:val="001B5932"/>
    <w:rsid w:val="001C0D39"/>
    <w:rsid w:val="001C632E"/>
    <w:rsid w:val="001D33CB"/>
    <w:rsid w:val="001D7213"/>
    <w:rsid w:val="001E1F9A"/>
    <w:rsid w:val="001E2113"/>
    <w:rsid w:val="001E3AF8"/>
    <w:rsid w:val="001E4BB8"/>
    <w:rsid w:val="001E51CE"/>
    <w:rsid w:val="001E6BD6"/>
    <w:rsid w:val="001E6E58"/>
    <w:rsid w:val="001E7C54"/>
    <w:rsid w:val="001F061A"/>
    <w:rsid w:val="001F065F"/>
    <w:rsid w:val="001F2AAA"/>
    <w:rsid w:val="001F44CC"/>
    <w:rsid w:val="001F5BFF"/>
    <w:rsid w:val="001F7C42"/>
    <w:rsid w:val="002024BF"/>
    <w:rsid w:val="00207011"/>
    <w:rsid w:val="00207ECB"/>
    <w:rsid w:val="002132D7"/>
    <w:rsid w:val="00214955"/>
    <w:rsid w:val="00215269"/>
    <w:rsid w:val="00215439"/>
    <w:rsid w:val="0021665F"/>
    <w:rsid w:val="002202F4"/>
    <w:rsid w:val="00221537"/>
    <w:rsid w:val="00226C3E"/>
    <w:rsid w:val="00227A4B"/>
    <w:rsid w:val="00232F26"/>
    <w:rsid w:val="00233118"/>
    <w:rsid w:val="00233F70"/>
    <w:rsid w:val="002501DF"/>
    <w:rsid w:val="00252B4D"/>
    <w:rsid w:val="00254885"/>
    <w:rsid w:val="002551B5"/>
    <w:rsid w:val="0026141E"/>
    <w:rsid w:val="00270409"/>
    <w:rsid w:val="00272D24"/>
    <w:rsid w:val="002841EB"/>
    <w:rsid w:val="002842C7"/>
    <w:rsid w:val="00285B03"/>
    <w:rsid w:val="00290CEB"/>
    <w:rsid w:val="00294025"/>
    <w:rsid w:val="00296BE5"/>
    <w:rsid w:val="00296CDA"/>
    <w:rsid w:val="002A0009"/>
    <w:rsid w:val="002A44B9"/>
    <w:rsid w:val="002A66CB"/>
    <w:rsid w:val="002B09F4"/>
    <w:rsid w:val="002B3E47"/>
    <w:rsid w:val="002C189F"/>
    <w:rsid w:val="002C54AE"/>
    <w:rsid w:val="002C6DFC"/>
    <w:rsid w:val="002C7D86"/>
    <w:rsid w:val="002E099B"/>
    <w:rsid w:val="002E6BBA"/>
    <w:rsid w:val="002E7408"/>
    <w:rsid w:val="002F0E80"/>
    <w:rsid w:val="002F5496"/>
    <w:rsid w:val="0030052A"/>
    <w:rsid w:val="003024F3"/>
    <w:rsid w:val="003029C2"/>
    <w:rsid w:val="00304142"/>
    <w:rsid w:val="00310AB1"/>
    <w:rsid w:val="00316ED5"/>
    <w:rsid w:val="0031769A"/>
    <w:rsid w:val="00317749"/>
    <w:rsid w:val="0032241E"/>
    <w:rsid w:val="003224A2"/>
    <w:rsid w:val="00340C93"/>
    <w:rsid w:val="003418CD"/>
    <w:rsid w:val="00342061"/>
    <w:rsid w:val="00342EF6"/>
    <w:rsid w:val="00343623"/>
    <w:rsid w:val="003451C7"/>
    <w:rsid w:val="00350EEA"/>
    <w:rsid w:val="003540C3"/>
    <w:rsid w:val="00356DE2"/>
    <w:rsid w:val="00365EEB"/>
    <w:rsid w:val="0036792A"/>
    <w:rsid w:val="003701D1"/>
    <w:rsid w:val="00370E87"/>
    <w:rsid w:val="003756D0"/>
    <w:rsid w:val="00375F99"/>
    <w:rsid w:val="003821F6"/>
    <w:rsid w:val="00383151"/>
    <w:rsid w:val="00386523"/>
    <w:rsid w:val="00386DCE"/>
    <w:rsid w:val="00392FB8"/>
    <w:rsid w:val="00392FDE"/>
    <w:rsid w:val="003A0330"/>
    <w:rsid w:val="003A47D0"/>
    <w:rsid w:val="003B151C"/>
    <w:rsid w:val="003B3643"/>
    <w:rsid w:val="003B6B16"/>
    <w:rsid w:val="003C0540"/>
    <w:rsid w:val="003C06E3"/>
    <w:rsid w:val="003C1067"/>
    <w:rsid w:val="003C5D1A"/>
    <w:rsid w:val="003C6A3A"/>
    <w:rsid w:val="003D4617"/>
    <w:rsid w:val="003E117E"/>
    <w:rsid w:val="003E276E"/>
    <w:rsid w:val="003E30B8"/>
    <w:rsid w:val="003F1835"/>
    <w:rsid w:val="003F480D"/>
    <w:rsid w:val="003F678F"/>
    <w:rsid w:val="00400112"/>
    <w:rsid w:val="00406FC9"/>
    <w:rsid w:val="00413465"/>
    <w:rsid w:val="00416FDE"/>
    <w:rsid w:val="00421B29"/>
    <w:rsid w:val="00422368"/>
    <w:rsid w:val="00423044"/>
    <w:rsid w:val="0042397E"/>
    <w:rsid w:val="0042562A"/>
    <w:rsid w:val="00426A94"/>
    <w:rsid w:val="00427A6C"/>
    <w:rsid w:val="00435556"/>
    <w:rsid w:val="00436870"/>
    <w:rsid w:val="00436F7D"/>
    <w:rsid w:val="00446D50"/>
    <w:rsid w:val="00447B3A"/>
    <w:rsid w:val="00452743"/>
    <w:rsid w:val="00452D9A"/>
    <w:rsid w:val="00454247"/>
    <w:rsid w:val="00454277"/>
    <w:rsid w:val="0045445C"/>
    <w:rsid w:val="00454883"/>
    <w:rsid w:val="004559B0"/>
    <w:rsid w:val="004639F5"/>
    <w:rsid w:val="00464029"/>
    <w:rsid w:val="00465D78"/>
    <w:rsid w:val="0047155A"/>
    <w:rsid w:val="004731E8"/>
    <w:rsid w:val="0047666D"/>
    <w:rsid w:val="00480F67"/>
    <w:rsid w:val="00483719"/>
    <w:rsid w:val="00485719"/>
    <w:rsid w:val="0049015E"/>
    <w:rsid w:val="00490C36"/>
    <w:rsid w:val="00491D1C"/>
    <w:rsid w:val="00495558"/>
    <w:rsid w:val="00495F9A"/>
    <w:rsid w:val="00496B12"/>
    <w:rsid w:val="00497E2D"/>
    <w:rsid w:val="004A0754"/>
    <w:rsid w:val="004A52D7"/>
    <w:rsid w:val="004A5417"/>
    <w:rsid w:val="004B2388"/>
    <w:rsid w:val="004B5D52"/>
    <w:rsid w:val="004C2D01"/>
    <w:rsid w:val="004C44A7"/>
    <w:rsid w:val="004C4FB7"/>
    <w:rsid w:val="004C6796"/>
    <w:rsid w:val="004C7BA4"/>
    <w:rsid w:val="004D04A6"/>
    <w:rsid w:val="004D1658"/>
    <w:rsid w:val="004D342B"/>
    <w:rsid w:val="004D4AA7"/>
    <w:rsid w:val="004E167E"/>
    <w:rsid w:val="004E5B9B"/>
    <w:rsid w:val="004E607D"/>
    <w:rsid w:val="004E7306"/>
    <w:rsid w:val="004F105F"/>
    <w:rsid w:val="004F11E0"/>
    <w:rsid w:val="004F3C13"/>
    <w:rsid w:val="004F3D9D"/>
    <w:rsid w:val="004F50A8"/>
    <w:rsid w:val="004F5CB6"/>
    <w:rsid w:val="004F5E5B"/>
    <w:rsid w:val="004F70A7"/>
    <w:rsid w:val="00500EF0"/>
    <w:rsid w:val="00501C15"/>
    <w:rsid w:val="00511A48"/>
    <w:rsid w:val="00511D95"/>
    <w:rsid w:val="00514C49"/>
    <w:rsid w:val="00514C6F"/>
    <w:rsid w:val="005167BD"/>
    <w:rsid w:val="005258CF"/>
    <w:rsid w:val="005300B1"/>
    <w:rsid w:val="005308EC"/>
    <w:rsid w:val="00534CD9"/>
    <w:rsid w:val="0053689A"/>
    <w:rsid w:val="00540695"/>
    <w:rsid w:val="005409D3"/>
    <w:rsid w:val="00540E0C"/>
    <w:rsid w:val="0054345D"/>
    <w:rsid w:val="0054382A"/>
    <w:rsid w:val="00545447"/>
    <w:rsid w:val="00550AC8"/>
    <w:rsid w:val="005559D8"/>
    <w:rsid w:val="00557F3C"/>
    <w:rsid w:val="00560CCA"/>
    <w:rsid w:val="00560DE3"/>
    <w:rsid w:val="00566D03"/>
    <w:rsid w:val="005709E7"/>
    <w:rsid w:val="0057285F"/>
    <w:rsid w:val="00573252"/>
    <w:rsid w:val="005732C2"/>
    <w:rsid w:val="005738C3"/>
    <w:rsid w:val="00574CDC"/>
    <w:rsid w:val="00575C6D"/>
    <w:rsid w:val="00576259"/>
    <w:rsid w:val="005765FF"/>
    <w:rsid w:val="005800C7"/>
    <w:rsid w:val="00581A73"/>
    <w:rsid w:val="00581D1C"/>
    <w:rsid w:val="00584FA9"/>
    <w:rsid w:val="00587995"/>
    <w:rsid w:val="00587EB1"/>
    <w:rsid w:val="0059258B"/>
    <w:rsid w:val="005A26E3"/>
    <w:rsid w:val="005A7A69"/>
    <w:rsid w:val="005B30DD"/>
    <w:rsid w:val="005C1083"/>
    <w:rsid w:val="005C3400"/>
    <w:rsid w:val="005C5A38"/>
    <w:rsid w:val="005D6824"/>
    <w:rsid w:val="005E1F7A"/>
    <w:rsid w:val="005E5633"/>
    <w:rsid w:val="005F267C"/>
    <w:rsid w:val="005F469E"/>
    <w:rsid w:val="005F60F4"/>
    <w:rsid w:val="005F690E"/>
    <w:rsid w:val="00601160"/>
    <w:rsid w:val="006012B3"/>
    <w:rsid w:val="00602F70"/>
    <w:rsid w:val="006100BB"/>
    <w:rsid w:val="00610171"/>
    <w:rsid w:val="00610BF3"/>
    <w:rsid w:val="00611A39"/>
    <w:rsid w:val="00614E85"/>
    <w:rsid w:val="006155A0"/>
    <w:rsid w:val="00616F25"/>
    <w:rsid w:val="006241FF"/>
    <w:rsid w:val="00627204"/>
    <w:rsid w:val="00631E62"/>
    <w:rsid w:val="006333AF"/>
    <w:rsid w:val="00633567"/>
    <w:rsid w:val="00644BAB"/>
    <w:rsid w:val="00650B17"/>
    <w:rsid w:val="00650C99"/>
    <w:rsid w:val="0065701F"/>
    <w:rsid w:val="00657601"/>
    <w:rsid w:val="00657DE4"/>
    <w:rsid w:val="006702AE"/>
    <w:rsid w:val="0067169B"/>
    <w:rsid w:val="006734B1"/>
    <w:rsid w:val="00680E84"/>
    <w:rsid w:val="00685BA8"/>
    <w:rsid w:val="00686F78"/>
    <w:rsid w:val="006A0D1B"/>
    <w:rsid w:val="006A2C60"/>
    <w:rsid w:val="006A4768"/>
    <w:rsid w:val="006B382B"/>
    <w:rsid w:val="006B5711"/>
    <w:rsid w:val="006C2CB0"/>
    <w:rsid w:val="006C57FC"/>
    <w:rsid w:val="006C6773"/>
    <w:rsid w:val="006D531A"/>
    <w:rsid w:val="006D566D"/>
    <w:rsid w:val="006D6301"/>
    <w:rsid w:val="006D69E9"/>
    <w:rsid w:val="006E28BB"/>
    <w:rsid w:val="006E6394"/>
    <w:rsid w:val="006F59CE"/>
    <w:rsid w:val="006F69F0"/>
    <w:rsid w:val="006F760A"/>
    <w:rsid w:val="00700F2F"/>
    <w:rsid w:val="00705319"/>
    <w:rsid w:val="00705DFE"/>
    <w:rsid w:val="00716100"/>
    <w:rsid w:val="007217AD"/>
    <w:rsid w:val="00721A78"/>
    <w:rsid w:val="00723160"/>
    <w:rsid w:val="007257E5"/>
    <w:rsid w:val="007305B7"/>
    <w:rsid w:val="0073269B"/>
    <w:rsid w:val="007326C7"/>
    <w:rsid w:val="00732E8A"/>
    <w:rsid w:val="00735188"/>
    <w:rsid w:val="00741CA8"/>
    <w:rsid w:val="007451F6"/>
    <w:rsid w:val="00750840"/>
    <w:rsid w:val="00751468"/>
    <w:rsid w:val="007532D2"/>
    <w:rsid w:val="00753624"/>
    <w:rsid w:val="00753CB1"/>
    <w:rsid w:val="007700DC"/>
    <w:rsid w:val="00770832"/>
    <w:rsid w:val="0077100D"/>
    <w:rsid w:val="0077160C"/>
    <w:rsid w:val="0077339C"/>
    <w:rsid w:val="007759B3"/>
    <w:rsid w:val="00777D8C"/>
    <w:rsid w:val="00780327"/>
    <w:rsid w:val="0078224D"/>
    <w:rsid w:val="0078246A"/>
    <w:rsid w:val="00783554"/>
    <w:rsid w:val="007845EC"/>
    <w:rsid w:val="00786854"/>
    <w:rsid w:val="00787E51"/>
    <w:rsid w:val="00792D8B"/>
    <w:rsid w:val="00794A3A"/>
    <w:rsid w:val="007952E6"/>
    <w:rsid w:val="0079554B"/>
    <w:rsid w:val="0079626E"/>
    <w:rsid w:val="007968B1"/>
    <w:rsid w:val="007A1050"/>
    <w:rsid w:val="007A2B66"/>
    <w:rsid w:val="007A2CD2"/>
    <w:rsid w:val="007A5DE9"/>
    <w:rsid w:val="007A7474"/>
    <w:rsid w:val="007B0F87"/>
    <w:rsid w:val="007B44D3"/>
    <w:rsid w:val="007B58BE"/>
    <w:rsid w:val="007C1355"/>
    <w:rsid w:val="007C1D1F"/>
    <w:rsid w:val="007C3D96"/>
    <w:rsid w:val="007C4A01"/>
    <w:rsid w:val="007D1651"/>
    <w:rsid w:val="007D4FD7"/>
    <w:rsid w:val="007E1E0E"/>
    <w:rsid w:val="007E2A6F"/>
    <w:rsid w:val="007F019D"/>
    <w:rsid w:val="007F1D6F"/>
    <w:rsid w:val="007F59A1"/>
    <w:rsid w:val="0080195B"/>
    <w:rsid w:val="00801ED6"/>
    <w:rsid w:val="008046B4"/>
    <w:rsid w:val="0080666C"/>
    <w:rsid w:val="008068C0"/>
    <w:rsid w:val="008073F0"/>
    <w:rsid w:val="00811808"/>
    <w:rsid w:val="00816879"/>
    <w:rsid w:val="008171EC"/>
    <w:rsid w:val="00817C56"/>
    <w:rsid w:val="008237DE"/>
    <w:rsid w:val="00823ECF"/>
    <w:rsid w:val="0082767E"/>
    <w:rsid w:val="00831206"/>
    <w:rsid w:val="00841108"/>
    <w:rsid w:val="00842094"/>
    <w:rsid w:val="00846E77"/>
    <w:rsid w:val="00851CE3"/>
    <w:rsid w:val="00853E28"/>
    <w:rsid w:val="00863429"/>
    <w:rsid w:val="00863D83"/>
    <w:rsid w:val="008700EB"/>
    <w:rsid w:val="00870404"/>
    <w:rsid w:val="008737B8"/>
    <w:rsid w:val="00874378"/>
    <w:rsid w:val="00874A1D"/>
    <w:rsid w:val="00877B19"/>
    <w:rsid w:val="00882475"/>
    <w:rsid w:val="008838B5"/>
    <w:rsid w:val="00890B3B"/>
    <w:rsid w:val="0089411B"/>
    <w:rsid w:val="0089727B"/>
    <w:rsid w:val="008A47EF"/>
    <w:rsid w:val="008A68C3"/>
    <w:rsid w:val="008B0136"/>
    <w:rsid w:val="008B19AE"/>
    <w:rsid w:val="008B2397"/>
    <w:rsid w:val="008B24E7"/>
    <w:rsid w:val="008B6D15"/>
    <w:rsid w:val="008C4993"/>
    <w:rsid w:val="008C4E93"/>
    <w:rsid w:val="008C6A14"/>
    <w:rsid w:val="008E21CB"/>
    <w:rsid w:val="008E2950"/>
    <w:rsid w:val="008F2161"/>
    <w:rsid w:val="008F2383"/>
    <w:rsid w:val="008F3E69"/>
    <w:rsid w:val="008F45AC"/>
    <w:rsid w:val="008F55B4"/>
    <w:rsid w:val="009027B9"/>
    <w:rsid w:val="00903A5C"/>
    <w:rsid w:val="0090449A"/>
    <w:rsid w:val="00904E5F"/>
    <w:rsid w:val="00905783"/>
    <w:rsid w:val="00907679"/>
    <w:rsid w:val="00911768"/>
    <w:rsid w:val="0091218D"/>
    <w:rsid w:val="00913FEE"/>
    <w:rsid w:val="009141BF"/>
    <w:rsid w:val="00915BE0"/>
    <w:rsid w:val="0092357E"/>
    <w:rsid w:val="00926002"/>
    <w:rsid w:val="00931EDF"/>
    <w:rsid w:val="009374CA"/>
    <w:rsid w:val="00937A67"/>
    <w:rsid w:val="009409F9"/>
    <w:rsid w:val="00942082"/>
    <w:rsid w:val="009433D7"/>
    <w:rsid w:val="009446F3"/>
    <w:rsid w:val="00947BE2"/>
    <w:rsid w:val="00947E7E"/>
    <w:rsid w:val="00952484"/>
    <w:rsid w:val="00956723"/>
    <w:rsid w:val="009572A0"/>
    <w:rsid w:val="00962F2C"/>
    <w:rsid w:val="0096353A"/>
    <w:rsid w:val="00963E38"/>
    <w:rsid w:val="009742CD"/>
    <w:rsid w:val="009820D1"/>
    <w:rsid w:val="00982279"/>
    <w:rsid w:val="00986512"/>
    <w:rsid w:val="00990B8C"/>
    <w:rsid w:val="00991006"/>
    <w:rsid w:val="0099389A"/>
    <w:rsid w:val="009940F2"/>
    <w:rsid w:val="0099456C"/>
    <w:rsid w:val="00996E15"/>
    <w:rsid w:val="00997719"/>
    <w:rsid w:val="009A2E07"/>
    <w:rsid w:val="009A4F3C"/>
    <w:rsid w:val="009B5DF8"/>
    <w:rsid w:val="009B6522"/>
    <w:rsid w:val="009B658C"/>
    <w:rsid w:val="009C12FB"/>
    <w:rsid w:val="009C2304"/>
    <w:rsid w:val="009C3150"/>
    <w:rsid w:val="009C3E54"/>
    <w:rsid w:val="009D4B87"/>
    <w:rsid w:val="009D79AE"/>
    <w:rsid w:val="009E0201"/>
    <w:rsid w:val="009E3138"/>
    <w:rsid w:val="009E4926"/>
    <w:rsid w:val="009E6064"/>
    <w:rsid w:val="009E6DDB"/>
    <w:rsid w:val="009F0BC0"/>
    <w:rsid w:val="009F2145"/>
    <w:rsid w:val="009F2F11"/>
    <w:rsid w:val="009F7FF1"/>
    <w:rsid w:val="00A05CCD"/>
    <w:rsid w:val="00A0771C"/>
    <w:rsid w:val="00A177BD"/>
    <w:rsid w:val="00A216ED"/>
    <w:rsid w:val="00A2284F"/>
    <w:rsid w:val="00A23212"/>
    <w:rsid w:val="00A23631"/>
    <w:rsid w:val="00A25B9C"/>
    <w:rsid w:val="00A26B7D"/>
    <w:rsid w:val="00A31ABB"/>
    <w:rsid w:val="00A351D9"/>
    <w:rsid w:val="00A36061"/>
    <w:rsid w:val="00A4090E"/>
    <w:rsid w:val="00A41E04"/>
    <w:rsid w:val="00A446DA"/>
    <w:rsid w:val="00A45365"/>
    <w:rsid w:val="00A47FF8"/>
    <w:rsid w:val="00A524B1"/>
    <w:rsid w:val="00A53C99"/>
    <w:rsid w:val="00A56DE4"/>
    <w:rsid w:val="00A615D8"/>
    <w:rsid w:val="00A6621C"/>
    <w:rsid w:val="00A66991"/>
    <w:rsid w:val="00A71AF8"/>
    <w:rsid w:val="00A7619B"/>
    <w:rsid w:val="00A7694A"/>
    <w:rsid w:val="00A81CCC"/>
    <w:rsid w:val="00A81E01"/>
    <w:rsid w:val="00A830FA"/>
    <w:rsid w:val="00A87287"/>
    <w:rsid w:val="00A87544"/>
    <w:rsid w:val="00A9299A"/>
    <w:rsid w:val="00AA0D0B"/>
    <w:rsid w:val="00AA54FB"/>
    <w:rsid w:val="00AA6471"/>
    <w:rsid w:val="00AB2EE2"/>
    <w:rsid w:val="00AB42F0"/>
    <w:rsid w:val="00AB4F0E"/>
    <w:rsid w:val="00AB55D6"/>
    <w:rsid w:val="00AC08D3"/>
    <w:rsid w:val="00AC3B25"/>
    <w:rsid w:val="00AC4D2A"/>
    <w:rsid w:val="00AC6953"/>
    <w:rsid w:val="00AC6B8F"/>
    <w:rsid w:val="00AD0077"/>
    <w:rsid w:val="00AD0D2D"/>
    <w:rsid w:val="00AD20B2"/>
    <w:rsid w:val="00AD345B"/>
    <w:rsid w:val="00AE2B47"/>
    <w:rsid w:val="00AE383B"/>
    <w:rsid w:val="00AF3E45"/>
    <w:rsid w:val="00AF647A"/>
    <w:rsid w:val="00B022E7"/>
    <w:rsid w:val="00B03D2C"/>
    <w:rsid w:val="00B04942"/>
    <w:rsid w:val="00B04BE3"/>
    <w:rsid w:val="00B05F59"/>
    <w:rsid w:val="00B12771"/>
    <w:rsid w:val="00B128F0"/>
    <w:rsid w:val="00B12D48"/>
    <w:rsid w:val="00B12EF6"/>
    <w:rsid w:val="00B12F02"/>
    <w:rsid w:val="00B15E14"/>
    <w:rsid w:val="00B176AE"/>
    <w:rsid w:val="00B20BE3"/>
    <w:rsid w:val="00B21149"/>
    <w:rsid w:val="00B25EFF"/>
    <w:rsid w:val="00B261C5"/>
    <w:rsid w:val="00B30549"/>
    <w:rsid w:val="00B32D03"/>
    <w:rsid w:val="00B33018"/>
    <w:rsid w:val="00B36C6A"/>
    <w:rsid w:val="00B400C5"/>
    <w:rsid w:val="00B40829"/>
    <w:rsid w:val="00B418A2"/>
    <w:rsid w:val="00B427C8"/>
    <w:rsid w:val="00B43DC9"/>
    <w:rsid w:val="00B44EBC"/>
    <w:rsid w:val="00B46621"/>
    <w:rsid w:val="00B51C5B"/>
    <w:rsid w:val="00B524D5"/>
    <w:rsid w:val="00B53EC0"/>
    <w:rsid w:val="00B62212"/>
    <w:rsid w:val="00B62B86"/>
    <w:rsid w:val="00B64BA1"/>
    <w:rsid w:val="00B64E68"/>
    <w:rsid w:val="00B7538F"/>
    <w:rsid w:val="00B774D3"/>
    <w:rsid w:val="00B8315C"/>
    <w:rsid w:val="00B950DE"/>
    <w:rsid w:val="00BA0D9B"/>
    <w:rsid w:val="00BA12DA"/>
    <w:rsid w:val="00BA1DC6"/>
    <w:rsid w:val="00BA42C1"/>
    <w:rsid w:val="00BA6898"/>
    <w:rsid w:val="00BA723C"/>
    <w:rsid w:val="00BB6422"/>
    <w:rsid w:val="00BB6A95"/>
    <w:rsid w:val="00BB7A55"/>
    <w:rsid w:val="00BC05FC"/>
    <w:rsid w:val="00BC1ED3"/>
    <w:rsid w:val="00BD3FB7"/>
    <w:rsid w:val="00BE4E7A"/>
    <w:rsid w:val="00BF16D3"/>
    <w:rsid w:val="00BF304E"/>
    <w:rsid w:val="00BF6181"/>
    <w:rsid w:val="00BF6FCA"/>
    <w:rsid w:val="00BF7526"/>
    <w:rsid w:val="00BF7D3F"/>
    <w:rsid w:val="00C01427"/>
    <w:rsid w:val="00C13FE8"/>
    <w:rsid w:val="00C14336"/>
    <w:rsid w:val="00C145C7"/>
    <w:rsid w:val="00C157CE"/>
    <w:rsid w:val="00C1584A"/>
    <w:rsid w:val="00C15E1B"/>
    <w:rsid w:val="00C16FEB"/>
    <w:rsid w:val="00C20F61"/>
    <w:rsid w:val="00C22B01"/>
    <w:rsid w:val="00C24B85"/>
    <w:rsid w:val="00C271AD"/>
    <w:rsid w:val="00C3127D"/>
    <w:rsid w:val="00C31810"/>
    <w:rsid w:val="00C32506"/>
    <w:rsid w:val="00C327EF"/>
    <w:rsid w:val="00C4405A"/>
    <w:rsid w:val="00C449C8"/>
    <w:rsid w:val="00C45C33"/>
    <w:rsid w:val="00C472F2"/>
    <w:rsid w:val="00C51EFD"/>
    <w:rsid w:val="00C54138"/>
    <w:rsid w:val="00C64ADA"/>
    <w:rsid w:val="00C64B8D"/>
    <w:rsid w:val="00C66470"/>
    <w:rsid w:val="00C73244"/>
    <w:rsid w:val="00C76EE4"/>
    <w:rsid w:val="00C818B0"/>
    <w:rsid w:val="00C86CAD"/>
    <w:rsid w:val="00C93527"/>
    <w:rsid w:val="00C93C27"/>
    <w:rsid w:val="00CA14C2"/>
    <w:rsid w:val="00CA31A4"/>
    <w:rsid w:val="00CA3C3A"/>
    <w:rsid w:val="00CA3F30"/>
    <w:rsid w:val="00CA416D"/>
    <w:rsid w:val="00CA500F"/>
    <w:rsid w:val="00CA5D80"/>
    <w:rsid w:val="00CB1CA5"/>
    <w:rsid w:val="00CB1D9A"/>
    <w:rsid w:val="00CB4F13"/>
    <w:rsid w:val="00CB5FFE"/>
    <w:rsid w:val="00CB628B"/>
    <w:rsid w:val="00CB6CD7"/>
    <w:rsid w:val="00CC1096"/>
    <w:rsid w:val="00CC5AE4"/>
    <w:rsid w:val="00CC70FB"/>
    <w:rsid w:val="00CD16F3"/>
    <w:rsid w:val="00CD6070"/>
    <w:rsid w:val="00CF24D7"/>
    <w:rsid w:val="00CF33EA"/>
    <w:rsid w:val="00CF48D7"/>
    <w:rsid w:val="00CF49A3"/>
    <w:rsid w:val="00D06697"/>
    <w:rsid w:val="00D0767A"/>
    <w:rsid w:val="00D11DEB"/>
    <w:rsid w:val="00D13444"/>
    <w:rsid w:val="00D14519"/>
    <w:rsid w:val="00D14723"/>
    <w:rsid w:val="00D14E04"/>
    <w:rsid w:val="00D155FD"/>
    <w:rsid w:val="00D1573B"/>
    <w:rsid w:val="00D172A8"/>
    <w:rsid w:val="00D20873"/>
    <w:rsid w:val="00D24EC8"/>
    <w:rsid w:val="00D27314"/>
    <w:rsid w:val="00D27351"/>
    <w:rsid w:val="00D333F4"/>
    <w:rsid w:val="00D36360"/>
    <w:rsid w:val="00D368E0"/>
    <w:rsid w:val="00D37C21"/>
    <w:rsid w:val="00D37D16"/>
    <w:rsid w:val="00D42C0A"/>
    <w:rsid w:val="00D50286"/>
    <w:rsid w:val="00D531A2"/>
    <w:rsid w:val="00D53745"/>
    <w:rsid w:val="00D56E80"/>
    <w:rsid w:val="00D57C43"/>
    <w:rsid w:val="00D57D2D"/>
    <w:rsid w:val="00D606DC"/>
    <w:rsid w:val="00D61A64"/>
    <w:rsid w:val="00D66C8B"/>
    <w:rsid w:val="00D74565"/>
    <w:rsid w:val="00D74EF4"/>
    <w:rsid w:val="00D77386"/>
    <w:rsid w:val="00D77DDA"/>
    <w:rsid w:val="00D81D3D"/>
    <w:rsid w:val="00D862D4"/>
    <w:rsid w:val="00D87FEF"/>
    <w:rsid w:val="00D91EAE"/>
    <w:rsid w:val="00DA44D6"/>
    <w:rsid w:val="00DB4F94"/>
    <w:rsid w:val="00DB61AB"/>
    <w:rsid w:val="00DC022A"/>
    <w:rsid w:val="00DC10BC"/>
    <w:rsid w:val="00DC24D4"/>
    <w:rsid w:val="00DC28CB"/>
    <w:rsid w:val="00DC7369"/>
    <w:rsid w:val="00DD365E"/>
    <w:rsid w:val="00DE024E"/>
    <w:rsid w:val="00DE0A74"/>
    <w:rsid w:val="00DE34F5"/>
    <w:rsid w:val="00DE3703"/>
    <w:rsid w:val="00DE3D26"/>
    <w:rsid w:val="00DE4D3E"/>
    <w:rsid w:val="00DE5F86"/>
    <w:rsid w:val="00DE607F"/>
    <w:rsid w:val="00DE68AC"/>
    <w:rsid w:val="00DE7E8C"/>
    <w:rsid w:val="00DF2387"/>
    <w:rsid w:val="00DF4BBC"/>
    <w:rsid w:val="00DF4C3B"/>
    <w:rsid w:val="00E03BA9"/>
    <w:rsid w:val="00E130D3"/>
    <w:rsid w:val="00E166E1"/>
    <w:rsid w:val="00E20B72"/>
    <w:rsid w:val="00E25079"/>
    <w:rsid w:val="00E25261"/>
    <w:rsid w:val="00E25C3B"/>
    <w:rsid w:val="00E33385"/>
    <w:rsid w:val="00E36953"/>
    <w:rsid w:val="00E41544"/>
    <w:rsid w:val="00E41B27"/>
    <w:rsid w:val="00E45509"/>
    <w:rsid w:val="00E5374B"/>
    <w:rsid w:val="00E560FB"/>
    <w:rsid w:val="00E609B3"/>
    <w:rsid w:val="00E66297"/>
    <w:rsid w:val="00E66F1E"/>
    <w:rsid w:val="00E75A61"/>
    <w:rsid w:val="00E767AC"/>
    <w:rsid w:val="00E83883"/>
    <w:rsid w:val="00E846B3"/>
    <w:rsid w:val="00E91F02"/>
    <w:rsid w:val="00E921EB"/>
    <w:rsid w:val="00E94673"/>
    <w:rsid w:val="00EA3A0B"/>
    <w:rsid w:val="00EA3E70"/>
    <w:rsid w:val="00EA53A7"/>
    <w:rsid w:val="00EA55DD"/>
    <w:rsid w:val="00EB2BC3"/>
    <w:rsid w:val="00EB341C"/>
    <w:rsid w:val="00EB4737"/>
    <w:rsid w:val="00EC0F26"/>
    <w:rsid w:val="00EC15ED"/>
    <w:rsid w:val="00EC2C74"/>
    <w:rsid w:val="00EC3AF1"/>
    <w:rsid w:val="00EC6857"/>
    <w:rsid w:val="00EC7A84"/>
    <w:rsid w:val="00ED18B8"/>
    <w:rsid w:val="00ED3ACB"/>
    <w:rsid w:val="00ED6B72"/>
    <w:rsid w:val="00ED75B8"/>
    <w:rsid w:val="00ED7660"/>
    <w:rsid w:val="00EE0B84"/>
    <w:rsid w:val="00EE1C7E"/>
    <w:rsid w:val="00EF28DC"/>
    <w:rsid w:val="00EF78EB"/>
    <w:rsid w:val="00F000AA"/>
    <w:rsid w:val="00F05B8A"/>
    <w:rsid w:val="00F06108"/>
    <w:rsid w:val="00F0621D"/>
    <w:rsid w:val="00F06986"/>
    <w:rsid w:val="00F1240F"/>
    <w:rsid w:val="00F143A3"/>
    <w:rsid w:val="00F21B39"/>
    <w:rsid w:val="00F22FE8"/>
    <w:rsid w:val="00F232C5"/>
    <w:rsid w:val="00F311E5"/>
    <w:rsid w:val="00F31BD7"/>
    <w:rsid w:val="00F31CE6"/>
    <w:rsid w:val="00F32F6A"/>
    <w:rsid w:val="00F35AF6"/>
    <w:rsid w:val="00F37453"/>
    <w:rsid w:val="00F3775B"/>
    <w:rsid w:val="00F4257A"/>
    <w:rsid w:val="00F500CF"/>
    <w:rsid w:val="00F541A9"/>
    <w:rsid w:val="00F5530E"/>
    <w:rsid w:val="00F5743B"/>
    <w:rsid w:val="00F60227"/>
    <w:rsid w:val="00F650C8"/>
    <w:rsid w:val="00F66C8E"/>
    <w:rsid w:val="00F70480"/>
    <w:rsid w:val="00F739C5"/>
    <w:rsid w:val="00F74A61"/>
    <w:rsid w:val="00F83C7F"/>
    <w:rsid w:val="00F8417E"/>
    <w:rsid w:val="00F86540"/>
    <w:rsid w:val="00F904F0"/>
    <w:rsid w:val="00F91E3E"/>
    <w:rsid w:val="00F94B4D"/>
    <w:rsid w:val="00F9637B"/>
    <w:rsid w:val="00F971FB"/>
    <w:rsid w:val="00FA2F82"/>
    <w:rsid w:val="00FA558A"/>
    <w:rsid w:val="00FA62FE"/>
    <w:rsid w:val="00FB07B4"/>
    <w:rsid w:val="00FB4CDA"/>
    <w:rsid w:val="00FB5030"/>
    <w:rsid w:val="00FB76FE"/>
    <w:rsid w:val="00FC2AFB"/>
    <w:rsid w:val="00FC340A"/>
    <w:rsid w:val="00FC67FE"/>
    <w:rsid w:val="00FD48E2"/>
    <w:rsid w:val="00FD5894"/>
    <w:rsid w:val="00FD63B7"/>
    <w:rsid w:val="00FD6B80"/>
    <w:rsid w:val="00FE3292"/>
    <w:rsid w:val="00FE450F"/>
    <w:rsid w:val="00FE7AED"/>
    <w:rsid w:val="00FF2A99"/>
    <w:rsid w:val="00FF457C"/>
    <w:rsid w:val="01F575BE"/>
    <w:rsid w:val="0C5B4FB1"/>
    <w:rsid w:val="0D814952"/>
    <w:rsid w:val="0DC7755F"/>
    <w:rsid w:val="0E705D2B"/>
    <w:rsid w:val="1143081A"/>
    <w:rsid w:val="14084EFA"/>
    <w:rsid w:val="148112AB"/>
    <w:rsid w:val="16DD20EE"/>
    <w:rsid w:val="189664AC"/>
    <w:rsid w:val="18AF18A6"/>
    <w:rsid w:val="1C1D7816"/>
    <w:rsid w:val="1D2C7969"/>
    <w:rsid w:val="20182670"/>
    <w:rsid w:val="253B75C0"/>
    <w:rsid w:val="274D5D97"/>
    <w:rsid w:val="28101153"/>
    <w:rsid w:val="2B7339FC"/>
    <w:rsid w:val="2CD31D06"/>
    <w:rsid w:val="2D4F3200"/>
    <w:rsid w:val="2D68339B"/>
    <w:rsid w:val="32FA3DAF"/>
    <w:rsid w:val="334F4B95"/>
    <w:rsid w:val="36C213B3"/>
    <w:rsid w:val="37206516"/>
    <w:rsid w:val="3986014B"/>
    <w:rsid w:val="3FA25411"/>
    <w:rsid w:val="3FD3087E"/>
    <w:rsid w:val="4196341F"/>
    <w:rsid w:val="42C904FB"/>
    <w:rsid w:val="43301D89"/>
    <w:rsid w:val="4B926329"/>
    <w:rsid w:val="4C6337BB"/>
    <w:rsid w:val="4F2B0CCB"/>
    <w:rsid w:val="51AB6179"/>
    <w:rsid w:val="52E30A07"/>
    <w:rsid w:val="53BC7DB5"/>
    <w:rsid w:val="55521EFA"/>
    <w:rsid w:val="56C153E6"/>
    <w:rsid w:val="570A3B70"/>
    <w:rsid w:val="57590E29"/>
    <w:rsid w:val="583739F3"/>
    <w:rsid w:val="5A1B0B1B"/>
    <w:rsid w:val="5C2E4391"/>
    <w:rsid w:val="5C9363B5"/>
    <w:rsid w:val="62775505"/>
    <w:rsid w:val="643136BE"/>
    <w:rsid w:val="64CB78C0"/>
    <w:rsid w:val="64E77440"/>
    <w:rsid w:val="66C73AC2"/>
    <w:rsid w:val="68514E78"/>
    <w:rsid w:val="6A702483"/>
    <w:rsid w:val="6A7473B3"/>
    <w:rsid w:val="6E3F209B"/>
    <w:rsid w:val="77C7119B"/>
    <w:rsid w:val="77F65E81"/>
    <w:rsid w:val="785C01CE"/>
    <w:rsid w:val="7B4943B7"/>
    <w:rsid w:val="7B7C7892"/>
    <w:rsid w:val="FDF37EAE"/>
    <w:rsid w:val="FDF96B5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ocked="1"/>
    <w:lsdException w:uiPriority="99" w:name="index 3" w:locked="1"/>
    <w:lsdException w:qFormat="1" w:unhideWhenUsed="0" w:uiPriority="0" w:semiHidden="0" w:name="index 4" w:locked="1"/>
    <w:lsdException w:qFormat="1" w:unhideWhenUsed="0" w:uiPriority="99" w:semiHidden="0" w:name="index 5"/>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ocked="1"/>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ocked="1"/>
    <w:lsdException w:qFormat="1" w:unhideWhenUsed="0" w:uiPriority="0" w:semiHidden="0"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99" w:semiHidden="0" w:name="toa heading"/>
    <w:lsdException w:qFormat="1" w:unhideWhenUsed="0" w:uiPriority="99" w:semiHidden="0" w:name="List"/>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qFormat="1" w:unhideWhenUsed="0" w:uiPriority="0" w:semiHidden="0" w:name="Salutation"/>
    <w:lsdException w:qFormat="1" w:unhideWhenUsed="0" w:uiPriority="0" w:semiHidden="0" w:name="Date"/>
    <w:lsdException w:uiPriority="99" w:name="Body Text First Indent" w:locked="1"/>
    <w:lsdException w:qFormat="1"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ocked="1"/>
    <w:lsdException w:qFormat="1" w:unhideWhenUsed="0" w:uiPriority="0" w:semiHidden="0" w:name="Document Map"/>
    <w:lsdException w:qFormat="1" w:unhideWhenUsed="0" w:uiPriority="99"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99"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widowControl/>
      <w:jc w:val="center"/>
      <w:outlineLvl w:val="0"/>
    </w:pPr>
    <w:rPr>
      <w:rFonts w:ascii="黑体" w:eastAsia="黑体"/>
      <w:kern w:val="0"/>
      <w:sz w:val="20"/>
      <w:szCs w:val="20"/>
    </w:rPr>
  </w:style>
  <w:style w:type="paragraph" w:styleId="3">
    <w:name w:val="heading 2"/>
    <w:basedOn w:val="1"/>
    <w:next w:val="4"/>
    <w:link w:val="72"/>
    <w:qFormat/>
    <w:uiPriority w:val="0"/>
    <w:pPr>
      <w:keepNext/>
      <w:keepLines/>
      <w:widowControl/>
      <w:adjustRightInd w:val="0"/>
      <w:snapToGrid w:val="0"/>
      <w:spacing w:before="240" w:after="120" w:line="440" w:lineRule="exact"/>
      <w:jc w:val="center"/>
      <w:outlineLvl w:val="1"/>
    </w:pPr>
    <w:rPr>
      <w:b/>
      <w:kern w:val="0"/>
      <w:sz w:val="44"/>
      <w:szCs w:val="32"/>
    </w:rPr>
  </w:style>
  <w:style w:type="paragraph" w:styleId="5">
    <w:name w:val="heading 3"/>
    <w:basedOn w:val="1"/>
    <w:next w:val="4"/>
    <w:link w:val="60"/>
    <w:qFormat/>
    <w:uiPriority w:val="0"/>
    <w:pPr>
      <w:keepNext/>
      <w:keepLines/>
      <w:widowControl/>
      <w:adjustRightInd w:val="0"/>
      <w:snapToGrid w:val="0"/>
      <w:spacing w:before="120" w:after="120" w:line="440" w:lineRule="exact"/>
      <w:jc w:val="center"/>
      <w:outlineLvl w:val="2"/>
    </w:pPr>
    <w:rPr>
      <w:b/>
      <w:kern w:val="0"/>
      <w:sz w:val="32"/>
      <w:szCs w:val="20"/>
    </w:rPr>
  </w:style>
  <w:style w:type="paragraph" w:styleId="6">
    <w:name w:val="heading 4"/>
    <w:basedOn w:val="1"/>
    <w:next w:val="1"/>
    <w:link w:val="74"/>
    <w:qFormat/>
    <w:uiPriority w:val="0"/>
    <w:pPr>
      <w:keepNext/>
      <w:keepLines/>
      <w:widowControl/>
      <w:adjustRightInd w:val="0"/>
      <w:snapToGrid w:val="0"/>
      <w:spacing w:before="200" w:line="360" w:lineRule="auto"/>
      <w:jc w:val="center"/>
      <w:outlineLvl w:val="3"/>
    </w:pPr>
    <w:rPr>
      <w:b/>
      <w:kern w:val="0"/>
      <w:sz w:val="28"/>
      <w:szCs w:val="20"/>
    </w:rPr>
  </w:style>
  <w:style w:type="paragraph" w:styleId="7">
    <w:name w:val="heading 5"/>
    <w:basedOn w:val="1"/>
    <w:next w:val="1"/>
    <w:link w:val="75"/>
    <w:qFormat/>
    <w:uiPriority w:val="0"/>
    <w:pPr>
      <w:keepNext/>
      <w:keepLines/>
      <w:spacing w:before="280" w:after="290" w:line="376" w:lineRule="auto"/>
      <w:outlineLvl w:val="4"/>
    </w:pPr>
    <w:rPr>
      <w:b/>
      <w:bCs/>
      <w:sz w:val="28"/>
      <w:szCs w:val="28"/>
    </w:rPr>
  </w:style>
  <w:style w:type="paragraph" w:styleId="8">
    <w:name w:val="heading 6"/>
    <w:basedOn w:val="1"/>
    <w:next w:val="1"/>
    <w:link w:val="76"/>
    <w:qFormat/>
    <w:uiPriority w:val="0"/>
    <w:pPr>
      <w:keepNext/>
      <w:keepLines/>
      <w:widowControl/>
      <w:spacing w:before="240" w:after="64" w:line="320" w:lineRule="auto"/>
      <w:jc w:val="left"/>
      <w:outlineLvl w:val="5"/>
    </w:pPr>
    <w:rPr>
      <w:rFonts w:ascii="Arial" w:hAnsi="Arial" w:eastAsia="黑体"/>
      <w:b/>
      <w:bCs/>
      <w:kern w:val="0"/>
      <w:sz w:val="24"/>
    </w:rPr>
  </w:style>
  <w:style w:type="paragraph" w:styleId="9">
    <w:name w:val="heading 7"/>
    <w:basedOn w:val="1"/>
    <w:next w:val="1"/>
    <w:link w:val="77"/>
    <w:qFormat/>
    <w:uiPriority w:val="0"/>
    <w:pPr>
      <w:keepNext/>
      <w:keepLines/>
      <w:widowControl/>
      <w:spacing w:before="240" w:after="64" w:line="320" w:lineRule="auto"/>
      <w:jc w:val="left"/>
      <w:outlineLvl w:val="6"/>
    </w:pPr>
    <w:rPr>
      <w:b/>
      <w:bCs/>
      <w:kern w:val="0"/>
      <w:sz w:val="24"/>
    </w:rPr>
  </w:style>
  <w:style w:type="paragraph" w:styleId="10">
    <w:name w:val="heading 8"/>
    <w:basedOn w:val="1"/>
    <w:next w:val="1"/>
    <w:link w:val="78"/>
    <w:qFormat/>
    <w:uiPriority w:val="0"/>
    <w:pPr>
      <w:keepNext/>
      <w:keepLines/>
      <w:widowControl/>
      <w:spacing w:before="240" w:after="64" w:line="320" w:lineRule="auto"/>
      <w:jc w:val="left"/>
      <w:outlineLvl w:val="7"/>
    </w:pPr>
    <w:rPr>
      <w:rFonts w:ascii="Arial" w:hAnsi="Arial" w:eastAsia="黑体"/>
      <w:kern w:val="0"/>
      <w:sz w:val="24"/>
    </w:rPr>
  </w:style>
  <w:style w:type="paragraph" w:styleId="11">
    <w:name w:val="heading 9"/>
    <w:basedOn w:val="1"/>
    <w:next w:val="1"/>
    <w:link w:val="79"/>
    <w:qFormat/>
    <w:uiPriority w:val="0"/>
    <w:pPr>
      <w:keepNext/>
      <w:keepLines/>
      <w:widowControl/>
      <w:spacing w:before="240" w:after="64" w:line="320" w:lineRule="auto"/>
      <w:jc w:val="left"/>
      <w:outlineLvl w:val="8"/>
    </w:pPr>
    <w:rPr>
      <w:rFonts w:ascii="Arial" w:hAnsi="Arial" w:eastAsia="黑体"/>
      <w:kern w:val="0"/>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ind w:firstLine="420"/>
      <w:jc w:val="left"/>
    </w:pPr>
    <w:rPr>
      <w:kern w:val="0"/>
      <w:sz w:val="20"/>
      <w:szCs w:val="20"/>
    </w:rPr>
  </w:style>
  <w:style w:type="paragraph" w:styleId="12">
    <w:name w:val="toc 7"/>
    <w:basedOn w:val="1"/>
    <w:next w:val="1"/>
    <w:qFormat/>
    <w:uiPriority w:val="39"/>
    <w:pPr>
      <w:ind w:left="1260"/>
      <w:jc w:val="left"/>
    </w:pPr>
    <w:rPr>
      <w:rFonts w:ascii="Calibri" w:hAnsi="Calibri"/>
      <w:sz w:val="20"/>
      <w:szCs w:val="20"/>
    </w:rPr>
  </w:style>
  <w:style w:type="paragraph" w:styleId="13">
    <w:name w:val="Note Heading"/>
    <w:basedOn w:val="14"/>
    <w:next w:val="14"/>
    <w:link w:val="139"/>
    <w:qFormat/>
    <w:uiPriority w:val="0"/>
    <w:rPr>
      <w:color w:val="auto"/>
    </w:rPr>
  </w:style>
  <w:style w:type="paragraph" w:customStyle="1" w:styleId="14">
    <w:name w:val="Default"/>
    <w:qFormat/>
    <w:uiPriority w:val="0"/>
    <w:pPr>
      <w:widowControl w:val="0"/>
      <w:autoSpaceDE w:val="0"/>
      <w:autoSpaceDN w:val="0"/>
      <w:adjustRightInd w:val="0"/>
    </w:pPr>
    <w:rPr>
      <w:rFonts w:ascii="..ì." w:hAnsi="Times New Roman" w:eastAsia="..ì." w:cs="Times New Roman"/>
      <w:color w:val="000000"/>
      <w:sz w:val="24"/>
      <w:lang w:val="en-US" w:eastAsia="zh-CN" w:bidi="ar-SA"/>
    </w:rPr>
  </w:style>
  <w:style w:type="paragraph" w:styleId="15">
    <w:name w:val="caption"/>
    <w:basedOn w:val="1"/>
    <w:next w:val="1"/>
    <w:qFormat/>
    <w:locked/>
    <w:uiPriority w:val="0"/>
    <w:rPr>
      <w:rFonts w:ascii="Cambria" w:hAnsi="Cambria" w:eastAsia="黑体"/>
      <w:sz w:val="20"/>
      <w:szCs w:val="20"/>
    </w:rPr>
  </w:style>
  <w:style w:type="paragraph" w:styleId="16">
    <w:name w:val="index 5"/>
    <w:basedOn w:val="1"/>
    <w:next w:val="1"/>
    <w:qFormat/>
    <w:uiPriority w:val="99"/>
    <w:pPr>
      <w:ind w:left="800" w:leftChars="800"/>
    </w:pPr>
  </w:style>
  <w:style w:type="paragraph" w:styleId="17">
    <w:name w:val="Document Map"/>
    <w:basedOn w:val="1"/>
    <w:link w:val="82"/>
    <w:qFormat/>
    <w:uiPriority w:val="0"/>
    <w:pPr>
      <w:shd w:val="clear" w:color="auto" w:fill="000080"/>
    </w:pPr>
  </w:style>
  <w:style w:type="paragraph" w:styleId="18">
    <w:name w:val="toa heading"/>
    <w:basedOn w:val="1"/>
    <w:next w:val="1"/>
    <w:qFormat/>
    <w:uiPriority w:val="99"/>
    <w:pPr>
      <w:spacing w:before="120"/>
    </w:pPr>
    <w:rPr>
      <w:rFonts w:ascii="Cambria" w:hAnsi="Cambria"/>
      <w:sz w:val="24"/>
    </w:rPr>
  </w:style>
  <w:style w:type="paragraph" w:styleId="19">
    <w:name w:val="annotation text"/>
    <w:basedOn w:val="1"/>
    <w:link w:val="164"/>
    <w:qFormat/>
    <w:uiPriority w:val="0"/>
    <w:pPr>
      <w:jc w:val="left"/>
    </w:pPr>
    <w:rPr>
      <w:kern w:val="0"/>
      <w:sz w:val="24"/>
      <w:szCs w:val="20"/>
    </w:rPr>
  </w:style>
  <w:style w:type="paragraph" w:styleId="20">
    <w:name w:val="Salutation"/>
    <w:basedOn w:val="14"/>
    <w:next w:val="14"/>
    <w:link w:val="137"/>
    <w:qFormat/>
    <w:uiPriority w:val="0"/>
    <w:rPr>
      <w:color w:val="auto"/>
    </w:rPr>
  </w:style>
  <w:style w:type="paragraph" w:styleId="21">
    <w:name w:val="Body Text 3"/>
    <w:basedOn w:val="1"/>
    <w:link w:val="147"/>
    <w:qFormat/>
    <w:uiPriority w:val="99"/>
    <w:pPr>
      <w:spacing w:after="120"/>
    </w:pPr>
    <w:rPr>
      <w:sz w:val="16"/>
      <w:szCs w:val="16"/>
    </w:rPr>
  </w:style>
  <w:style w:type="paragraph" w:styleId="22">
    <w:name w:val="Body Text"/>
    <w:basedOn w:val="1"/>
    <w:link w:val="100"/>
    <w:qFormat/>
    <w:uiPriority w:val="0"/>
    <w:rPr>
      <w:rFonts w:ascii="宋体"/>
      <w:color w:val="FF0000"/>
      <w:szCs w:val="20"/>
    </w:rPr>
  </w:style>
  <w:style w:type="paragraph" w:styleId="23">
    <w:name w:val="Body Text Indent"/>
    <w:basedOn w:val="1"/>
    <w:link w:val="87"/>
    <w:qFormat/>
    <w:uiPriority w:val="99"/>
    <w:pPr>
      <w:spacing w:after="120"/>
      <w:ind w:left="420" w:leftChars="200"/>
    </w:pPr>
  </w:style>
  <w:style w:type="paragraph" w:styleId="24">
    <w:name w:val="Block Text"/>
    <w:basedOn w:val="1"/>
    <w:qFormat/>
    <w:uiPriority w:val="99"/>
    <w:pPr>
      <w:spacing w:line="360" w:lineRule="auto"/>
      <w:ind w:left="357" w:leftChars="170" w:right="25" w:rightChars="12" w:firstLine="1"/>
    </w:pPr>
    <w:rPr>
      <w:rFonts w:ascii="宋体" w:hAnsi="宋体" w:cs="Arial"/>
      <w:sz w:val="24"/>
      <w:szCs w:val="20"/>
    </w:rPr>
  </w:style>
  <w:style w:type="paragraph" w:styleId="25">
    <w:name w:val="index 4"/>
    <w:basedOn w:val="1"/>
    <w:next w:val="1"/>
    <w:qFormat/>
    <w:locked/>
    <w:uiPriority w:val="0"/>
    <w:pPr>
      <w:ind w:left="600" w:leftChars="600"/>
    </w:pPr>
  </w:style>
  <w:style w:type="paragraph" w:styleId="26">
    <w:name w:val="toc 5"/>
    <w:basedOn w:val="1"/>
    <w:next w:val="1"/>
    <w:qFormat/>
    <w:uiPriority w:val="39"/>
    <w:pPr>
      <w:ind w:left="840"/>
      <w:jc w:val="left"/>
    </w:pPr>
    <w:rPr>
      <w:rFonts w:ascii="Calibri" w:hAnsi="Calibri"/>
      <w:sz w:val="20"/>
      <w:szCs w:val="20"/>
    </w:rPr>
  </w:style>
  <w:style w:type="paragraph" w:styleId="27">
    <w:name w:val="toc 3"/>
    <w:basedOn w:val="1"/>
    <w:next w:val="1"/>
    <w:qFormat/>
    <w:uiPriority w:val="39"/>
    <w:pPr>
      <w:tabs>
        <w:tab w:val="left" w:pos="1396"/>
        <w:tab w:val="right" w:leader="dot" w:pos="8609"/>
      </w:tabs>
      <w:snapToGrid w:val="0"/>
      <w:spacing w:afterLines="50" w:line="420" w:lineRule="exact"/>
      <w:ind w:left="34" w:leftChars="13" w:hanging="7"/>
      <w:jc w:val="center"/>
    </w:pPr>
    <w:rPr>
      <w:b/>
      <w:color w:val="000000"/>
      <w:sz w:val="24"/>
    </w:rPr>
  </w:style>
  <w:style w:type="paragraph" w:styleId="28">
    <w:name w:val="Plain Text"/>
    <w:basedOn w:val="1"/>
    <w:link w:val="89"/>
    <w:qFormat/>
    <w:uiPriority w:val="99"/>
    <w:rPr>
      <w:rFonts w:ascii="宋体" w:hAnsi="Courier New"/>
      <w:szCs w:val="20"/>
    </w:rPr>
  </w:style>
  <w:style w:type="paragraph" w:styleId="29">
    <w:name w:val="toc 8"/>
    <w:basedOn w:val="1"/>
    <w:next w:val="1"/>
    <w:qFormat/>
    <w:uiPriority w:val="39"/>
    <w:pPr>
      <w:ind w:left="1470"/>
      <w:jc w:val="left"/>
    </w:pPr>
    <w:rPr>
      <w:rFonts w:ascii="Calibri" w:hAnsi="Calibri"/>
      <w:sz w:val="20"/>
      <w:szCs w:val="20"/>
    </w:rPr>
  </w:style>
  <w:style w:type="paragraph" w:styleId="30">
    <w:name w:val="Date"/>
    <w:basedOn w:val="1"/>
    <w:next w:val="1"/>
    <w:link w:val="85"/>
    <w:qFormat/>
    <w:uiPriority w:val="0"/>
    <w:rPr>
      <w:sz w:val="24"/>
      <w:szCs w:val="20"/>
    </w:rPr>
  </w:style>
  <w:style w:type="paragraph" w:styleId="31">
    <w:name w:val="Body Text Indent 2"/>
    <w:basedOn w:val="1"/>
    <w:link w:val="91"/>
    <w:qFormat/>
    <w:uiPriority w:val="99"/>
    <w:pPr>
      <w:adjustRightInd w:val="0"/>
      <w:snapToGrid w:val="0"/>
      <w:spacing w:afterLines="25" w:line="420" w:lineRule="exact"/>
      <w:ind w:left="778" w:leftChars="378"/>
    </w:pPr>
    <w:rPr>
      <w:sz w:val="24"/>
      <w:szCs w:val="30"/>
    </w:rPr>
  </w:style>
  <w:style w:type="paragraph" w:styleId="32">
    <w:name w:val="Balloon Text"/>
    <w:basedOn w:val="1"/>
    <w:link w:val="132"/>
    <w:qFormat/>
    <w:uiPriority w:val="0"/>
    <w:rPr>
      <w:sz w:val="18"/>
      <w:szCs w:val="18"/>
    </w:rPr>
  </w:style>
  <w:style w:type="paragraph" w:styleId="33">
    <w:name w:val="footer"/>
    <w:basedOn w:val="1"/>
    <w:link w:val="70"/>
    <w:qFormat/>
    <w:uiPriority w:val="0"/>
    <w:pPr>
      <w:tabs>
        <w:tab w:val="center" w:pos="4153"/>
        <w:tab w:val="right" w:pos="8306"/>
      </w:tabs>
      <w:snapToGrid w:val="0"/>
      <w:jc w:val="left"/>
    </w:pPr>
    <w:rPr>
      <w:sz w:val="18"/>
      <w:szCs w:val="18"/>
    </w:rPr>
  </w:style>
  <w:style w:type="paragraph" w:styleId="34">
    <w:name w:val="header"/>
    <w:basedOn w:val="1"/>
    <w:link w:val="68"/>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widowControl/>
      <w:spacing w:before="120" w:after="120"/>
      <w:jc w:val="left"/>
    </w:pPr>
    <w:rPr>
      <w:b/>
      <w:bCs/>
      <w:caps/>
      <w:kern w:val="0"/>
      <w:sz w:val="20"/>
    </w:rPr>
  </w:style>
  <w:style w:type="paragraph" w:styleId="36">
    <w:name w:val="toc 4"/>
    <w:basedOn w:val="1"/>
    <w:next w:val="1"/>
    <w:qFormat/>
    <w:uiPriority w:val="39"/>
    <w:pPr>
      <w:ind w:left="630"/>
      <w:jc w:val="left"/>
    </w:pPr>
    <w:rPr>
      <w:rFonts w:ascii="Calibri" w:hAnsi="Calibri"/>
      <w:sz w:val="20"/>
      <w:szCs w:val="20"/>
    </w:rPr>
  </w:style>
  <w:style w:type="paragraph" w:styleId="37">
    <w:name w:val="Subtitle"/>
    <w:basedOn w:val="1"/>
    <w:next w:val="1"/>
    <w:link w:val="236"/>
    <w:qFormat/>
    <w:locked/>
    <w:uiPriority w:val="0"/>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99"/>
    <w:pPr>
      <w:adjustRightInd w:val="0"/>
      <w:spacing w:line="360" w:lineRule="atLeast"/>
      <w:ind w:left="420" w:hanging="420"/>
      <w:jc w:val="left"/>
    </w:pPr>
    <w:rPr>
      <w:rFonts w:ascii="宋体"/>
      <w:kern w:val="0"/>
      <w:sz w:val="24"/>
      <w:szCs w:val="20"/>
    </w:rPr>
  </w:style>
  <w:style w:type="paragraph" w:styleId="39">
    <w:name w:val="toc 6"/>
    <w:basedOn w:val="1"/>
    <w:next w:val="1"/>
    <w:qFormat/>
    <w:uiPriority w:val="39"/>
    <w:pPr>
      <w:ind w:left="1050"/>
      <w:jc w:val="left"/>
    </w:pPr>
    <w:rPr>
      <w:rFonts w:ascii="Calibri" w:hAnsi="Calibri"/>
      <w:sz w:val="20"/>
      <w:szCs w:val="20"/>
    </w:rPr>
  </w:style>
  <w:style w:type="paragraph" w:styleId="40">
    <w:name w:val="Body Text Indent 3"/>
    <w:basedOn w:val="1"/>
    <w:link w:val="93"/>
    <w:qFormat/>
    <w:uiPriority w:val="99"/>
    <w:pPr>
      <w:adjustRightInd w:val="0"/>
      <w:snapToGrid w:val="0"/>
      <w:spacing w:afterLines="25" w:line="420" w:lineRule="exact"/>
      <w:ind w:left="758" w:leftChars="368"/>
    </w:pPr>
    <w:rPr>
      <w:sz w:val="24"/>
      <w:szCs w:val="30"/>
    </w:rPr>
  </w:style>
  <w:style w:type="paragraph" w:styleId="41">
    <w:name w:val="toc 2"/>
    <w:basedOn w:val="1"/>
    <w:next w:val="1"/>
    <w:qFormat/>
    <w:uiPriority w:val="39"/>
    <w:pPr>
      <w:tabs>
        <w:tab w:val="left" w:pos="1079"/>
        <w:tab w:val="right" w:leader="dot" w:pos="8640"/>
      </w:tabs>
      <w:adjustRightInd w:val="0"/>
      <w:snapToGrid w:val="0"/>
      <w:spacing w:line="440" w:lineRule="exact"/>
      <w:jc w:val="center"/>
    </w:pPr>
    <w:rPr>
      <w:rFonts w:ascii="宋体"/>
      <w:b/>
      <w:color w:val="000000"/>
      <w:sz w:val="32"/>
      <w:szCs w:val="32"/>
    </w:rPr>
  </w:style>
  <w:style w:type="paragraph" w:styleId="42">
    <w:name w:val="toc 9"/>
    <w:basedOn w:val="1"/>
    <w:next w:val="1"/>
    <w:qFormat/>
    <w:uiPriority w:val="39"/>
    <w:pPr>
      <w:ind w:left="1680"/>
      <w:jc w:val="left"/>
    </w:pPr>
    <w:rPr>
      <w:rFonts w:ascii="Calibri" w:hAnsi="Calibri"/>
      <w:sz w:val="20"/>
      <w:szCs w:val="20"/>
    </w:rPr>
  </w:style>
  <w:style w:type="paragraph" w:styleId="43">
    <w:name w:val="Body Text 2"/>
    <w:basedOn w:val="1"/>
    <w:link w:val="102"/>
    <w:qFormat/>
    <w:uiPriority w:val="99"/>
    <w:pPr>
      <w:spacing w:line="360" w:lineRule="auto"/>
      <w:ind w:right="26"/>
    </w:pPr>
    <w:rPr>
      <w:rFonts w:ascii="宋体"/>
      <w:szCs w:val="20"/>
    </w:rPr>
  </w:style>
  <w:style w:type="paragraph" w:styleId="4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5">
    <w:name w:val="index 1"/>
    <w:basedOn w:val="1"/>
    <w:next w:val="1"/>
    <w:qFormat/>
    <w:uiPriority w:val="99"/>
    <w:pPr>
      <w:spacing w:line="220" w:lineRule="exact"/>
      <w:jc w:val="center"/>
    </w:pPr>
    <w:rPr>
      <w:rFonts w:ascii="仿宋_GB2312" w:eastAsia="仿宋_GB2312"/>
      <w:szCs w:val="21"/>
    </w:rPr>
  </w:style>
  <w:style w:type="paragraph" w:styleId="46">
    <w:name w:val="Title"/>
    <w:basedOn w:val="1"/>
    <w:link w:val="151"/>
    <w:qFormat/>
    <w:uiPriority w:val="0"/>
    <w:pPr>
      <w:adjustRightInd w:val="0"/>
      <w:spacing w:before="240" w:after="60" w:line="360" w:lineRule="atLeast"/>
      <w:jc w:val="center"/>
      <w:outlineLvl w:val="0"/>
    </w:pPr>
    <w:rPr>
      <w:rFonts w:ascii="Arial" w:hAnsi="Arial"/>
      <w:b/>
      <w:kern w:val="0"/>
      <w:sz w:val="32"/>
      <w:szCs w:val="20"/>
    </w:rPr>
  </w:style>
  <w:style w:type="paragraph" w:styleId="47">
    <w:name w:val="annotation subject"/>
    <w:basedOn w:val="19"/>
    <w:next w:val="19"/>
    <w:link w:val="163"/>
    <w:qFormat/>
    <w:uiPriority w:val="0"/>
    <w:rPr>
      <w:b/>
      <w:bCs/>
    </w:rPr>
  </w:style>
  <w:style w:type="paragraph" w:styleId="48">
    <w:name w:val="Body Text First Indent 2"/>
    <w:basedOn w:val="23"/>
    <w:link w:val="99"/>
    <w:qFormat/>
    <w:uiPriority w:val="0"/>
    <w:pPr>
      <w:ind w:firstLine="420" w:firstLineChars="200"/>
    </w:pPr>
  </w:style>
  <w:style w:type="table" w:styleId="50">
    <w:name w:val="Table Grid"/>
    <w:basedOn w:val="49"/>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basedOn w:val="51"/>
    <w:qFormat/>
    <w:uiPriority w:val="0"/>
    <w:rPr>
      <w:rFonts w:cs="Times New Roman"/>
      <w:b/>
    </w:rPr>
  </w:style>
  <w:style w:type="character" w:styleId="53">
    <w:name w:val="page number"/>
    <w:basedOn w:val="51"/>
    <w:qFormat/>
    <w:uiPriority w:val="0"/>
    <w:rPr>
      <w:rFonts w:cs="Times New Roman"/>
    </w:rPr>
  </w:style>
  <w:style w:type="character" w:styleId="54">
    <w:name w:val="FollowedHyperlink"/>
    <w:basedOn w:val="51"/>
    <w:qFormat/>
    <w:uiPriority w:val="99"/>
    <w:rPr>
      <w:rFonts w:cs="Times New Roman"/>
      <w:color w:val="800080"/>
      <w:u w:val="single"/>
    </w:rPr>
  </w:style>
  <w:style w:type="character" w:styleId="55">
    <w:name w:val="Emphasis"/>
    <w:qFormat/>
    <w:locked/>
    <w:uiPriority w:val="0"/>
    <w:rPr>
      <w:i/>
      <w:iCs/>
    </w:rPr>
  </w:style>
  <w:style w:type="character" w:styleId="56">
    <w:name w:val="Hyperlink"/>
    <w:basedOn w:val="51"/>
    <w:qFormat/>
    <w:uiPriority w:val="99"/>
    <w:rPr>
      <w:rFonts w:cs="Times New Roman"/>
      <w:color w:val="0000FF"/>
      <w:u w:val="single"/>
    </w:rPr>
  </w:style>
  <w:style w:type="character" w:styleId="57">
    <w:name w:val="annotation reference"/>
    <w:basedOn w:val="51"/>
    <w:qFormat/>
    <w:uiPriority w:val="0"/>
    <w:rPr>
      <w:rFonts w:cs="Times New Roman"/>
      <w:sz w:val="21"/>
    </w:rPr>
  </w:style>
  <w:style w:type="character" w:customStyle="1" w:styleId="58">
    <w:name w:val="Heading 1 Char"/>
    <w:basedOn w:val="51"/>
    <w:qFormat/>
    <w:locked/>
    <w:uiPriority w:val="0"/>
    <w:rPr>
      <w:rFonts w:ascii="黑体" w:hAnsi="Times New Roman" w:eastAsia="黑体" w:cs="Times New Roman"/>
      <w:kern w:val="0"/>
      <w:sz w:val="20"/>
    </w:rPr>
  </w:style>
  <w:style w:type="character" w:customStyle="1" w:styleId="59">
    <w:name w:val="Heading 2 Char"/>
    <w:basedOn w:val="51"/>
    <w:qFormat/>
    <w:locked/>
    <w:uiPriority w:val="0"/>
    <w:rPr>
      <w:rFonts w:ascii="Times New Roman" w:hAnsi="Times New Roman" w:eastAsia="宋体" w:cs="Times New Roman"/>
      <w:b/>
      <w:kern w:val="0"/>
      <w:sz w:val="32"/>
    </w:rPr>
  </w:style>
  <w:style w:type="character" w:customStyle="1" w:styleId="60">
    <w:name w:val="标题 3 Char1"/>
    <w:basedOn w:val="51"/>
    <w:link w:val="5"/>
    <w:qFormat/>
    <w:locked/>
    <w:uiPriority w:val="0"/>
    <w:rPr>
      <w:rFonts w:ascii="Times New Roman" w:hAnsi="Times New Roman" w:eastAsia="宋体" w:cs="Times New Roman"/>
      <w:b/>
      <w:kern w:val="0"/>
      <w:sz w:val="20"/>
    </w:rPr>
  </w:style>
  <w:style w:type="character" w:customStyle="1" w:styleId="61">
    <w:name w:val="Heading 4 Char"/>
    <w:basedOn w:val="51"/>
    <w:qFormat/>
    <w:locked/>
    <w:uiPriority w:val="0"/>
    <w:rPr>
      <w:rFonts w:ascii="Times New Roman" w:hAnsi="Times New Roman" w:eastAsia="宋体" w:cs="Times New Roman"/>
      <w:b/>
      <w:kern w:val="0"/>
      <w:sz w:val="20"/>
    </w:rPr>
  </w:style>
  <w:style w:type="character" w:customStyle="1" w:styleId="62">
    <w:name w:val="Heading 5 Char"/>
    <w:basedOn w:val="51"/>
    <w:qFormat/>
    <w:locked/>
    <w:uiPriority w:val="0"/>
    <w:rPr>
      <w:rFonts w:ascii="Times New Roman" w:hAnsi="Times New Roman" w:eastAsia="宋体" w:cs="Times New Roman"/>
      <w:b/>
      <w:sz w:val="28"/>
    </w:rPr>
  </w:style>
  <w:style w:type="character" w:customStyle="1" w:styleId="63">
    <w:name w:val="Heading 6 Char"/>
    <w:basedOn w:val="51"/>
    <w:qFormat/>
    <w:locked/>
    <w:uiPriority w:val="0"/>
    <w:rPr>
      <w:rFonts w:ascii="Arial" w:hAnsi="Arial" w:eastAsia="黑体" w:cs="Times New Roman"/>
      <w:b/>
      <w:kern w:val="0"/>
      <w:sz w:val="24"/>
    </w:rPr>
  </w:style>
  <w:style w:type="character" w:customStyle="1" w:styleId="64">
    <w:name w:val="Heading 7 Char"/>
    <w:basedOn w:val="51"/>
    <w:qFormat/>
    <w:locked/>
    <w:uiPriority w:val="0"/>
    <w:rPr>
      <w:rFonts w:ascii="Times New Roman" w:hAnsi="Times New Roman" w:eastAsia="宋体" w:cs="Times New Roman"/>
      <w:b/>
      <w:kern w:val="0"/>
      <w:sz w:val="24"/>
    </w:rPr>
  </w:style>
  <w:style w:type="character" w:customStyle="1" w:styleId="65">
    <w:name w:val="Heading 8 Char"/>
    <w:basedOn w:val="51"/>
    <w:qFormat/>
    <w:locked/>
    <w:uiPriority w:val="0"/>
    <w:rPr>
      <w:rFonts w:ascii="Arial" w:hAnsi="Arial" w:eastAsia="黑体" w:cs="Times New Roman"/>
      <w:kern w:val="0"/>
      <w:sz w:val="24"/>
    </w:rPr>
  </w:style>
  <w:style w:type="character" w:customStyle="1" w:styleId="66">
    <w:name w:val="Heading 9 Char"/>
    <w:basedOn w:val="51"/>
    <w:qFormat/>
    <w:locked/>
    <w:uiPriority w:val="0"/>
    <w:rPr>
      <w:rFonts w:ascii="Arial" w:hAnsi="Arial" w:eastAsia="黑体" w:cs="Times New Roman"/>
      <w:kern w:val="0"/>
      <w:sz w:val="21"/>
    </w:rPr>
  </w:style>
  <w:style w:type="character" w:customStyle="1" w:styleId="67">
    <w:name w:val="Header Char"/>
    <w:basedOn w:val="51"/>
    <w:qFormat/>
    <w:locked/>
    <w:uiPriority w:val="0"/>
    <w:rPr>
      <w:rFonts w:ascii="Times New Roman" w:hAnsi="Times New Roman" w:eastAsia="宋体" w:cs="Times New Roman"/>
      <w:kern w:val="0"/>
      <w:sz w:val="20"/>
    </w:rPr>
  </w:style>
  <w:style w:type="character" w:customStyle="1" w:styleId="68">
    <w:name w:val="页眉 Char"/>
    <w:basedOn w:val="51"/>
    <w:link w:val="34"/>
    <w:qFormat/>
    <w:locked/>
    <w:uiPriority w:val="0"/>
    <w:rPr>
      <w:rFonts w:cs="Times New Roman"/>
      <w:sz w:val="18"/>
      <w:szCs w:val="18"/>
    </w:rPr>
  </w:style>
  <w:style w:type="character" w:customStyle="1" w:styleId="69">
    <w:name w:val="Footer Char"/>
    <w:basedOn w:val="51"/>
    <w:qFormat/>
    <w:locked/>
    <w:uiPriority w:val="0"/>
    <w:rPr>
      <w:rFonts w:ascii="Times New Roman" w:hAnsi="Times New Roman" w:eastAsia="宋体" w:cs="Times New Roman"/>
      <w:kern w:val="0"/>
      <w:sz w:val="20"/>
    </w:rPr>
  </w:style>
  <w:style w:type="character" w:customStyle="1" w:styleId="70">
    <w:name w:val="页脚 Char"/>
    <w:basedOn w:val="51"/>
    <w:link w:val="33"/>
    <w:qFormat/>
    <w:locked/>
    <w:uiPriority w:val="0"/>
    <w:rPr>
      <w:rFonts w:cs="Times New Roman"/>
      <w:sz w:val="18"/>
      <w:szCs w:val="18"/>
    </w:rPr>
  </w:style>
  <w:style w:type="character" w:customStyle="1" w:styleId="71">
    <w:name w:val="标题 1 Char"/>
    <w:basedOn w:val="51"/>
    <w:qFormat/>
    <w:uiPriority w:val="0"/>
    <w:rPr>
      <w:rFonts w:ascii="Times New Roman" w:hAnsi="Times New Roman" w:eastAsia="宋体" w:cs="Times New Roman"/>
      <w:b/>
      <w:bCs/>
      <w:kern w:val="44"/>
      <w:sz w:val="44"/>
      <w:szCs w:val="44"/>
    </w:rPr>
  </w:style>
  <w:style w:type="character" w:customStyle="1" w:styleId="72">
    <w:name w:val="标题 2 Char"/>
    <w:basedOn w:val="51"/>
    <w:link w:val="3"/>
    <w:qFormat/>
    <w:locked/>
    <w:uiPriority w:val="0"/>
    <w:rPr>
      <w:rFonts w:ascii="Times New Roman" w:hAnsi="Times New Roman" w:eastAsia="宋体" w:cs="Times New Roman"/>
      <w:b/>
      <w:kern w:val="0"/>
      <w:sz w:val="32"/>
      <w:szCs w:val="32"/>
    </w:rPr>
  </w:style>
  <w:style w:type="character" w:customStyle="1" w:styleId="73">
    <w:name w:val="标题 3 Char"/>
    <w:basedOn w:val="51"/>
    <w:qFormat/>
    <w:uiPriority w:val="0"/>
    <w:rPr>
      <w:rFonts w:ascii="Times New Roman" w:hAnsi="Times New Roman" w:eastAsia="宋体" w:cs="Times New Roman"/>
      <w:b/>
      <w:bCs/>
      <w:sz w:val="32"/>
      <w:szCs w:val="32"/>
    </w:rPr>
  </w:style>
  <w:style w:type="character" w:customStyle="1" w:styleId="74">
    <w:name w:val="标题 4 Char"/>
    <w:basedOn w:val="51"/>
    <w:link w:val="6"/>
    <w:qFormat/>
    <w:locked/>
    <w:uiPriority w:val="0"/>
    <w:rPr>
      <w:rFonts w:ascii="Times New Roman" w:hAnsi="Times New Roman" w:eastAsia="宋体" w:cs="Times New Roman"/>
      <w:b/>
      <w:kern w:val="0"/>
      <w:sz w:val="20"/>
      <w:szCs w:val="20"/>
    </w:rPr>
  </w:style>
  <w:style w:type="character" w:customStyle="1" w:styleId="75">
    <w:name w:val="标题 5 Char"/>
    <w:basedOn w:val="51"/>
    <w:link w:val="7"/>
    <w:qFormat/>
    <w:locked/>
    <w:uiPriority w:val="0"/>
    <w:rPr>
      <w:rFonts w:ascii="Times New Roman" w:hAnsi="Times New Roman" w:eastAsia="宋体" w:cs="Times New Roman"/>
      <w:b/>
      <w:bCs/>
      <w:sz w:val="28"/>
      <w:szCs w:val="28"/>
    </w:rPr>
  </w:style>
  <w:style w:type="character" w:customStyle="1" w:styleId="76">
    <w:name w:val="标题 6 Char"/>
    <w:basedOn w:val="51"/>
    <w:link w:val="8"/>
    <w:qFormat/>
    <w:locked/>
    <w:uiPriority w:val="0"/>
    <w:rPr>
      <w:rFonts w:ascii="Arial" w:hAnsi="Arial" w:eastAsia="黑体" w:cs="Times New Roman"/>
      <w:b/>
      <w:bCs/>
      <w:kern w:val="0"/>
      <w:sz w:val="24"/>
      <w:szCs w:val="24"/>
    </w:rPr>
  </w:style>
  <w:style w:type="character" w:customStyle="1" w:styleId="77">
    <w:name w:val="标题 7 Char"/>
    <w:basedOn w:val="51"/>
    <w:link w:val="9"/>
    <w:qFormat/>
    <w:locked/>
    <w:uiPriority w:val="0"/>
    <w:rPr>
      <w:rFonts w:ascii="Times New Roman" w:hAnsi="Times New Roman" w:eastAsia="宋体" w:cs="Times New Roman"/>
      <w:b/>
      <w:bCs/>
      <w:kern w:val="0"/>
      <w:sz w:val="24"/>
      <w:szCs w:val="24"/>
    </w:rPr>
  </w:style>
  <w:style w:type="character" w:customStyle="1" w:styleId="78">
    <w:name w:val="标题 8 Char"/>
    <w:basedOn w:val="51"/>
    <w:link w:val="10"/>
    <w:qFormat/>
    <w:locked/>
    <w:uiPriority w:val="0"/>
    <w:rPr>
      <w:rFonts w:ascii="Arial" w:hAnsi="Arial" w:eastAsia="黑体" w:cs="Times New Roman"/>
      <w:kern w:val="0"/>
      <w:sz w:val="24"/>
      <w:szCs w:val="24"/>
    </w:rPr>
  </w:style>
  <w:style w:type="character" w:customStyle="1" w:styleId="79">
    <w:name w:val="标题 9 Char"/>
    <w:basedOn w:val="51"/>
    <w:link w:val="11"/>
    <w:qFormat/>
    <w:locked/>
    <w:uiPriority w:val="0"/>
    <w:rPr>
      <w:rFonts w:ascii="Arial" w:hAnsi="Arial" w:eastAsia="黑体" w:cs="Times New Roman"/>
      <w:kern w:val="0"/>
      <w:sz w:val="21"/>
      <w:szCs w:val="21"/>
    </w:rPr>
  </w:style>
  <w:style w:type="paragraph" w:customStyle="1" w:styleId="80">
    <w:name w:val="Char"/>
    <w:basedOn w:val="1"/>
    <w:qFormat/>
    <w:uiPriority w:val="0"/>
    <w:rPr>
      <w:rFonts w:ascii="仿宋_GB2312" w:eastAsia="仿宋_GB2312"/>
      <w:b/>
      <w:sz w:val="32"/>
      <w:szCs w:val="32"/>
    </w:rPr>
  </w:style>
  <w:style w:type="character" w:customStyle="1" w:styleId="81">
    <w:name w:val="Document Map Char"/>
    <w:basedOn w:val="51"/>
    <w:qFormat/>
    <w:locked/>
    <w:uiPriority w:val="0"/>
    <w:rPr>
      <w:rFonts w:ascii="Times New Roman" w:hAnsi="Times New Roman" w:eastAsia="宋体" w:cs="Times New Roman"/>
      <w:sz w:val="24"/>
      <w:shd w:val="clear" w:color="auto" w:fill="000080"/>
    </w:rPr>
  </w:style>
  <w:style w:type="character" w:customStyle="1" w:styleId="82">
    <w:name w:val="文档结构图 Char"/>
    <w:basedOn w:val="51"/>
    <w:link w:val="17"/>
    <w:qFormat/>
    <w:locked/>
    <w:uiPriority w:val="0"/>
    <w:rPr>
      <w:rFonts w:ascii="Times New Roman" w:hAnsi="Times New Roman" w:eastAsia="宋体" w:cs="Times New Roman"/>
      <w:sz w:val="24"/>
      <w:szCs w:val="24"/>
      <w:shd w:val="clear" w:color="auto" w:fill="000080"/>
    </w:rPr>
  </w:style>
  <w:style w:type="paragraph" w:customStyle="1" w:styleId="83">
    <w:name w:val="目录文字"/>
    <w:basedOn w:val="1"/>
    <w:qFormat/>
    <w:uiPriority w:val="0"/>
    <w:pPr>
      <w:widowControl/>
      <w:spacing w:line="480" w:lineRule="auto"/>
      <w:jc w:val="left"/>
    </w:pPr>
    <w:rPr>
      <w:rFonts w:ascii="宋体" w:hAnsi="宋体"/>
      <w:kern w:val="0"/>
      <w:sz w:val="24"/>
      <w:szCs w:val="20"/>
    </w:rPr>
  </w:style>
  <w:style w:type="character" w:customStyle="1" w:styleId="84">
    <w:name w:val="Date Char"/>
    <w:basedOn w:val="51"/>
    <w:qFormat/>
    <w:locked/>
    <w:uiPriority w:val="0"/>
    <w:rPr>
      <w:rFonts w:ascii="Times New Roman" w:hAnsi="Times New Roman" w:eastAsia="宋体" w:cs="Times New Roman"/>
      <w:sz w:val="20"/>
    </w:rPr>
  </w:style>
  <w:style w:type="character" w:customStyle="1" w:styleId="85">
    <w:name w:val="日期 Char"/>
    <w:basedOn w:val="51"/>
    <w:link w:val="30"/>
    <w:qFormat/>
    <w:locked/>
    <w:uiPriority w:val="0"/>
    <w:rPr>
      <w:rFonts w:ascii="Times New Roman" w:hAnsi="Times New Roman" w:eastAsia="宋体" w:cs="Times New Roman"/>
      <w:sz w:val="20"/>
      <w:szCs w:val="20"/>
    </w:rPr>
  </w:style>
  <w:style w:type="paragraph" w:customStyle="1" w:styleId="86">
    <w:name w:val="1"/>
    <w:basedOn w:val="1"/>
    <w:next w:val="23"/>
    <w:qFormat/>
    <w:uiPriority w:val="99"/>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character" w:customStyle="1" w:styleId="87">
    <w:name w:val="正文文本缩进 Char"/>
    <w:basedOn w:val="51"/>
    <w:link w:val="23"/>
    <w:qFormat/>
    <w:locked/>
    <w:uiPriority w:val="0"/>
    <w:rPr>
      <w:rFonts w:ascii="Times New Roman" w:hAnsi="Times New Roman" w:eastAsia="宋体" w:cs="Times New Roman"/>
      <w:sz w:val="24"/>
      <w:szCs w:val="24"/>
    </w:rPr>
  </w:style>
  <w:style w:type="character" w:customStyle="1" w:styleId="88">
    <w:name w:val="Plain Text Char"/>
    <w:basedOn w:val="51"/>
    <w:qFormat/>
    <w:locked/>
    <w:uiPriority w:val="0"/>
    <w:rPr>
      <w:rFonts w:ascii="宋体" w:hAnsi="Courier New" w:eastAsia="宋体" w:cs="Times New Roman"/>
      <w:sz w:val="20"/>
    </w:rPr>
  </w:style>
  <w:style w:type="character" w:customStyle="1" w:styleId="89">
    <w:name w:val="纯文本 Char"/>
    <w:basedOn w:val="51"/>
    <w:link w:val="28"/>
    <w:qFormat/>
    <w:locked/>
    <w:uiPriority w:val="99"/>
    <w:rPr>
      <w:rFonts w:ascii="宋体" w:hAnsi="Courier New" w:eastAsia="宋体" w:cs="Times New Roman"/>
      <w:sz w:val="20"/>
      <w:szCs w:val="20"/>
    </w:rPr>
  </w:style>
  <w:style w:type="character" w:customStyle="1" w:styleId="90">
    <w:name w:val="Body Text Indent 2 Char"/>
    <w:basedOn w:val="51"/>
    <w:qFormat/>
    <w:locked/>
    <w:uiPriority w:val="0"/>
    <w:rPr>
      <w:rFonts w:ascii="Times New Roman" w:hAnsi="Times New Roman" w:eastAsia="宋体" w:cs="Times New Roman"/>
      <w:sz w:val="30"/>
    </w:rPr>
  </w:style>
  <w:style w:type="character" w:customStyle="1" w:styleId="91">
    <w:name w:val="正文文本缩进 2 Char"/>
    <w:basedOn w:val="51"/>
    <w:link w:val="31"/>
    <w:qFormat/>
    <w:locked/>
    <w:uiPriority w:val="99"/>
    <w:rPr>
      <w:rFonts w:ascii="Times New Roman" w:hAnsi="Times New Roman" w:eastAsia="宋体" w:cs="Times New Roman"/>
      <w:sz w:val="30"/>
      <w:szCs w:val="30"/>
    </w:rPr>
  </w:style>
  <w:style w:type="character" w:customStyle="1" w:styleId="92">
    <w:name w:val="Body Text Indent 3 Char"/>
    <w:basedOn w:val="51"/>
    <w:qFormat/>
    <w:locked/>
    <w:uiPriority w:val="0"/>
    <w:rPr>
      <w:rFonts w:ascii="Times New Roman" w:hAnsi="Times New Roman" w:eastAsia="宋体" w:cs="Times New Roman"/>
      <w:sz w:val="30"/>
    </w:rPr>
  </w:style>
  <w:style w:type="character" w:customStyle="1" w:styleId="93">
    <w:name w:val="正文文本缩进 3 Char"/>
    <w:basedOn w:val="51"/>
    <w:link w:val="40"/>
    <w:qFormat/>
    <w:locked/>
    <w:uiPriority w:val="99"/>
    <w:rPr>
      <w:rFonts w:ascii="Times New Roman" w:hAnsi="Times New Roman" w:eastAsia="宋体" w:cs="Times New Roman"/>
      <w:sz w:val="30"/>
      <w:szCs w:val="30"/>
    </w:rPr>
  </w:style>
  <w:style w:type="paragraph" w:customStyle="1" w:styleId="9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95">
    <w:name w:val="xl24"/>
    <w:basedOn w:val="1"/>
    <w:qFormat/>
    <w:uiPriority w:val="99"/>
    <w:pPr>
      <w:widowControl/>
      <w:spacing w:before="100" w:after="100"/>
      <w:jc w:val="center"/>
      <w:textAlignment w:val="center"/>
    </w:pPr>
    <w:rPr>
      <w:rFonts w:ascii="宋体" w:hAnsi="宋体"/>
      <w:kern w:val="0"/>
      <w:sz w:val="24"/>
      <w:szCs w:val="20"/>
    </w:rPr>
  </w:style>
  <w:style w:type="paragraph" w:customStyle="1" w:styleId="96">
    <w:name w:val="倪芳"/>
    <w:basedOn w:val="1"/>
    <w:qFormat/>
    <w:uiPriority w:val="0"/>
    <w:pPr>
      <w:spacing w:beforeLines="25" w:afterLines="15" w:line="400" w:lineRule="exact"/>
    </w:pPr>
    <w:rPr>
      <w:rFonts w:ascii="宋体" w:hAnsi="Courier New" w:cs="Courier New"/>
      <w:sz w:val="24"/>
      <w:szCs w:val="21"/>
    </w:rPr>
  </w:style>
  <w:style w:type="paragraph" w:customStyle="1" w:styleId="97">
    <w:name w:val="样式2"/>
    <w:basedOn w:val="5"/>
    <w:qFormat/>
    <w:uiPriority w:val="0"/>
    <w:pPr>
      <w:widowControl w:val="0"/>
      <w:numPr>
        <w:ilvl w:val="0"/>
        <w:numId w:val="1"/>
      </w:numPr>
      <w:adjustRightInd/>
      <w:snapToGrid/>
      <w:spacing w:line="420" w:lineRule="exact"/>
      <w:jc w:val="both"/>
    </w:pPr>
    <w:rPr>
      <w:b w:val="0"/>
      <w:bCs/>
      <w:kern w:val="2"/>
      <w:sz w:val="28"/>
      <w:szCs w:val="32"/>
    </w:rPr>
  </w:style>
  <w:style w:type="character" w:customStyle="1" w:styleId="98">
    <w:name w:val="Body Text First Indent 2 Char"/>
    <w:basedOn w:val="87"/>
    <w:qFormat/>
    <w:locked/>
    <w:uiPriority w:val="0"/>
    <w:rPr>
      <w:rFonts w:ascii="Times New Roman" w:hAnsi="Times New Roman" w:eastAsia="宋体" w:cs="Times New Roman"/>
      <w:kern w:val="2"/>
      <w:sz w:val="24"/>
      <w:szCs w:val="24"/>
    </w:rPr>
  </w:style>
  <w:style w:type="character" w:customStyle="1" w:styleId="99">
    <w:name w:val="正文首行缩进 2 Char"/>
    <w:basedOn w:val="87"/>
    <w:link w:val="48"/>
    <w:qFormat/>
    <w:locked/>
    <w:uiPriority w:val="0"/>
    <w:rPr>
      <w:rFonts w:ascii="Times New Roman" w:hAnsi="Times New Roman" w:eastAsia="宋体" w:cs="Times New Roman"/>
      <w:sz w:val="24"/>
      <w:szCs w:val="24"/>
    </w:rPr>
  </w:style>
  <w:style w:type="character" w:customStyle="1" w:styleId="100">
    <w:name w:val="正文文本 Char"/>
    <w:basedOn w:val="51"/>
    <w:link w:val="22"/>
    <w:qFormat/>
    <w:locked/>
    <w:uiPriority w:val="0"/>
    <w:rPr>
      <w:rFonts w:ascii="宋体" w:hAnsi="Times New Roman" w:eastAsia="宋体" w:cs="Times New Roman"/>
      <w:color w:val="FF0000"/>
      <w:sz w:val="20"/>
      <w:szCs w:val="20"/>
    </w:rPr>
  </w:style>
  <w:style w:type="character" w:customStyle="1" w:styleId="101">
    <w:name w:val="Body Text 2 Char"/>
    <w:basedOn w:val="51"/>
    <w:qFormat/>
    <w:locked/>
    <w:uiPriority w:val="0"/>
    <w:rPr>
      <w:rFonts w:ascii="宋体" w:hAnsi="Times New Roman" w:eastAsia="宋体" w:cs="Times New Roman"/>
      <w:sz w:val="20"/>
    </w:rPr>
  </w:style>
  <w:style w:type="character" w:customStyle="1" w:styleId="102">
    <w:name w:val="正文文本 2 Char"/>
    <w:basedOn w:val="51"/>
    <w:link w:val="43"/>
    <w:qFormat/>
    <w:locked/>
    <w:uiPriority w:val="99"/>
    <w:rPr>
      <w:rFonts w:ascii="宋体" w:hAnsi="Times New Roman" w:eastAsia="宋体" w:cs="Times New Roman"/>
      <w:sz w:val="20"/>
      <w:szCs w:val="20"/>
    </w:rPr>
  </w:style>
  <w:style w:type="paragraph" w:customStyle="1" w:styleId="103">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04">
    <w:name w:val="样式 标题 2 + (符号) 宋体 小四"/>
    <w:basedOn w:val="3"/>
    <w:qFormat/>
    <w:uiPriority w:val="0"/>
    <w:pPr>
      <w:widowControl w:val="0"/>
      <w:adjustRightInd/>
      <w:snapToGrid/>
      <w:spacing w:before="260" w:after="260" w:line="416" w:lineRule="auto"/>
      <w:jc w:val="both"/>
    </w:pPr>
    <w:rPr>
      <w:rFonts w:ascii="Arial" w:hAnsi="Arial"/>
      <w:b w:val="0"/>
      <w:bCs/>
      <w:kern w:val="2"/>
      <w:sz w:val="24"/>
    </w:rPr>
  </w:style>
  <w:style w:type="character" w:customStyle="1" w:styleId="105">
    <w:name w:val="Char2"/>
    <w:qFormat/>
    <w:uiPriority w:val="99"/>
    <w:rPr>
      <w:rFonts w:ascii="Arial" w:hAnsi="Arial" w:eastAsia="黑体"/>
      <w:b/>
      <w:kern w:val="2"/>
      <w:sz w:val="32"/>
      <w:lang w:val="en-US" w:eastAsia="zh-CN"/>
    </w:rPr>
  </w:style>
  <w:style w:type="character" w:customStyle="1" w:styleId="106">
    <w:name w:val="样式 标题 2 + (符号) 宋体 小四 Char"/>
    <w:qFormat/>
    <w:uiPriority w:val="0"/>
    <w:rPr>
      <w:rFonts w:ascii="Arial" w:hAnsi="Arial" w:eastAsia="宋体"/>
      <w:b/>
      <w:kern w:val="2"/>
      <w:sz w:val="32"/>
      <w:lang w:val="en-US" w:eastAsia="zh-CN"/>
    </w:rPr>
  </w:style>
  <w:style w:type="paragraph" w:customStyle="1" w:styleId="107">
    <w:name w:val="标题3"/>
    <w:basedOn w:val="1"/>
    <w:next w:val="5"/>
    <w:qFormat/>
    <w:uiPriority w:val="0"/>
    <w:pPr>
      <w:tabs>
        <w:tab w:val="left" w:pos="795"/>
      </w:tabs>
      <w:ind w:left="795" w:right="26" w:rightChars="100" w:hanging="375"/>
      <w:jc w:val="left"/>
    </w:pPr>
    <w:rPr>
      <w:rFonts w:ascii="黑体" w:hAnsi="黑体"/>
      <w:sz w:val="24"/>
      <w:szCs w:val="20"/>
    </w:rPr>
  </w:style>
  <w:style w:type="paragraph" w:customStyle="1" w:styleId="108">
    <w:name w:val="样式1"/>
    <w:basedOn w:val="1"/>
    <w:next w:val="5"/>
    <w:qFormat/>
    <w:uiPriority w:val="99"/>
    <w:rPr>
      <w:sz w:val="24"/>
      <w:szCs w:val="20"/>
    </w:rPr>
  </w:style>
  <w:style w:type="paragraph" w:customStyle="1" w:styleId="109">
    <w:name w:val="默认段落字体 Para Char Char Char Char Char Char Char Char Char Char"/>
    <w:basedOn w:val="17"/>
    <w:qFormat/>
    <w:uiPriority w:val="0"/>
    <w:rPr>
      <w:rFonts w:ascii="Tahoma" w:hAnsi="Tahoma"/>
      <w:sz w:val="24"/>
    </w:rPr>
  </w:style>
  <w:style w:type="paragraph" w:customStyle="1" w:styleId="110">
    <w:name w:val="font5"/>
    <w:basedOn w:val="1"/>
    <w:qFormat/>
    <w:uiPriority w:val="0"/>
    <w:pPr>
      <w:widowControl/>
      <w:spacing w:before="100" w:beforeAutospacing="1" w:after="100" w:afterAutospacing="1"/>
      <w:jc w:val="left"/>
    </w:pPr>
    <w:rPr>
      <w:rFonts w:ascii="宋体" w:hAnsi="宋体" w:cs="Arial Unicode MS"/>
      <w:kern w:val="0"/>
      <w:sz w:val="18"/>
      <w:szCs w:val="18"/>
    </w:rPr>
  </w:style>
  <w:style w:type="paragraph" w:customStyle="1" w:styleId="111">
    <w:name w:val="xl25"/>
    <w:basedOn w:val="1"/>
    <w:qFormat/>
    <w:uiPriority w:val="0"/>
    <w:pPr>
      <w:widowControl/>
      <w:pBdr>
        <w:right w:val="single" w:color="969696" w:sz="8" w:space="0"/>
      </w:pBdr>
      <w:spacing w:before="100" w:beforeAutospacing="1" w:after="100" w:afterAutospacing="1"/>
      <w:jc w:val="left"/>
    </w:pPr>
    <w:rPr>
      <w:rFonts w:ascii="Arial Unicode MS" w:hAnsi="Arial Unicode MS" w:cs="Arial Unicode MS"/>
      <w:kern w:val="0"/>
      <w:sz w:val="18"/>
      <w:szCs w:val="18"/>
    </w:rPr>
  </w:style>
  <w:style w:type="paragraph" w:customStyle="1" w:styleId="112">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13">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14">
    <w:name w:val="xl28"/>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15">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16">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17">
    <w:name w:val="xl31"/>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18">
    <w:name w:val="xl32"/>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19">
    <w:name w:val="xl33"/>
    <w:basedOn w:val="1"/>
    <w:qFormat/>
    <w:uiPriority w:val="0"/>
    <w:pPr>
      <w:widowControl/>
      <w:pBdr>
        <w:right w:val="single" w:color="auto" w:sz="4" w:space="0"/>
      </w:pBdr>
      <w:spacing w:before="100" w:beforeAutospacing="1" w:after="100" w:afterAutospacing="1"/>
      <w:jc w:val="left"/>
    </w:pPr>
    <w:rPr>
      <w:rFonts w:ascii="Arial Unicode MS" w:hAnsi="Arial Unicode MS" w:cs="Arial Unicode MS"/>
      <w:kern w:val="0"/>
      <w:sz w:val="18"/>
      <w:szCs w:val="18"/>
    </w:rPr>
  </w:style>
  <w:style w:type="paragraph" w:customStyle="1" w:styleId="12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2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2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b/>
      <w:bCs/>
      <w:kern w:val="0"/>
      <w:sz w:val="18"/>
      <w:szCs w:val="18"/>
    </w:rPr>
  </w:style>
  <w:style w:type="paragraph" w:customStyle="1" w:styleId="123">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24">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25">
    <w:name w:val="xl39"/>
    <w:basedOn w:val="1"/>
    <w:qFormat/>
    <w:uiPriority w:val="0"/>
    <w:pPr>
      <w:widowControl/>
      <w:pBdr>
        <w:left w:val="single" w:color="auto" w:sz="4" w:space="0"/>
        <w:right w:val="single" w:color="auto" w:sz="4" w:space="0"/>
      </w:pBdr>
      <w:spacing w:before="100" w:beforeAutospacing="1" w:after="100" w:afterAutospacing="1"/>
      <w:jc w:val="left"/>
    </w:pPr>
    <w:rPr>
      <w:rFonts w:ascii="Arial Unicode MS" w:hAnsi="Arial Unicode MS" w:cs="Arial Unicode MS"/>
      <w:kern w:val="0"/>
      <w:sz w:val="24"/>
    </w:rPr>
  </w:style>
  <w:style w:type="paragraph" w:customStyle="1" w:styleId="12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27">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28">
    <w:name w:val="xl42"/>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29">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kern w:val="0"/>
      <w:sz w:val="18"/>
      <w:szCs w:val="18"/>
    </w:rPr>
  </w:style>
  <w:style w:type="paragraph" w:customStyle="1" w:styleId="130">
    <w:name w:val="文档正文"/>
    <w:basedOn w:val="1"/>
    <w:qFormat/>
    <w:uiPriority w:val="0"/>
    <w:pPr>
      <w:adjustRightInd w:val="0"/>
      <w:spacing w:line="480" w:lineRule="atLeast"/>
      <w:ind w:firstLine="567"/>
      <w:textAlignment w:val="baseline"/>
    </w:pPr>
    <w:rPr>
      <w:rFonts w:ascii="长城仿宋"/>
      <w:kern w:val="0"/>
      <w:sz w:val="24"/>
    </w:rPr>
  </w:style>
  <w:style w:type="character" w:customStyle="1" w:styleId="131">
    <w:name w:val="Balloon Text Char"/>
    <w:basedOn w:val="51"/>
    <w:qFormat/>
    <w:locked/>
    <w:uiPriority w:val="0"/>
    <w:rPr>
      <w:rFonts w:ascii="Times New Roman" w:hAnsi="Times New Roman" w:eastAsia="宋体" w:cs="Times New Roman"/>
      <w:sz w:val="18"/>
    </w:rPr>
  </w:style>
  <w:style w:type="character" w:customStyle="1" w:styleId="132">
    <w:name w:val="批注框文本 Char"/>
    <w:basedOn w:val="51"/>
    <w:link w:val="32"/>
    <w:qFormat/>
    <w:locked/>
    <w:uiPriority w:val="0"/>
    <w:rPr>
      <w:rFonts w:ascii="Times New Roman" w:hAnsi="Times New Roman" w:eastAsia="宋体" w:cs="Times New Roman"/>
      <w:sz w:val="18"/>
      <w:szCs w:val="18"/>
    </w:rPr>
  </w:style>
  <w:style w:type="character" w:customStyle="1" w:styleId="133">
    <w:name w:val="Char Char"/>
    <w:qFormat/>
    <w:uiPriority w:val="0"/>
    <w:rPr>
      <w:rFonts w:eastAsia="宋体"/>
      <w:kern w:val="2"/>
      <w:sz w:val="24"/>
      <w:lang w:val="en-US" w:eastAsia="zh-CN"/>
    </w:rPr>
  </w:style>
  <w:style w:type="character" w:customStyle="1" w:styleId="134">
    <w:name w:val="Comment Text Char"/>
    <w:basedOn w:val="51"/>
    <w:qFormat/>
    <w:locked/>
    <w:uiPriority w:val="0"/>
    <w:rPr>
      <w:rFonts w:ascii="Times New Roman" w:hAnsi="Times New Roman" w:eastAsia="宋体" w:cs="Times New Roman"/>
      <w:sz w:val="24"/>
    </w:rPr>
  </w:style>
  <w:style w:type="character" w:customStyle="1" w:styleId="135">
    <w:name w:val="批注文字 Char"/>
    <w:basedOn w:val="51"/>
    <w:qFormat/>
    <w:uiPriority w:val="0"/>
    <w:rPr>
      <w:rFonts w:ascii="Times New Roman" w:hAnsi="Times New Roman" w:eastAsia="宋体" w:cs="Times New Roman"/>
      <w:sz w:val="24"/>
      <w:szCs w:val="24"/>
    </w:rPr>
  </w:style>
  <w:style w:type="character" w:customStyle="1" w:styleId="136">
    <w:name w:val="Salutation Char"/>
    <w:basedOn w:val="51"/>
    <w:qFormat/>
    <w:locked/>
    <w:uiPriority w:val="0"/>
    <w:rPr>
      <w:rFonts w:ascii="..ì." w:hAnsi="Times New Roman" w:eastAsia="..ì." w:cs="Times New Roman"/>
      <w:kern w:val="0"/>
      <w:sz w:val="20"/>
    </w:rPr>
  </w:style>
  <w:style w:type="character" w:customStyle="1" w:styleId="137">
    <w:name w:val="称呼 Char"/>
    <w:basedOn w:val="51"/>
    <w:link w:val="20"/>
    <w:qFormat/>
    <w:locked/>
    <w:uiPriority w:val="0"/>
    <w:rPr>
      <w:rFonts w:ascii="..ì." w:hAnsi="Times New Roman" w:eastAsia="..ì." w:cs="Times New Roman"/>
      <w:kern w:val="0"/>
      <w:sz w:val="20"/>
      <w:szCs w:val="20"/>
    </w:rPr>
  </w:style>
  <w:style w:type="character" w:customStyle="1" w:styleId="138">
    <w:name w:val="Note Heading Char"/>
    <w:basedOn w:val="51"/>
    <w:qFormat/>
    <w:locked/>
    <w:uiPriority w:val="0"/>
    <w:rPr>
      <w:rFonts w:ascii="..ì." w:hAnsi="Times New Roman" w:eastAsia="..ì." w:cs="Times New Roman"/>
      <w:kern w:val="0"/>
      <w:sz w:val="20"/>
    </w:rPr>
  </w:style>
  <w:style w:type="character" w:customStyle="1" w:styleId="139">
    <w:name w:val="注释标题 Char"/>
    <w:basedOn w:val="51"/>
    <w:link w:val="13"/>
    <w:qFormat/>
    <w:locked/>
    <w:uiPriority w:val="0"/>
    <w:rPr>
      <w:rFonts w:ascii="..ì." w:hAnsi="Times New Roman" w:eastAsia="..ì." w:cs="Times New Roman"/>
      <w:kern w:val="0"/>
      <w:sz w:val="20"/>
      <w:szCs w:val="20"/>
    </w:rPr>
  </w:style>
  <w:style w:type="paragraph" w:customStyle="1" w:styleId="140">
    <w:name w:val="1 Char Char Char Char"/>
    <w:basedOn w:val="1"/>
    <w:qFormat/>
    <w:uiPriority w:val="0"/>
    <w:rPr>
      <w:rFonts w:ascii="Tahoma" w:hAnsi="Tahoma"/>
      <w:sz w:val="24"/>
      <w:szCs w:val="20"/>
    </w:rPr>
  </w:style>
  <w:style w:type="paragraph" w:customStyle="1" w:styleId="141">
    <w:name w:val="修订1"/>
    <w:hidden/>
    <w:qFormat/>
    <w:uiPriority w:val="0"/>
    <w:rPr>
      <w:rFonts w:ascii="Times New Roman" w:hAnsi="Times New Roman" w:eastAsia="宋体" w:cs="Times New Roman"/>
      <w:kern w:val="2"/>
      <w:sz w:val="21"/>
      <w:szCs w:val="24"/>
      <w:lang w:val="en-US" w:eastAsia="zh-CN" w:bidi="ar-SA"/>
    </w:rPr>
  </w:style>
  <w:style w:type="paragraph" w:customStyle="1" w:styleId="142">
    <w:name w:val="TOC 标题1"/>
    <w:basedOn w:val="2"/>
    <w:next w:val="1"/>
    <w:qFormat/>
    <w:uiPriority w:val="0"/>
    <w:pPr>
      <w:keepLines/>
      <w:widowControl w:val="0"/>
      <w:spacing w:before="340" w:after="330" w:line="578" w:lineRule="auto"/>
      <w:jc w:val="both"/>
      <w:outlineLvl w:val="9"/>
    </w:pPr>
    <w:rPr>
      <w:rFonts w:ascii="Times New Roman" w:eastAsia="宋体"/>
      <w:b/>
      <w:bCs/>
      <w:kern w:val="44"/>
      <w:sz w:val="44"/>
      <w:szCs w:val="44"/>
    </w:rPr>
  </w:style>
  <w:style w:type="character" w:customStyle="1" w:styleId="143">
    <w:name w:val="标题 1 Char1"/>
    <w:link w:val="2"/>
    <w:qFormat/>
    <w:locked/>
    <w:uiPriority w:val="0"/>
    <w:rPr>
      <w:rFonts w:ascii="黑体" w:hAnsi="Times New Roman" w:eastAsia="黑体"/>
      <w:kern w:val="0"/>
      <w:sz w:val="20"/>
      <w:szCs w:val="20"/>
    </w:rPr>
  </w:style>
  <w:style w:type="paragraph" w:customStyle="1" w:styleId="144">
    <w:name w:val="样式 标题 2 + Times New Roman 四号 非加粗 段前: 5 磅 段后: 0 磅 行距: 固定值 20..."/>
    <w:basedOn w:val="3"/>
    <w:qFormat/>
    <w:uiPriority w:val="0"/>
    <w:pPr>
      <w:widowControl w:val="0"/>
      <w:adjustRightInd/>
      <w:snapToGrid/>
      <w:spacing w:before="100" w:after="0" w:line="400" w:lineRule="exact"/>
      <w:jc w:val="both"/>
    </w:pPr>
    <w:rPr>
      <w:rFonts w:eastAsia="黑体" w:cs="宋体"/>
      <w:b w:val="0"/>
      <w:kern w:val="2"/>
      <w:sz w:val="28"/>
      <w:szCs w:val="20"/>
    </w:rPr>
  </w:style>
  <w:style w:type="paragraph" w:customStyle="1" w:styleId="145">
    <w:name w:val="3"/>
    <w:basedOn w:val="1"/>
    <w:next w:val="21"/>
    <w:qFormat/>
    <w:uiPriority w:val="99"/>
    <w:rPr>
      <w:rFonts w:ascii="宋体"/>
      <w:sz w:val="24"/>
      <w:szCs w:val="20"/>
    </w:rPr>
  </w:style>
  <w:style w:type="character" w:customStyle="1" w:styleId="146">
    <w:name w:val="Body Text 3 Char"/>
    <w:basedOn w:val="51"/>
    <w:qFormat/>
    <w:locked/>
    <w:uiPriority w:val="0"/>
    <w:rPr>
      <w:rFonts w:ascii="Times New Roman" w:hAnsi="Times New Roman" w:eastAsia="宋体" w:cs="Times New Roman"/>
      <w:sz w:val="16"/>
    </w:rPr>
  </w:style>
  <w:style w:type="character" w:customStyle="1" w:styleId="147">
    <w:name w:val="正文文本 3 Char"/>
    <w:basedOn w:val="51"/>
    <w:link w:val="21"/>
    <w:qFormat/>
    <w:locked/>
    <w:uiPriority w:val="99"/>
    <w:rPr>
      <w:rFonts w:ascii="Times New Roman" w:hAnsi="Times New Roman" w:eastAsia="宋体" w:cs="Times New Roman"/>
      <w:sz w:val="16"/>
      <w:szCs w:val="16"/>
    </w:rPr>
  </w:style>
  <w:style w:type="paragraph" w:customStyle="1" w:styleId="148">
    <w:name w:val="样式 标题 3 + (中文) 黑体 小四 非加粗 段前: 7.8 磅 段后: 0 磅 行距: 固定值 20 磅"/>
    <w:basedOn w:val="5"/>
    <w:qFormat/>
    <w:uiPriority w:val="0"/>
    <w:pPr>
      <w:widowControl w:val="0"/>
      <w:adjustRightInd/>
      <w:snapToGrid/>
      <w:spacing w:before="0" w:after="0" w:line="400" w:lineRule="exact"/>
      <w:jc w:val="both"/>
    </w:pPr>
    <w:rPr>
      <w:rFonts w:eastAsia="黑体"/>
      <w:b w:val="0"/>
      <w:kern w:val="2"/>
      <w:sz w:val="24"/>
    </w:rPr>
  </w:style>
  <w:style w:type="paragraph" w:customStyle="1" w:styleId="149">
    <w:name w:val="2"/>
    <w:basedOn w:val="1"/>
    <w:next w:val="23"/>
    <w:qFormat/>
    <w:uiPriority w:val="99"/>
    <w:pPr>
      <w:ind w:left="432"/>
    </w:pPr>
    <w:rPr>
      <w:szCs w:val="20"/>
    </w:rPr>
  </w:style>
  <w:style w:type="character" w:customStyle="1" w:styleId="150">
    <w:name w:val="Title Char"/>
    <w:basedOn w:val="51"/>
    <w:qFormat/>
    <w:locked/>
    <w:uiPriority w:val="0"/>
    <w:rPr>
      <w:rFonts w:ascii="Arial" w:hAnsi="Arial" w:eastAsia="宋体" w:cs="Times New Roman"/>
      <w:b/>
      <w:kern w:val="0"/>
      <w:sz w:val="20"/>
    </w:rPr>
  </w:style>
  <w:style w:type="character" w:customStyle="1" w:styleId="151">
    <w:name w:val="标题 Char"/>
    <w:basedOn w:val="51"/>
    <w:link w:val="46"/>
    <w:qFormat/>
    <w:locked/>
    <w:uiPriority w:val="0"/>
    <w:rPr>
      <w:rFonts w:ascii="Arial" w:hAnsi="Arial" w:eastAsia="宋体" w:cs="Times New Roman"/>
      <w:b/>
      <w:kern w:val="0"/>
      <w:sz w:val="20"/>
      <w:szCs w:val="20"/>
    </w:rPr>
  </w:style>
  <w:style w:type="paragraph" w:customStyle="1" w:styleId="152">
    <w:name w:val="样式 标题 1 + 黑体 三号 非加粗 居中 段前: 6 磅 段后: 6 磅 行距: 固定值 20 磅"/>
    <w:basedOn w:val="2"/>
    <w:qFormat/>
    <w:uiPriority w:val="99"/>
    <w:pPr>
      <w:keepLines/>
      <w:widowControl w:val="0"/>
      <w:spacing w:before="120" w:after="120" w:line="400" w:lineRule="exact"/>
    </w:pPr>
    <w:rPr>
      <w:rFonts w:hAnsi="黑体" w:cs="宋体"/>
      <w:kern w:val="44"/>
      <w:sz w:val="32"/>
    </w:rPr>
  </w:style>
  <w:style w:type="paragraph" w:customStyle="1" w:styleId="153">
    <w:name w:val="Char1"/>
    <w:basedOn w:val="1"/>
    <w:qFormat/>
    <w:uiPriority w:val="99"/>
    <w:rPr>
      <w:rFonts w:ascii="Tahoma" w:hAnsi="Tahoma"/>
      <w:sz w:val="24"/>
      <w:szCs w:val="20"/>
    </w:rPr>
  </w:style>
  <w:style w:type="character" w:customStyle="1" w:styleId="154">
    <w:name w:val="font161"/>
    <w:qFormat/>
    <w:uiPriority w:val="99"/>
    <w:rPr>
      <w:b/>
      <w:sz w:val="32"/>
    </w:rPr>
  </w:style>
  <w:style w:type="paragraph" w:customStyle="1" w:styleId="155">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156">
    <w:name w:val="表格"/>
    <w:basedOn w:val="1"/>
    <w:qFormat/>
    <w:uiPriority w:val="99"/>
    <w:pPr>
      <w:jc w:val="center"/>
      <w:textAlignment w:val="center"/>
    </w:pPr>
    <w:rPr>
      <w:rFonts w:ascii="华文细黑" w:hAnsi="华文细黑"/>
      <w:kern w:val="0"/>
      <w:szCs w:val="20"/>
    </w:rPr>
  </w:style>
  <w:style w:type="paragraph" w:customStyle="1" w:styleId="157">
    <w:name w:val="表格文字"/>
    <w:basedOn w:val="1"/>
    <w:qFormat/>
    <w:uiPriority w:val="99"/>
    <w:pPr>
      <w:adjustRightInd w:val="0"/>
      <w:spacing w:line="420" w:lineRule="atLeast"/>
      <w:jc w:val="left"/>
      <w:textAlignment w:val="baseline"/>
    </w:pPr>
    <w:rPr>
      <w:kern w:val="0"/>
      <w:szCs w:val="20"/>
    </w:rPr>
  </w:style>
  <w:style w:type="paragraph" w:customStyle="1" w:styleId="158">
    <w:name w:val="XW正文"/>
    <w:basedOn w:val="23"/>
    <w:qFormat/>
    <w:uiPriority w:val="99"/>
    <w:pPr>
      <w:adjustRightInd w:val="0"/>
      <w:snapToGrid w:val="0"/>
      <w:spacing w:after="0" w:line="300" w:lineRule="auto"/>
      <w:ind w:left="0" w:leftChars="0" w:firstLine="520" w:firstLineChars="200"/>
      <w:jc w:val="left"/>
    </w:pPr>
    <w:rPr>
      <w:kern w:val="0"/>
    </w:rPr>
  </w:style>
  <w:style w:type="paragraph" w:customStyle="1" w:styleId="159">
    <w:name w:val="金安桥正文"/>
    <w:basedOn w:val="23"/>
    <w:qFormat/>
    <w:uiPriority w:val="99"/>
    <w:pPr>
      <w:adjustRightInd w:val="0"/>
      <w:spacing w:after="0" w:line="300" w:lineRule="auto"/>
      <w:ind w:left="0" w:leftChars="0" w:firstLine="200" w:firstLineChars="200"/>
      <w:jc w:val="left"/>
    </w:pPr>
    <w:rPr>
      <w:kern w:val="0"/>
      <w:sz w:val="24"/>
      <w:szCs w:val="20"/>
    </w:rPr>
  </w:style>
  <w:style w:type="character" w:customStyle="1" w:styleId="160">
    <w:name w:val="样式 粉红"/>
    <w:qFormat/>
    <w:uiPriority w:val="99"/>
    <w:rPr>
      <w:color w:val="auto"/>
      <w:u w:val="none"/>
    </w:rPr>
  </w:style>
  <w:style w:type="character" w:customStyle="1" w:styleId="161">
    <w:name w:val="Char Char1"/>
    <w:qFormat/>
    <w:uiPriority w:val="99"/>
    <w:rPr>
      <w:rFonts w:eastAsia="宋体"/>
      <w:kern w:val="2"/>
      <w:sz w:val="24"/>
      <w:lang w:val="en-US" w:eastAsia="zh-CN"/>
    </w:rPr>
  </w:style>
  <w:style w:type="character" w:customStyle="1" w:styleId="162">
    <w:name w:val="Comment Subject Char"/>
    <w:basedOn w:val="134"/>
    <w:qFormat/>
    <w:locked/>
    <w:uiPriority w:val="0"/>
    <w:rPr>
      <w:rFonts w:ascii="Times New Roman" w:hAnsi="Times New Roman" w:eastAsia="宋体" w:cs="Times New Roman"/>
      <w:b/>
      <w:sz w:val="24"/>
    </w:rPr>
  </w:style>
  <w:style w:type="character" w:customStyle="1" w:styleId="163">
    <w:name w:val="批注主题 Char"/>
    <w:basedOn w:val="135"/>
    <w:link w:val="47"/>
    <w:qFormat/>
    <w:locked/>
    <w:uiPriority w:val="0"/>
    <w:rPr>
      <w:rFonts w:ascii="Times New Roman" w:hAnsi="Times New Roman" w:eastAsia="宋体" w:cs="Times New Roman"/>
      <w:b/>
      <w:bCs/>
      <w:sz w:val="24"/>
      <w:szCs w:val="24"/>
    </w:rPr>
  </w:style>
  <w:style w:type="character" w:customStyle="1" w:styleId="164">
    <w:name w:val="批注文字 Char1"/>
    <w:link w:val="19"/>
    <w:qFormat/>
    <w:locked/>
    <w:uiPriority w:val="99"/>
    <w:rPr>
      <w:rFonts w:ascii="Times New Roman" w:hAnsi="Times New Roman" w:eastAsia="宋体"/>
      <w:sz w:val="24"/>
    </w:rPr>
  </w:style>
  <w:style w:type="paragraph" w:customStyle="1" w:styleId="165">
    <w:name w:val="Char Char Char Char"/>
    <w:basedOn w:val="1"/>
    <w:qFormat/>
    <w:uiPriority w:val="99"/>
    <w:pPr>
      <w:widowControl/>
      <w:spacing w:after="160" w:line="240" w:lineRule="exact"/>
      <w:jc w:val="left"/>
    </w:pPr>
    <w:rPr>
      <w:szCs w:val="20"/>
    </w:rPr>
  </w:style>
  <w:style w:type="paragraph" w:styleId="166">
    <w:name w:val="List Paragraph"/>
    <w:basedOn w:val="1"/>
    <w:qFormat/>
    <w:uiPriority w:val="0"/>
    <w:pPr>
      <w:ind w:firstLine="420" w:firstLineChars="200"/>
    </w:pPr>
  </w:style>
  <w:style w:type="paragraph" w:customStyle="1" w:styleId="167">
    <w:name w:val="p17"/>
    <w:basedOn w:val="1"/>
    <w:qFormat/>
    <w:uiPriority w:val="99"/>
    <w:pPr>
      <w:widowControl/>
    </w:pPr>
    <w:rPr>
      <w:kern w:val="0"/>
      <w:szCs w:val="21"/>
    </w:rPr>
  </w:style>
  <w:style w:type="character" w:customStyle="1" w:styleId="168">
    <w:name w:val="H4 Char2"/>
    <w:qFormat/>
    <w:uiPriority w:val="99"/>
    <w:rPr>
      <w:b/>
      <w:sz w:val="28"/>
    </w:rPr>
  </w:style>
  <w:style w:type="character" w:customStyle="1" w:styleId="169">
    <w:name w:val="Char Char2"/>
    <w:qFormat/>
    <w:uiPriority w:val="99"/>
    <w:rPr>
      <w:rFonts w:eastAsia="宋体"/>
      <w:kern w:val="2"/>
      <w:sz w:val="24"/>
      <w:lang w:val="en-US" w:eastAsia="zh-CN"/>
    </w:rPr>
  </w:style>
  <w:style w:type="paragraph" w:customStyle="1" w:styleId="170">
    <w:name w:val="Char13"/>
    <w:basedOn w:val="1"/>
    <w:qFormat/>
    <w:uiPriority w:val="99"/>
    <w:rPr>
      <w:rFonts w:ascii="Tahoma" w:hAnsi="Tahoma"/>
      <w:sz w:val="24"/>
      <w:szCs w:val="20"/>
    </w:rPr>
  </w:style>
  <w:style w:type="character" w:customStyle="1" w:styleId="171">
    <w:name w:val="Char Char12"/>
    <w:qFormat/>
    <w:uiPriority w:val="99"/>
    <w:rPr>
      <w:rFonts w:eastAsia="宋体"/>
      <w:kern w:val="2"/>
      <w:sz w:val="24"/>
      <w:lang w:val="en-US" w:eastAsia="zh-CN"/>
    </w:rPr>
  </w:style>
  <w:style w:type="paragraph" w:customStyle="1" w:styleId="172">
    <w:name w:val="Char Char Char Char3"/>
    <w:basedOn w:val="1"/>
    <w:qFormat/>
    <w:uiPriority w:val="99"/>
    <w:pPr>
      <w:widowControl/>
      <w:spacing w:after="160" w:line="240" w:lineRule="exact"/>
      <w:jc w:val="left"/>
    </w:pPr>
    <w:rPr>
      <w:szCs w:val="20"/>
    </w:rPr>
  </w:style>
  <w:style w:type="paragraph" w:customStyle="1" w:styleId="173">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74">
    <w:name w:val="font6"/>
    <w:basedOn w:val="1"/>
    <w:qFormat/>
    <w:uiPriority w:val="0"/>
    <w:pPr>
      <w:widowControl/>
      <w:spacing w:before="100" w:beforeAutospacing="1" w:after="100" w:afterAutospacing="1"/>
      <w:jc w:val="left"/>
    </w:pPr>
    <w:rPr>
      <w:rFonts w:ascii="宋体" w:hAnsi="宋体" w:cs="宋体"/>
      <w:kern w:val="0"/>
      <w:sz w:val="24"/>
    </w:rPr>
  </w:style>
  <w:style w:type="paragraph" w:customStyle="1" w:styleId="175">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6">
    <w:name w:val="xl65"/>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17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7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79">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80">
    <w:name w:val="xl69"/>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81">
    <w:name w:val="xl7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8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83">
    <w:name w:val="xl72"/>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84">
    <w:name w:val="xl73"/>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85">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86">
    <w:name w:val="章标题"/>
    <w:next w:val="1"/>
    <w:link w:val="193"/>
    <w:qFormat/>
    <w:uiPriority w:val="0"/>
    <w:pPr>
      <w:numPr>
        <w:ilvl w:val="1"/>
        <w:numId w:val="2"/>
      </w:numPr>
      <w:spacing w:beforeLines="50" w:afterLines="50"/>
      <w:jc w:val="both"/>
      <w:outlineLvl w:val="1"/>
    </w:pPr>
    <w:rPr>
      <w:rFonts w:ascii="黑体" w:hAnsi="Times New Roman" w:eastAsia="黑体" w:cs="Times New Roman"/>
      <w:kern w:val="2"/>
      <w:sz w:val="22"/>
      <w:szCs w:val="22"/>
      <w:lang w:val="en-US" w:eastAsia="zh-CN" w:bidi="ar-SA"/>
    </w:rPr>
  </w:style>
  <w:style w:type="paragraph" w:customStyle="1" w:styleId="187">
    <w:name w:val="一级条标题"/>
    <w:basedOn w:val="186"/>
    <w:next w:val="1"/>
    <w:link w:val="194"/>
    <w:qFormat/>
    <w:uiPriority w:val="0"/>
    <w:pPr>
      <w:numPr>
        <w:ilvl w:val="2"/>
      </w:numPr>
      <w:spacing w:beforeLines="0" w:afterLines="0"/>
      <w:outlineLvl w:val="2"/>
    </w:pPr>
  </w:style>
  <w:style w:type="paragraph" w:customStyle="1" w:styleId="188">
    <w:name w:val="二级条标题"/>
    <w:basedOn w:val="187"/>
    <w:next w:val="1"/>
    <w:link w:val="195"/>
    <w:qFormat/>
    <w:uiPriority w:val="0"/>
    <w:pPr>
      <w:numPr>
        <w:ilvl w:val="3"/>
      </w:numPr>
      <w:outlineLvl w:val="3"/>
    </w:pPr>
  </w:style>
  <w:style w:type="paragraph" w:customStyle="1" w:styleId="189">
    <w:name w:val="列项——"/>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190">
    <w:name w:val="三级条标题"/>
    <w:basedOn w:val="188"/>
    <w:next w:val="1"/>
    <w:qFormat/>
    <w:uiPriority w:val="0"/>
    <w:pPr>
      <w:numPr>
        <w:ilvl w:val="4"/>
      </w:numPr>
      <w:tabs>
        <w:tab w:val="left" w:pos="2100"/>
      </w:tabs>
      <w:ind w:left="2100" w:hanging="420"/>
      <w:outlineLvl w:val="4"/>
    </w:pPr>
  </w:style>
  <w:style w:type="paragraph" w:customStyle="1" w:styleId="191">
    <w:name w:val="四级条标题"/>
    <w:basedOn w:val="190"/>
    <w:next w:val="1"/>
    <w:qFormat/>
    <w:uiPriority w:val="0"/>
    <w:pPr>
      <w:numPr>
        <w:ilvl w:val="5"/>
      </w:numPr>
      <w:tabs>
        <w:tab w:val="left" w:pos="2520"/>
      </w:tabs>
      <w:ind w:left="2520"/>
      <w:outlineLvl w:val="5"/>
    </w:pPr>
  </w:style>
  <w:style w:type="paragraph" w:customStyle="1" w:styleId="192">
    <w:name w:val="五级条标题"/>
    <w:basedOn w:val="191"/>
    <w:next w:val="1"/>
    <w:qFormat/>
    <w:uiPriority w:val="0"/>
    <w:pPr>
      <w:numPr>
        <w:ilvl w:val="6"/>
      </w:numPr>
      <w:tabs>
        <w:tab w:val="left" w:pos="2940"/>
      </w:tabs>
      <w:ind w:left="2940"/>
      <w:outlineLvl w:val="6"/>
    </w:pPr>
  </w:style>
  <w:style w:type="character" w:customStyle="1" w:styleId="193">
    <w:name w:val="章标题 Char"/>
    <w:link w:val="186"/>
    <w:qFormat/>
    <w:locked/>
    <w:uiPriority w:val="0"/>
    <w:rPr>
      <w:rFonts w:ascii="黑体" w:hAnsi="Times New Roman" w:eastAsia="黑体"/>
      <w:kern w:val="2"/>
      <w:sz w:val="22"/>
      <w:lang w:val="en-US" w:eastAsia="zh-CN"/>
    </w:rPr>
  </w:style>
  <w:style w:type="character" w:customStyle="1" w:styleId="194">
    <w:name w:val="一级条标题 Char"/>
    <w:link w:val="187"/>
    <w:qFormat/>
    <w:locked/>
    <w:uiPriority w:val="0"/>
    <w:rPr>
      <w:rFonts w:ascii="黑体" w:hAnsi="Times New Roman" w:eastAsia="黑体"/>
      <w:kern w:val="0"/>
      <w:sz w:val="20"/>
    </w:rPr>
  </w:style>
  <w:style w:type="character" w:customStyle="1" w:styleId="195">
    <w:name w:val="二级条标题 Char"/>
    <w:link w:val="188"/>
    <w:qFormat/>
    <w:locked/>
    <w:uiPriority w:val="0"/>
    <w:rPr>
      <w:rFonts w:ascii="黑体" w:hAnsi="Times New Roman" w:eastAsia="黑体"/>
      <w:kern w:val="0"/>
      <w:sz w:val="20"/>
    </w:rPr>
  </w:style>
  <w:style w:type="paragraph" w:customStyle="1" w:styleId="196">
    <w:name w:val="列出段落1"/>
    <w:basedOn w:val="1"/>
    <w:qFormat/>
    <w:uiPriority w:val="0"/>
    <w:pPr>
      <w:widowControl/>
      <w:ind w:firstLine="420" w:firstLineChars="200"/>
      <w:jc w:val="left"/>
    </w:pPr>
    <w:rPr>
      <w:szCs w:val="21"/>
    </w:rPr>
  </w:style>
  <w:style w:type="paragraph" w:customStyle="1" w:styleId="197">
    <w:name w:val="修订11"/>
    <w:hidden/>
    <w:semiHidden/>
    <w:qFormat/>
    <w:uiPriority w:val="99"/>
    <w:rPr>
      <w:rFonts w:ascii="Times New Roman" w:hAnsi="Times New Roman" w:eastAsia="宋体" w:cs="Times New Roman"/>
      <w:kern w:val="2"/>
      <w:sz w:val="21"/>
      <w:szCs w:val="24"/>
      <w:lang w:val="en-US" w:eastAsia="zh-CN" w:bidi="ar-SA"/>
    </w:rPr>
  </w:style>
  <w:style w:type="paragraph" w:customStyle="1" w:styleId="198">
    <w:name w:val="TOC 标题11"/>
    <w:basedOn w:val="2"/>
    <w:next w:val="1"/>
    <w:qFormat/>
    <w:uiPriority w:val="99"/>
    <w:pPr>
      <w:keepLines/>
      <w:widowControl w:val="0"/>
      <w:spacing w:before="340" w:after="330" w:line="578" w:lineRule="auto"/>
      <w:jc w:val="both"/>
      <w:outlineLvl w:val="9"/>
    </w:pPr>
    <w:rPr>
      <w:rFonts w:ascii="Times New Roman" w:eastAsia="宋体"/>
      <w:b/>
      <w:bCs/>
      <w:kern w:val="44"/>
      <w:sz w:val="44"/>
      <w:szCs w:val="44"/>
    </w:rPr>
  </w:style>
  <w:style w:type="paragraph" w:customStyle="1" w:styleId="199">
    <w:name w:val="列出段落2"/>
    <w:basedOn w:val="1"/>
    <w:qFormat/>
    <w:uiPriority w:val="99"/>
    <w:pPr>
      <w:ind w:firstLine="420" w:firstLineChars="200"/>
    </w:pPr>
  </w:style>
  <w:style w:type="paragraph" w:customStyle="1" w:styleId="200">
    <w:name w:val="reader-word-layer reader-word-s2-5"/>
    <w:basedOn w:val="1"/>
    <w:qFormat/>
    <w:uiPriority w:val="0"/>
    <w:pPr>
      <w:widowControl/>
      <w:spacing w:before="100" w:beforeAutospacing="1" w:after="100" w:afterAutospacing="1"/>
      <w:jc w:val="left"/>
    </w:pPr>
    <w:rPr>
      <w:rFonts w:ascii="宋体" w:hAnsi="宋体" w:cs="宋体"/>
      <w:kern w:val="0"/>
      <w:sz w:val="24"/>
    </w:rPr>
  </w:style>
  <w:style w:type="character" w:customStyle="1" w:styleId="201">
    <w:name w:val="未处理的提及"/>
    <w:qFormat/>
    <w:uiPriority w:val="99"/>
    <w:rPr>
      <w:color w:val="605E5C"/>
      <w:shd w:val="clear" w:color="auto" w:fill="E1DFDD"/>
    </w:rPr>
  </w:style>
  <w:style w:type="character" w:customStyle="1" w:styleId="202">
    <w:name w:val="Char Char11"/>
    <w:qFormat/>
    <w:uiPriority w:val="99"/>
    <w:rPr>
      <w:rFonts w:eastAsia="宋体"/>
      <w:kern w:val="2"/>
      <w:sz w:val="24"/>
      <w:lang w:val="en-US" w:eastAsia="zh-CN"/>
    </w:rPr>
  </w:style>
  <w:style w:type="character" w:customStyle="1" w:styleId="203">
    <w:name w:val="正文文本 Char1"/>
    <w:qFormat/>
    <w:uiPriority w:val="0"/>
    <w:rPr>
      <w:rFonts w:ascii="Times New Roman" w:hAnsi="Times New Roman" w:eastAsia="宋体"/>
      <w:sz w:val="24"/>
    </w:rPr>
  </w:style>
  <w:style w:type="paragraph" w:customStyle="1" w:styleId="204">
    <w:name w:val="样式"/>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5">
    <w:name w:val="Char11"/>
    <w:basedOn w:val="1"/>
    <w:qFormat/>
    <w:uiPriority w:val="99"/>
    <w:rPr>
      <w:rFonts w:ascii="Tahoma" w:hAnsi="Tahoma"/>
      <w:sz w:val="24"/>
      <w:szCs w:val="20"/>
    </w:rPr>
  </w:style>
  <w:style w:type="paragraph" w:customStyle="1" w:styleId="206">
    <w:name w:val="Char Char Char Char1"/>
    <w:basedOn w:val="1"/>
    <w:qFormat/>
    <w:uiPriority w:val="99"/>
    <w:pPr>
      <w:widowControl/>
      <w:spacing w:after="160" w:line="240" w:lineRule="exact"/>
      <w:jc w:val="left"/>
    </w:pPr>
    <w:rPr>
      <w:szCs w:val="20"/>
    </w:rPr>
  </w:style>
  <w:style w:type="paragraph" w:customStyle="1" w:styleId="207">
    <w:name w:val="Normal_0"/>
    <w:qFormat/>
    <w:uiPriority w:val="99"/>
    <w:pPr>
      <w:spacing w:before="120" w:after="240"/>
      <w:jc w:val="both"/>
    </w:pPr>
    <w:rPr>
      <w:rFonts w:ascii="Calibri" w:hAnsi="Calibri" w:eastAsia="宋体" w:cs="Times New Roman"/>
      <w:sz w:val="22"/>
      <w:szCs w:val="22"/>
      <w:lang w:val="ru-RU" w:eastAsia="en-US" w:bidi="ar-SA"/>
    </w:rPr>
  </w:style>
  <w:style w:type="paragraph" w:customStyle="1" w:styleId="208">
    <w:name w:val="_Style 29"/>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9">
    <w:name w:val="Char Char Char Char11"/>
    <w:basedOn w:val="1"/>
    <w:qFormat/>
    <w:uiPriority w:val="99"/>
    <w:pPr>
      <w:widowControl/>
      <w:spacing w:after="160" w:line="240" w:lineRule="exact"/>
      <w:jc w:val="left"/>
    </w:pPr>
    <w:rPr>
      <w:szCs w:val="20"/>
    </w:rPr>
  </w:style>
  <w:style w:type="paragraph" w:customStyle="1" w:styleId="210">
    <w:name w:val="Char12"/>
    <w:basedOn w:val="1"/>
    <w:qFormat/>
    <w:uiPriority w:val="99"/>
    <w:rPr>
      <w:rFonts w:ascii="Tahoma" w:hAnsi="Tahoma"/>
      <w:sz w:val="24"/>
      <w:szCs w:val="20"/>
    </w:rPr>
  </w:style>
  <w:style w:type="paragraph" w:customStyle="1" w:styleId="211">
    <w:name w:val="Char111"/>
    <w:basedOn w:val="1"/>
    <w:qFormat/>
    <w:uiPriority w:val="99"/>
    <w:rPr>
      <w:rFonts w:ascii="Tahoma" w:hAnsi="Tahoma"/>
      <w:sz w:val="24"/>
      <w:szCs w:val="20"/>
    </w:rPr>
  </w:style>
  <w:style w:type="paragraph" w:customStyle="1" w:styleId="212">
    <w:name w:val="访问过的超链接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13">
    <w:name w:val="Char Char Char Char2"/>
    <w:basedOn w:val="1"/>
    <w:qFormat/>
    <w:uiPriority w:val="99"/>
    <w:pPr>
      <w:widowControl/>
      <w:spacing w:after="160" w:line="240" w:lineRule="exact"/>
      <w:jc w:val="left"/>
    </w:pPr>
    <w:rPr>
      <w:szCs w:val="20"/>
    </w:rPr>
  </w:style>
  <w:style w:type="character" w:customStyle="1" w:styleId="214">
    <w:name w:val="Char4"/>
    <w:qFormat/>
    <w:uiPriority w:val="0"/>
    <w:rPr>
      <w:rFonts w:ascii="Arial" w:hAnsi="Arial" w:eastAsia="黑体"/>
      <w:b/>
      <w:bCs/>
      <w:kern w:val="2"/>
      <w:sz w:val="32"/>
      <w:szCs w:val="32"/>
      <w:lang w:val="en-US" w:eastAsia="zh-CN" w:bidi="ar-SA"/>
    </w:rPr>
  </w:style>
  <w:style w:type="character" w:customStyle="1" w:styleId="215">
    <w:name w:val="Char Char4"/>
    <w:qFormat/>
    <w:uiPriority w:val="0"/>
    <w:rPr>
      <w:rFonts w:eastAsia="宋体"/>
      <w:kern w:val="2"/>
      <w:sz w:val="24"/>
      <w:lang w:val="en-US" w:eastAsia="zh-CN" w:bidi="ar-SA"/>
    </w:rPr>
  </w:style>
  <w:style w:type="paragraph" w:customStyle="1" w:styleId="216">
    <w:name w:val="Char15"/>
    <w:basedOn w:val="1"/>
    <w:qFormat/>
    <w:uiPriority w:val="99"/>
    <w:rPr>
      <w:rFonts w:ascii="Tahoma" w:hAnsi="Tahoma"/>
      <w:sz w:val="24"/>
      <w:szCs w:val="20"/>
    </w:rPr>
  </w:style>
  <w:style w:type="character" w:customStyle="1" w:styleId="217">
    <w:name w:val="Char Char14"/>
    <w:qFormat/>
    <w:uiPriority w:val="99"/>
    <w:rPr>
      <w:rFonts w:eastAsia="宋体"/>
      <w:kern w:val="2"/>
      <w:sz w:val="24"/>
      <w:lang w:val="en-US" w:eastAsia="zh-CN" w:bidi="ar-SA"/>
    </w:rPr>
  </w:style>
  <w:style w:type="paragraph" w:customStyle="1" w:styleId="218">
    <w:name w:val="Char Char Char Char5"/>
    <w:basedOn w:val="1"/>
    <w:qFormat/>
    <w:uiPriority w:val="99"/>
    <w:pPr>
      <w:widowControl/>
      <w:spacing w:after="160" w:line="240" w:lineRule="exact"/>
      <w:jc w:val="left"/>
    </w:pPr>
    <w:rPr>
      <w:szCs w:val="20"/>
    </w:rPr>
  </w:style>
  <w:style w:type="paragraph" w:customStyle="1" w:styleId="219">
    <w:name w:val="修订2"/>
    <w:hidden/>
    <w:semiHidden/>
    <w:qFormat/>
    <w:uiPriority w:val="0"/>
    <w:rPr>
      <w:rFonts w:ascii="Times New Roman" w:hAnsi="Times New Roman" w:eastAsia="宋体" w:cs="Times New Roman"/>
      <w:kern w:val="2"/>
      <w:sz w:val="21"/>
      <w:szCs w:val="24"/>
      <w:lang w:val="en-US" w:eastAsia="zh-CN" w:bidi="ar-SA"/>
    </w:rPr>
  </w:style>
  <w:style w:type="paragraph" w:customStyle="1" w:styleId="220">
    <w:name w:val="TOC 标题2"/>
    <w:basedOn w:val="2"/>
    <w:next w:val="1"/>
    <w:qFormat/>
    <w:uiPriority w:val="0"/>
    <w:pPr>
      <w:keepLines/>
      <w:widowControl w:val="0"/>
      <w:spacing w:before="340" w:after="330" w:line="578" w:lineRule="auto"/>
      <w:jc w:val="both"/>
      <w:outlineLvl w:val="9"/>
    </w:pPr>
    <w:rPr>
      <w:rFonts w:ascii="Times New Roman" w:eastAsia="宋体"/>
      <w:b/>
      <w:bCs/>
      <w:kern w:val="44"/>
      <w:sz w:val="44"/>
      <w:szCs w:val="44"/>
    </w:rPr>
  </w:style>
  <w:style w:type="paragraph" w:customStyle="1" w:styleId="221">
    <w:name w:val="列出段落3"/>
    <w:basedOn w:val="1"/>
    <w:qFormat/>
    <w:uiPriority w:val="0"/>
    <w:pPr>
      <w:ind w:firstLine="420" w:firstLineChars="200"/>
    </w:pPr>
  </w:style>
  <w:style w:type="character" w:customStyle="1" w:styleId="222">
    <w:name w:val="页脚 Char1"/>
    <w:semiHidden/>
    <w:qFormat/>
    <w:uiPriority w:val="99"/>
    <w:rPr>
      <w:rFonts w:hint="default" w:ascii="Times New Roman" w:hAnsi="Times New Roman" w:cs="Times New Roman"/>
      <w:kern w:val="2"/>
      <w:sz w:val="18"/>
      <w:szCs w:val="18"/>
    </w:rPr>
  </w:style>
  <w:style w:type="character" w:customStyle="1" w:styleId="223">
    <w:name w:val="纯文本 Char1"/>
    <w:semiHidden/>
    <w:qFormat/>
    <w:uiPriority w:val="99"/>
    <w:rPr>
      <w:rFonts w:hint="eastAsia" w:ascii="宋体" w:hAnsi="Courier New" w:eastAsia="宋体" w:cs="Courier New"/>
      <w:kern w:val="2"/>
      <w:sz w:val="21"/>
      <w:szCs w:val="21"/>
    </w:rPr>
  </w:style>
  <w:style w:type="character" w:customStyle="1" w:styleId="224">
    <w:name w:val="批注框文本 Char1"/>
    <w:qFormat/>
    <w:uiPriority w:val="0"/>
    <w:rPr>
      <w:rFonts w:hint="default" w:ascii="Times New Roman" w:hAnsi="Times New Roman" w:cs="Times New Roman"/>
      <w:kern w:val="2"/>
      <w:sz w:val="18"/>
      <w:szCs w:val="18"/>
    </w:rPr>
  </w:style>
  <w:style w:type="character" w:customStyle="1" w:styleId="225">
    <w:name w:val="日期 Char1"/>
    <w:qFormat/>
    <w:uiPriority w:val="0"/>
    <w:rPr>
      <w:rFonts w:hint="default" w:ascii="Times New Roman" w:hAnsi="Times New Roman" w:cs="Times New Roman"/>
      <w:kern w:val="2"/>
      <w:sz w:val="21"/>
      <w:szCs w:val="24"/>
    </w:rPr>
  </w:style>
  <w:style w:type="character" w:customStyle="1" w:styleId="226">
    <w:name w:val="正文文本 3 Char1"/>
    <w:semiHidden/>
    <w:qFormat/>
    <w:uiPriority w:val="99"/>
    <w:rPr>
      <w:rFonts w:hint="default" w:ascii="Times New Roman" w:hAnsi="Times New Roman" w:cs="Times New Roman"/>
      <w:kern w:val="2"/>
      <w:sz w:val="16"/>
      <w:szCs w:val="16"/>
    </w:rPr>
  </w:style>
  <w:style w:type="character" w:customStyle="1" w:styleId="227">
    <w:name w:val="正文文本缩进 Char2"/>
    <w:semiHidden/>
    <w:qFormat/>
    <w:uiPriority w:val="99"/>
    <w:rPr>
      <w:rFonts w:hint="default" w:ascii="Times New Roman" w:hAnsi="Times New Roman" w:cs="Times New Roman"/>
      <w:kern w:val="2"/>
      <w:sz w:val="21"/>
      <w:szCs w:val="24"/>
    </w:rPr>
  </w:style>
  <w:style w:type="character" w:customStyle="1" w:styleId="228">
    <w:name w:val="批注主题 Char1"/>
    <w:qFormat/>
    <w:uiPriority w:val="0"/>
    <w:rPr>
      <w:b/>
      <w:bCs/>
      <w:kern w:val="2"/>
      <w:sz w:val="21"/>
      <w:szCs w:val="24"/>
    </w:rPr>
  </w:style>
  <w:style w:type="character" w:customStyle="1" w:styleId="229">
    <w:name w:val="页眉 Char1"/>
    <w:semiHidden/>
    <w:qFormat/>
    <w:uiPriority w:val="99"/>
    <w:rPr>
      <w:rFonts w:hint="default" w:ascii="Times New Roman" w:hAnsi="Times New Roman" w:cs="Times New Roman"/>
      <w:kern w:val="2"/>
      <w:sz w:val="18"/>
      <w:szCs w:val="18"/>
    </w:rPr>
  </w:style>
  <w:style w:type="character" w:customStyle="1" w:styleId="230">
    <w:name w:val="标题 Char1"/>
    <w:qFormat/>
    <w:uiPriority w:val="10"/>
    <w:rPr>
      <w:rFonts w:hint="default" w:ascii="Cambria" w:hAnsi="Cambria" w:cs="Times New Roman"/>
      <w:b/>
      <w:bCs/>
      <w:kern w:val="2"/>
      <w:sz w:val="32"/>
      <w:szCs w:val="32"/>
    </w:rPr>
  </w:style>
  <w:style w:type="character" w:customStyle="1" w:styleId="231">
    <w:name w:val="正文文本缩进 3 Char1"/>
    <w:semiHidden/>
    <w:qFormat/>
    <w:uiPriority w:val="99"/>
    <w:rPr>
      <w:rFonts w:hint="default" w:ascii="Times New Roman" w:hAnsi="Times New Roman" w:cs="Times New Roman"/>
      <w:kern w:val="2"/>
      <w:sz w:val="16"/>
      <w:szCs w:val="16"/>
    </w:rPr>
  </w:style>
  <w:style w:type="character" w:customStyle="1" w:styleId="232">
    <w:name w:val="文档结构图 Char1"/>
    <w:qFormat/>
    <w:uiPriority w:val="0"/>
    <w:rPr>
      <w:rFonts w:hint="eastAsia" w:ascii="宋体" w:hAnsi="Times New Roman" w:eastAsia="宋体"/>
      <w:kern w:val="2"/>
      <w:sz w:val="18"/>
      <w:szCs w:val="18"/>
    </w:rPr>
  </w:style>
  <w:style w:type="character" w:customStyle="1" w:styleId="233">
    <w:name w:val="正文文本 2 Char1"/>
    <w:semiHidden/>
    <w:qFormat/>
    <w:uiPriority w:val="99"/>
    <w:rPr>
      <w:rFonts w:hint="default" w:ascii="Times New Roman" w:hAnsi="Times New Roman" w:cs="Times New Roman"/>
      <w:kern w:val="2"/>
      <w:sz w:val="21"/>
      <w:szCs w:val="24"/>
    </w:rPr>
  </w:style>
  <w:style w:type="character" w:customStyle="1" w:styleId="234">
    <w:name w:val="正文文本缩进 2 Char1"/>
    <w:semiHidden/>
    <w:qFormat/>
    <w:uiPriority w:val="99"/>
    <w:rPr>
      <w:rFonts w:hint="default" w:ascii="Times New Roman" w:hAnsi="Times New Roman" w:cs="Times New Roman"/>
      <w:kern w:val="2"/>
      <w:sz w:val="21"/>
      <w:szCs w:val="24"/>
    </w:rPr>
  </w:style>
  <w:style w:type="character" w:customStyle="1" w:styleId="235">
    <w:name w:val="正文文本 Char2"/>
    <w:semiHidden/>
    <w:qFormat/>
    <w:uiPriority w:val="99"/>
    <w:rPr>
      <w:rFonts w:hint="default" w:ascii="Times New Roman" w:hAnsi="Times New Roman" w:cs="Times New Roman"/>
      <w:kern w:val="2"/>
      <w:sz w:val="21"/>
      <w:szCs w:val="24"/>
    </w:rPr>
  </w:style>
  <w:style w:type="character" w:customStyle="1" w:styleId="236">
    <w:name w:val="副标题 Char"/>
    <w:basedOn w:val="51"/>
    <w:link w:val="37"/>
    <w:qFormat/>
    <w:uiPriority w:val="0"/>
    <w:rPr>
      <w:rFonts w:ascii="Cambria" w:hAnsi="Cambria"/>
      <w:b/>
      <w:bCs/>
      <w:kern w:val="28"/>
      <w:sz w:val="32"/>
      <w:szCs w:val="32"/>
    </w:rPr>
  </w:style>
  <w:style w:type="paragraph" w:customStyle="1" w:styleId="237">
    <w:name w:val="_Style 40"/>
    <w:basedOn w:val="2"/>
    <w:next w:val="1"/>
    <w:qFormat/>
    <w:uiPriority w:val="0"/>
    <w:pPr>
      <w:keepLines/>
      <w:widowControl w:val="0"/>
      <w:spacing w:before="340" w:after="330" w:line="576" w:lineRule="auto"/>
      <w:jc w:val="both"/>
      <w:outlineLvl w:val="9"/>
    </w:pPr>
    <w:rPr>
      <w:rFonts w:ascii="Times New Roman" w:eastAsia="宋体"/>
      <w:b/>
      <w:bCs/>
      <w:kern w:val="44"/>
      <w:sz w:val="44"/>
      <w:szCs w:val="44"/>
    </w:rPr>
  </w:style>
  <w:style w:type="paragraph" w:customStyle="1" w:styleId="238">
    <w:name w:val="普通(网站) Char"/>
    <w:basedOn w:val="1"/>
    <w:qFormat/>
    <w:uiPriority w:val="0"/>
    <w:pPr>
      <w:spacing w:before="100" w:beforeAutospacing="1" w:after="100" w:afterAutospacing="1" w:line="360" w:lineRule="auto"/>
      <w:jc w:val="left"/>
    </w:pPr>
    <w:rPr>
      <w:rFonts w:hint="eastAsia" w:ascii="宋体" w:hAnsi="宋体"/>
      <w:kern w:val="0"/>
      <w:sz w:val="24"/>
    </w:rPr>
  </w:style>
  <w:style w:type="paragraph" w:customStyle="1" w:styleId="239">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styleId="240">
    <w:name w:val="Quote"/>
    <w:basedOn w:val="1"/>
    <w:next w:val="1"/>
    <w:link w:val="241"/>
    <w:qFormat/>
    <w:uiPriority w:val="0"/>
    <w:rPr>
      <w:i/>
      <w:iCs/>
      <w:color w:val="000000"/>
      <w:szCs w:val="22"/>
    </w:rPr>
  </w:style>
  <w:style w:type="character" w:customStyle="1" w:styleId="241">
    <w:name w:val="引用 Char"/>
    <w:basedOn w:val="51"/>
    <w:link w:val="240"/>
    <w:qFormat/>
    <w:uiPriority w:val="0"/>
    <w:rPr>
      <w:rFonts w:ascii="Times New Roman" w:hAnsi="Times New Roman"/>
      <w:i/>
      <w:iCs/>
      <w:color w:val="000000"/>
    </w:rPr>
  </w:style>
  <w:style w:type="paragraph" w:customStyle="1" w:styleId="242">
    <w:name w:val="标题4"/>
    <w:basedOn w:val="3"/>
    <w:next w:val="25"/>
    <w:link w:val="253"/>
    <w:qFormat/>
    <w:uiPriority w:val="0"/>
    <w:pPr>
      <w:widowControl w:val="0"/>
      <w:adjustRightInd/>
      <w:snapToGrid/>
      <w:spacing w:before="260" w:after="260" w:line="413" w:lineRule="auto"/>
      <w:jc w:val="both"/>
    </w:pPr>
    <w:rPr>
      <w:rFonts w:ascii="Arial" w:hAnsi="Arial"/>
      <w:bCs/>
      <w:sz w:val="24"/>
    </w:rPr>
  </w:style>
  <w:style w:type="paragraph" w:styleId="243">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4">
    <w:name w:val="标题5"/>
    <w:basedOn w:val="5"/>
    <w:link w:val="257"/>
    <w:qFormat/>
    <w:uiPriority w:val="0"/>
    <w:pPr>
      <w:widowControl w:val="0"/>
      <w:adjustRightInd/>
      <w:snapToGrid/>
      <w:spacing w:before="260" w:after="260" w:line="413" w:lineRule="auto"/>
      <w:jc w:val="both"/>
    </w:pPr>
    <w:rPr>
      <w:rFonts w:ascii="Arial" w:hAnsi="Arial"/>
      <w:bCs/>
      <w:sz w:val="24"/>
      <w:szCs w:val="32"/>
    </w:rPr>
  </w:style>
  <w:style w:type="paragraph" w:customStyle="1" w:styleId="245">
    <w:name w:val="_Style 49"/>
    <w:qFormat/>
    <w:uiPriority w:val="0"/>
    <w:rPr>
      <w:rFonts w:ascii="Times New Roman" w:hAnsi="Times New Roman" w:eastAsia="宋体" w:cs="Times New Roman"/>
      <w:kern w:val="2"/>
      <w:sz w:val="21"/>
      <w:szCs w:val="24"/>
      <w:lang w:val="en-US" w:eastAsia="zh-CN" w:bidi="ar-SA"/>
    </w:rPr>
  </w:style>
  <w:style w:type="paragraph" w:styleId="246">
    <w:name w:val="Intense Quote"/>
    <w:basedOn w:val="1"/>
    <w:next w:val="1"/>
    <w:link w:val="247"/>
    <w:qFormat/>
    <w:uiPriority w:val="0"/>
    <w:pPr>
      <w:pBdr>
        <w:bottom w:val="single" w:color="4F81BD" w:sz="4" w:space="4"/>
      </w:pBdr>
      <w:spacing w:before="200" w:after="280"/>
      <w:ind w:left="936" w:right="936"/>
    </w:pPr>
    <w:rPr>
      <w:b/>
      <w:bCs/>
      <w:i/>
      <w:iCs/>
      <w:color w:val="4F81BD"/>
      <w:szCs w:val="22"/>
    </w:rPr>
  </w:style>
  <w:style w:type="character" w:customStyle="1" w:styleId="247">
    <w:name w:val="明显引用 Char"/>
    <w:basedOn w:val="51"/>
    <w:link w:val="246"/>
    <w:qFormat/>
    <w:uiPriority w:val="0"/>
    <w:rPr>
      <w:rFonts w:ascii="Times New Roman" w:hAnsi="Times New Roman"/>
      <w:b/>
      <w:bCs/>
      <w:i/>
      <w:iCs/>
      <w:color w:val="4F81BD"/>
    </w:rPr>
  </w:style>
  <w:style w:type="paragraph" w:customStyle="1" w:styleId="248">
    <w:name w:val="空半行"/>
    <w:basedOn w:val="1"/>
    <w:qFormat/>
    <w:uiPriority w:val="0"/>
    <w:pPr>
      <w:adjustRightInd w:val="0"/>
      <w:spacing w:line="120" w:lineRule="exact"/>
      <w:textAlignment w:val="baseline"/>
    </w:pPr>
    <w:rPr>
      <w:rFonts w:eastAsia="仿宋_GB2312"/>
      <w:color w:val="FFFFFF"/>
      <w:kern w:val="0"/>
      <w:sz w:val="30"/>
      <w:szCs w:val="20"/>
    </w:rPr>
  </w:style>
  <w:style w:type="character" w:customStyle="1" w:styleId="249">
    <w:name w:val="_Style 53"/>
    <w:qFormat/>
    <w:uiPriority w:val="0"/>
    <w:rPr>
      <w:b/>
      <w:bCs/>
      <w:smallCaps/>
      <w:color w:val="C0504D"/>
      <w:spacing w:val="5"/>
      <w:u w:val="single"/>
    </w:rPr>
  </w:style>
  <w:style w:type="character" w:customStyle="1" w:styleId="250">
    <w:name w:val="_Style 56"/>
    <w:qFormat/>
    <w:uiPriority w:val="0"/>
    <w:rPr>
      <w:i/>
      <w:iCs/>
      <w:color w:val="808080"/>
    </w:rPr>
  </w:style>
  <w:style w:type="character" w:customStyle="1" w:styleId="251">
    <w:name w:val="_Style 58"/>
    <w:qFormat/>
    <w:uiPriority w:val="0"/>
    <w:rPr>
      <w:b/>
      <w:bCs/>
      <w:smallCaps/>
      <w:spacing w:val="5"/>
    </w:rPr>
  </w:style>
  <w:style w:type="character" w:customStyle="1" w:styleId="252">
    <w:name w:val="_Style 62"/>
    <w:qFormat/>
    <w:uiPriority w:val="0"/>
    <w:rPr>
      <w:b/>
      <w:bCs/>
      <w:i/>
      <w:iCs/>
      <w:color w:val="4F81BD"/>
    </w:rPr>
  </w:style>
  <w:style w:type="character" w:customStyle="1" w:styleId="253">
    <w:name w:val="标题4 Char Char"/>
    <w:link w:val="242"/>
    <w:qFormat/>
    <w:uiPriority w:val="0"/>
    <w:rPr>
      <w:rFonts w:ascii="Arial" w:hAnsi="Arial"/>
      <w:b/>
      <w:bCs/>
      <w:kern w:val="0"/>
      <w:sz w:val="24"/>
      <w:szCs w:val="32"/>
    </w:rPr>
  </w:style>
  <w:style w:type="character" w:customStyle="1" w:styleId="254">
    <w:name w:val="textcontents"/>
    <w:qFormat/>
    <w:uiPriority w:val="0"/>
    <w:rPr>
      <w:rFonts w:cs="Times New Roman"/>
    </w:rPr>
  </w:style>
  <w:style w:type="character" w:customStyle="1" w:styleId="255">
    <w:name w:val="_Style 84"/>
    <w:qFormat/>
    <w:uiPriority w:val="0"/>
    <w:rPr>
      <w:smallCaps/>
      <w:color w:val="C0504D"/>
      <w:u w:val="single"/>
    </w:rPr>
  </w:style>
  <w:style w:type="character" w:customStyle="1" w:styleId="256">
    <w:name w:val="批注文字 Char Char"/>
    <w:qFormat/>
    <w:uiPriority w:val="0"/>
    <w:rPr>
      <w:rFonts w:ascii="宋体" w:hAnsi="Times New Roman" w:eastAsia="宋体" w:cs="Times New Roman"/>
      <w:sz w:val="28"/>
      <w:szCs w:val="20"/>
    </w:rPr>
  </w:style>
  <w:style w:type="character" w:customStyle="1" w:styleId="257">
    <w:name w:val="标题5 Char Char"/>
    <w:link w:val="244"/>
    <w:qFormat/>
    <w:uiPriority w:val="0"/>
    <w:rPr>
      <w:rFonts w:ascii="Arial" w:hAnsi="Arial"/>
      <w:b/>
      <w:bCs/>
      <w:kern w:val="0"/>
      <w:sz w:val="24"/>
      <w:szCs w:val="32"/>
    </w:rPr>
  </w:style>
  <w:style w:type="paragraph" w:customStyle="1" w:styleId="258">
    <w:name w:val="WPSOffice手动目录 1"/>
    <w:qFormat/>
    <w:uiPriority w:val="0"/>
    <w:rPr>
      <w:rFonts w:ascii="Times New Roman" w:hAnsi="Times New Roman" w:eastAsia="宋体" w:cs="Times New Roman"/>
      <w:lang w:val="en-US" w:eastAsia="zh-CN" w:bidi="ar-SA"/>
    </w:rPr>
  </w:style>
  <w:style w:type="character" w:customStyle="1" w:styleId="259">
    <w:name w:val="Char3"/>
    <w:qFormat/>
    <w:uiPriority w:val="0"/>
    <w:rPr>
      <w:rFonts w:ascii="Arial" w:hAnsi="Arial" w:eastAsia="黑体"/>
      <w:b/>
      <w:bCs/>
      <w:kern w:val="2"/>
      <w:sz w:val="32"/>
      <w:szCs w:val="32"/>
      <w:lang w:val="en-US" w:eastAsia="zh-CN" w:bidi="ar-SA"/>
    </w:rPr>
  </w:style>
  <w:style w:type="character" w:customStyle="1" w:styleId="260">
    <w:name w:val="Char Char3"/>
    <w:qFormat/>
    <w:uiPriority w:val="0"/>
    <w:rPr>
      <w:rFonts w:eastAsia="宋体"/>
      <w:kern w:val="2"/>
      <w:sz w:val="24"/>
      <w:lang w:val="en-US" w:eastAsia="zh-CN" w:bidi="ar-SA"/>
    </w:rPr>
  </w:style>
  <w:style w:type="paragraph" w:customStyle="1" w:styleId="261">
    <w:name w:val="Char14"/>
    <w:basedOn w:val="1"/>
    <w:qFormat/>
    <w:uiPriority w:val="0"/>
    <w:rPr>
      <w:rFonts w:ascii="Tahoma" w:hAnsi="Tahoma"/>
      <w:sz w:val="24"/>
      <w:szCs w:val="20"/>
    </w:rPr>
  </w:style>
  <w:style w:type="character" w:customStyle="1" w:styleId="262">
    <w:name w:val="Char Char13"/>
    <w:qFormat/>
    <w:uiPriority w:val="0"/>
    <w:rPr>
      <w:rFonts w:eastAsia="宋体"/>
      <w:kern w:val="2"/>
      <w:sz w:val="24"/>
      <w:lang w:val="en-US" w:eastAsia="zh-CN" w:bidi="ar-SA"/>
    </w:rPr>
  </w:style>
  <w:style w:type="paragraph" w:customStyle="1" w:styleId="263">
    <w:name w:val="Char Char Char Char4"/>
    <w:basedOn w:val="1"/>
    <w:qFormat/>
    <w:uiPriority w:val="0"/>
    <w:pPr>
      <w:widowControl/>
      <w:spacing w:after="160" w:line="240" w:lineRule="exact"/>
      <w:jc w:val="left"/>
    </w:pPr>
    <w:rPr>
      <w:szCs w:val="20"/>
    </w:rPr>
  </w:style>
  <w:style w:type="paragraph" w:customStyle="1" w:styleId="264">
    <w:name w:val="修订3"/>
    <w:hidden/>
    <w:semiHidden/>
    <w:qFormat/>
    <w:uiPriority w:val="0"/>
    <w:rPr>
      <w:rFonts w:ascii="Times New Roman" w:hAnsi="Times New Roman" w:eastAsia="宋体" w:cs="Times New Roman"/>
      <w:kern w:val="2"/>
      <w:sz w:val="21"/>
      <w:szCs w:val="24"/>
      <w:lang w:val="en-US" w:eastAsia="zh-CN" w:bidi="ar-SA"/>
    </w:rPr>
  </w:style>
  <w:style w:type="paragraph" w:customStyle="1" w:styleId="265">
    <w:name w:val="TOC 标题3"/>
    <w:basedOn w:val="2"/>
    <w:next w:val="1"/>
    <w:qFormat/>
    <w:uiPriority w:val="0"/>
    <w:pPr>
      <w:keepLines/>
      <w:widowControl w:val="0"/>
      <w:spacing w:before="340" w:after="330" w:line="578" w:lineRule="auto"/>
      <w:jc w:val="both"/>
      <w:outlineLvl w:val="9"/>
    </w:pPr>
    <w:rPr>
      <w:rFonts w:ascii="Times New Roman" w:eastAsia="宋体"/>
      <w:b/>
      <w:bCs/>
      <w:kern w:val="44"/>
      <w:sz w:val="44"/>
      <w:szCs w:val="44"/>
    </w:rPr>
  </w:style>
  <w:style w:type="paragraph" w:customStyle="1" w:styleId="266">
    <w:name w:val="列出段落4"/>
    <w:basedOn w:val="1"/>
    <w:qFormat/>
    <w:uiPriority w:val="0"/>
    <w:pPr>
      <w:ind w:firstLine="420" w:firstLineChars="200"/>
    </w:pPr>
  </w:style>
  <w:style w:type="character" w:customStyle="1" w:styleId="267">
    <w:name w:val="不明显强调1"/>
    <w:qFormat/>
    <w:uiPriority w:val="0"/>
    <w:rPr>
      <w:i/>
      <w:iCs/>
      <w:color w:val="808080"/>
    </w:rPr>
  </w:style>
  <w:style w:type="character" w:customStyle="1" w:styleId="268">
    <w:name w:val="明显参考1"/>
    <w:qFormat/>
    <w:uiPriority w:val="0"/>
    <w:rPr>
      <w:b/>
      <w:bCs/>
      <w:smallCaps/>
      <w:color w:val="C0504D"/>
      <w:spacing w:val="5"/>
      <w:u w:val="single"/>
    </w:rPr>
  </w:style>
  <w:style w:type="character" w:customStyle="1" w:styleId="269">
    <w:name w:val="书籍标题1"/>
    <w:qFormat/>
    <w:uiPriority w:val="0"/>
    <w:rPr>
      <w:b/>
      <w:bCs/>
      <w:smallCaps/>
      <w:spacing w:val="5"/>
    </w:rPr>
  </w:style>
  <w:style w:type="character" w:customStyle="1" w:styleId="270">
    <w:name w:val="明显强调1"/>
    <w:qFormat/>
    <w:uiPriority w:val="0"/>
    <w:rPr>
      <w:b/>
      <w:bCs/>
      <w:i/>
      <w:iCs/>
      <w:color w:val="4F81BD"/>
    </w:rPr>
  </w:style>
  <w:style w:type="character" w:customStyle="1" w:styleId="271">
    <w:name w:val="不明显参考1"/>
    <w:qFormat/>
    <w:uiPriority w:val="0"/>
    <w:rPr>
      <w:smallCaps/>
      <w:color w:val="C0504D"/>
      <w:u w:val="single"/>
    </w:rPr>
  </w:style>
  <w:style w:type="character" w:customStyle="1" w:styleId="272">
    <w:name w:val="Char5"/>
    <w:qFormat/>
    <w:uiPriority w:val="0"/>
    <w:rPr>
      <w:rFonts w:ascii="Arial" w:hAnsi="Arial" w:eastAsia="黑体"/>
      <w:b/>
      <w:bCs/>
      <w:kern w:val="2"/>
      <w:sz w:val="32"/>
      <w:szCs w:val="32"/>
      <w:lang w:val="en-US" w:eastAsia="zh-CN" w:bidi="ar-SA"/>
    </w:rPr>
  </w:style>
  <w:style w:type="character" w:customStyle="1" w:styleId="273">
    <w:name w:val="Char Char5"/>
    <w:qFormat/>
    <w:uiPriority w:val="0"/>
    <w:rPr>
      <w:rFonts w:eastAsia="宋体"/>
      <w:kern w:val="2"/>
      <w:sz w:val="24"/>
      <w:lang w:val="en-US" w:eastAsia="zh-CN" w:bidi="ar-SA"/>
    </w:rPr>
  </w:style>
  <w:style w:type="paragraph" w:customStyle="1" w:styleId="274">
    <w:name w:val="Char16"/>
    <w:basedOn w:val="1"/>
    <w:qFormat/>
    <w:uiPriority w:val="99"/>
    <w:rPr>
      <w:rFonts w:ascii="Tahoma" w:hAnsi="Tahoma"/>
      <w:sz w:val="24"/>
      <w:szCs w:val="20"/>
    </w:rPr>
  </w:style>
  <w:style w:type="character" w:customStyle="1" w:styleId="275">
    <w:name w:val="Char Char15"/>
    <w:qFormat/>
    <w:uiPriority w:val="99"/>
    <w:rPr>
      <w:rFonts w:eastAsia="宋体"/>
      <w:kern w:val="2"/>
      <w:sz w:val="24"/>
      <w:lang w:val="en-US" w:eastAsia="zh-CN" w:bidi="ar-SA"/>
    </w:rPr>
  </w:style>
  <w:style w:type="paragraph" w:customStyle="1" w:styleId="276">
    <w:name w:val="Char Char Char Char6"/>
    <w:basedOn w:val="1"/>
    <w:qFormat/>
    <w:uiPriority w:val="99"/>
    <w:pPr>
      <w:widowControl/>
      <w:spacing w:after="160" w:line="240" w:lineRule="exact"/>
      <w:jc w:val="left"/>
    </w:pPr>
    <w:rPr>
      <w:szCs w:val="20"/>
    </w:rPr>
  </w:style>
  <w:style w:type="paragraph" w:customStyle="1" w:styleId="277">
    <w:name w:val="修订4"/>
    <w:semiHidden/>
    <w:qFormat/>
    <w:uiPriority w:val="0"/>
    <w:rPr>
      <w:rFonts w:ascii="Times New Roman" w:hAnsi="Times New Roman" w:eastAsia="宋体" w:cs="Times New Roman"/>
      <w:kern w:val="2"/>
      <w:sz w:val="21"/>
      <w:szCs w:val="24"/>
      <w:lang w:val="en-US" w:eastAsia="zh-CN" w:bidi="ar-SA"/>
    </w:rPr>
  </w:style>
  <w:style w:type="paragraph" w:customStyle="1" w:styleId="278">
    <w:name w:val="TOC 标题4"/>
    <w:basedOn w:val="2"/>
    <w:next w:val="1"/>
    <w:qFormat/>
    <w:uiPriority w:val="0"/>
    <w:pPr>
      <w:keepLines/>
      <w:widowControl w:val="0"/>
      <w:spacing w:before="340" w:after="330" w:line="578" w:lineRule="auto"/>
      <w:jc w:val="both"/>
      <w:outlineLvl w:val="9"/>
    </w:pPr>
    <w:rPr>
      <w:rFonts w:ascii="Times New Roman" w:eastAsia="宋体"/>
      <w:b/>
      <w:bCs/>
      <w:kern w:val="44"/>
      <w:sz w:val="44"/>
      <w:szCs w:val="44"/>
    </w:rPr>
  </w:style>
  <w:style w:type="paragraph" w:customStyle="1" w:styleId="279">
    <w:name w:val="列出段落5"/>
    <w:basedOn w:val="1"/>
    <w:qFormat/>
    <w:uiPriority w:val="0"/>
    <w:pPr>
      <w:ind w:firstLine="420" w:firstLineChars="200"/>
    </w:pPr>
  </w:style>
  <w:style w:type="paragraph" w:customStyle="1" w:styleId="280">
    <w:name w:val="Table Paragraph"/>
    <w:basedOn w:val="1"/>
    <w:qFormat/>
    <w:uiPriority w:val="1"/>
    <w:pPr>
      <w:jc w:val="left"/>
    </w:pPr>
    <w:rPr>
      <w:rFonts w:ascii="Calibri" w:hAnsi="Calibri"/>
      <w:kern w:val="0"/>
      <w:sz w:val="22"/>
      <w:szCs w:val="22"/>
      <w:lang w:eastAsia="en-US"/>
    </w:rPr>
  </w:style>
  <w:style w:type="character" w:customStyle="1" w:styleId="281">
    <w:name w:val="Char6"/>
    <w:qFormat/>
    <w:uiPriority w:val="0"/>
    <w:rPr>
      <w:rFonts w:ascii="Arial" w:hAnsi="Arial" w:eastAsia="黑体"/>
      <w:b/>
      <w:bCs/>
      <w:kern w:val="2"/>
      <w:sz w:val="32"/>
      <w:szCs w:val="32"/>
      <w:lang w:val="en-US" w:eastAsia="zh-CN" w:bidi="ar-SA"/>
    </w:rPr>
  </w:style>
  <w:style w:type="character" w:customStyle="1" w:styleId="282">
    <w:name w:val="Char Char6"/>
    <w:qFormat/>
    <w:uiPriority w:val="0"/>
    <w:rPr>
      <w:rFonts w:eastAsia="宋体"/>
      <w:kern w:val="2"/>
      <w:sz w:val="24"/>
      <w:lang w:val="en-US" w:eastAsia="zh-CN" w:bidi="ar-SA"/>
    </w:rPr>
  </w:style>
  <w:style w:type="paragraph" w:customStyle="1" w:styleId="283">
    <w:name w:val="Char17"/>
    <w:basedOn w:val="1"/>
    <w:qFormat/>
    <w:uiPriority w:val="0"/>
    <w:rPr>
      <w:rFonts w:ascii="Tahoma" w:hAnsi="Tahoma"/>
      <w:sz w:val="24"/>
      <w:szCs w:val="20"/>
    </w:rPr>
  </w:style>
  <w:style w:type="character" w:customStyle="1" w:styleId="284">
    <w:name w:val="Char Char16"/>
    <w:qFormat/>
    <w:uiPriority w:val="0"/>
    <w:rPr>
      <w:rFonts w:eastAsia="宋体"/>
      <w:kern w:val="2"/>
      <w:sz w:val="24"/>
      <w:lang w:val="en-US" w:eastAsia="zh-CN" w:bidi="ar-SA"/>
    </w:rPr>
  </w:style>
  <w:style w:type="paragraph" w:customStyle="1" w:styleId="285">
    <w:name w:val="Char Char Char Char7"/>
    <w:basedOn w:val="1"/>
    <w:qFormat/>
    <w:uiPriority w:val="0"/>
    <w:pPr>
      <w:widowControl/>
      <w:spacing w:after="160" w:line="240" w:lineRule="exact"/>
      <w:jc w:val="left"/>
    </w:pPr>
    <w:rPr>
      <w:szCs w:val="20"/>
    </w:rPr>
  </w:style>
  <w:style w:type="paragraph" w:customStyle="1" w:styleId="286">
    <w:name w:val="修订5"/>
    <w:semiHidden/>
    <w:qFormat/>
    <w:uiPriority w:val="0"/>
    <w:rPr>
      <w:rFonts w:ascii="Times New Roman" w:hAnsi="Times New Roman" w:eastAsia="宋体" w:cs="Times New Roman"/>
      <w:kern w:val="2"/>
      <w:sz w:val="21"/>
      <w:szCs w:val="24"/>
      <w:lang w:val="en-US" w:eastAsia="zh-CN" w:bidi="ar-SA"/>
    </w:rPr>
  </w:style>
  <w:style w:type="paragraph" w:customStyle="1" w:styleId="287">
    <w:name w:val="TOC 标题5"/>
    <w:basedOn w:val="2"/>
    <w:next w:val="1"/>
    <w:qFormat/>
    <w:uiPriority w:val="0"/>
    <w:pPr>
      <w:keepLines/>
      <w:widowControl w:val="0"/>
      <w:spacing w:before="340" w:after="330" w:line="578" w:lineRule="auto"/>
      <w:jc w:val="both"/>
      <w:outlineLvl w:val="9"/>
    </w:pPr>
    <w:rPr>
      <w:rFonts w:ascii="Times New Roman" w:eastAsia="宋体"/>
      <w:b/>
      <w:bCs/>
      <w:kern w:val="44"/>
      <w:sz w:val="44"/>
      <w:szCs w:val="44"/>
    </w:rPr>
  </w:style>
  <w:style w:type="paragraph" w:customStyle="1" w:styleId="288">
    <w:name w:val="列出段落6"/>
    <w:basedOn w:val="1"/>
    <w:qFormat/>
    <w:uiPriority w:val="0"/>
    <w:pPr>
      <w:ind w:firstLine="420" w:firstLineChars="200"/>
    </w:pPr>
  </w:style>
  <w:style w:type="paragraph" w:customStyle="1" w:styleId="289">
    <w:name w:val="TOC 标题6"/>
    <w:basedOn w:val="2"/>
    <w:next w:val="1"/>
    <w:unhideWhenUsed/>
    <w:qFormat/>
    <w:uiPriority w:val="39"/>
    <w:pPr>
      <w:keepLines/>
      <w:spacing w:before="480" w:line="276" w:lineRule="auto"/>
      <w:jc w:val="left"/>
      <w:outlineLvl w:val="9"/>
    </w:pPr>
    <w:rPr>
      <w:rFonts w:asciiTheme="majorHAnsi" w:hAnsiTheme="majorHAnsi" w:eastAsiaTheme="majorEastAsia" w:cstheme="majorBidi"/>
      <w:b/>
      <w:bCs/>
      <w:color w:val="376092" w:themeColor="accent1" w:themeShade="BF"/>
      <w:sz w:val="28"/>
      <w:szCs w:val="28"/>
    </w:rPr>
  </w:style>
  <w:style w:type="table" w:customStyle="1" w:styleId="290">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microsoft.com/office/2011/relationships/commentsExtended" Target="commentsExtended.xml"/><Relationship Id="rId31" Type="http://schemas.microsoft.com/office/2011/relationships/people" Target="people.xml"/><Relationship Id="rId30" Type="http://schemas.openxmlformats.org/officeDocument/2006/relationships/fontTable" Target="fontTable.xml"/><Relationship Id="rId3" Type="http://schemas.openxmlformats.org/officeDocument/2006/relationships/comments" Target="comment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header" Target="header11.xml"/><Relationship Id="rId25" Type="http://schemas.openxmlformats.org/officeDocument/2006/relationships/header" Target="header10.xml"/><Relationship Id="rId24" Type="http://schemas.openxmlformats.org/officeDocument/2006/relationships/header" Target="header9.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footer" Target="footer4.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240</Pages>
  <Words>85568</Words>
  <Characters>45552</Characters>
  <Lines>379</Lines>
  <Paragraphs>261</Paragraphs>
  <TotalTime>526</TotalTime>
  <ScaleCrop>false</ScaleCrop>
  <LinksUpToDate>false</LinksUpToDate>
  <CharactersWithSpaces>130859</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2019-11-20T22:42:00Z</dcterms:created>
  <dc:creator>蔡迪</dc:creator>
  <cp:lastModifiedBy>uos</cp:lastModifiedBy>
  <dcterms:modified xsi:type="dcterms:W3CDTF">2025-03-19T14:43:33Z</dcterms:modified>
  <cp:revision>646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8B2B8719637A49C3BD41DDF4663B2E10</vt:lpwstr>
  </property>
</Properties>
</file>