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FF" w:rsidRDefault="00B421A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仿宋_GB2312" w:eastAsia="仿宋_GB2312" w:hAnsi="����" w:cs="宋体"/>
          <w:b/>
          <w:color w:val="333333"/>
          <w:kern w:val="0"/>
          <w:sz w:val="52"/>
          <w:szCs w:val="52"/>
        </w:rPr>
      </w:pPr>
      <w:r>
        <w:rPr>
          <w:rFonts w:ascii="仿宋_GB2312" w:eastAsia="仿宋_GB2312" w:hAnsi="����" w:cs="宋体" w:hint="eastAsia"/>
          <w:b/>
          <w:color w:val="333333"/>
          <w:kern w:val="0"/>
          <w:sz w:val="52"/>
          <w:szCs w:val="52"/>
        </w:rPr>
        <w:t>北京市林草种子标签管理办法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第一条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【立法目的】为加强林草种子管理，保护林草种子生产经营者和使用者的合法权益，根据《中</w:t>
      </w: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华人民共和国种子法》《北京市实施&lt;中华人民共和国种子法&gt;办法》《草种管理办法》《林木种子包装和标签管理办法》《林木种苗标签》（LY/T 2290—2018）和《草籽包装与标识》（NYT1577-2007）的有关规定，结合本市实际情况，制定本办法。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第二条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【适用范围】本办法适用于本市行政区域内林草种子标签的制作、标注、使用和管理。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第三条</w:t>
      </w: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【林草种子定义】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本办法所称林草种子，是指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林木和草的种植材料或者繁殖材料，包括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籽粒、果实、根、茎、苗、芽、叶、花等。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第四条</w:t>
      </w: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【标签定义】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本办法所称林草种子标签是指印刷、粘贴、固定或者附着在林草种子包装物内外的特定图案及文字说明。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对于不能包装的种子，标签是指林草种子经营者在销售时提供的</w:t>
      </w: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特定图案及文字说明。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第五条</w:t>
      </w:r>
      <w:r>
        <w:rPr>
          <w:rFonts w:ascii="仿宋" w:eastAsia="仿宋" w:hAnsi="仿宋" w:cs="宋体" w:hint="eastAsia"/>
          <w:kern w:val="0"/>
          <w:sz w:val="28"/>
          <w:szCs w:val="28"/>
        </w:rPr>
        <w:t>【标签的种类】</w:t>
      </w: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标签分为纸质标签和电子标签。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纸质标签以纸质材料为载体记载林草种子信息。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电子标签以芯片、</w:t>
      </w:r>
      <w:proofErr w:type="gramStart"/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二维码或</w:t>
      </w:r>
      <w:proofErr w:type="gramEnd"/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其他电子形式储存林草种子信息。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第六条</w:t>
      </w:r>
      <w:r>
        <w:rPr>
          <w:rFonts w:ascii="仿宋" w:eastAsia="仿宋" w:hAnsi="仿宋" w:cs="宋体" w:hint="eastAsia"/>
          <w:kern w:val="0"/>
          <w:sz w:val="28"/>
          <w:szCs w:val="28"/>
        </w:rPr>
        <w:t>【约束性规定】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销售的林草种子应当附有标签。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林草种子生产经营者对标注内容的真实性和种子质量负责，不得作虚假、夸大或者引人误解的宣传。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销售的林草种子质量应当符合国家、行业或者地方标准；没有标准的应当遵守合同约定。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第七条</w:t>
      </w:r>
      <w:r>
        <w:rPr>
          <w:rFonts w:ascii="仿宋" w:eastAsia="仿宋" w:hAnsi="仿宋" w:cs="宋体" w:hint="eastAsia"/>
          <w:kern w:val="0"/>
          <w:sz w:val="28"/>
          <w:szCs w:val="28"/>
        </w:rPr>
        <w:t>【标签的制作】北京市园林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绿化局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提供纸制标签和电子标签的参考样式。生产经营者在不减少必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填内容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的情况下，可以结合自身实际，自行制作。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第八条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【标签的材质和印刷要求】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标签的制作材料应当有足够的强度和防水性。纸质标签印刷清晰，字体为黑色。电子标签扫描结果显示清晰，信息准确。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第九条</w:t>
      </w: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【标签代表的内容及使用】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北京市林草种子标签同时代表“种子（苗木）质量检验证书”和“使用说明”。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北京市林草种子标签在“使用说明”栏内印有二维码，使用者可通过手机扫描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二维码查询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北京市园林绿化常用苗木和北京市林木良种使用栽植说明。不能以《</w:t>
      </w:r>
      <w:bookmarkStart w:id="1" w:name="_Toc15634"/>
      <w:bookmarkStart w:id="2" w:name="_Toc7649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北京市园林绿化常用苗木和林木良种使用（栽植）说明</w:t>
      </w:r>
      <w:bookmarkEnd w:id="1"/>
      <w:bookmarkEnd w:id="2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》作参考的，销售者应当在使用说明栏预留的位置作特别说明。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林木良种加注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“良种编号”，审定通过的草品种应当加注品种登记号，标注的内容应当与审定公告一致；植物新品种加注“品种权号”；转基因种子标注“转基因”字样和使用时的安全控制措施文字说明；药剂处理的种子根据药剂毒性附骷髅十字骨的警示，标注“有毒”字样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第十条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【标注的内容和方法】标签应当填写：种子类别、植物种名、质量指标、数量或者净重、生产日期、产地、生产经营者（盖章）、注册地址、联系电话、林草种子生产经营许可证编号、检疫证书编号和使用说明，林木良种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审定通过的草品种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还应当标注品种名称。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质量指标包括地（胸/直）径、苗高（长度）、根幅（土坨直径）、净度、发芽率和含水量等。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拉丁名、信息代码、普通种的品种名称为选填内容。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销售者可根据有关标准或合同约定进行标注。标签没有印制的质量指标，可标注在质量指标栏预留的空白处。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lang w:val="zh-CN"/>
        </w:rPr>
        <w:t>第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十一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lang w:val="zh-CN"/>
        </w:rPr>
        <w:t>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种子类别、林木良种、草品种概念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】林草种子类别分为普通种、林木良种、审定通过的草品种。经营者可根据销售的具体植物种类，选择其一在标签上标注。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林木良种是指通过审（认）定的主要林木品种，在一定的区域内，其产量、适应性、抗性等方面明显优于当前主栽材料的繁殖材料和种植材料。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草品种是指经人工选育，在形态学、生物学和经济性状上相对一致，适应一定的生态条件，并符合生产要求的草类群体。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第十二条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【标签填写要求】标签标注文字应当使用规范的中文、拉丁文等，内容应当填写完整、清晰、准确。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标签应当加盖单位公章或者有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>公司名称的标签专用章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第十三条</w:t>
      </w: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【标签的贴挂要求】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包装销售的林草种子，每个包装应当附带一个标签。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不需要包装销售的林草种子，每个销售单元应当至少附带一个标签。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销售单元，是指销售过程中等于或者低于一个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种批或者苗批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的任何销售重量或者数量单位。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种批，是指在一个区（县）范围内、同一采种期采集，采用相同的加工调制方法生产的同一树种或品种的种子。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苗圃的苗批，是指同一树种在同一苗圃，用同一批繁殖材料，采用基本相同的育苗技术培育的同龄或同一质量标准的苗木。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造林地的苗批，是指同一树种或品种在同一造林地块（标段），根据造林设计要求使用的同一质量标准的苗木。</w:t>
      </w:r>
    </w:p>
    <w:p w:rsidR="00B73BFF" w:rsidRDefault="00B421A4">
      <w:pPr>
        <w:widowControl/>
        <w:shd w:val="clear" w:color="auto" w:fill="FFFFFF"/>
        <w:spacing w:line="380" w:lineRule="exac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第十四条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【监督管理】市、区园林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绿化局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所属的综合执法机构或受其委托的林草种子管理机构，负责辖区内林草种子标签的监督管理。标签使用违反有关规定的，依《中华人民共和国种子法》进行处罚。</w:t>
      </w:r>
    </w:p>
    <w:p w:rsidR="00B73BFF" w:rsidRDefault="00B421A4">
      <w:pPr>
        <w:widowControl/>
        <w:shd w:val="clear" w:color="auto" w:fill="FFFFFF"/>
        <w:spacing w:line="380" w:lineRule="exact"/>
        <w:ind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第十五条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【实施时间】本办法自2020年X月X日起施行。2012年12月4日通过的《北京市林业种子标签管理办法》同时废止。</w:t>
      </w:r>
    </w:p>
    <w:p w:rsidR="00B73BFF" w:rsidRDefault="00B421A4">
      <w:pPr>
        <w:widowControl/>
        <w:shd w:val="clear" w:color="auto" w:fill="FFFFFF"/>
        <w:spacing w:before="100" w:beforeAutospacing="1" w:after="100" w:afterAutospacing="1"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附件：北京市林草种子标签样式</w:t>
      </w:r>
    </w:p>
    <w:p w:rsidR="00B73BFF" w:rsidRDefault="00B421A4">
      <w:pPr>
        <w:pageBreakBefore/>
        <w:widowControl/>
        <w:shd w:val="clear" w:color="auto" w:fill="FFFFFF"/>
        <w:spacing w:before="100" w:beforeAutospacing="1" w:after="100" w:afterAutospacing="1" w:line="380" w:lineRule="exact"/>
        <w:jc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（正面）</w:t>
      </w:r>
    </w:p>
    <w:tbl>
      <w:tblPr>
        <w:tblpPr w:leftFromText="180" w:rightFromText="180" w:vertAnchor="text" w:horzAnchor="page" w:tblpX="1932" w:tblpY="413"/>
        <w:tblOverlap w:val="never"/>
        <w:tblW w:w="831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30"/>
        <w:gridCol w:w="944"/>
        <w:gridCol w:w="994"/>
        <w:gridCol w:w="982"/>
        <w:gridCol w:w="853"/>
        <w:gridCol w:w="847"/>
        <w:gridCol w:w="969"/>
        <w:gridCol w:w="924"/>
        <w:gridCol w:w="667"/>
      </w:tblGrid>
      <w:tr w:rsidR="00B73BFF">
        <w:trPr>
          <w:trHeight w:val="600"/>
        </w:trPr>
        <w:tc>
          <w:tcPr>
            <w:tcW w:w="8310" w:type="dxa"/>
            <w:gridSpan w:val="9"/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北京市林草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种子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标签</w:t>
            </w:r>
          </w:p>
        </w:tc>
      </w:tr>
      <w:tr w:rsidR="00B73BFF">
        <w:trPr>
          <w:trHeight w:val="525"/>
        </w:trPr>
        <w:tc>
          <w:tcPr>
            <w:tcW w:w="8310" w:type="dxa"/>
            <w:gridSpan w:val="9"/>
            <w:vAlign w:val="center"/>
          </w:tcPr>
          <w:p w:rsidR="00B73BFF" w:rsidRPr="00A26C4F" w:rsidRDefault="00B421A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A26C4F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[种子（苗木）质量检验证书]</w:t>
            </w:r>
          </w:p>
          <w:p w:rsidR="00B73BFF" w:rsidRPr="00A26C4F" w:rsidRDefault="00B421A4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种子类别</w:t>
            </w:r>
            <w:r w:rsidRPr="00A26C4F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*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：普通种□  林木良种□  审定通过的草品种</w:t>
            </w:r>
            <w:r w:rsidRPr="00A26C4F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A26C4F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 信息代码：        </w:t>
            </w:r>
          </w:p>
        </w:tc>
      </w:tr>
      <w:tr w:rsidR="00B73BFF">
        <w:trPr>
          <w:trHeight w:val="39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植物种名*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拉丁名学名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BFF">
        <w:trPr>
          <w:trHeight w:val="39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2920" w:type="dxa"/>
            <w:gridSpan w:val="3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BFF">
        <w:trPr>
          <w:trHeight w:val="512"/>
        </w:trPr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质   量    指    标 *</w:t>
            </w:r>
          </w:p>
        </w:tc>
      </w:tr>
      <w:tr w:rsidR="00B73BFF">
        <w:trPr>
          <w:trHeight w:val="1033"/>
        </w:trPr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地（胸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/直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）径cm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苗高（长度）m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根幅（土坨直径）cm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净度%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发芽率%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含水量%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合格率或等级</w:t>
            </w:r>
          </w:p>
        </w:tc>
      </w:tr>
      <w:tr w:rsidR="00B73BFF">
        <w:trPr>
          <w:trHeight w:val="37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BFF">
        <w:trPr>
          <w:trHeight w:val="51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数量或净重*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生产</w:t>
            </w:r>
          </w:p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日期*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产地*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BFF">
        <w:trPr>
          <w:trHeight w:val="341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生产经营者*</w:t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BFF">
        <w:trPr>
          <w:trHeight w:val="450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注册地址*</w:t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B73BFF">
        <w:trPr>
          <w:trHeight w:val="375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联系电话*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生产经营者盖章*</w:t>
            </w:r>
          </w:p>
        </w:tc>
      </w:tr>
      <w:tr w:rsidR="00B73BFF">
        <w:trPr>
          <w:trHeight w:val="450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林草种子生产经营许可证编号*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BFF">
        <w:trPr>
          <w:trHeight w:val="450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检疫证书编号*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73B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BFF">
        <w:trPr>
          <w:trHeight w:val="870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使用说明*</w:t>
            </w:r>
          </w:p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0F2EC42A" wp14:editId="10284779">
                  <wp:extent cx="961390" cy="952500"/>
                  <wp:effectExtent l="0" t="0" r="0" b="0"/>
                  <wp:docPr id="2" name="图片 2" descr="C:\Users\lenovo\AppData\Local\Temp\WeChat Files\6e7ca804d89fa5c2b6827085920e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lenovo\AppData\Local\Temp\WeChat Files\6e7ca804d89fa5c2b6827085920e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56" cy="95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BFF" w:rsidRDefault="00B421A4">
            <w:pPr>
              <w:widowControl/>
              <w:spacing w:line="38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一般栽培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技术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，无特殊要求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；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需要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以下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特殊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栽培技术：</w:t>
            </w:r>
          </w:p>
          <w:p w:rsidR="00B73BFF" w:rsidRDefault="00B421A4">
            <w:pPr>
              <w:widowControl/>
              <w:spacing w:beforeLines="50" w:before="156"/>
              <w:jc w:val="left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                                                               </w:t>
            </w:r>
          </w:p>
          <w:p w:rsidR="00B73BFF" w:rsidRDefault="00B421A4">
            <w:pPr>
              <w:widowControl/>
              <w:spacing w:beforeLines="50" w:before="156"/>
              <w:jc w:val="left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                                                               </w:t>
            </w:r>
          </w:p>
          <w:p w:rsidR="00B73BFF" w:rsidRDefault="00B421A4">
            <w:pPr>
              <w:widowControl/>
              <w:spacing w:beforeLines="50" w:before="156"/>
              <w:jc w:val="left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                                                                </w:t>
            </w:r>
          </w:p>
          <w:p w:rsidR="00B73BFF" w:rsidRDefault="00B73B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3BFF">
        <w:trPr>
          <w:trHeight w:val="615"/>
        </w:trPr>
        <w:tc>
          <w:tcPr>
            <w:tcW w:w="8310" w:type="dxa"/>
            <w:gridSpan w:val="9"/>
            <w:vAlign w:val="center"/>
          </w:tcPr>
          <w:p w:rsidR="00B73BFF" w:rsidRDefault="00B42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北京市园林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绿化局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监制 （2020年版）（*为必填项）</w:t>
            </w:r>
          </w:p>
        </w:tc>
      </w:tr>
    </w:tbl>
    <w:p w:rsidR="00B73BFF" w:rsidRDefault="00B73BFF">
      <w:pPr>
        <w:widowControl/>
        <w:shd w:val="clear" w:color="auto" w:fill="FFFFFF"/>
        <w:spacing w:before="100" w:beforeAutospacing="1" w:after="100" w:afterAutospacing="1" w:line="380" w:lineRule="exact"/>
        <w:jc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B73BFF" w:rsidRDefault="00B421A4">
      <w:pPr>
        <w:pageBreakBefore/>
        <w:widowControl/>
        <w:shd w:val="clear" w:color="auto" w:fill="FFFFFF"/>
        <w:spacing w:before="100" w:beforeAutospacing="1" w:after="100" w:afterAutospacing="1" w:line="380" w:lineRule="exact"/>
        <w:jc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（背面）</w:t>
      </w:r>
    </w:p>
    <w:p w:rsidR="00B73BFF" w:rsidRDefault="00B421A4">
      <w:pPr>
        <w:widowControl/>
        <w:shd w:val="clear" w:color="auto" w:fill="FFFFFF"/>
        <w:spacing w:line="380" w:lineRule="exact"/>
        <w:jc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标签填写说明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1.种子类别：销售者在林木良种、审定通过的草品种或普通种后面的方框内择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其一打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“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”。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2.信息代码：由销售者根据企业需要编写，应当包含林草种子标签标注的内容及企业有关信息。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3.植物种名（品种名称）：植物种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名应当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填写植物分类学的种、亚种或者变种名称；品种名称应当填写授权品种、通过审（认）定品种或该品种的其他名称。进口的植物品种填写中文翻译名称；没有品种名称的只填写植物种名。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4.拉丁名：按照“属名+种名”格式填写，林木良种、植物新品种、审定通过的草品种、进口种子、转基因种子必须填写，有证书的应当与证书一致。普通植物可以不填写。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5.质量指标：标签标注的指标按照95%苗木能达到的数值填写。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除标签所列明的指标外，其他有特别要求的质量指标填在空白处。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质量合格率或等级，按照国家、行业或者地方标准填写，没有标准的按合同约定填写。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6.数量或净重：籽粒，以千克（kg）/克（g）/粒等表示；苗木，以株/根/条等表示。包装中含有多个小包装时除标明总数量或净重外，还应当标明每一小包装的数量或净重。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7.生产日期：种子填写采集或包装日期，苗木填写起苗日期。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8.产地：填写林草种子生产所在县级行政区域。进口林草种子的产地，填写国家、州（省）。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9.生产经营者盖章：盖单位公章，或者有公司名称的标签专用章。</w:t>
      </w:r>
    </w:p>
    <w:p w:rsidR="00B73BFF" w:rsidRDefault="00B421A4">
      <w:pPr>
        <w:widowControl/>
        <w:numPr>
          <w:ilvl w:val="255"/>
          <w:numId w:val="0"/>
        </w:numPr>
        <w:shd w:val="clear" w:color="auto" w:fill="FFFFFF"/>
        <w:spacing w:line="38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10.使用说明：应当包括主要栽培措施、适宜种植的区域、栽培季节、风险提示等内容。良种加注“良种编号”，审定通过的草品种加注品种登记号，标注的内容应当与审定公告一致；植物新品种加注“品种权号”；转基因林草种子标注“转基因”字样和使用时的安全控制措施文字说明；药剂处理的种子根据药剂毒性附骷髅十字骨的警示，标注“有毒”字样。使用说明内容较多的可另附纸张。</w:t>
      </w:r>
    </w:p>
    <w:p w:rsidR="00B73BFF" w:rsidRDefault="00B73BFF">
      <w:pPr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sectPr w:rsidR="00B73BFF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A4" w:rsidRDefault="00B421A4">
      <w:r>
        <w:separator/>
      </w:r>
    </w:p>
  </w:endnote>
  <w:endnote w:type="continuationSeparator" w:id="0">
    <w:p w:rsidR="00B421A4" w:rsidRDefault="00B4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876424"/>
    </w:sdtPr>
    <w:sdtEndPr/>
    <w:sdtContent>
      <w:sdt>
        <w:sdtPr>
          <w:id w:val="-1669238322"/>
        </w:sdtPr>
        <w:sdtEndPr/>
        <w:sdtContent>
          <w:p w:rsidR="00B73BFF" w:rsidRDefault="00B421A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55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55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3BFF" w:rsidRDefault="00B73B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A4" w:rsidRDefault="00B421A4">
      <w:r>
        <w:separator/>
      </w:r>
    </w:p>
  </w:footnote>
  <w:footnote w:type="continuationSeparator" w:id="0">
    <w:p w:rsidR="00B421A4" w:rsidRDefault="00B421A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贺毅">
    <w15:presenceInfo w15:providerId="None" w15:userId="贺毅"/>
  </w15:person>
  <w15:person w15:author="东">
    <w15:presenceInfo w15:providerId="WPS Office" w15:userId="3228031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2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4"/>
    <w:rsid w:val="00001D79"/>
    <w:rsid w:val="00010E3F"/>
    <w:rsid w:val="00011152"/>
    <w:rsid w:val="000161E5"/>
    <w:rsid w:val="0002381F"/>
    <w:rsid w:val="000530DA"/>
    <w:rsid w:val="000551B1"/>
    <w:rsid w:val="00075CF0"/>
    <w:rsid w:val="00075F48"/>
    <w:rsid w:val="00076B79"/>
    <w:rsid w:val="00076D17"/>
    <w:rsid w:val="000900C1"/>
    <w:rsid w:val="00095F09"/>
    <w:rsid w:val="000C58F9"/>
    <w:rsid w:val="000D2FF2"/>
    <w:rsid w:val="000D78D5"/>
    <w:rsid w:val="001115AA"/>
    <w:rsid w:val="00112D2A"/>
    <w:rsid w:val="0013688F"/>
    <w:rsid w:val="0015298B"/>
    <w:rsid w:val="00160AB3"/>
    <w:rsid w:val="00172A27"/>
    <w:rsid w:val="001857D7"/>
    <w:rsid w:val="00191E73"/>
    <w:rsid w:val="00193BF0"/>
    <w:rsid w:val="00195A32"/>
    <w:rsid w:val="001A4779"/>
    <w:rsid w:val="001A6BBB"/>
    <w:rsid w:val="001C578B"/>
    <w:rsid w:val="001D0797"/>
    <w:rsid w:val="002069D8"/>
    <w:rsid w:val="00207D98"/>
    <w:rsid w:val="0021405C"/>
    <w:rsid w:val="00221FE8"/>
    <w:rsid w:val="00222D9E"/>
    <w:rsid w:val="0023499B"/>
    <w:rsid w:val="002408B7"/>
    <w:rsid w:val="002516AA"/>
    <w:rsid w:val="00257BAC"/>
    <w:rsid w:val="00260CAD"/>
    <w:rsid w:val="0026313A"/>
    <w:rsid w:val="002666C3"/>
    <w:rsid w:val="00267190"/>
    <w:rsid w:val="00277466"/>
    <w:rsid w:val="0027768B"/>
    <w:rsid w:val="00287FEF"/>
    <w:rsid w:val="0029470F"/>
    <w:rsid w:val="002A3672"/>
    <w:rsid w:val="002B7298"/>
    <w:rsid w:val="002C568B"/>
    <w:rsid w:val="002D2304"/>
    <w:rsid w:val="0030488C"/>
    <w:rsid w:val="00323F86"/>
    <w:rsid w:val="00324376"/>
    <w:rsid w:val="00330C15"/>
    <w:rsid w:val="00331DEB"/>
    <w:rsid w:val="003426C9"/>
    <w:rsid w:val="00343A20"/>
    <w:rsid w:val="00355FF9"/>
    <w:rsid w:val="00363354"/>
    <w:rsid w:val="003670ED"/>
    <w:rsid w:val="00373BDD"/>
    <w:rsid w:val="003A1D9D"/>
    <w:rsid w:val="003A7A9A"/>
    <w:rsid w:val="003B5A94"/>
    <w:rsid w:val="003B6F9C"/>
    <w:rsid w:val="003C0620"/>
    <w:rsid w:val="003C5057"/>
    <w:rsid w:val="003E3408"/>
    <w:rsid w:val="004002B3"/>
    <w:rsid w:val="00400E31"/>
    <w:rsid w:val="00401210"/>
    <w:rsid w:val="00407486"/>
    <w:rsid w:val="0042238A"/>
    <w:rsid w:val="00424C09"/>
    <w:rsid w:val="004268FF"/>
    <w:rsid w:val="0043551F"/>
    <w:rsid w:val="004369F4"/>
    <w:rsid w:val="00453603"/>
    <w:rsid w:val="004650C0"/>
    <w:rsid w:val="00465A74"/>
    <w:rsid w:val="0048458A"/>
    <w:rsid w:val="00485CD1"/>
    <w:rsid w:val="004A143B"/>
    <w:rsid w:val="004A1BDB"/>
    <w:rsid w:val="004A2DC1"/>
    <w:rsid w:val="004C756C"/>
    <w:rsid w:val="004E32E5"/>
    <w:rsid w:val="004E5B1E"/>
    <w:rsid w:val="0051157F"/>
    <w:rsid w:val="00530B62"/>
    <w:rsid w:val="00532FCE"/>
    <w:rsid w:val="00552700"/>
    <w:rsid w:val="00560CAD"/>
    <w:rsid w:val="00573C06"/>
    <w:rsid w:val="00574166"/>
    <w:rsid w:val="005A048E"/>
    <w:rsid w:val="005A3C07"/>
    <w:rsid w:val="005C0E32"/>
    <w:rsid w:val="005C2154"/>
    <w:rsid w:val="005D438C"/>
    <w:rsid w:val="005D62D9"/>
    <w:rsid w:val="005E1F97"/>
    <w:rsid w:val="005E4D17"/>
    <w:rsid w:val="005F775C"/>
    <w:rsid w:val="006009F5"/>
    <w:rsid w:val="00600B7C"/>
    <w:rsid w:val="00602040"/>
    <w:rsid w:val="00612FBC"/>
    <w:rsid w:val="00624D70"/>
    <w:rsid w:val="0062539D"/>
    <w:rsid w:val="006333AA"/>
    <w:rsid w:val="00636E28"/>
    <w:rsid w:val="006400B9"/>
    <w:rsid w:val="00644579"/>
    <w:rsid w:val="00645C8F"/>
    <w:rsid w:val="00646C19"/>
    <w:rsid w:val="006525D4"/>
    <w:rsid w:val="00655864"/>
    <w:rsid w:val="006564BB"/>
    <w:rsid w:val="00656735"/>
    <w:rsid w:val="00661AF6"/>
    <w:rsid w:val="0068355B"/>
    <w:rsid w:val="006840E0"/>
    <w:rsid w:val="006A0657"/>
    <w:rsid w:val="006A4304"/>
    <w:rsid w:val="006B05CA"/>
    <w:rsid w:val="00730B8A"/>
    <w:rsid w:val="00756B58"/>
    <w:rsid w:val="00757C9C"/>
    <w:rsid w:val="0079233D"/>
    <w:rsid w:val="00794C6A"/>
    <w:rsid w:val="007A16AE"/>
    <w:rsid w:val="007B38B4"/>
    <w:rsid w:val="007D0BC4"/>
    <w:rsid w:val="007D1DAD"/>
    <w:rsid w:val="00805AF4"/>
    <w:rsid w:val="00805D2A"/>
    <w:rsid w:val="00811CE9"/>
    <w:rsid w:val="008265E8"/>
    <w:rsid w:val="00833BD6"/>
    <w:rsid w:val="00834C05"/>
    <w:rsid w:val="00837BDF"/>
    <w:rsid w:val="00843D6D"/>
    <w:rsid w:val="00844D97"/>
    <w:rsid w:val="0086094C"/>
    <w:rsid w:val="00860C68"/>
    <w:rsid w:val="00885936"/>
    <w:rsid w:val="00886D97"/>
    <w:rsid w:val="008A0512"/>
    <w:rsid w:val="008C3B65"/>
    <w:rsid w:val="008F279D"/>
    <w:rsid w:val="008F2BFE"/>
    <w:rsid w:val="00916F75"/>
    <w:rsid w:val="00923A2F"/>
    <w:rsid w:val="00942379"/>
    <w:rsid w:val="00946829"/>
    <w:rsid w:val="00946E9B"/>
    <w:rsid w:val="0095605A"/>
    <w:rsid w:val="009701E4"/>
    <w:rsid w:val="0097313F"/>
    <w:rsid w:val="00975D36"/>
    <w:rsid w:val="009805F6"/>
    <w:rsid w:val="00981745"/>
    <w:rsid w:val="009818BD"/>
    <w:rsid w:val="00981D1D"/>
    <w:rsid w:val="009879D6"/>
    <w:rsid w:val="009946BB"/>
    <w:rsid w:val="009956B1"/>
    <w:rsid w:val="009A37F1"/>
    <w:rsid w:val="009B36B5"/>
    <w:rsid w:val="009C7118"/>
    <w:rsid w:val="009F076E"/>
    <w:rsid w:val="00A02C75"/>
    <w:rsid w:val="00A07E21"/>
    <w:rsid w:val="00A164AA"/>
    <w:rsid w:val="00A26C4F"/>
    <w:rsid w:val="00A46CBD"/>
    <w:rsid w:val="00A478B9"/>
    <w:rsid w:val="00A56FFD"/>
    <w:rsid w:val="00A82215"/>
    <w:rsid w:val="00A859A7"/>
    <w:rsid w:val="00A86969"/>
    <w:rsid w:val="00A86B64"/>
    <w:rsid w:val="00A93775"/>
    <w:rsid w:val="00A95588"/>
    <w:rsid w:val="00A96BC7"/>
    <w:rsid w:val="00A9783F"/>
    <w:rsid w:val="00AA1A1D"/>
    <w:rsid w:val="00AB33AC"/>
    <w:rsid w:val="00AB759C"/>
    <w:rsid w:val="00AC0D8A"/>
    <w:rsid w:val="00AC260B"/>
    <w:rsid w:val="00AD23F3"/>
    <w:rsid w:val="00AE5549"/>
    <w:rsid w:val="00AE6685"/>
    <w:rsid w:val="00AF6405"/>
    <w:rsid w:val="00B13857"/>
    <w:rsid w:val="00B21882"/>
    <w:rsid w:val="00B33A9B"/>
    <w:rsid w:val="00B421A4"/>
    <w:rsid w:val="00B4289B"/>
    <w:rsid w:val="00B574F4"/>
    <w:rsid w:val="00B71730"/>
    <w:rsid w:val="00B7233F"/>
    <w:rsid w:val="00B73BFF"/>
    <w:rsid w:val="00B830A7"/>
    <w:rsid w:val="00B863CC"/>
    <w:rsid w:val="00BA00A1"/>
    <w:rsid w:val="00BA0320"/>
    <w:rsid w:val="00BB7C73"/>
    <w:rsid w:val="00BD7FB0"/>
    <w:rsid w:val="00BE5EB5"/>
    <w:rsid w:val="00BF7A84"/>
    <w:rsid w:val="00C11219"/>
    <w:rsid w:val="00C14FF8"/>
    <w:rsid w:val="00C2328F"/>
    <w:rsid w:val="00C242CE"/>
    <w:rsid w:val="00C24954"/>
    <w:rsid w:val="00C31AE9"/>
    <w:rsid w:val="00C62667"/>
    <w:rsid w:val="00C6553B"/>
    <w:rsid w:val="00C71C36"/>
    <w:rsid w:val="00C74F70"/>
    <w:rsid w:val="00C75CEF"/>
    <w:rsid w:val="00C91081"/>
    <w:rsid w:val="00CA7DCA"/>
    <w:rsid w:val="00CB1C1C"/>
    <w:rsid w:val="00CB5CBE"/>
    <w:rsid w:val="00CC26DC"/>
    <w:rsid w:val="00CC43D9"/>
    <w:rsid w:val="00CD253F"/>
    <w:rsid w:val="00CF0CFF"/>
    <w:rsid w:val="00D13A16"/>
    <w:rsid w:val="00D13F2F"/>
    <w:rsid w:val="00D175B9"/>
    <w:rsid w:val="00D2435D"/>
    <w:rsid w:val="00D25945"/>
    <w:rsid w:val="00D35C94"/>
    <w:rsid w:val="00D543CB"/>
    <w:rsid w:val="00D576FF"/>
    <w:rsid w:val="00D60077"/>
    <w:rsid w:val="00D6778D"/>
    <w:rsid w:val="00D7353C"/>
    <w:rsid w:val="00D834D1"/>
    <w:rsid w:val="00D941D8"/>
    <w:rsid w:val="00DA7BC9"/>
    <w:rsid w:val="00DB7EA5"/>
    <w:rsid w:val="00DC24EF"/>
    <w:rsid w:val="00DC6033"/>
    <w:rsid w:val="00DF0AAD"/>
    <w:rsid w:val="00E175B3"/>
    <w:rsid w:val="00E27BA0"/>
    <w:rsid w:val="00E30661"/>
    <w:rsid w:val="00E35E19"/>
    <w:rsid w:val="00E36EC2"/>
    <w:rsid w:val="00E37CA7"/>
    <w:rsid w:val="00E55AB0"/>
    <w:rsid w:val="00E56542"/>
    <w:rsid w:val="00E82DCC"/>
    <w:rsid w:val="00E85025"/>
    <w:rsid w:val="00E90954"/>
    <w:rsid w:val="00EB011A"/>
    <w:rsid w:val="00EB1E10"/>
    <w:rsid w:val="00EB3FB4"/>
    <w:rsid w:val="00EB5B58"/>
    <w:rsid w:val="00ED6727"/>
    <w:rsid w:val="00EF055D"/>
    <w:rsid w:val="00EF0F9F"/>
    <w:rsid w:val="00F05587"/>
    <w:rsid w:val="00F10E96"/>
    <w:rsid w:val="00F35524"/>
    <w:rsid w:val="00F43836"/>
    <w:rsid w:val="00F87BF8"/>
    <w:rsid w:val="00F96913"/>
    <w:rsid w:val="00FA6A76"/>
    <w:rsid w:val="00FC6E9B"/>
    <w:rsid w:val="00FD013B"/>
    <w:rsid w:val="00FD10E6"/>
    <w:rsid w:val="00FF2DA8"/>
    <w:rsid w:val="00FF64DA"/>
    <w:rsid w:val="00FF6CFF"/>
    <w:rsid w:val="01C7735D"/>
    <w:rsid w:val="03B031B1"/>
    <w:rsid w:val="058D29C8"/>
    <w:rsid w:val="05AF17D8"/>
    <w:rsid w:val="083D2589"/>
    <w:rsid w:val="084E6D9B"/>
    <w:rsid w:val="0962712C"/>
    <w:rsid w:val="09E34B71"/>
    <w:rsid w:val="09EE45EF"/>
    <w:rsid w:val="0D72128F"/>
    <w:rsid w:val="0EE463E6"/>
    <w:rsid w:val="0F531B17"/>
    <w:rsid w:val="106C3B64"/>
    <w:rsid w:val="112D7E98"/>
    <w:rsid w:val="13544856"/>
    <w:rsid w:val="149B7CE2"/>
    <w:rsid w:val="162145A6"/>
    <w:rsid w:val="16F87465"/>
    <w:rsid w:val="171E4419"/>
    <w:rsid w:val="17E44B87"/>
    <w:rsid w:val="1912489B"/>
    <w:rsid w:val="1A2E187B"/>
    <w:rsid w:val="1A3663C8"/>
    <w:rsid w:val="1C6821DE"/>
    <w:rsid w:val="1CCB15D7"/>
    <w:rsid w:val="1D6709FD"/>
    <w:rsid w:val="1E8C03FC"/>
    <w:rsid w:val="21407F51"/>
    <w:rsid w:val="21E65790"/>
    <w:rsid w:val="21FA33DD"/>
    <w:rsid w:val="22804935"/>
    <w:rsid w:val="24083B87"/>
    <w:rsid w:val="24CC3B89"/>
    <w:rsid w:val="25E34A90"/>
    <w:rsid w:val="26EE1704"/>
    <w:rsid w:val="270B5E07"/>
    <w:rsid w:val="27723519"/>
    <w:rsid w:val="27C23B2F"/>
    <w:rsid w:val="2824153F"/>
    <w:rsid w:val="285B18D2"/>
    <w:rsid w:val="290B06BE"/>
    <w:rsid w:val="2A324DE2"/>
    <w:rsid w:val="2B907029"/>
    <w:rsid w:val="2B967423"/>
    <w:rsid w:val="2D1A0CEE"/>
    <w:rsid w:val="2D1C48D9"/>
    <w:rsid w:val="30304CD1"/>
    <w:rsid w:val="30CB4B23"/>
    <w:rsid w:val="34AC7B43"/>
    <w:rsid w:val="35E1557A"/>
    <w:rsid w:val="37C300A5"/>
    <w:rsid w:val="38423366"/>
    <w:rsid w:val="388D34C3"/>
    <w:rsid w:val="38E9651A"/>
    <w:rsid w:val="39CB2C9B"/>
    <w:rsid w:val="3C91656C"/>
    <w:rsid w:val="3FCB3C42"/>
    <w:rsid w:val="41E72CD8"/>
    <w:rsid w:val="423F6B61"/>
    <w:rsid w:val="4442236F"/>
    <w:rsid w:val="451726C8"/>
    <w:rsid w:val="453A3CAB"/>
    <w:rsid w:val="45913DEE"/>
    <w:rsid w:val="46D42707"/>
    <w:rsid w:val="47AA5DBE"/>
    <w:rsid w:val="49C34DC8"/>
    <w:rsid w:val="4A1C7147"/>
    <w:rsid w:val="4BAB1B22"/>
    <w:rsid w:val="4C1C5B8E"/>
    <w:rsid w:val="4F664036"/>
    <w:rsid w:val="4FD47413"/>
    <w:rsid w:val="50C14B00"/>
    <w:rsid w:val="51005426"/>
    <w:rsid w:val="522B7EB6"/>
    <w:rsid w:val="5349512C"/>
    <w:rsid w:val="53E35FD3"/>
    <w:rsid w:val="54662B38"/>
    <w:rsid w:val="547B1D79"/>
    <w:rsid w:val="54802BF2"/>
    <w:rsid w:val="55EA176C"/>
    <w:rsid w:val="567339A9"/>
    <w:rsid w:val="57251143"/>
    <w:rsid w:val="58DF3E1C"/>
    <w:rsid w:val="59064358"/>
    <w:rsid w:val="5D053304"/>
    <w:rsid w:val="5FA576B5"/>
    <w:rsid w:val="601C2C42"/>
    <w:rsid w:val="60B618AB"/>
    <w:rsid w:val="60D51024"/>
    <w:rsid w:val="625A3BA9"/>
    <w:rsid w:val="62FD28E5"/>
    <w:rsid w:val="67C00E00"/>
    <w:rsid w:val="67CF4610"/>
    <w:rsid w:val="67E23BCB"/>
    <w:rsid w:val="6865089F"/>
    <w:rsid w:val="6A2C19B4"/>
    <w:rsid w:val="6AC65F1E"/>
    <w:rsid w:val="6B2963C9"/>
    <w:rsid w:val="6B5B4F69"/>
    <w:rsid w:val="6E561063"/>
    <w:rsid w:val="6E576967"/>
    <w:rsid w:val="6EB90DF7"/>
    <w:rsid w:val="6EF85CD4"/>
    <w:rsid w:val="6FDE5A06"/>
    <w:rsid w:val="6FFF470E"/>
    <w:rsid w:val="70930D01"/>
    <w:rsid w:val="70D66B4E"/>
    <w:rsid w:val="728D774C"/>
    <w:rsid w:val="72B36AE1"/>
    <w:rsid w:val="72D90FF7"/>
    <w:rsid w:val="735104D8"/>
    <w:rsid w:val="735363C2"/>
    <w:rsid w:val="73891018"/>
    <w:rsid w:val="74C32728"/>
    <w:rsid w:val="75B942D7"/>
    <w:rsid w:val="75F8159E"/>
    <w:rsid w:val="76D8587F"/>
    <w:rsid w:val="7767235D"/>
    <w:rsid w:val="779721AC"/>
    <w:rsid w:val="79684FBC"/>
    <w:rsid w:val="7BE7293D"/>
    <w:rsid w:val="7C1E4B1F"/>
    <w:rsid w:val="7EB5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qFormat/>
    <w:pPr>
      <w:ind w:firstLineChars="192" w:firstLine="538"/>
    </w:pPr>
    <w:rPr>
      <w:sz w:val="28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正文1"/>
    <w:qFormat/>
    <w:pPr>
      <w:jc w:val="both"/>
    </w:pPr>
    <w:rPr>
      <w:rFonts w:ascii="Times New Roman" w:hAnsi="Times New Roman" w:cs="宋体"/>
      <w:kern w:val="2"/>
      <w:sz w:val="21"/>
      <w:szCs w:val="21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</w:rPr>
  </w:style>
  <w:style w:type="character" w:customStyle="1" w:styleId="apple-converted-space">
    <w:name w:val="apple-converted-space"/>
    <w:qFormat/>
    <w:rPr>
      <w:rFonts w:ascii="Calibri" w:eastAsia="宋体" w:hAnsi="Calibri" w:cs="Times New Roman"/>
    </w:rPr>
  </w:style>
  <w:style w:type="character" w:customStyle="1" w:styleId="Char3">
    <w:name w:val="页眉 Char"/>
    <w:link w:val="a7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正文文本缩进 Char"/>
    <w:link w:val="a4"/>
    <w:qFormat/>
    <w:rPr>
      <w:rFonts w:ascii="Times New Roman" w:eastAsia="宋体" w:hAnsi="Times New Roman" w:cs="Times New Roman"/>
      <w:kern w:val="2"/>
      <w:sz w:val="28"/>
    </w:rPr>
  </w:style>
  <w:style w:type="character" w:customStyle="1" w:styleId="Char2">
    <w:name w:val="页脚 Char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FF0000"/>
      <w:sz w:val="32"/>
      <w:szCs w:val="32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/>
      <w:color w:val="333333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color w:val="333333"/>
      <w:sz w:val="32"/>
      <w:szCs w:val="32"/>
      <w:u w:val="none"/>
    </w:rPr>
  </w:style>
  <w:style w:type="character" w:customStyle="1" w:styleId="font12">
    <w:name w:val="font12"/>
    <w:basedOn w:val="a0"/>
    <w:qFormat/>
    <w:rPr>
      <w:rFonts w:ascii="仿宋_GB2312" w:eastAsia="仿宋_GB2312" w:cs="仿宋_GB2312" w:hint="eastAsia"/>
      <w:color w:val="333333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122">
    <w:name w:val="font122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131">
    <w:name w:val="font13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333333"/>
      <w:sz w:val="32"/>
      <w:szCs w:val="32"/>
      <w:u w:val="none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112">
    <w:name w:val="font112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qFormat/>
    <w:pPr>
      <w:ind w:firstLineChars="192" w:firstLine="538"/>
    </w:pPr>
    <w:rPr>
      <w:sz w:val="28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正文1"/>
    <w:qFormat/>
    <w:pPr>
      <w:jc w:val="both"/>
    </w:pPr>
    <w:rPr>
      <w:rFonts w:ascii="Times New Roman" w:hAnsi="Times New Roman" w:cs="宋体"/>
      <w:kern w:val="2"/>
      <w:sz w:val="21"/>
      <w:szCs w:val="21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</w:rPr>
  </w:style>
  <w:style w:type="character" w:customStyle="1" w:styleId="apple-converted-space">
    <w:name w:val="apple-converted-space"/>
    <w:qFormat/>
    <w:rPr>
      <w:rFonts w:ascii="Calibri" w:eastAsia="宋体" w:hAnsi="Calibri" w:cs="Times New Roman"/>
    </w:rPr>
  </w:style>
  <w:style w:type="character" w:customStyle="1" w:styleId="Char3">
    <w:name w:val="页眉 Char"/>
    <w:link w:val="a7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正文文本缩进 Char"/>
    <w:link w:val="a4"/>
    <w:qFormat/>
    <w:rPr>
      <w:rFonts w:ascii="Times New Roman" w:eastAsia="宋体" w:hAnsi="Times New Roman" w:cs="Times New Roman"/>
      <w:kern w:val="2"/>
      <w:sz w:val="28"/>
    </w:rPr>
  </w:style>
  <w:style w:type="character" w:customStyle="1" w:styleId="Char2">
    <w:name w:val="页脚 Char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FF0000"/>
      <w:sz w:val="32"/>
      <w:szCs w:val="32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/>
      <w:color w:val="333333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color w:val="333333"/>
      <w:sz w:val="32"/>
      <w:szCs w:val="32"/>
      <w:u w:val="none"/>
    </w:rPr>
  </w:style>
  <w:style w:type="character" w:customStyle="1" w:styleId="font12">
    <w:name w:val="font12"/>
    <w:basedOn w:val="a0"/>
    <w:qFormat/>
    <w:rPr>
      <w:rFonts w:ascii="仿宋_GB2312" w:eastAsia="仿宋_GB2312" w:cs="仿宋_GB2312" w:hint="eastAsia"/>
      <w:color w:val="333333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122">
    <w:name w:val="font122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131">
    <w:name w:val="font13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333333"/>
      <w:sz w:val="32"/>
      <w:szCs w:val="32"/>
      <w:u w:val="none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112">
    <w:name w:val="font112"/>
    <w:basedOn w:val="a0"/>
    <w:qFormat/>
    <w:rPr>
      <w:rFonts w:ascii="仿宋" w:eastAsia="仿宋" w:hAnsi="仿宋" w:cs="仿宋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FC660-0E55-4FD9-9BDF-E1172179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宋庆新</cp:lastModifiedBy>
  <cp:revision>4</cp:revision>
  <cp:lastPrinted>2020-04-29T01:16:00Z</cp:lastPrinted>
  <dcterms:created xsi:type="dcterms:W3CDTF">2020-10-12T11:20:00Z</dcterms:created>
  <dcterms:modified xsi:type="dcterms:W3CDTF">2020-10-14T01:23:00Z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_DocHome">
    <vt:i4>-506418701</vt:i4>
  </property>
</Properties>
</file>