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pPr>
      <w:r>
        <w:rPr>
          <w:rFonts w:hint="eastAsia"/>
        </w:rPr>
        <w:t>TD</w:t>
      </w:r>
    </w:p>
    <w:p>
      <w:pPr>
        <w:pStyle w:val="15"/>
      </w:pPr>
      <w:r>
        <w:rPr>
          <w:rFonts w:hint="eastAsia"/>
        </w:rPr>
        <w:t>中华人民共和国土地管理行业标准</w:t>
      </w:r>
    </w:p>
    <w:p>
      <w:pPr>
        <w:pStyle w:val="24"/>
      </w:pPr>
      <w:bookmarkStart w:id="0" w:name="StdNo0"/>
      <w: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600710</wp:posOffset>
                </wp:positionV>
                <wp:extent cx="6153150" cy="635"/>
                <wp:effectExtent l="10160" t="12700" r="8890" b="5715"/>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615315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05pt;margin-top:47.3pt;height:0.05pt;width:484.5pt;z-index:251660288;mso-width-relative:page;mso-height-relative:page;" filled="f" stroked="t" coordsize="21600,21600" o:gfxdata="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OsS+F2AAAAAkB&#10;AAAPAAAAAAAAAAEAIAAAADgAAABkcnMvZG93bnJldi54bWxQSwECFAAUAAAACACHTuJAXHnuGcwB&#10;AABhAwAADgAAAAAAAAABACAAAAA9AQAAZHJzL2Uyb0RvYy54bWxQSwUGAAAAAAYABgBZAQAAewUA&#10;AAAA&#10;">
                <v:fill on="f" focussize="0,0"/>
                <v:stroke color="#000000" joinstyle="round"/>
                <v:imagedata o:title=""/>
                <o:lock v:ext="edit" aspectratio="f"/>
              </v:line>
            </w:pict>
          </mc:Fallback>
        </mc:AlternateContent>
      </w:r>
      <w:bookmarkEnd w:id="0"/>
      <w:r>
        <w:rPr>
          <w:rFonts w:hint="eastAsia" w:ascii="Times New Roman"/>
        </w:rPr>
        <w:t>TD</w:t>
      </w:r>
      <w:r>
        <w:rPr>
          <w:rFonts w:ascii="Times New Roman"/>
        </w:rPr>
        <w:t xml:space="preserve">/T </w:t>
      </w:r>
      <w:bookmarkStart w:id="1" w:name="StdNo1"/>
      <w:r>
        <w:rPr>
          <w:rFonts w:hint="eastAsia" w:ascii="Times New Roman"/>
        </w:rPr>
        <w:t xml:space="preserve"> </w:t>
      </w:r>
      <w:bookmarkEnd w:id="1"/>
      <w:r>
        <w:rPr>
          <w:rFonts w:hint="eastAsia"/>
        </w:rPr>
        <w:t>1036</w:t>
      </w:r>
      <w:r>
        <w:t>—</w:t>
      </w:r>
      <w:r>
        <w:rPr>
          <w:rFonts w:hint="eastAsia"/>
        </w:rPr>
        <w:t>2013</w:t>
      </w:r>
    </w:p>
    <w:p>
      <w:pPr>
        <w:pStyle w:val="24"/>
      </w:pPr>
    </w:p>
    <w:p>
      <w:pPr>
        <w:pStyle w:val="24"/>
      </w:pPr>
    </w:p>
    <w:p>
      <w:pPr>
        <w:pStyle w:val="26"/>
        <w:rPr>
          <w:rFonts w:hint="eastAsia"/>
        </w:rPr>
      </w:pPr>
      <w:r>
        <w:rPr>
          <w:rFonts w:hint="eastAsia"/>
        </w:rPr>
        <w:t xml:space="preserve">土地复垦质量控制标准 </w:t>
      </w:r>
    </w:p>
    <w:p>
      <w:pPr>
        <w:pStyle w:val="26"/>
        <w:rPr>
          <w:rFonts w:hint="eastAsia"/>
        </w:rPr>
      </w:pPr>
    </w:p>
    <w:p>
      <w:pPr>
        <w:pStyle w:val="25"/>
        <w:spacing w:before="0"/>
        <w:rPr>
          <w:rFonts w:hint="eastAsia"/>
        </w:rPr>
      </w:pPr>
      <w:bookmarkStart w:id="2" w:name="YZBS"/>
      <w:r>
        <w:rPr>
          <w:rFonts w:hint="eastAsia"/>
        </w:rPr>
        <w:t>Completion standards on land reclamation quality</w:t>
      </w: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p>
      <w:pPr>
        <w:pStyle w:val="25"/>
        <w:spacing w:before="0"/>
        <w:rPr>
          <w:rFonts w:hint="eastAsia"/>
        </w:rPr>
      </w:pPr>
    </w:p>
    <w:bookmarkEnd w:id="2"/>
    <w:p>
      <w:pPr>
        <w:pStyle w:val="22"/>
      </w:pPr>
      <w:r>
        <w:rPr>
          <w:rFonts w:hint="eastAsia" w:ascii="黑体"/>
        </w:rPr>
        <w:t>2013</w:t>
      </w:r>
      <w:r>
        <w:t xml:space="preserve"> </w:t>
      </w:r>
      <w:r>
        <w:rPr>
          <w:rFonts w:ascii="黑体"/>
        </w:rPr>
        <w:t>-</w:t>
      </w:r>
      <w:r>
        <w:rPr>
          <w:rFonts w:hint="eastAsia"/>
        </w:rPr>
        <w:t>01</w:t>
      </w:r>
      <w:r>
        <w:t xml:space="preserve"> </w:t>
      </w:r>
      <w:r>
        <w:rPr>
          <w:rFonts w:ascii="黑体"/>
        </w:rPr>
        <w:t>-</w:t>
      </w:r>
      <w:r>
        <w:t xml:space="preserve"> </w:t>
      </w:r>
      <w:r>
        <w:rPr>
          <w:rFonts w:hint="eastAsia" w:ascii="黑体"/>
        </w:rPr>
        <w:t>23</w:t>
      </w:r>
      <w:r>
        <w:rPr>
          <w:rFonts w:hint="eastAsia"/>
        </w:rPr>
        <w:t xml:space="preserve">发布                                   </w:t>
      </w:r>
      <w:r>
        <w:rPr>
          <w:rFonts w:hint="eastAsia" w:ascii="黑体"/>
        </w:rPr>
        <w:t>2013</w:t>
      </w:r>
      <w:r>
        <w:t xml:space="preserve"> </w:t>
      </w:r>
      <w:r>
        <w:rPr>
          <w:rFonts w:ascii="黑体"/>
        </w:rPr>
        <w:t>-</w:t>
      </w:r>
      <w:r>
        <w:rPr>
          <w:rFonts w:hint="eastAsia"/>
        </w:rPr>
        <w:t>02</w:t>
      </w:r>
      <w:r>
        <w:rPr>
          <w:rFonts w:ascii="黑体"/>
        </w:rPr>
        <w:t>-</w:t>
      </w:r>
      <w:r>
        <w:t xml:space="preserve"> </w:t>
      </w:r>
      <w:r>
        <w:rPr>
          <w:rFonts w:hint="eastAsia" w:ascii="黑体"/>
        </w:rPr>
        <w:t>01</w:t>
      </w:r>
      <w:r>
        <w:rPr>
          <w:rFonts w:hint="eastAsia"/>
        </w:rPr>
        <w:t>实施</w:t>
      </w:r>
    </w:p>
    <w:p>
      <w:pPr>
        <w:pStyle w:val="19"/>
      </w:pPr>
      <w:bookmarkStart w:id="3" w:name="fm"/>
      <w: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124460</wp:posOffset>
                </wp:positionV>
                <wp:extent cx="6153150" cy="635"/>
                <wp:effectExtent l="10160" t="12700" r="8890" b="571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615315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3pt;margin-top:9.8pt;height:0.05pt;width:484.5pt;z-index:251661312;mso-width-relative:page;mso-height-relative:page;" filled="f" stroked="t" coordsize="21600,21600" o:gfxdata="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vHao/WAAAACAEA&#10;AA8AAAAAAAAAAQAgAAAAOAAAAGRycy9kb3ducmV2LnhtbFBLAQIUABQAAAAIAIdO4kBunj7VzQEA&#10;AGEDAAAOAAAAAAAAAAEAIAAAADsBAABkcnMvZTJvRG9jLnhtbFBLBQYAAAAABgAGAFkBAAB6BQAA&#10;AAA=&#10;">
                <v:fill on="f" focussize="0,0"/>
                <v:stroke color="#000000" joinstyle="round"/>
                <v:imagedata o:title=""/>
                <o:lock v:ext="edit" aspectratio="f"/>
              </v:line>
            </w:pict>
          </mc:Fallback>
        </mc:AlternateContent>
      </w:r>
    </w:p>
    <w:p>
      <w:pPr>
        <w:pStyle w:val="19"/>
        <w:spacing w:line="240" w:lineRule="auto"/>
      </w:pPr>
      <w:r>
        <w:rPr>
          <w:rStyle w:val="13"/>
          <w:rFonts w:hint="eastAsia"/>
        </w:rPr>
        <w:t>中</w:t>
      </w:r>
      <w:r>
        <w:rPr>
          <w:rStyle w:val="13"/>
          <w:rFonts w:hint="eastAsia"/>
          <w:lang w:eastAsia="zh-CN"/>
        </w:rPr>
        <w:t>华</w:t>
      </w:r>
      <w:bookmarkStart w:id="7" w:name="_GoBack"/>
      <w:bookmarkEnd w:id="7"/>
      <w:r>
        <w:rPr>
          <w:rStyle w:val="13"/>
          <w:rFonts w:hint="eastAsia"/>
        </w:rPr>
        <w:t>人民共和国国土资源部</w:t>
      </w:r>
      <w:r>
        <w:rPr>
          <w:rStyle w:val="16"/>
          <w:rFonts w:hint="eastAsia" w:hAnsi="黑体" w:cs="黑体"/>
        </w:rPr>
        <w:t xml:space="preserve"> </w:t>
      </w:r>
      <w:r>
        <w:rPr>
          <w:rFonts w:hint="eastAsia" w:hAnsi="黑体" w:cs="黑体"/>
        </w:rPr>
        <w:t xml:space="preserve"> </w:t>
      </w:r>
      <w:bookmarkEnd w:id="3"/>
      <w:r>
        <w:rPr>
          <w:rStyle w:val="13"/>
          <w:rFonts w:hint="eastAsia" w:hAnsi="黑体" w:cs="黑体"/>
        </w:rPr>
        <w:t>发</w:t>
      </w:r>
      <w:r>
        <w:rPr>
          <w:rStyle w:val="13"/>
          <w:rFonts w:hint="eastAsia"/>
        </w:rPr>
        <w:t>布</w:t>
      </w:r>
    </w:p>
    <w:p>
      <w:pPr>
        <w:pStyle w:val="7"/>
        <w:sectPr>
          <w:headerReference r:id="rId3" w:type="even"/>
          <w:footerReference r:id="rId4" w:type="even"/>
          <w:pgSz w:w="11906" w:h="16838"/>
          <w:pgMar w:top="567" w:right="1134" w:bottom="1134" w:left="1417" w:header="0" w:footer="0" w:gutter="0"/>
          <w:pgNumType w:fmt="upperRoman" w:start="1"/>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13335" t="10795" r="10160" b="8255"/>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184.25pt;height:0pt;width:481.9pt;z-index:251659264;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EJB4l/XAAAACQEAAA8A&#10;AAAAAAAAAQAgAAAAOAAAAGRycy9kb3ducmV2LnhtbFBLAQIUABQAAAAIAIdO4kCyPoBtyQEAAF8D&#10;AAAOAAAAAAAAAAEAIAAAADwBAABkcnMvZTJvRG9jLnhtbFBLBQYAAAAABgAGAFkBAAB3BQAAAAA=&#10;">
                <v:fill on="f" focussize="0,0"/>
                <v:stroke color="#000000" joinstyle="round"/>
                <v:imagedata o:title=""/>
                <o:lock v:ext="edit" aspectratio="f"/>
              </v:line>
            </w:pict>
          </mc:Fallback>
        </mc:AlternateContent>
      </w:r>
    </w:p>
    <w:p>
      <w:pPr>
        <w:pStyle w:val="8"/>
        <w:numPr>
          <w:ilvl w:val="0"/>
          <w:numId w:val="0"/>
        </w:numPr>
        <w:spacing w:before="312" w:after="312"/>
        <w:ind w:left="426"/>
        <w:jc w:val="center"/>
        <w:rPr>
          <w:rFonts w:ascii="宋体" w:hAnsi="宋体" w:eastAsia="宋体" w:cs="宋体"/>
          <w:b/>
          <w:bCs/>
          <w:sz w:val="44"/>
          <w:szCs w:val="44"/>
        </w:rPr>
      </w:pPr>
      <w:r>
        <w:rPr>
          <w:rFonts w:hint="eastAsia" w:ascii="宋体" w:hAnsi="宋体" w:eastAsia="宋体" w:cs="宋体"/>
          <w:b/>
          <w:bCs/>
          <w:sz w:val="44"/>
          <w:szCs w:val="44"/>
        </w:rPr>
        <w:t>涉林地部分</w:t>
      </w:r>
    </w:p>
    <w:p>
      <w:pPr>
        <w:pStyle w:val="8"/>
        <w:numPr>
          <w:ilvl w:val="0"/>
          <w:numId w:val="0"/>
        </w:numPr>
        <w:spacing w:before="312" w:after="312" w:line="520" w:lineRule="exact"/>
        <w:ind w:left="426"/>
        <w:rPr>
          <w:rFonts w:ascii="仿宋" w:hAnsi="仿宋" w:eastAsia="仿宋" w:cs="仿宋"/>
          <w:sz w:val="32"/>
          <w:szCs w:val="32"/>
        </w:rPr>
      </w:pPr>
      <w:r>
        <w:rPr>
          <w:rFonts w:hint="eastAsia" w:ascii="仿宋" w:hAnsi="仿宋" w:eastAsia="仿宋" w:cs="仿宋"/>
          <w:sz w:val="32"/>
          <w:szCs w:val="32"/>
        </w:rPr>
        <w:t>……</w:t>
      </w:r>
    </w:p>
    <w:p>
      <w:pPr>
        <w:pStyle w:val="8"/>
        <w:numPr>
          <w:ilvl w:val="0"/>
          <w:numId w:val="0"/>
        </w:numPr>
        <w:spacing w:before="312" w:after="312" w:line="520" w:lineRule="exact"/>
        <w:rPr>
          <w:rFonts w:ascii="仿宋" w:hAnsi="仿宋" w:eastAsia="仿宋" w:cs="仿宋"/>
          <w:sz w:val="32"/>
          <w:szCs w:val="32"/>
        </w:rPr>
      </w:pPr>
      <w:r>
        <w:rPr>
          <w:rFonts w:hint="eastAsia" w:ascii="仿宋" w:hAnsi="仿宋" w:eastAsia="仿宋" w:cs="仿宋"/>
          <w:sz w:val="32"/>
          <w:szCs w:val="32"/>
        </w:rPr>
        <w:t>6损毁土地复垦质量要求</w:t>
      </w:r>
    </w:p>
    <w:p>
      <w:pPr>
        <w:pStyle w:val="9"/>
        <w:numPr>
          <w:ilvl w:val="0"/>
          <w:numId w:val="0"/>
        </w:numPr>
        <w:spacing w:before="156" w:after="156" w:line="520" w:lineRule="exact"/>
        <w:rPr>
          <w:rFonts w:ascii="仿宋" w:hAnsi="仿宋" w:eastAsia="仿宋" w:cs="仿宋"/>
          <w:sz w:val="32"/>
          <w:szCs w:val="32"/>
        </w:rPr>
      </w:pPr>
      <w:bookmarkStart w:id="4" w:name="_Toc19284"/>
      <w:r>
        <w:rPr>
          <w:rFonts w:hint="eastAsia" w:ascii="仿宋" w:hAnsi="仿宋" w:eastAsia="仿宋" w:cs="仿宋"/>
          <w:sz w:val="32"/>
          <w:szCs w:val="32"/>
        </w:rPr>
        <w:t>6.1生产建设活动损毁土地</w:t>
      </w:r>
      <w:bookmarkEnd w:id="4"/>
    </w:p>
    <w:p>
      <w:pPr>
        <w:pStyle w:val="10"/>
        <w:numPr>
          <w:ilvl w:val="0"/>
          <w:numId w:val="0"/>
        </w:numPr>
        <w:tabs>
          <w:tab w:val="left" w:pos="851"/>
        </w:tabs>
        <w:spacing w:before="156" w:after="156" w:line="520" w:lineRule="exact"/>
        <w:rPr>
          <w:rFonts w:ascii="仿宋" w:hAnsi="仿宋" w:eastAsia="仿宋" w:cs="仿宋"/>
          <w:sz w:val="32"/>
          <w:szCs w:val="32"/>
        </w:rPr>
      </w:pPr>
      <w:r>
        <w:rPr>
          <w:rFonts w:hint="eastAsia" w:ascii="仿宋" w:hAnsi="仿宋" w:eastAsia="仿宋" w:cs="仿宋"/>
          <w:sz w:val="32"/>
          <w:szCs w:val="32"/>
        </w:rPr>
        <w:t>6.1.1挖损土地</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6.1.1.1 露天采场（坑）</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依据当地自然环境、采掘坑面积和深度、坑底岩性和地形、表层风化程度、表土资源及灌溉条件，合理确定耕地、林地、草地、建设用地等土地复垦方向。</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不积水露矿深挖损地，含薄覆盖层的深采场、厚覆盖层的浅采场和厚覆盖层的深采场三种，适宜于复垦为林地。根据坑底地形、岩体风化程度、种植树木类型、根系发育状况，确定覆土厚度和配置模式及种植方式。当坑底地势较平坦、岩体风化严重时，易采用整体覆土，自然沉实土壤覆土厚度为30 cm以上；当坑底地势起伏较大，岩体较完整，应采用客土穴植方式，减少上覆土方量，降低治理成本。土壤环境质量应达到《土壤环境质量标准》（GB 15618-1995）中的三级标准。</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6.1.1.2 取土场</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依据当地自然环境、取土场面积、深度和地形、表层风化程度及表土资源，合理确定耕地、园地、林地、草地、建设用地等土地复垦方向。</w:t>
      </w:r>
    </w:p>
    <w:p>
      <w:pPr>
        <w:pStyle w:val="7"/>
        <w:tabs>
          <w:tab w:val="center" w:pos="567"/>
          <w:tab w:val="clear" w:pos="4201"/>
        </w:tabs>
        <w:spacing w:line="520" w:lineRule="exact"/>
        <w:ind w:firstLine="640"/>
        <w:rPr>
          <w:rFonts w:ascii="仿宋" w:hAnsi="仿宋" w:eastAsia="仿宋" w:cs="仿宋"/>
          <w:sz w:val="32"/>
          <w:szCs w:val="32"/>
        </w:rPr>
      </w:pPr>
      <w:r>
        <w:rPr>
          <w:rFonts w:hint="eastAsia" w:ascii="仿宋" w:hAnsi="仿宋" w:eastAsia="仿宋" w:cs="仿宋"/>
          <w:sz w:val="32"/>
          <w:szCs w:val="32"/>
        </w:rPr>
        <w:t>大型取土场土地复垦质量要求可参照6.1.1.1露天采场（坑）执行。</w:t>
      </w:r>
    </w:p>
    <w:p>
      <w:pPr>
        <w:pStyle w:val="7"/>
        <w:tabs>
          <w:tab w:val="center" w:pos="567"/>
          <w:tab w:val="clear" w:pos="4201"/>
        </w:tabs>
        <w:spacing w:line="520" w:lineRule="exact"/>
        <w:ind w:firstLine="640"/>
        <w:rPr>
          <w:rFonts w:ascii="仿宋" w:hAnsi="仿宋" w:eastAsia="仿宋" w:cs="仿宋"/>
          <w:sz w:val="32"/>
          <w:szCs w:val="32"/>
        </w:rPr>
      </w:pPr>
      <w:r>
        <w:rPr>
          <w:rFonts w:hint="eastAsia" w:ascii="仿宋" w:hAnsi="仿宋" w:eastAsia="仿宋" w:cs="仿宋"/>
          <w:sz w:val="32"/>
          <w:szCs w:val="32"/>
        </w:rPr>
        <w:t>对于小型取土场，能够回填恢复的，应参照国家有关环境标准尽量利用废石、垃圾、粉煤灰等废料回填。取土场复垦为耕地，表土厚度不低于50cm，土壤环境质量应达到《土壤环境质量标准》（GB 15618-1995）中的二级标准；复垦为园地，表土厚度不低于30cm，土壤环境质量应达到《土壤环境质量标准》（GB 15618-1995）中的二级标准；复垦为林地、草地，表土厚度不低于30cm，土壤环境质量应达到《土壤环境质量标准》（GB 15618-1995）中的三级标准。</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6.1.1.3 其他</w:t>
      </w:r>
    </w:p>
    <w:p>
      <w:pPr>
        <w:pStyle w:val="7"/>
        <w:tabs>
          <w:tab w:val="center" w:pos="567"/>
          <w:tab w:val="clear" w:pos="4201"/>
        </w:tabs>
        <w:spacing w:line="520" w:lineRule="exact"/>
        <w:ind w:firstLine="640"/>
        <w:rPr>
          <w:rFonts w:ascii="仿宋" w:hAnsi="仿宋" w:eastAsia="仿宋" w:cs="仿宋"/>
          <w:sz w:val="32"/>
          <w:szCs w:val="32"/>
        </w:rPr>
      </w:pPr>
      <w:r>
        <w:rPr>
          <w:rFonts w:hint="eastAsia" w:ascii="仿宋" w:hAnsi="仿宋" w:eastAsia="仿宋" w:cs="仿宋"/>
          <w:sz w:val="32"/>
          <w:szCs w:val="32"/>
        </w:rPr>
        <w:t>参照 6.1.1.1 和 6.1.1.2 规定执行。</w:t>
      </w:r>
    </w:p>
    <w:p>
      <w:pPr>
        <w:pStyle w:val="10"/>
        <w:numPr>
          <w:ilvl w:val="0"/>
          <w:numId w:val="0"/>
        </w:numPr>
        <w:tabs>
          <w:tab w:val="left" w:pos="851"/>
        </w:tabs>
        <w:spacing w:before="156" w:after="156" w:line="520" w:lineRule="exact"/>
        <w:rPr>
          <w:rFonts w:ascii="仿宋" w:hAnsi="仿宋" w:eastAsia="仿宋" w:cs="仿宋"/>
          <w:sz w:val="32"/>
          <w:szCs w:val="32"/>
        </w:rPr>
      </w:pPr>
      <w:r>
        <w:rPr>
          <w:rFonts w:hint="eastAsia" w:ascii="仿宋" w:hAnsi="仿宋" w:eastAsia="仿宋" w:cs="仿宋"/>
          <w:sz w:val="32"/>
          <w:szCs w:val="32"/>
        </w:rPr>
        <w:t>1.1.1塌陷土地</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6.1.2.1 积水性塌陷地</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依据当地条件，因地制宜，保留水面，集中开挖水库、蓄水池、鱼塘或人工湖等，采用挖深垫浅和充填等工艺综合实施塌陷土地复垦与生态环境治理。复垦水域水质应符合《地表水环境质量标准》（GB 3838-2002）中IV、V类水域标准。</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6.1.2.2 季节性积水塌陷地</w:t>
      </w:r>
    </w:p>
    <w:p>
      <w:pPr>
        <w:pStyle w:val="7"/>
        <w:tabs>
          <w:tab w:val="center" w:pos="567"/>
          <w:tab w:val="clear" w:pos="4201"/>
        </w:tabs>
        <w:spacing w:line="520" w:lineRule="exact"/>
        <w:ind w:firstLine="640"/>
        <w:rPr>
          <w:rFonts w:ascii="仿宋" w:hAnsi="仿宋" w:eastAsia="仿宋" w:cs="仿宋"/>
          <w:sz w:val="32"/>
          <w:szCs w:val="32"/>
        </w:rPr>
      </w:pPr>
      <w:r>
        <w:rPr>
          <w:rFonts w:hint="eastAsia" w:ascii="仿宋" w:hAnsi="仿宋" w:eastAsia="仿宋" w:cs="仿宋"/>
          <w:sz w:val="32"/>
          <w:szCs w:val="32"/>
        </w:rPr>
        <w:t>局部积水或季节性积水地带，应依据当地条件，因地制宜，适当整形后复垦为耕地、林地、草地等。</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6.1.2.3 非积水性塌陷地</w:t>
      </w:r>
    </w:p>
    <w:p>
      <w:pPr>
        <w:pStyle w:val="7"/>
        <w:tabs>
          <w:tab w:val="center" w:pos="567"/>
          <w:tab w:val="clear" w:pos="4201"/>
        </w:tabs>
        <w:spacing w:line="520" w:lineRule="exact"/>
        <w:ind w:firstLine="640"/>
        <w:rPr>
          <w:rFonts w:ascii="仿宋" w:hAnsi="仿宋" w:eastAsia="仿宋" w:cs="仿宋"/>
          <w:sz w:val="32"/>
          <w:szCs w:val="32"/>
        </w:rPr>
      </w:pPr>
      <w:r>
        <w:rPr>
          <w:rFonts w:hint="eastAsia" w:ascii="仿宋" w:hAnsi="仿宋" w:eastAsia="仿宋" w:cs="仿宋"/>
          <w:sz w:val="32"/>
          <w:szCs w:val="32"/>
        </w:rPr>
        <w:t>基本不积水或干旱地带形成丘陵地貌，可对局部沉陷地填平补齐，进行土地平整。沉陷后形成坡地时，根据坡度情况小于25°的可修整为水平梯田，局部小面积积水可改造为水田等。</w:t>
      </w:r>
    </w:p>
    <w:p>
      <w:pPr>
        <w:pStyle w:val="7"/>
        <w:tabs>
          <w:tab w:val="center" w:pos="567"/>
          <w:tab w:val="clear" w:pos="4201"/>
        </w:tabs>
        <w:spacing w:line="520" w:lineRule="exact"/>
        <w:ind w:firstLine="640"/>
        <w:rPr>
          <w:rFonts w:ascii="仿宋" w:hAnsi="仿宋" w:eastAsia="仿宋" w:cs="仿宋"/>
          <w:sz w:val="32"/>
          <w:szCs w:val="32"/>
        </w:rPr>
      </w:pPr>
      <w:r>
        <w:rPr>
          <w:rFonts w:hint="eastAsia" w:ascii="仿宋" w:hAnsi="仿宋" w:eastAsia="仿宋" w:cs="仿宋"/>
          <w:sz w:val="32"/>
          <w:szCs w:val="32"/>
        </w:rPr>
        <w:t>用矿山废弃物充填时，应参照国家有关环境标准，进行卫生安全土地填筑处置，充填后场地稳定。有防止填充物中有害成份污染地下水和土壤的防治措施。视其填充物性质、种类，除采取压实等加固措施外，应作不同程度防渗、防污染处置，必要时，设衬垫隔离层。</w:t>
      </w:r>
    </w:p>
    <w:p>
      <w:pPr>
        <w:pStyle w:val="10"/>
        <w:tabs>
          <w:tab w:val="left" w:pos="851"/>
        </w:tabs>
        <w:spacing w:before="156" w:after="156" w:line="520" w:lineRule="exact"/>
        <w:rPr>
          <w:rFonts w:ascii="仿宋" w:hAnsi="仿宋" w:eastAsia="仿宋" w:cs="仿宋"/>
          <w:sz w:val="32"/>
          <w:szCs w:val="32"/>
        </w:rPr>
      </w:pPr>
      <w:r>
        <w:rPr>
          <w:rFonts w:hint="eastAsia" w:ascii="仿宋" w:hAnsi="仿宋" w:eastAsia="仿宋" w:cs="仿宋"/>
          <w:sz w:val="32"/>
          <w:szCs w:val="32"/>
        </w:rPr>
        <w:t>压占土地</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6.1.3.1 排土场</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依据当地自然环境、排土场地形、水资源及表土资源，合理确定耕地、林地、草地、建设用地等土地复垦方向。</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排土场最终坡度应与土地利用方式相适应，应为26°-28°，机械作业区坡度小于20°，对生态利用的坡度小于岩土的自然安息角36°左右。</w:t>
      </w:r>
    </w:p>
    <w:p>
      <w:pPr>
        <w:spacing w:line="520" w:lineRule="exact"/>
        <w:ind w:firstLine="480"/>
        <w:rPr>
          <w:rFonts w:ascii="仿宋" w:hAnsi="仿宋" w:eastAsia="仿宋" w:cs="仿宋"/>
          <w:sz w:val="32"/>
          <w:szCs w:val="32"/>
        </w:rPr>
      </w:pPr>
      <w:r>
        <w:rPr>
          <w:rFonts w:hint="eastAsia" w:ascii="仿宋" w:hAnsi="仿宋" w:eastAsia="仿宋" w:cs="仿宋"/>
          <w:sz w:val="32"/>
          <w:szCs w:val="32"/>
        </w:rPr>
        <w:t>合理安排岩土排弃次序，尽量将含不良成分的岩土堆放在深部，品质适宜的土层包括易风化性岩层可安排在上部，富含养份的土层宜安排在排土场顶部或表层。充分利用工程前收集的表土覆盖于表层。在无适宜表土覆盖时，可采用经过试验确证，不致造成污染的其它物料覆盖。覆盖土层厚度应根据场地用途确定。煤矸石须填埋在排土场的20m以下，以防止自燃。</w:t>
      </w:r>
    </w:p>
    <w:p>
      <w:pPr>
        <w:spacing w:line="520" w:lineRule="exact"/>
        <w:ind w:firstLine="480"/>
        <w:rPr>
          <w:rFonts w:ascii="仿宋" w:hAnsi="仿宋" w:eastAsia="仿宋" w:cs="仿宋"/>
          <w:sz w:val="32"/>
          <w:szCs w:val="32"/>
        </w:rPr>
      </w:pPr>
      <w:r>
        <w:rPr>
          <w:rFonts w:hint="eastAsia" w:ascii="仿宋" w:hAnsi="仿宋" w:eastAsia="仿宋" w:cs="仿宋"/>
          <w:sz w:val="32"/>
          <w:szCs w:val="32"/>
        </w:rPr>
        <w:t>在采矿剥离物含有毒有害成份时，必须用碎石深度覆盖，不得出露，并应有防渗措施。然后再覆盖土层后，方可复垦为农用地。</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排土场的配套设施应有合理的道路布置，排水设施应满足场地要求，设计和施工中有控制水土流失措施，特别是控制边坡水土流失措施。</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6.1.3.2 废石场</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依据当地自然环境、废石场地形、水资源及表土资源，合理确定耕地、林地、草地、建设用地等土地复垦方向。</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新排弃废石应立即进行压实整治，形成面积大、边坡稳定的复垦场地。</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已有风化层，层厚在10cm以上，颗粒细，pH值适中，可进行无覆土复垦，直接种植植被。风化层薄，含盐量高或具有酸性污染时，应经调节pH值至适中后，覆土30cm以上。不易风化废石覆土厚度应在50cm以上。</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具有重金属等污染时，如果复垦为农用地，应铺设隔离层，再覆土50cm以上。</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废石场的配套设施应有合理的道路布置，排水设施应满足场地要求，设计和施工中有控制水土流失措施，特别是控制边坡水土流失措施。</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6.1.3.3 矸石山</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依据当地自然环境、矸石山地形、水资源及表土资源，合理确定耕地、林地、草地等土地复垦方向。</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矸石山原则上复垦为林草地，对立地条件较好、覆土较厚且无污染的，可复垦为耕地。</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对新排的矸石山，应尽量减少硫铁矿混入，层层压实，每排10m再铺覆一层50cm的粘土层，阻隔空气进入，预防自燃。山区、丘陵区应选择填沟造地。</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矸石山整地需要保障边坡的稳定，一般斜坡的坡度小于岩土自然安息角36°。修建水土保持和排水工程，有合理的道路布置，宜在坡脚修建挡土墙。</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土源缺乏的非酸性矸石山，可考虑不覆土种植，保留地表风化物。常绿乔木需带土球移植，其他乔灌木应穴植、并在穴中添加土壤。对景观和环境要求较高的地区需要覆盖10cm-30cm以上的表土。</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酸性矸石山须采取控酸和防灭火措施，可覆盖由碱性材料和土壤构成的惰性材料，并辅以碾压，其厚度依据覆盖材料不同而形成20cm以上的隔离层，阻隔空气进入矸石山。在隔离层之上再覆盖植物生长的土壤材料，厚度宜在30cm以上，具体覆土厚度根据土壤特性和复垦方向要求确定。对有自燃的矸石山应先进行灭火。酸性自燃的矸石山宜采用草灌为主，尽量少用乔木。有挡土墙的坡脚需要加强密闭措施，阻隔空气进入矸石山。</w:t>
      </w:r>
    </w:p>
    <w:p>
      <w:pPr>
        <w:pStyle w:val="7"/>
        <w:spacing w:line="520" w:lineRule="exact"/>
        <w:ind w:firstLine="0" w:firstLineChars="0"/>
        <w:rPr>
          <w:rFonts w:ascii="仿宋" w:hAnsi="仿宋" w:eastAsia="仿宋" w:cs="仿宋"/>
          <w:sz w:val="32"/>
          <w:szCs w:val="32"/>
        </w:rPr>
      </w:pPr>
      <w:bookmarkStart w:id="5" w:name="_Toc264905909"/>
      <w:r>
        <w:rPr>
          <w:rFonts w:hint="eastAsia" w:ascii="仿宋" w:hAnsi="仿宋" w:eastAsia="仿宋" w:cs="仿宋"/>
          <w:sz w:val="32"/>
          <w:szCs w:val="32"/>
        </w:rPr>
        <w:t>6.1.3.4 尾矿库、赤泥堆</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依据当地自然环境、尾矿库或赤泥堆地形、水资源及表土资源，合理确定耕地、林地、草地、建设用地等土地复垦方向。</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 xml:space="preserve">无相应工程设施或工程设施不能满足防渗、防洪等要求的，应采取适当的工程技术措施，使其满足当地要求。 </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依据各类废弃物性状，确定覆土的必要性、覆土层厚度等。一般覆土厚度应在50cm以上。覆土区有控制水土流失的措施。</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具有酸性、碱性或有毒有害物质污染时，应视其含量水平，确定隔离层设置的必要性、层厚、材质等，尽可能深度覆盖。</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具有放射性物质污染时，工程措施及标准应符合《放射性废弃物管理规定》（GB 14500）。</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赤泥堆边坡复垦应充分考虑边坡的坡度大、碱性高、植被困难等特点，选择适宜的植被基质、施工工艺及植物品种等。</w:t>
      </w:r>
    </w:p>
    <w:p>
      <w:pPr>
        <w:pStyle w:val="10"/>
        <w:numPr>
          <w:ilvl w:val="0"/>
          <w:numId w:val="0"/>
        </w:numPr>
        <w:tabs>
          <w:tab w:val="left" w:pos="851"/>
        </w:tabs>
        <w:spacing w:before="156" w:after="156" w:line="520" w:lineRule="exact"/>
        <w:rPr>
          <w:rFonts w:ascii="仿宋" w:hAnsi="仿宋" w:eastAsia="仿宋" w:cs="仿宋"/>
          <w:sz w:val="32"/>
          <w:szCs w:val="32"/>
        </w:rPr>
      </w:pPr>
      <w:bookmarkStart w:id="6" w:name="_Toc303456973"/>
      <w:r>
        <w:rPr>
          <w:rFonts w:hint="eastAsia" w:ascii="仿宋" w:hAnsi="仿宋" w:eastAsia="仿宋" w:cs="仿宋"/>
          <w:sz w:val="32"/>
          <w:szCs w:val="32"/>
        </w:rPr>
        <w:t>1.1.2其他</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6.1.4.1 污染土地</w:t>
      </w:r>
    </w:p>
    <w:bookmarkEnd w:id="6"/>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可根据污染物性质及污染程度，采取物理、化学或生物措施去除或钝化土壤污染物。对于通过上述措施仍无法将污染物消除或抑制其活性至目标水平的污染严重的土壤，可通过采取工程措施铺设隔离层，再行覆土，覆土厚度一般50cm以上。铺设隔离层时应对隔离材料有毒有害成分进行分析，避免隔离材料引进污染。</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对于污染严重的土壤也可采取深埋措施。埋深依据污染程度确定。填埋场地需采取防渗措施，防止对地下水、相邻土层及其上部土层的二次污染，必须实行安全土地填筑处理或其他适宜方法处理。应符合《危险废弃物填埋污染控制标准》（GB 18598）。</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用于园地、林地坡度在10-25°时，应沿等高线修筑梯地、水平沟或鱼鳞坑。有水土保持措施，防洪标准满足当地要求。有机械化作业通道。果树种植区有排灌设施。</w:t>
      </w:r>
    </w:p>
    <w:p>
      <w:pPr>
        <w:pStyle w:val="7"/>
        <w:spacing w:line="520" w:lineRule="exact"/>
        <w:ind w:firstLine="640"/>
        <w:rPr>
          <w:rFonts w:ascii="仿宋" w:hAnsi="仿宋" w:eastAsia="仿宋" w:cs="仿宋"/>
          <w:sz w:val="32"/>
          <w:szCs w:val="32"/>
        </w:rPr>
      </w:pPr>
      <w:r>
        <w:rPr>
          <w:rFonts w:hint="eastAsia" w:ascii="仿宋" w:hAnsi="仿宋" w:eastAsia="仿宋" w:cs="仿宋"/>
          <w:sz w:val="32"/>
          <w:szCs w:val="32"/>
        </w:rPr>
        <w:t>……</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6.1.4.2 其他</w:t>
      </w:r>
    </w:p>
    <w:p>
      <w:pPr>
        <w:pStyle w:val="7"/>
        <w:spacing w:line="52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参照6.1.1—6.1.3规定执行。</w:t>
      </w:r>
      <w:bookmarkEnd w:id="5"/>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 PAGE  \* MERGEFORMAT </w:instrText>
    </w:r>
    <w:r>
      <w:fldChar w:fldCharType="separate"/>
    </w:r>
    <w:r>
      <w:rPr>
        <w:lang w:val="en-US" w:eastAsia="zh-CN"/>
      </w:rPr>
      <w:t>II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t xml:space="preserve">TD/T </w:t>
    </w:r>
    <w:r>
      <w:rPr>
        <w:rFonts w:hint="eastAsia"/>
      </w:rPr>
      <w:t>1036</w:t>
    </w:r>
    <w:r>
      <w:t>—201</w:t>
    </w:r>
    <w:r>
      <w:rPr>
        <w:rFonts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B"/>
    <w:multiLevelType w:val="multilevel"/>
    <w:tmpl w:val="0000001B"/>
    <w:lvl w:ilvl="0" w:tentative="0">
      <w:start w:val="1"/>
      <w:numFmt w:val="decimal"/>
      <w:pStyle w:val="8"/>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0" w:firstLine="0"/>
      </w:pPr>
      <w:rPr>
        <w:rFonts w:hint="eastAsia" w:ascii="黑体" w:hAnsi="Times New Roman" w:eastAsia="黑体" w:cs="Times New Roman"/>
        <w:b w:val="0"/>
        <w:bCs w:val="0"/>
        <w:i w:val="0"/>
        <w:iCs w:val="0"/>
        <w:caps w:val="0"/>
        <w:strike w:val="0"/>
        <w:dstrike w:val="0"/>
        <w:color w:val="auto"/>
        <w:spacing w:val="0"/>
        <w:kern w:val="0"/>
        <w:position w:val="0"/>
        <w:sz w:val="21"/>
        <w:szCs w:val="21"/>
        <w:u w:val="none"/>
      </w:rPr>
    </w:lvl>
    <w:lvl w:ilvl="2" w:tentative="0">
      <w:start w:val="1"/>
      <w:numFmt w:val="decimal"/>
      <w:pStyle w:val="10"/>
      <w:suff w:val="nothing"/>
      <w:lvlText w:val="%1.%2.%3　"/>
      <w:lvlJc w:val="left"/>
      <w:pPr>
        <w:ind w:left="0" w:firstLine="0"/>
      </w:pPr>
      <w:rPr>
        <w:rFonts w:hint="eastAsia" w:ascii="黑体" w:hAnsi="Times New Roman" w:eastAsia="黑体"/>
        <w:b w:val="0"/>
        <w:i w:val="0"/>
        <w:sz w:val="21"/>
        <w:szCs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6B"/>
    <w:rsid w:val="00080F31"/>
    <w:rsid w:val="001E2A8A"/>
    <w:rsid w:val="00343B6B"/>
    <w:rsid w:val="00504915"/>
    <w:rsid w:val="005C2CB0"/>
    <w:rsid w:val="005F558A"/>
    <w:rsid w:val="006D1493"/>
    <w:rsid w:val="009E2BF0"/>
    <w:rsid w:val="00D57638"/>
    <w:rsid w:val="00DA0FB9"/>
    <w:rsid w:val="00DA67CA"/>
    <w:rsid w:val="00DE2E65"/>
    <w:rsid w:val="DF17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8"/>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段"/>
    <w:link w:val="2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8">
    <w:name w:val="章标题"/>
    <w:next w:val="7"/>
    <w:qFormat/>
    <w:uiPriority w:val="0"/>
    <w:pPr>
      <w:numPr>
        <w:ilvl w:val="0"/>
        <w:numId w:val="1"/>
      </w:numPr>
      <w:spacing w:beforeLines="100" w:afterLines="100"/>
      <w:ind w:left="852"/>
      <w:jc w:val="both"/>
      <w:outlineLvl w:val="1"/>
    </w:pPr>
    <w:rPr>
      <w:rFonts w:ascii="黑体" w:hAnsi="Times New Roman" w:eastAsia="黑体" w:cs="Times New Roman"/>
      <w:kern w:val="0"/>
      <w:sz w:val="21"/>
      <w:szCs w:val="20"/>
      <w:lang w:val="en-US" w:eastAsia="zh-CN" w:bidi="ar-SA"/>
    </w:rPr>
  </w:style>
  <w:style w:type="paragraph" w:customStyle="1" w:styleId="9">
    <w:name w:val="一级条标题"/>
    <w:next w:val="7"/>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10">
    <w:name w:val="二级条标题"/>
    <w:basedOn w:val="9"/>
    <w:next w:val="7"/>
    <w:qFormat/>
    <w:uiPriority w:val="0"/>
    <w:pPr>
      <w:numPr>
        <w:ilvl w:val="2"/>
      </w:numPr>
      <w:spacing w:before="50" w:beforeLines="0" w:after="50" w:afterLines="0"/>
      <w:outlineLvl w:val="3"/>
    </w:pPr>
  </w:style>
  <w:style w:type="character" w:customStyle="1" w:styleId="11">
    <w:name w:val="页眉 Char"/>
    <w:basedOn w:val="6"/>
    <w:link w:val="4"/>
    <w:qFormat/>
    <w:uiPriority w:val="99"/>
    <w:rPr>
      <w:rFonts w:ascii="Times New Roman" w:hAnsi="Times New Roman" w:eastAsia="宋体" w:cs="Times New Roman"/>
      <w:sz w:val="18"/>
      <w:szCs w:val="18"/>
    </w:rPr>
  </w:style>
  <w:style w:type="character" w:customStyle="1" w:styleId="12">
    <w:name w:val="页脚 Char"/>
    <w:basedOn w:val="6"/>
    <w:link w:val="3"/>
    <w:qFormat/>
    <w:uiPriority w:val="99"/>
    <w:rPr>
      <w:rFonts w:ascii="Times New Roman" w:hAnsi="Times New Roman" w:eastAsia="宋体" w:cs="Times New Roman"/>
      <w:sz w:val="18"/>
      <w:szCs w:val="18"/>
    </w:rPr>
  </w:style>
  <w:style w:type="character" w:customStyle="1" w:styleId="13">
    <w:name w:val="发布"/>
    <w:qFormat/>
    <w:uiPriority w:val="0"/>
    <w:rPr>
      <w:rFonts w:ascii="黑体" w:eastAsia="黑体"/>
      <w:spacing w:val="85"/>
      <w:w w:val="100"/>
      <w:position w:val="3"/>
      <w:sz w:val="28"/>
      <w:szCs w:val="28"/>
    </w:rPr>
  </w:style>
  <w:style w:type="character" w:customStyle="1" w:styleId="14">
    <w:name w:val="其他标准称谓 Char Char"/>
    <w:link w:val="15"/>
    <w:qFormat/>
    <w:uiPriority w:val="0"/>
    <w:rPr>
      <w:rFonts w:ascii="黑体" w:hAnsi="宋体" w:eastAsia="黑体"/>
      <w:spacing w:val="-40"/>
      <w:sz w:val="48"/>
      <w:szCs w:val="52"/>
    </w:rPr>
  </w:style>
  <w:style w:type="paragraph" w:customStyle="1" w:styleId="15">
    <w:name w:val="其他标准称谓"/>
    <w:next w:val="1"/>
    <w:link w:val="14"/>
    <w:qFormat/>
    <w:uiPriority w:val="0"/>
    <w:pPr>
      <w:spacing w:line="0" w:lineRule="atLeast"/>
      <w:jc w:val="distribute"/>
    </w:pPr>
    <w:rPr>
      <w:rFonts w:ascii="黑体" w:hAnsi="宋体" w:eastAsia="黑体" w:cstheme="minorBidi"/>
      <w:spacing w:val="-40"/>
      <w:kern w:val="2"/>
      <w:sz w:val="48"/>
      <w:szCs w:val="52"/>
      <w:lang w:val="en-US" w:eastAsia="zh-CN" w:bidi="ar-SA"/>
    </w:rPr>
  </w:style>
  <w:style w:type="character" w:customStyle="1" w:styleId="16">
    <w:name w:val="实施日期 Char Char"/>
    <w:link w:val="17"/>
    <w:qFormat/>
    <w:uiPriority w:val="0"/>
  </w:style>
  <w:style w:type="paragraph" w:customStyle="1" w:styleId="17">
    <w:name w:val="实施日期"/>
    <w:basedOn w:val="1"/>
    <w:link w:val="16"/>
    <w:qFormat/>
    <w:uiPriority w:val="0"/>
    <w:pPr>
      <w:widowControl/>
      <w:jc w:val="right"/>
    </w:pPr>
    <w:rPr>
      <w:rFonts w:asciiTheme="minorHAnsi" w:hAnsiTheme="minorHAnsi" w:eastAsiaTheme="minorEastAsia" w:cstheme="minorBidi"/>
      <w:szCs w:val="22"/>
    </w:rPr>
  </w:style>
  <w:style w:type="character" w:customStyle="1" w:styleId="18">
    <w:name w:val="其他发布部门 Char Char"/>
    <w:link w:val="19"/>
    <w:qFormat/>
    <w:uiPriority w:val="0"/>
    <w:rPr>
      <w:rFonts w:ascii="黑体" w:eastAsia="黑体"/>
      <w:b/>
    </w:rPr>
  </w:style>
  <w:style w:type="paragraph" w:customStyle="1" w:styleId="19">
    <w:name w:val="其他发布部门"/>
    <w:basedOn w:val="1"/>
    <w:link w:val="18"/>
    <w:qFormat/>
    <w:uiPriority w:val="0"/>
    <w:pPr>
      <w:widowControl/>
      <w:spacing w:line="0" w:lineRule="atLeast"/>
      <w:jc w:val="center"/>
    </w:pPr>
    <w:rPr>
      <w:rFonts w:ascii="黑体" w:eastAsia="黑体" w:hAnsiTheme="minorHAnsi" w:cstheme="minorBidi"/>
      <w:b/>
      <w:szCs w:val="22"/>
    </w:rPr>
  </w:style>
  <w:style w:type="character" w:customStyle="1" w:styleId="20">
    <w:name w:val="段 Char Char"/>
    <w:link w:val="7"/>
    <w:qFormat/>
    <w:uiPriority w:val="0"/>
    <w:rPr>
      <w:rFonts w:ascii="宋体" w:hAnsi="Times New Roman" w:eastAsia="宋体" w:cs="Times New Roman"/>
      <w:kern w:val="0"/>
      <w:szCs w:val="20"/>
    </w:rPr>
  </w:style>
  <w:style w:type="paragraph" w:customStyle="1" w:styleId="21">
    <w:name w:val="标准书脚_偶数页"/>
    <w:qFormat/>
    <w:uiPriority w:val="0"/>
    <w:pPr>
      <w:spacing w:before="120"/>
      <w:ind w:left="221"/>
    </w:pPr>
    <w:rPr>
      <w:rFonts w:ascii="宋体" w:hAnsi="Times New Roman" w:eastAsia="宋体" w:cs="Times New Roman"/>
      <w:kern w:val="0"/>
      <w:sz w:val="18"/>
      <w:szCs w:val="18"/>
      <w:lang w:val="en-US" w:eastAsia="zh-CN" w:bidi="ar-SA"/>
    </w:rPr>
  </w:style>
  <w:style w:type="paragraph" w:customStyle="1" w:styleId="22">
    <w:name w:val="其他发布日期"/>
    <w:basedOn w:val="1"/>
    <w:qFormat/>
    <w:uiPriority w:val="0"/>
    <w:pPr>
      <w:widowControl/>
      <w:jc w:val="left"/>
    </w:pPr>
    <w:rPr>
      <w:rFonts w:eastAsia="黑体"/>
      <w:kern w:val="0"/>
      <w:sz w:val="28"/>
    </w:rPr>
  </w:style>
  <w:style w:type="paragraph" w:customStyle="1" w:styleId="23">
    <w:name w:val="标准书眉_偶数页"/>
    <w:basedOn w:val="1"/>
    <w:next w:val="1"/>
    <w:qFormat/>
    <w:uiPriority w:val="0"/>
    <w:pPr>
      <w:widowControl/>
      <w:tabs>
        <w:tab w:val="center" w:pos="4154"/>
        <w:tab w:val="right" w:pos="8306"/>
      </w:tabs>
      <w:spacing w:after="220"/>
      <w:jc w:val="left"/>
    </w:pPr>
    <w:rPr>
      <w:rFonts w:ascii="黑体" w:eastAsia="黑体"/>
      <w:kern w:val="0"/>
      <w:szCs w:val="21"/>
    </w:rPr>
  </w:style>
  <w:style w:type="paragraph" w:customStyle="1" w:styleId="24">
    <w:name w:val="封面标准号2"/>
    <w:qFormat/>
    <w:uiPriority w:val="0"/>
    <w:pPr>
      <w:spacing w:before="357" w:line="280" w:lineRule="exact"/>
      <w:jc w:val="right"/>
    </w:pPr>
    <w:rPr>
      <w:rFonts w:ascii="黑体" w:hAnsi="Times New Roman" w:eastAsia="黑体" w:cs="Times New Roman"/>
      <w:kern w:val="0"/>
      <w:sz w:val="28"/>
      <w:szCs w:val="28"/>
      <w:lang w:val="en-US" w:eastAsia="zh-CN" w:bidi="ar-SA"/>
    </w:rPr>
  </w:style>
  <w:style w:type="paragraph" w:customStyle="1" w:styleId="25">
    <w:name w:val="封面标准英文名称"/>
    <w:basedOn w:val="26"/>
    <w:qFormat/>
    <w:uiPriority w:val="0"/>
    <w:pPr>
      <w:spacing w:before="370" w:line="400" w:lineRule="exact"/>
    </w:pPr>
    <w:rPr>
      <w:rFonts w:ascii="Times New Roman"/>
      <w:sz w:val="28"/>
      <w:szCs w:val="28"/>
    </w:rPr>
  </w:style>
  <w:style w:type="paragraph" w:customStyle="1" w:styleId="26">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27">
    <w:name w:val="标准标志"/>
    <w:next w:val="1"/>
    <w:qFormat/>
    <w:uiPriority w:val="0"/>
    <w:pPr>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character" w:customStyle="1" w:styleId="28">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494</Words>
  <Characters>2816</Characters>
  <Lines>23</Lines>
  <Paragraphs>6</Paragraphs>
  <TotalTime>14</TotalTime>
  <ScaleCrop>false</ScaleCrop>
  <LinksUpToDate>false</LinksUpToDate>
  <CharactersWithSpaces>3304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2019-02-12T14:40:00Z</dcterms:created>
  <dc:creator>申亮</dc:creator>
  <cp:lastModifiedBy>uos</cp:lastModifiedBy>
  <cp:lastPrinted>2020-12-30T14:41:00Z</cp:lastPrinted>
  <dcterms:modified xsi:type="dcterms:W3CDTF">2022-10-25T17:02:21Z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