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color w:val="auto"/>
          <w:sz w:val="32"/>
          <w:szCs w:val="32"/>
          <w:lang w:val="en-US" w:eastAsia="zh-CN"/>
        </w:rPr>
      </w:pPr>
      <w:bookmarkStart w:id="0" w:name="_Hlk25934740"/>
      <w:r>
        <w:rPr>
          <w:rFonts w:hint="eastAsia" w:ascii="CESI黑体-GB2312" w:hAnsi="CESI黑体-GB2312" w:eastAsia="CESI黑体-GB2312" w:cs="CESI黑体-GB2312"/>
          <w:color w:val="auto"/>
          <w:sz w:val="32"/>
          <w:szCs w:val="32"/>
          <w:lang w:eastAsia="zh-CN"/>
        </w:rPr>
        <w:t>附件</w:t>
      </w:r>
      <w:r>
        <w:rPr>
          <w:rFonts w:hint="eastAsia" w:ascii="CESI黑体-GB2312" w:hAnsi="CESI黑体-GB2312" w:eastAsia="CESI黑体-GB2312" w:cs="CESI黑体-GB2312"/>
          <w:color w:val="auto"/>
          <w:sz w:val="32"/>
          <w:szCs w:val="32"/>
          <w:lang w:val="en-US" w:eastAsia="zh-CN"/>
        </w:rPr>
        <w:t>1</w:t>
      </w:r>
    </w:p>
    <w:p>
      <w:pPr>
        <w:rPr>
          <w:color w:val="auto"/>
        </w:rPr>
      </w:pPr>
    </w:p>
    <w:p>
      <w:pPr>
        <w:rPr>
          <w:color w:val="auto"/>
        </w:rPr>
      </w:pPr>
    </w:p>
    <w:p>
      <w:pPr>
        <w:rPr>
          <w:color w:val="auto"/>
        </w:rPr>
      </w:pPr>
    </w:p>
    <w:p>
      <w:pPr>
        <w:rPr>
          <w:color w:val="auto"/>
        </w:rPr>
      </w:pPr>
    </w:p>
    <w:p>
      <w:pPr>
        <w:ind w:firstLine="420"/>
        <w:rPr>
          <w:color w:val="auto"/>
        </w:rPr>
      </w:pPr>
    </w:p>
    <w:p>
      <w:pPr>
        <w:bidi w:val="0"/>
        <w:jc w:val="center"/>
        <w:rPr>
          <w:rFonts w:hint="default" w:ascii="Times New Roman" w:hAnsi="Times New Roman" w:eastAsia="华文中宋" w:cs="Times New Roman"/>
          <w:b/>
          <w:bCs/>
          <w:color w:val="auto"/>
          <w:spacing w:val="20"/>
          <w:kern w:val="2"/>
          <w:sz w:val="56"/>
          <w:szCs w:val="52"/>
          <w:lang w:val="en-US" w:eastAsia="zh-CN"/>
        </w:rPr>
      </w:pPr>
      <w:bookmarkStart w:id="1" w:name="_Toc153578749"/>
      <w:bookmarkStart w:id="2" w:name="_Toc154250350"/>
      <w:bookmarkStart w:id="3" w:name="_Toc153896769"/>
      <w:r>
        <w:rPr>
          <w:rFonts w:hint="eastAsia" w:ascii="Times New Roman" w:hAnsi="Times New Roman" w:eastAsia="华文中宋" w:cs="Times New Roman"/>
          <w:b/>
          <w:bCs/>
          <w:color w:val="auto"/>
          <w:spacing w:val="20"/>
          <w:kern w:val="2"/>
          <w:sz w:val="56"/>
          <w:szCs w:val="52"/>
        </w:rPr>
        <w:t>北京市林地保护利用规划</w:t>
      </w:r>
      <w:r>
        <w:rPr>
          <w:rFonts w:hint="eastAsia" w:ascii="Times New Roman" w:hAnsi="Times New Roman" w:eastAsia="华文中宋" w:cs="Times New Roman"/>
          <w:b/>
          <w:bCs/>
          <w:color w:val="auto"/>
          <w:spacing w:val="20"/>
          <w:kern w:val="2"/>
          <w:sz w:val="56"/>
          <w:szCs w:val="52"/>
        </w:rPr>
        <w:br w:type="textWrapping"/>
      </w:r>
      <w:r>
        <w:rPr>
          <w:rFonts w:hint="eastAsia" w:ascii="Times New Roman" w:hAnsi="Times New Roman" w:eastAsia="华文中宋" w:cs="Times New Roman"/>
          <w:b/>
          <w:bCs/>
          <w:color w:val="auto"/>
          <w:spacing w:val="20"/>
          <w:kern w:val="2"/>
          <w:sz w:val="56"/>
          <w:szCs w:val="52"/>
        </w:rPr>
        <w:t>（2021—2035年）</w:t>
      </w:r>
      <w:bookmarkEnd w:id="0"/>
      <w:bookmarkEnd w:id="1"/>
      <w:bookmarkEnd w:id="2"/>
      <w:bookmarkEnd w:id="3"/>
      <w:bookmarkStart w:id="4" w:name="_Toc153578750"/>
      <w:bookmarkStart w:id="5" w:name="_Toc153896770"/>
      <w:r>
        <w:rPr>
          <w:rFonts w:ascii="Times New Roman" w:hAnsi="Times New Roman" w:eastAsia="华文中宋" w:cs="Times New Roman"/>
          <w:b/>
          <w:bCs/>
          <w:color w:val="auto"/>
          <w:spacing w:val="20"/>
          <w:kern w:val="2"/>
          <w:sz w:val="56"/>
          <w:szCs w:val="52"/>
        </w:rPr>
        <w:br w:type="textWrapping"/>
      </w:r>
      <w:bookmarkEnd w:id="4"/>
      <w:bookmarkEnd w:id="5"/>
      <w:r>
        <w:rPr>
          <w:rFonts w:hint="eastAsia" w:ascii="Times New Roman" w:hAnsi="Times New Roman" w:eastAsia="华文中宋" w:cs="Times New Roman"/>
          <w:b w:val="0"/>
          <w:bCs w:val="0"/>
          <w:color w:val="auto"/>
          <w:spacing w:val="20"/>
          <w:kern w:val="2"/>
          <w:sz w:val="36"/>
          <w:szCs w:val="36"/>
          <w:lang w:eastAsia="zh-CN"/>
        </w:rPr>
        <w:t>（</w:t>
      </w:r>
      <w:r>
        <w:rPr>
          <w:rFonts w:hint="eastAsia" w:ascii="Times New Roman" w:hAnsi="Times New Roman" w:eastAsia="华文中宋" w:cs="Times New Roman"/>
          <w:b w:val="0"/>
          <w:bCs w:val="0"/>
          <w:color w:val="auto"/>
          <w:spacing w:val="20"/>
          <w:kern w:val="2"/>
          <w:sz w:val="36"/>
          <w:szCs w:val="36"/>
          <w:lang w:val="en-US" w:eastAsia="zh-CN"/>
        </w:rPr>
        <w:t>公示版）</w:t>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tbl>
      <w:tblPr>
        <w:tblStyle w:val="28"/>
        <w:tblW w:w="623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62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436" w:hRule="atLeast"/>
          <w:jc w:val="center"/>
        </w:trPr>
        <w:tc>
          <w:tcPr>
            <w:tcW w:w="6236" w:type="dxa"/>
            <w:tcBorders>
              <w:top w:val="nil"/>
              <w:left w:val="nil"/>
              <w:bottom w:val="nil"/>
              <w:right w:val="nil"/>
            </w:tcBorders>
            <w:shd w:val="clear" w:color="auto" w:fill="auto"/>
            <w:tcMar>
              <w:top w:w="80" w:type="dxa"/>
              <w:left w:w="80" w:type="dxa"/>
              <w:bottom w:w="80" w:type="dxa"/>
              <w:right w:w="80" w:type="dxa"/>
            </w:tcMar>
          </w:tcPr>
          <w:p>
            <w:pPr>
              <w:jc w:val="distribute"/>
              <w:rPr>
                <w:rFonts w:ascii="楷体" w:hAnsi="楷体" w:eastAsia="楷体"/>
                <w:color w:val="auto"/>
                <w:sz w:val="36"/>
                <w:szCs w:val="36"/>
              </w:rPr>
            </w:pPr>
            <w:r>
              <w:rPr>
                <w:rFonts w:ascii="楷体" w:hAnsi="楷体" w:eastAsia="楷体" w:cs="方正仿宋_GBK"/>
                <w:b/>
                <w:bCs/>
                <w:color w:val="auto"/>
                <w:kern w:val="2"/>
                <w:sz w:val="36"/>
                <w:szCs w:val="36"/>
                <w:lang w:val="zh-TW" w:eastAsia="zh-TW"/>
              </w:rPr>
              <w:t>北京市园林绿化局</w:t>
            </w:r>
          </w:p>
        </w:tc>
      </w:tr>
    </w:tbl>
    <w:p>
      <w:pPr>
        <w:jc w:val="center"/>
        <w:rPr>
          <w:color w:val="auto"/>
        </w:rPr>
      </w:pPr>
    </w:p>
    <w:p>
      <w:pPr>
        <w:snapToGrid w:val="0"/>
        <w:spacing w:line="600" w:lineRule="exact"/>
        <w:jc w:val="center"/>
        <w:rPr>
          <w:rFonts w:ascii="楷体" w:hAnsi="楷体" w:eastAsia="楷体" w:cs="楷体"/>
          <w:color w:val="auto"/>
          <w:kern w:val="2"/>
          <w:sz w:val="36"/>
          <w:szCs w:val="32"/>
        </w:rPr>
      </w:pPr>
      <w:r>
        <w:rPr>
          <w:rFonts w:ascii="楷体" w:hAnsi="楷体" w:eastAsia="楷体" w:cs="楷体"/>
          <w:color w:val="auto"/>
          <w:kern w:val="2"/>
          <w:sz w:val="36"/>
          <w:szCs w:val="32"/>
        </w:rPr>
        <w:t>二〇二</w:t>
      </w:r>
      <w:r>
        <w:rPr>
          <w:rFonts w:hint="eastAsia" w:ascii="楷体" w:hAnsi="楷体" w:eastAsia="楷体" w:cs="楷体"/>
          <w:color w:val="auto"/>
          <w:kern w:val="2"/>
          <w:sz w:val="36"/>
          <w:szCs w:val="32"/>
        </w:rPr>
        <w:t>四</w:t>
      </w:r>
      <w:r>
        <w:rPr>
          <w:rFonts w:ascii="楷体" w:hAnsi="楷体" w:eastAsia="楷体" w:cs="楷体"/>
          <w:color w:val="auto"/>
          <w:kern w:val="2"/>
          <w:sz w:val="36"/>
          <w:szCs w:val="32"/>
        </w:rPr>
        <w:t>年</w:t>
      </w:r>
      <w:r>
        <w:rPr>
          <w:rFonts w:hint="eastAsia" w:ascii="楷体" w:hAnsi="楷体" w:eastAsia="楷体" w:cs="楷体"/>
          <w:color w:val="auto"/>
          <w:kern w:val="2"/>
          <w:sz w:val="36"/>
          <w:szCs w:val="32"/>
        </w:rPr>
        <w:t>二</w:t>
      </w:r>
      <w:r>
        <w:rPr>
          <w:rFonts w:ascii="楷体" w:hAnsi="楷体" w:eastAsia="楷体" w:cs="楷体"/>
          <w:color w:val="auto"/>
          <w:kern w:val="2"/>
          <w:sz w:val="36"/>
          <w:szCs w:val="32"/>
        </w:rPr>
        <w:t>月</w:t>
      </w:r>
    </w:p>
    <w:p>
      <w:pPr>
        <w:widowControl/>
        <w:jc w:val="left"/>
        <w:rPr>
          <w:rFonts w:ascii="宋体" w:hAnsi="宋体" w:eastAsia="宋体" w:cs="宋体"/>
          <w:color w:val="auto"/>
          <w:sz w:val="36"/>
          <w:szCs w:val="36"/>
        </w:rPr>
      </w:pPr>
    </w:p>
    <w:p>
      <w:pPr>
        <w:widowControl/>
        <w:jc w:val="left"/>
        <w:rPr>
          <w:color w:val="auto"/>
        </w:rPr>
        <w:sectPr>
          <w:footerReference r:id="rId3" w:type="default"/>
          <w:pgSz w:w="11900" w:h="16840"/>
          <w:pgMar w:top="1440" w:right="1797" w:bottom="1440" w:left="1797" w:header="737" w:footer="737" w:gutter="0"/>
          <w:pgNumType w:start="1"/>
          <w:cols w:space="720" w:num="1"/>
          <w:titlePg/>
        </w:sectPr>
      </w:pPr>
    </w:p>
    <w:p>
      <w:pPr>
        <w:pStyle w:val="3"/>
      </w:pPr>
      <w:bookmarkStart w:id="6" w:name="_Hlk107835614"/>
      <w:bookmarkEnd w:id="6"/>
      <w:bookmarkStart w:id="7" w:name="_bookmark0"/>
      <w:bookmarkEnd w:id="7"/>
      <w:bookmarkStart w:id="8" w:name="_Toc154250351"/>
      <w:bookmarkStart w:id="9" w:name="_Toc149941330"/>
      <w:r>
        <w:rPr>
          <w:rFonts w:hint="eastAsia"/>
        </w:rPr>
        <w:t>前</w:t>
      </w:r>
      <w:r>
        <w:t xml:space="preserve">    </w:t>
      </w:r>
      <w:r>
        <w:rPr>
          <w:rFonts w:hint="eastAsia"/>
        </w:rPr>
        <w:t>言</w:t>
      </w:r>
      <w:bookmarkEnd w:id="8"/>
      <w:bookmarkEnd w:id="9"/>
    </w:p>
    <w:p>
      <w:pPr>
        <w:pStyle w:val="37"/>
      </w:pPr>
      <w:r>
        <w:rPr>
          <w:rFonts w:hint="eastAsia"/>
        </w:rPr>
        <w:t>林地是国家重要的自然资源和战略资源，是国际一流的和谐宜居之都建设的重要生态基础，是人与自然和谐共生的重要国土空间。为推进北京生态文明建设，实施山水林田湖草沙综合治理，</w:t>
      </w:r>
      <w:bookmarkStart w:id="10" w:name="_Hlk152088833"/>
      <w:r>
        <w:rPr>
          <w:rFonts w:hint="eastAsia"/>
        </w:rPr>
        <w:t>根据《中华人民共和国森林法》第二十四条、第二十六条和</w:t>
      </w:r>
      <w:bookmarkStart w:id="11" w:name="_Hlk152088808"/>
      <w:r>
        <w:rPr>
          <w:rFonts w:hint="eastAsia"/>
        </w:rPr>
        <w:t>《北京市森林资源保护管理条例实施办法》</w:t>
      </w:r>
      <w:bookmarkEnd w:id="11"/>
      <w:r>
        <w:rPr>
          <w:rFonts w:hint="eastAsia"/>
        </w:rPr>
        <w:t>第四条的规定，履行园林绿化主管部门法律职责，特编制《北京市林地保护利用规划（2021—2035年）》（以下简称《规划》）。</w:t>
      </w:r>
      <w:bookmarkEnd w:id="10"/>
    </w:p>
    <w:p>
      <w:pPr>
        <w:pStyle w:val="37"/>
      </w:pPr>
      <w:r>
        <w:t>《规划》坚持以习近平</w:t>
      </w:r>
      <w:r>
        <w:rPr>
          <w:rFonts w:hint="eastAsia"/>
        </w:rPr>
        <w:t>生态文明</w:t>
      </w:r>
      <w:r>
        <w:t>思想为指导，</w:t>
      </w:r>
      <w:r>
        <w:rPr>
          <w:rFonts w:hint="eastAsia"/>
        </w:rPr>
        <w:t>以国土空间规划为统领，坚持“严格保护、积极发展、科学经营、持续利用”方针，</w:t>
      </w:r>
      <w:r>
        <w:t>紧密衔接《北京城市总体规划（2016年—2035年）》（以下简称</w:t>
      </w:r>
      <w:r>
        <w:rPr>
          <w:rFonts w:hint="eastAsia"/>
        </w:rPr>
        <w:t>“新版总规”</w:t>
      </w:r>
      <w:r>
        <w:t>）《北京市国民经济和社会发展第十四个五年规划和二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w:t>
      </w:r>
      <w:r>
        <w:rPr>
          <w:rFonts w:hint="eastAsia"/>
        </w:rPr>
        <w:t>《北京市国土空间生态修复规划（2</w:t>
      </w:r>
      <w:r>
        <w:rPr>
          <w:rFonts w:eastAsia="PMingLiU"/>
        </w:rPr>
        <w:t>021</w:t>
      </w:r>
      <w:r>
        <w:t>年—2035年）</w:t>
      </w:r>
      <w:r>
        <w:rPr>
          <w:rFonts w:hint="eastAsia"/>
        </w:rPr>
        <w:t>》</w:t>
      </w:r>
      <w:r>
        <w:t>《北京市园林绿化专项规划（2018年—2035年）》</w:t>
      </w:r>
      <w:r>
        <w:rPr>
          <w:rFonts w:hint="eastAsia"/>
        </w:rPr>
        <w:t>等规划</w:t>
      </w:r>
      <w:r>
        <w:t>，全面落实国土空间开发保护要求，</w:t>
      </w:r>
      <w:r>
        <w:rPr>
          <w:rFonts w:hint="eastAsia"/>
        </w:rPr>
        <w:t>充分认识面临的挑战，统筹优化</w:t>
      </w:r>
      <w:r>
        <w:t>林地空间</w:t>
      </w:r>
      <w:r>
        <w:rPr>
          <w:rFonts w:hint="eastAsia"/>
        </w:rPr>
        <w:t>格局</w:t>
      </w:r>
      <w:r>
        <w:t>，明确未来十五年林地管理边界、林地用途管制要求、林地保护利用目标任务，制定差别化区域林地保护利用策略</w:t>
      </w:r>
      <w:r>
        <w:rPr>
          <w:rFonts w:hint="eastAsia"/>
        </w:rPr>
        <w:t>及政策措施。《规划》是覆盖全市国土空间规划的专项规划，是林地保护利用的纲领性文件，是林业高质量发展的空间蓝图，</w:t>
      </w:r>
      <w:r>
        <w:t>对于统筹</w:t>
      </w:r>
      <w:r>
        <w:rPr>
          <w:rFonts w:hint="eastAsia"/>
        </w:rPr>
        <w:t>森林</w:t>
      </w:r>
      <w:r>
        <w:t>资源保护</w:t>
      </w:r>
      <w:r>
        <w:rPr>
          <w:rFonts w:hint="eastAsia"/>
        </w:rPr>
        <w:t>、质量提升、科学利用，维护生态系统多样性、稳定性，</w:t>
      </w:r>
      <w:r>
        <w:t>指导区级林地保护利用规划</w:t>
      </w:r>
      <w:r>
        <w:rPr>
          <w:rFonts w:hint="eastAsia"/>
        </w:rPr>
        <w:t>的编制和实施</w:t>
      </w:r>
      <w:r>
        <w:t>均有重要作用。</w:t>
      </w:r>
    </w:p>
    <w:p>
      <w:pPr>
        <w:pStyle w:val="37"/>
        <w:rPr>
          <w:rFonts w:ascii="宋体" w:hAnsi="宋体" w:eastAsia="宋体" w:cs="宋体"/>
          <w:sz w:val="36"/>
          <w:szCs w:val="36"/>
        </w:rPr>
      </w:pPr>
      <w:r>
        <w:rPr>
          <w:rFonts w:hint="eastAsia"/>
        </w:rPr>
        <w:t>规划范围为北京市行政辖区内所有林地和依法可用于林业发展的其他土地。</w:t>
      </w:r>
      <w:r>
        <w:t>规划期限为2021年—2035年。</w:t>
      </w:r>
    </w:p>
    <w:p>
      <w:pPr>
        <w:widowControl/>
        <w:spacing w:line="560" w:lineRule="exact"/>
        <w:jc w:val="left"/>
        <w:rPr>
          <w:color w:val="auto"/>
        </w:rPr>
        <w:sectPr>
          <w:footerReference r:id="rId6" w:type="first"/>
          <w:headerReference r:id="rId4" w:type="default"/>
          <w:footerReference r:id="rId5" w:type="default"/>
          <w:pgSz w:w="11900" w:h="16840"/>
          <w:pgMar w:top="1440" w:right="1797" w:bottom="1440" w:left="1797" w:header="850" w:footer="992" w:gutter="0"/>
          <w:pgNumType w:fmt="decimal" w:start="1"/>
          <w:cols w:space="720" w:num="1"/>
          <w:titlePg/>
          <w:docGrid w:linePitch="189" w:charSpace="0"/>
        </w:sectPr>
      </w:pPr>
    </w:p>
    <w:sdt>
      <w:sdtPr>
        <w:rPr>
          <w:rFonts w:eastAsia="Arial Unicode MS" w:cs="Arial Unicode MS"/>
          <w:color w:val="auto"/>
          <w:lang w:val="zh-CN"/>
        </w:rPr>
        <w:id w:val="-984536141"/>
        <w:docPartObj>
          <w:docPartGallery w:val="Table of Contents"/>
          <w:docPartUnique/>
        </w:docPartObj>
      </w:sdtPr>
      <w:sdtEndPr>
        <w:rPr>
          <w:rFonts w:eastAsia="Calibri" w:cs="Calibri"/>
          <w:b/>
          <w:bCs/>
          <w:color w:val="auto"/>
          <w:lang w:val="zh-CN"/>
        </w:rPr>
      </w:sdtEndPr>
      <w:sdtContent>
        <w:p>
          <w:pPr>
            <w:pStyle w:val="16"/>
            <w:spacing w:before="360" w:beforeLines="150" w:after="360" w:afterLines="150" w:line="560" w:lineRule="exact"/>
            <w:ind w:left="0"/>
            <w:jc w:val="center"/>
            <w:rPr>
              <w:rFonts w:ascii="方正黑体_GBK" w:hAnsi="宋体" w:eastAsia="方正黑体_GBK" w:cs="宋体"/>
              <w:b/>
              <w:bCs/>
              <w:color w:val="auto"/>
              <w:sz w:val="36"/>
              <w:szCs w:val="32"/>
            </w:rPr>
          </w:pPr>
          <w:r>
            <w:rPr>
              <w:rFonts w:hint="eastAsia" w:ascii="方正黑体_GBK" w:hAnsi="宋体" w:eastAsia="方正黑体_GBK" w:cs="宋体"/>
              <w:b/>
              <w:bCs/>
              <w:color w:val="auto"/>
              <w:sz w:val="36"/>
              <w:szCs w:val="32"/>
            </w:rPr>
            <w:t>目</w:t>
          </w:r>
          <w:r>
            <w:rPr>
              <w:rFonts w:ascii="方正黑体_GBK" w:hAnsi="宋体" w:eastAsia="方正黑体_GBK" w:cs="宋体"/>
              <w:b/>
              <w:bCs/>
              <w:color w:val="auto"/>
              <w:sz w:val="36"/>
              <w:szCs w:val="32"/>
            </w:rPr>
            <w:t xml:space="preserve">   </w:t>
          </w:r>
          <w:r>
            <w:rPr>
              <w:rFonts w:hint="eastAsia" w:ascii="方正黑体_GBK" w:hAnsi="宋体" w:eastAsia="方正黑体_GBK" w:cs="宋体"/>
              <w:b/>
              <w:bCs/>
              <w:color w:val="auto"/>
              <w:sz w:val="36"/>
              <w:szCs w:val="32"/>
            </w:rPr>
            <w:t>录</w:t>
          </w:r>
        </w:p>
        <w:p>
          <w:pPr>
            <w:pStyle w:val="13"/>
            <w:tabs>
              <w:tab w:val="right" w:leader="hyphen" w:pos="8494"/>
              <w:tab w:val="clear" w:pos="1050"/>
              <w:tab w:val="clear" w:pos="8303"/>
            </w:tabs>
            <w:adjustRightInd w:val="0"/>
            <w:snapToGrid w:val="0"/>
            <w:spacing w:line="560" w:lineRule="exact"/>
            <w:jc w:val="left"/>
            <w:rPr>
              <w:rFonts w:ascii="方正小标宋_GBK" w:eastAsia="方正小标宋_GBK"/>
              <w:caps/>
              <w:color w:val="auto"/>
              <w:spacing w:val="4"/>
              <w:kern w:val="36"/>
              <w:sz w:val="28"/>
              <w:szCs w:val="28"/>
            </w:rPr>
          </w:pP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TOC \o "1-3" \h \z \u </w:instrText>
          </w:r>
          <w:r>
            <w:rPr>
              <w:rFonts w:ascii="方正仿宋_GBK" w:eastAsia="方正仿宋_GBK"/>
              <w:color w:val="auto"/>
              <w:sz w:val="28"/>
              <w:szCs w:val="28"/>
              <w:lang w:val="zh-TW"/>
            </w:rPr>
            <w:fldChar w:fldCharType="separate"/>
          </w:r>
        </w:p>
        <w:p>
          <w:pPr>
            <w:pStyle w:val="13"/>
            <w:tabs>
              <w:tab w:val="right" w:leader="hyphen" w:pos="8494"/>
              <w:tab w:val="clear" w:pos="1050"/>
              <w:tab w:val="clear" w:pos="8303"/>
            </w:tabs>
            <w:adjustRightInd w:val="0"/>
            <w:snapToGrid w:val="0"/>
            <w:spacing w:line="560" w:lineRule="exact"/>
            <w:jc w:val="left"/>
            <w:rPr>
              <w:rFonts w:ascii="方正小标宋_GBK" w:eastAsia="方正小标宋_GBK"/>
              <w:caps/>
              <w:color w:val="auto"/>
              <w:spacing w:val="4"/>
              <w:kern w:val="36"/>
              <w:sz w:val="28"/>
              <w:szCs w:val="28"/>
            </w:rPr>
          </w:pPr>
          <w:r>
            <w:fldChar w:fldCharType="begin"/>
          </w:r>
          <w:r>
            <w:instrText xml:space="preserve"> HYPERLINK \l "_Toc154250352" </w:instrText>
          </w:r>
          <w:r>
            <w:fldChar w:fldCharType="separate"/>
          </w:r>
          <w:r>
            <w:rPr>
              <w:rFonts w:ascii="方正小标宋_GBK" w:eastAsia="方正小标宋_GBK"/>
              <w:caps/>
              <w:color w:val="auto"/>
              <w:spacing w:val="4"/>
              <w:kern w:val="36"/>
              <w:sz w:val="28"/>
              <w:szCs w:val="28"/>
            </w:rPr>
            <w:t>第一章  规划基础</w:t>
          </w:r>
          <w:r>
            <w:rPr>
              <w:rFonts w:ascii="方正小标宋_GBK" w:eastAsia="方正小标宋_GBK"/>
              <w:caps/>
              <w:color w:val="auto"/>
              <w:spacing w:val="4"/>
              <w:kern w:val="36"/>
              <w:sz w:val="28"/>
              <w:szCs w:val="28"/>
            </w:rPr>
            <w:tab/>
          </w:r>
          <w:r>
            <w:rPr>
              <w:rFonts w:ascii="方正小标宋_GBK" w:eastAsia="方正小标宋_GBK"/>
              <w:caps/>
              <w:color w:val="auto"/>
              <w:spacing w:val="4"/>
              <w:kern w:val="36"/>
              <w:sz w:val="28"/>
              <w:szCs w:val="28"/>
            </w:rPr>
            <w:fldChar w:fldCharType="begin"/>
          </w:r>
          <w:r>
            <w:rPr>
              <w:rFonts w:ascii="方正小标宋_GBK" w:eastAsia="方正小标宋_GBK"/>
              <w:caps/>
              <w:color w:val="auto"/>
              <w:spacing w:val="4"/>
              <w:kern w:val="36"/>
              <w:sz w:val="28"/>
              <w:szCs w:val="28"/>
            </w:rPr>
            <w:instrText xml:space="preserve"> PAGEREF _Toc154250352 \h </w:instrText>
          </w:r>
          <w:r>
            <w:rPr>
              <w:rFonts w:ascii="方正小标宋_GBK" w:eastAsia="方正小标宋_GBK"/>
              <w:caps/>
              <w:color w:val="auto"/>
              <w:spacing w:val="4"/>
              <w:kern w:val="36"/>
              <w:sz w:val="28"/>
              <w:szCs w:val="28"/>
            </w:rPr>
            <w:fldChar w:fldCharType="separate"/>
          </w:r>
          <w:r>
            <w:rPr>
              <w:rFonts w:ascii="方正小标宋_GBK" w:eastAsia="方正小标宋_GBK"/>
              <w:caps/>
              <w:color w:val="auto"/>
              <w:spacing w:val="4"/>
              <w:kern w:val="36"/>
              <w:sz w:val="28"/>
              <w:szCs w:val="28"/>
            </w:rPr>
            <w:t>1</w:t>
          </w:r>
          <w:r>
            <w:rPr>
              <w:rFonts w:ascii="方正小标宋_GBK" w:eastAsia="方正小标宋_GBK"/>
              <w:caps/>
              <w:color w:val="auto"/>
              <w:spacing w:val="4"/>
              <w:kern w:val="36"/>
              <w:sz w:val="28"/>
              <w:szCs w:val="28"/>
            </w:rPr>
            <w:fldChar w:fldCharType="end"/>
          </w:r>
          <w:r>
            <w:rPr>
              <w:rFonts w:ascii="方正小标宋_GBK" w:eastAsia="方正小标宋_GBK"/>
              <w:caps/>
              <w:color w:val="auto"/>
              <w:spacing w:val="4"/>
              <w:kern w:val="36"/>
              <w:sz w:val="28"/>
              <w:szCs w:val="28"/>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"_Toc154250353" </w:instrText>
          </w:r>
          <w:r>
            <w:fldChar w:fldCharType="separate"/>
          </w:r>
          <w:r>
            <w:rPr>
              <w:rFonts w:ascii="方正仿宋_GBK" w:eastAsia="方正仿宋_GBK"/>
              <w:color w:val="auto"/>
              <w:sz w:val="28"/>
              <w:szCs w:val="28"/>
              <w:lang w:val="zh-TW"/>
            </w:rPr>
            <w:t>一、现状与问题</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_Toc154250353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1</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"_Toc154250354" </w:instrText>
          </w:r>
          <w:r>
            <w:fldChar w:fldCharType="separate"/>
          </w:r>
          <w:r>
            <w:rPr>
              <w:rFonts w:ascii="方正仿宋_GBK" w:eastAsia="方正仿宋_GBK"/>
              <w:color w:val="auto"/>
              <w:sz w:val="28"/>
              <w:szCs w:val="28"/>
              <w:lang w:val="zh-TW"/>
            </w:rPr>
            <w:t>二、机遇与挑战</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_Toc154250354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3</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3"/>
            <w:tabs>
              <w:tab w:val="right" w:leader="hyphen" w:pos="8494"/>
              <w:tab w:val="clear" w:pos="1050"/>
              <w:tab w:val="clear" w:pos="8303"/>
            </w:tabs>
            <w:adjustRightInd w:val="0"/>
            <w:snapToGrid w:val="0"/>
            <w:spacing w:line="560" w:lineRule="exact"/>
            <w:jc w:val="left"/>
            <w:rPr>
              <w:rFonts w:ascii="方正小标宋_GBK" w:eastAsia="方正小标宋_GBK"/>
              <w:caps/>
              <w:color w:val="auto"/>
              <w:spacing w:val="4"/>
              <w:kern w:val="36"/>
              <w:sz w:val="28"/>
              <w:szCs w:val="28"/>
            </w:rPr>
          </w:pPr>
          <w:r>
            <w:fldChar w:fldCharType="begin"/>
          </w:r>
          <w:r>
            <w:instrText xml:space="preserve"> HYPERLINK \l "_Toc154250355" </w:instrText>
          </w:r>
          <w:r>
            <w:fldChar w:fldCharType="separate"/>
          </w:r>
          <w:r>
            <w:rPr>
              <w:rFonts w:ascii="方正小标宋_GBK" w:eastAsia="方正小标宋_GBK"/>
              <w:caps/>
              <w:color w:val="auto"/>
              <w:spacing w:val="4"/>
              <w:kern w:val="36"/>
              <w:sz w:val="28"/>
              <w:szCs w:val="28"/>
            </w:rPr>
            <w:t>第二章  指导思想与目标任务</w:t>
          </w:r>
          <w:r>
            <w:rPr>
              <w:rFonts w:ascii="方正小标宋_GBK" w:eastAsia="方正小标宋_GBK"/>
              <w:caps/>
              <w:color w:val="auto"/>
              <w:spacing w:val="4"/>
              <w:kern w:val="36"/>
              <w:sz w:val="28"/>
              <w:szCs w:val="28"/>
            </w:rPr>
            <w:tab/>
          </w:r>
          <w:r>
            <w:rPr>
              <w:rFonts w:ascii="方正小标宋_GBK" w:eastAsia="方正小标宋_GBK"/>
              <w:caps/>
              <w:color w:val="auto"/>
              <w:spacing w:val="4"/>
              <w:kern w:val="36"/>
              <w:sz w:val="28"/>
              <w:szCs w:val="28"/>
            </w:rPr>
            <w:fldChar w:fldCharType="begin"/>
          </w:r>
          <w:r>
            <w:rPr>
              <w:rFonts w:ascii="方正小标宋_GBK" w:eastAsia="方正小标宋_GBK"/>
              <w:caps/>
              <w:color w:val="auto"/>
              <w:spacing w:val="4"/>
              <w:kern w:val="36"/>
              <w:sz w:val="28"/>
              <w:szCs w:val="28"/>
            </w:rPr>
            <w:instrText xml:space="preserve"> PAGEREF _Toc154250355 \h </w:instrText>
          </w:r>
          <w:r>
            <w:rPr>
              <w:rFonts w:ascii="方正小标宋_GBK" w:eastAsia="方正小标宋_GBK"/>
              <w:caps/>
              <w:color w:val="auto"/>
              <w:spacing w:val="4"/>
              <w:kern w:val="36"/>
              <w:sz w:val="28"/>
              <w:szCs w:val="28"/>
            </w:rPr>
            <w:fldChar w:fldCharType="separate"/>
          </w:r>
          <w:r>
            <w:rPr>
              <w:rFonts w:ascii="方正小标宋_GBK" w:eastAsia="方正小标宋_GBK"/>
              <w:caps/>
              <w:color w:val="auto"/>
              <w:spacing w:val="4"/>
              <w:kern w:val="36"/>
              <w:sz w:val="28"/>
              <w:szCs w:val="28"/>
            </w:rPr>
            <w:t>6</w:t>
          </w:r>
          <w:r>
            <w:rPr>
              <w:rFonts w:ascii="方正小标宋_GBK" w:eastAsia="方正小标宋_GBK"/>
              <w:caps/>
              <w:color w:val="auto"/>
              <w:spacing w:val="4"/>
              <w:kern w:val="36"/>
              <w:sz w:val="28"/>
              <w:szCs w:val="28"/>
            </w:rPr>
            <w:fldChar w:fldCharType="end"/>
          </w:r>
          <w:r>
            <w:rPr>
              <w:rFonts w:ascii="方正小标宋_GBK" w:eastAsia="方正小标宋_GBK"/>
              <w:caps/>
              <w:color w:val="auto"/>
              <w:spacing w:val="4"/>
              <w:kern w:val="36"/>
              <w:sz w:val="28"/>
              <w:szCs w:val="28"/>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"_Toc154250356" </w:instrText>
          </w:r>
          <w:r>
            <w:fldChar w:fldCharType="separate"/>
          </w:r>
          <w:r>
            <w:rPr>
              <w:rFonts w:ascii="方正仿宋_GBK" w:eastAsia="方正仿宋_GBK"/>
              <w:color w:val="auto"/>
              <w:sz w:val="28"/>
              <w:szCs w:val="28"/>
              <w:lang w:val="zh-TW"/>
            </w:rPr>
            <w:t>一、指导思想</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_Toc154250356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6</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"_Toc154250357" </w:instrText>
          </w:r>
          <w:r>
            <w:fldChar w:fldCharType="separate"/>
          </w:r>
          <w:r>
            <w:rPr>
              <w:rFonts w:ascii="方正仿宋_GBK" w:eastAsia="方正仿宋_GBK"/>
              <w:color w:val="auto"/>
              <w:sz w:val="28"/>
              <w:szCs w:val="28"/>
              <w:lang w:val="zh-TW"/>
            </w:rPr>
            <w:t>二、基本原则</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_Toc154250357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6</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"_Toc154250358" </w:instrText>
          </w:r>
          <w:r>
            <w:fldChar w:fldCharType="separate"/>
          </w:r>
          <w:r>
            <w:rPr>
              <w:rFonts w:ascii="方正仿宋_GBK" w:eastAsia="方正仿宋_GBK"/>
              <w:color w:val="auto"/>
              <w:sz w:val="28"/>
              <w:szCs w:val="28"/>
              <w:lang w:val="zh-TW"/>
            </w:rPr>
            <w:t>三、目标任务</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_Toc154250358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7</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3"/>
            <w:tabs>
              <w:tab w:val="right" w:leader="hyphen" w:pos="8494"/>
              <w:tab w:val="clear" w:pos="1050"/>
              <w:tab w:val="clear" w:pos="8303"/>
            </w:tabs>
            <w:adjustRightInd w:val="0"/>
            <w:snapToGrid w:val="0"/>
            <w:spacing w:line="560" w:lineRule="exact"/>
            <w:jc w:val="left"/>
            <w:rPr>
              <w:rFonts w:ascii="方正小标宋_GBK" w:eastAsia="方正小标宋_GBK"/>
              <w:caps/>
              <w:color w:val="auto"/>
              <w:spacing w:val="4"/>
              <w:kern w:val="36"/>
              <w:sz w:val="28"/>
              <w:szCs w:val="28"/>
            </w:rPr>
          </w:pPr>
          <w:r>
            <w:fldChar w:fldCharType="begin"/>
          </w:r>
          <w:r>
            <w:instrText xml:space="preserve"> HYPERLINK \l "_Toc154250359" </w:instrText>
          </w:r>
          <w:r>
            <w:fldChar w:fldCharType="separate"/>
          </w:r>
          <w:r>
            <w:rPr>
              <w:rFonts w:ascii="方正小标宋_GBK" w:eastAsia="方正小标宋_GBK"/>
              <w:caps/>
              <w:color w:val="auto"/>
              <w:spacing w:val="4"/>
              <w:kern w:val="36"/>
              <w:sz w:val="28"/>
              <w:szCs w:val="28"/>
            </w:rPr>
            <w:t>第三章  优化林地保护利用格局</w:t>
          </w:r>
          <w:r>
            <w:rPr>
              <w:rFonts w:ascii="方正小标宋_GBK" w:eastAsia="方正小标宋_GBK"/>
              <w:caps/>
              <w:color w:val="auto"/>
              <w:spacing w:val="4"/>
              <w:kern w:val="36"/>
              <w:sz w:val="28"/>
              <w:szCs w:val="28"/>
            </w:rPr>
            <w:tab/>
          </w:r>
          <w:r>
            <w:rPr>
              <w:rFonts w:hint="eastAsia" w:ascii="方正小标宋_GBK" w:eastAsia="方正小标宋_GBK"/>
              <w:caps/>
              <w:color w:val="auto"/>
              <w:spacing w:val="4"/>
              <w:kern w:val="36"/>
              <w:sz w:val="28"/>
              <w:szCs w:val="28"/>
              <w:lang w:val="en-US" w:eastAsia="zh-CN"/>
            </w:rPr>
            <w:t>8</w:t>
          </w:r>
          <w:r>
            <w:rPr>
              <w:rFonts w:ascii="方正小标宋_GBK" w:eastAsia="方正小标宋_GBK"/>
              <w:caps/>
              <w:color w:val="auto"/>
              <w:spacing w:val="4"/>
              <w:kern w:val="36"/>
              <w:sz w:val="28"/>
              <w:szCs w:val="28"/>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"_Toc154250360" </w:instrText>
          </w:r>
          <w:r>
            <w:fldChar w:fldCharType="separate"/>
          </w:r>
          <w:r>
            <w:rPr>
              <w:rFonts w:ascii="方正仿宋_GBK" w:eastAsia="方正仿宋_GBK"/>
              <w:color w:val="auto"/>
              <w:sz w:val="28"/>
              <w:szCs w:val="28"/>
              <w:lang w:val="zh-TW"/>
            </w:rPr>
            <w:t>一、合理划定林地</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8</w:t>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"_Toc154250361" </w:instrText>
          </w:r>
          <w:r>
            <w:fldChar w:fldCharType="separate"/>
          </w:r>
          <w:r>
            <w:rPr>
              <w:rFonts w:ascii="方正仿宋_GBK" w:eastAsia="方正仿宋_GBK"/>
              <w:color w:val="auto"/>
              <w:sz w:val="28"/>
              <w:szCs w:val="28"/>
              <w:lang w:val="zh-TW"/>
            </w:rPr>
            <w:t>二、科学配置林地空间布局</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8</w:t>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"_Toc154250362" </w:instrText>
          </w:r>
          <w:r>
            <w:fldChar w:fldCharType="separate"/>
          </w:r>
          <w:r>
            <w:rPr>
              <w:rFonts w:ascii="方正仿宋_GBK" w:eastAsia="方正仿宋_GBK"/>
              <w:color w:val="auto"/>
              <w:sz w:val="28"/>
              <w:szCs w:val="28"/>
              <w:lang w:val="zh-TW"/>
            </w:rPr>
            <w:t>三、林地空间分区建设内容</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9</w:t>
          </w:r>
          <w:r>
            <w:rPr>
              <w:rFonts w:ascii="方正仿宋_GBK" w:eastAsia="方正仿宋_GBK"/>
              <w:color w:val="auto"/>
              <w:sz w:val="28"/>
              <w:szCs w:val="28"/>
              <w:lang w:val="zh-TW"/>
            </w:rPr>
            <w:fldChar w:fldCharType="end"/>
          </w:r>
        </w:p>
        <w:p>
          <w:pPr>
            <w:pStyle w:val="13"/>
            <w:tabs>
              <w:tab w:val="right" w:leader="hyphen" w:pos="8494"/>
              <w:tab w:val="clear" w:pos="1050"/>
              <w:tab w:val="clear" w:pos="8303"/>
            </w:tabs>
            <w:adjustRightInd w:val="0"/>
            <w:snapToGrid w:val="0"/>
            <w:spacing w:line="560" w:lineRule="exact"/>
            <w:jc w:val="left"/>
            <w:rPr>
              <w:rFonts w:hint="eastAsia" w:ascii="方正小标宋_GBK" w:eastAsia="方正小标宋_GBK"/>
              <w:caps/>
              <w:color w:val="auto"/>
              <w:spacing w:val="4"/>
              <w:kern w:val="36"/>
              <w:sz w:val="28"/>
              <w:szCs w:val="28"/>
              <w:lang w:val="en-US" w:eastAsia="zh-CN"/>
            </w:rPr>
          </w:pPr>
          <w:r>
            <w:fldChar w:fldCharType="begin"/>
          </w:r>
          <w:r>
            <w:instrText xml:space="preserve"> HYPERLINK \l "_Toc154250363" </w:instrText>
          </w:r>
          <w:r>
            <w:fldChar w:fldCharType="separate"/>
          </w:r>
          <w:r>
            <w:rPr>
              <w:rFonts w:ascii="方正小标宋_GBK" w:eastAsia="方正小标宋_GBK"/>
              <w:caps/>
              <w:color w:val="auto"/>
              <w:spacing w:val="4"/>
              <w:kern w:val="36"/>
              <w:sz w:val="28"/>
              <w:szCs w:val="28"/>
            </w:rPr>
            <w:t>第四章  全面保护林地</w:t>
          </w:r>
          <w:r>
            <w:rPr>
              <w:rFonts w:ascii="方正小标宋_GBK" w:eastAsia="方正小标宋_GBK"/>
              <w:caps/>
              <w:color w:val="auto"/>
              <w:spacing w:val="4"/>
              <w:kern w:val="36"/>
              <w:sz w:val="28"/>
              <w:szCs w:val="28"/>
            </w:rPr>
            <w:tab/>
          </w:r>
          <w:r>
            <w:rPr>
              <w:rFonts w:hint="eastAsia" w:ascii="方正小标宋_GBK" w:eastAsia="方正小标宋_GBK"/>
              <w:caps/>
              <w:color w:val="auto"/>
              <w:spacing w:val="4"/>
              <w:kern w:val="36"/>
              <w:sz w:val="28"/>
              <w:szCs w:val="28"/>
              <w:lang w:val="en-US" w:eastAsia="zh-CN"/>
            </w:rPr>
            <w:t>1</w:t>
          </w:r>
          <w:r>
            <w:rPr>
              <w:rFonts w:ascii="方正小标宋_GBK" w:eastAsia="方正小标宋_GBK"/>
              <w:caps/>
              <w:color w:val="auto"/>
              <w:spacing w:val="4"/>
              <w:kern w:val="36"/>
              <w:sz w:val="28"/>
              <w:szCs w:val="28"/>
            </w:rPr>
            <w:fldChar w:fldCharType="end"/>
          </w:r>
          <w:r>
            <w:rPr>
              <w:rFonts w:hint="eastAsia" w:ascii="方正小标宋_GBK" w:eastAsia="方正小标宋_GBK"/>
              <w:caps/>
              <w:color w:val="auto"/>
              <w:spacing w:val="4"/>
              <w:kern w:val="36"/>
              <w:sz w:val="28"/>
              <w:szCs w:val="28"/>
              <w:lang w:val="en-US" w:eastAsia="zh-CN"/>
            </w:rPr>
            <w:t>2</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"_Toc154250364" </w:instrText>
          </w:r>
          <w:r>
            <w:fldChar w:fldCharType="separate"/>
          </w:r>
          <w:r>
            <w:rPr>
              <w:rFonts w:ascii="方正仿宋_GBK" w:eastAsia="方正仿宋_GBK"/>
              <w:color w:val="auto"/>
              <w:sz w:val="28"/>
              <w:szCs w:val="28"/>
              <w:lang w:val="zh-TW"/>
            </w:rPr>
            <w:t>一、明确保护任务</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1</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2</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"_Toc154250365" </w:instrText>
          </w:r>
          <w:r>
            <w:fldChar w:fldCharType="separate"/>
          </w:r>
          <w:r>
            <w:rPr>
              <w:rFonts w:ascii="方正仿宋_GBK" w:eastAsia="方正仿宋_GBK"/>
              <w:color w:val="auto"/>
              <w:sz w:val="28"/>
              <w:szCs w:val="28"/>
              <w:lang w:val="zh-TW"/>
            </w:rPr>
            <w:t>二、严格用途管制</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1</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3</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"_Toc154250366" </w:instrText>
          </w:r>
          <w:r>
            <w:fldChar w:fldCharType="separate"/>
          </w:r>
          <w:r>
            <w:rPr>
              <w:rFonts w:ascii="方正仿宋_GBK" w:eastAsia="方正仿宋_GBK"/>
              <w:color w:val="auto"/>
              <w:sz w:val="28"/>
              <w:szCs w:val="28"/>
              <w:lang w:val="zh-TW"/>
            </w:rPr>
            <w:t>三、实行分级分类保护</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1</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5</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"_Toc154250367" </w:instrText>
          </w:r>
          <w:r>
            <w:fldChar w:fldCharType="separate"/>
          </w:r>
          <w:r>
            <w:rPr>
              <w:rFonts w:ascii="方正仿宋_GBK" w:eastAsia="方正仿宋_GBK"/>
              <w:color w:val="auto"/>
              <w:sz w:val="28"/>
              <w:szCs w:val="28"/>
              <w:lang w:val="zh-TW"/>
            </w:rPr>
            <w:t>四、科学补充林地</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1</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7</w:t>
          </w:r>
        </w:p>
        <w:p>
          <w:pPr>
            <w:pStyle w:val="13"/>
            <w:tabs>
              <w:tab w:val="right" w:leader="hyphen" w:pos="8494"/>
              <w:tab w:val="clear" w:pos="1050"/>
              <w:tab w:val="clear" w:pos="8303"/>
            </w:tabs>
            <w:adjustRightInd w:val="0"/>
            <w:snapToGrid w:val="0"/>
            <w:spacing w:line="560" w:lineRule="exact"/>
            <w:jc w:val="left"/>
            <w:rPr>
              <w:rFonts w:hint="eastAsia" w:ascii="方正小标宋_GBK" w:eastAsia="方正小标宋_GBK"/>
              <w:caps/>
              <w:color w:val="auto"/>
              <w:spacing w:val="4"/>
              <w:kern w:val="36"/>
              <w:sz w:val="28"/>
              <w:szCs w:val="28"/>
              <w:lang w:val="en-US" w:eastAsia="zh-CN"/>
            </w:rPr>
          </w:pPr>
          <w:r>
            <w:fldChar w:fldCharType="begin"/>
          </w:r>
          <w:r>
            <w:instrText xml:space="preserve"> HYPERLINK \l "_Toc154250368" </w:instrText>
          </w:r>
          <w:r>
            <w:fldChar w:fldCharType="separate"/>
          </w:r>
          <w:r>
            <w:rPr>
              <w:rFonts w:ascii="方正小标宋_GBK" w:eastAsia="方正小标宋_GBK"/>
              <w:caps/>
              <w:color w:val="auto"/>
              <w:spacing w:val="4"/>
              <w:kern w:val="36"/>
              <w:sz w:val="28"/>
              <w:szCs w:val="28"/>
            </w:rPr>
            <w:t>第五章  高效利用林地</w:t>
          </w:r>
          <w:r>
            <w:rPr>
              <w:rFonts w:ascii="方正小标宋_GBK" w:eastAsia="方正小标宋_GBK"/>
              <w:caps/>
              <w:color w:val="auto"/>
              <w:spacing w:val="4"/>
              <w:kern w:val="36"/>
              <w:sz w:val="28"/>
              <w:szCs w:val="28"/>
            </w:rPr>
            <w:tab/>
          </w:r>
          <w:r>
            <w:rPr>
              <w:rFonts w:hint="eastAsia" w:ascii="方正小标宋_GBK" w:eastAsia="方正小标宋_GBK"/>
              <w:caps/>
              <w:color w:val="auto"/>
              <w:spacing w:val="4"/>
              <w:kern w:val="36"/>
              <w:sz w:val="28"/>
              <w:szCs w:val="28"/>
              <w:lang w:val="en-US" w:eastAsia="zh-CN"/>
            </w:rPr>
            <w:t>1</w:t>
          </w:r>
          <w:r>
            <w:rPr>
              <w:rFonts w:ascii="方正小标宋_GBK" w:eastAsia="方正小标宋_GBK"/>
              <w:caps/>
              <w:color w:val="auto"/>
              <w:spacing w:val="4"/>
              <w:kern w:val="36"/>
              <w:sz w:val="28"/>
              <w:szCs w:val="28"/>
            </w:rPr>
            <w:fldChar w:fldCharType="end"/>
          </w:r>
          <w:r>
            <w:rPr>
              <w:rFonts w:hint="eastAsia" w:ascii="方正小标宋_GBK" w:eastAsia="方正小标宋_GBK"/>
              <w:caps/>
              <w:color w:val="auto"/>
              <w:spacing w:val="4"/>
              <w:kern w:val="36"/>
              <w:sz w:val="28"/>
              <w:szCs w:val="28"/>
              <w:lang w:val="en-US" w:eastAsia="zh-CN"/>
            </w:rPr>
            <w:t>9</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"_Toc154250369" </w:instrText>
          </w:r>
          <w:r>
            <w:fldChar w:fldCharType="separate"/>
          </w:r>
          <w:r>
            <w:rPr>
              <w:rFonts w:ascii="方正仿宋_GBK" w:eastAsia="方正仿宋_GBK"/>
              <w:color w:val="auto"/>
              <w:sz w:val="28"/>
              <w:szCs w:val="28"/>
              <w:lang w:val="zh-TW"/>
            </w:rPr>
            <w:t>一、保障园林绿化重点建设用地</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1</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9</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"_Toc154250370" </w:instrText>
          </w:r>
          <w:r>
            <w:fldChar w:fldCharType="separate"/>
          </w:r>
          <w:r>
            <w:rPr>
              <w:rFonts w:ascii="方正仿宋_GBK" w:eastAsia="方正仿宋_GBK"/>
              <w:color w:val="auto"/>
              <w:sz w:val="28"/>
              <w:szCs w:val="28"/>
              <w:lang w:val="zh-TW"/>
            </w:rPr>
            <w:t>二、保障重大重点项目用地</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2</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0</w:t>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"_Toc154250371" </w:instrText>
          </w:r>
          <w:r>
            <w:fldChar w:fldCharType="separate"/>
          </w:r>
          <w:r>
            <w:rPr>
              <w:rFonts w:ascii="方正仿宋_GBK" w:eastAsia="方正仿宋_GBK"/>
              <w:color w:val="auto"/>
              <w:sz w:val="28"/>
              <w:szCs w:val="28"/>
              <w:lang w:val="zh-TW"/>
            </w:rPr>
            <w:t>三、确保持续利用林地</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_Toc154250371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2</w:t>
          </w:r>
          <w:r>
            <w:rPr>
              <w:rFonts w:hint="eastAsia" w:ascii="方正仿宋_GBK" w:eastAsia="方正仿宋_GBK"/>
              <w:color w:val="auto"/>
              <w:sz w:val="28"/>
              <w:szCs w:val="28"/>
              <w:lang w:val="en-US" w:eastAsia="zh-CN"/>
            </w:rPr>
            <w:t>0</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"_Toc154250372" </w:instrText>
          </w:r>
          <w:r>
            <w:fldChar w:fldCharType="separate"/>
          </w:r>
          <w:r>
            <w:rPr>
              <w:rFonts w:ascii="方正仿宋_GBK" w:eastAsia="方正仿宋_GBK"/>
              <w:color w:val="auto"/>
              <w:sz w:val="28"/>
              <w:szCs w:val="28"/>
              <w:lang w:val="zh-TW"/>
            </w:rPr>
            <w:t>四、节约规范使用林地</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_Toc154250372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2</w:t>
          </w:r>
          <w:r>
            <w:rPr>
              <w:rFonts w:hint="eastAsia" w:ascii="方正仿宋_GBK" w:eastAsia="方正仿宋_GBK"/>
              <w:color w:val="auto"/>
              <w:sz w:val="28"/>
              <w:szCs w:val="28"/>
              <w:lang w:val="en-US" w:eastAsia="zh-CN"/>
            </w:rPr>
            <w:t>1</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3"/>
            <w:tabs>
              <w:tab w:val="right" w:leader="hyphen" w:pos="8494"/>
              <w:tab w:val="clear" w:pos="1050"/>
              <w:tab w:val="clear" w:pos="8303"/>
            </w:tabs>
            <w:adjustRightInd w:val="0"/>
            <w:snapToGrid w:val="0"/>
            <w:spacing w:line="560" w:lineRule="exact"/>
            <w:jc w:val="left"/>
            <w:sectPr>
              <w:headerReference r:id="rId7" w:type="default"/>
              <w:footerReference r:id="rId8" w:type="default"/>
              <w:pgSz w:w="11900" w:h="16840"/>
              <w:pgMar w:top="1440" w:right="1797" w:bottom="1440" w:left="1797" w:header="737" w:footer="737" w:gutter="0"/>
              <w:pgNumType w:fmt="upperRoman"/>
              <w:cols w:space="720" w:num="1"/>
            </w:sectPr>
          </w:pPr>
        </w:p>
        <w:p>
          <w:pPr>
            <w:pStyle w:val="13"/>
            <w:tabs>
              <w:tab w:val="right" w:leader="hyphen" w:pos="8494"/>
              <w:tab w:val="clear" w:pos="1050"/>
              <w:tab w:val="clear" w:pos="8303"/>
            </w:tabs>
            <w:adjustRightInd w:val="0"/>
            <w:snapToGrid w:val="0"/>
            <w:spacing w:line="560" w:lineRule="exact"/>
            <w:jc w:val="left"/>
            <w:rPr>
              <w:rFonts w:ascii="方正小标宋_GBK" w:eastAsia="方正小标宋_GBK"/>
              <w:caps/>
              <w:color w:val="auto"/>
              <w:spacing w:val="4"/>
              <w:kern w:val="36"/>
              <w:sz w:val="28"/>
              <w:szCs w:val="28"/>
            </w:rPr>
          </w:pPr>
          <w:r>
            <w:fldChar w:fldCharType="begin"/>
          </w:r>
          <w:r>
            <w:instrText xml:space="preserve"> HYPERLINK \l "_Toc154250373" </w:instrText>
          </w:r>
          <w:r>
            <w:fldChar w:fldCharType="separate"/>
          </w:r>
          <w:r>
            <w:rPr>
              <w:rFonts w:ascii="方正小标宋_GBK" w:eastAsia="方正小标宋_GBK"/>
              <w:caps/>
              <w:color w:val="auto"/>
              <w:spacing w:val="4"/>
              <w:kern w:val="36"/>
              <w:sz w:val="28"/>
              <w:szCs w:val="28"/>
            </w:rPr>
            <w:t>第六章  科学经营森林</w:t>
          </w:r>
          <w:r>
            <w:rPr>
              <w:rFonts w:ascii="方正小标宋_GBK" w:eastAsia="方正小标宋_GBK"/>
              <w:caps/>
              <w:color w:val="auto"/>
              <w:spacing w:val="4"/>
              <w:kern w:val="36"/>
              <w:sz w:val="28"/>
              <w:szCs w:val="28"/>
            </w:rPr>
            <w:tab/>
          </w:r>
          <w:r>
            <w:rPr>
              <w:rFonts w:ascii="方正小标宋_GBK" w:eastAsia="方正小标宋_GBK"/>
              <w:caps/>
              <w:color w:val="auto"/>
              <w:spacing w:val="4"/>
              <w:kern w:val="36"/>
              <w:sz w:val="28"/>
              <w:szCs w:val="28"/>
            </w:rPr>
            <w:fldChar w:fldCharType="begin"/>
          </w:r>
          <w:r>
            <w:rPr>
              <w:rFonts w:ascii="方正小标宋_GBK" w:eastAsia="方正小标宋_GBK"/>
              <w:caps/>
              <w:color w:val="auto"/>
              <w:spacing w:val="4"/>
              <w:kern w:val="36"/>
              <w:sz w:val="28"/>
              <w:szCs w:val="28"/>
            </w:rPr>
            <w:instrText xml:space="preserve"> PAGEREF _Toc154250373 \h </w:instrText>
          </w:r>
          <w:r>
            <w:rPr>
              <w:rFonts w:ascii="方正小标宋_GBK" w:eastAsia="方正小标宋_GBK"/>
              <w:caps/>
              <w:color w:val="auto"/>
              <w:spacing w:val="4"/>
              <w:kern w:val="36"/>
              <w:sz w:val="28"/>
              <w:szCs w:val="28"/>
            </w:rPr>
            <w:fldChar w:fldCharType="separate"/>
          </w:r>
          <w:r>
            <w:rPr>
              <w:rFonts w:ascii="方正小标宋_GBK" w:eastAsia="方正小标宋_GBK"/>
              <w:caps/>
              <w:color w:val="auto"/>
              <w:spacing w:val="4"/>
              <w:kern w:val="36"/>
              <w:sz w:val="28"/>
              <w:szCs w:val="28"/>
            </w:rPr>
            <w:t>2</w:t>
          </w:r>
          <w:r>
            <w:rPr>
              <w:rFonts w:hint="eastAsia" w:ascii="方正小标宋_GBK" w:eastAsia="方正小标宋_GBK"/>
              <w:caps/>
              <w:color w:val="auto"/>
              <w:spacing w:val="4"/>
              <w:kern w:val="36"/>
              <w:sz w:val="28"/>
              <w:szCs w:val="28"/>
              <w:lang w:val="en-US" w:eastAsia="zh-CN"/>
            </w:rPr>
            <w:t>3</w:t>
          </w:r>
          <w:r>
            <w:rPr>
              <w:rFonts w:ascii="方正小标宋_GBK" w:eastAsia="方正小标宋_GBK"/>
              <w:caps/>
              <w:color w:val="auto"/>
              <w:spacing w:val="4"/>
              <w:kern w:val="36"/>
              <w:sz w:val="28"/>
              <w:szCs w:val="28"/>
            </w:rPr>
            <w:fldChar w:fldCharType="end"/>
          </w:r>
          <w:r>
            <w:rPr>
              <w:rFonts w:ascii="方正小标宋_GBK" w:eastAsia="方正小标宋_GBK"/>
              <w:caps/>
              <w:color w:val="auto"/>
              <w:spacing w:val="4"/>
              <w:kern w:val="36"/>
              <w:sz w:val="28"/>
              <w:szCs w:val="28"/>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"_Toc154250374" </w:instrText>
          </w:r>
          <w:r>
            <w:fldChar w:fldCharType="separate"/>
          </w:r>
          <w:r>
            <w:rPr>
              <w:rFonts w:ascii="方正仿宋_GBK" w:eastAsia="方正仿宋_GBK"/>
              <w:color w:val="auto"/>
              <w:sz w:val="28"/>
              <w:szCs w:val="28"/>
              <w:lang w:val="zh-TW"/>
            </w:rPr>
            <w:t>一、全面实施森林可持续经营</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_Toc154250374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2</w:t>
          </w:r>
          <w:r>
            <w:rPr>
              <w:rFonts w:hint="eastAsia" w:ascii="方正仿宋_GBK" w:eastAsia="方正仿宋_GBK"/>
              <w:color w:val="auto"/>
              <w:sz w:val="28"/>
              <w:szCs w:val="28"/>
              <w:lang w:val="en-US" w:eastAsia="zh-CN"/>
            </w:rPr>
            <w:t>3</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"_Toc154250375" </w:instrText>
          </w:r>
          <w:r>
            <w:fldChar w:fldCharType="separate"/>
          </w:r>
          <w:r>
            <w:rPr>
              <w:rFonts w:ascii="方正仿宋_GBK" w:eastAsia="方正仿宋_GBK"/>
              <w:color w:val="auto"/>
              <w:sz w:val="28"/>
              <w:szCs w:val="28"/>
              <w:lang w:val="zh-TW"/>
            </w:rPr>
            <w:t>二、持续提升林地内森林资源经营</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_Toc154250375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2</w:t>
          </w:r>
          <w:r>
            <w:rPr>
              <w:rFonts w:hint="eastAsia" w:ascii="方正仿宋_GBK" w:eastAsia="方正仿宋_GBK"/>
              <w:color w:val="auto"/>
              <w:sz w:val="28"/>
              <w:szCs w:val="28"/>
              <w:lang w:val="en-US" w:eastAsia="zh-CN"/>
            </w:rPr>
            <w:t>4</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"_Toc154250376" </w:instrText>
          </w:r>
          <w:r>
            <w:fldChar w:fldCharType="separate"/>
          </w:r>
          <w:r>
            <w:rPr>
              <w:rFonts w:ascii="方正仿宋_GBK" w:eastAsia="方正仿宋_GBK"/>
              <w:color w:val="auto"/>
              <w:sz w:val="28"/>
              <w:szCs w:val="28"/>
              <w:lang w:val="zh-TW"/>
            </w:rPr>
            <w:t>三、引导规范林地外林木资源经营</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2</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6</w:t>
          </w:r>
        </w:p>
        <w:p>
          <w:pPr>
            <w:pStyle w:val="13"/>
            <w:tabs>
              <w:tab w:val="right" w:leader="hyphen" w:pos="8494"/>
              <w:tab w:val="clear" w:pos="1050"/>
              <w:tab w:val="clear" w:pos="8303"/>
            </w:tabs>
            <w:adjustRightInd w:val="0"/>
            <w:snapToGrid w:val="0"/>
            <w:spacing w:line="560" w:lineRule="exact"/>
            <w:jc w:val="left"/>
            <w:rPr>
              <w:rFonts w:hint="eastAsia" w:ascii="方正小标宋_GBK" w:eastAsia="方正小标宋_GBK"/>
              <w:caps/>
              <w:color w:val="auto"/>
              <w:spacing w:val="4"/>
              <w:kern w:val="36"/>
              <w:sz w:val="28"/>
              <w:szCs w:val="28"/>
              <w:lang w:val="en-US" w:eastAsia="zh-CN"/>
            </w:rPr>
          </w:pPr>
          <w:r>
            <w:fldChar w:fldCharType="begin"/>
          </w:r>
          <w:r>
            <w:instrText xml:space="preserve"> HYPERLINK \l "_Toc154250377" </w:instrText>
          </w:r>
          <w:r>
            <w:fldChar w:fldCharType="separate"/>
          </w:r>
          <w:r>
            <w:rPr>
              <w:rFonts w:ascii="方正小标宋_GBK" w:eastAsia="方正小标宋_GBK"/>
              <w:caps/>
              <w:color w:val="auto"/>
              <w:spacing w:val="4"/>
              <w:kern w:val="36"/>
              <w:sz w:val="28"/>
              <w:szCs w:val="28"/>
            </w:rPr>
            <w:t>第七章  健全规划实施保障</w:t>
          </w:r>
          <w:r>
            <w:rPr>
              <w:rFonts w:ascii="方正小标宋_GBK" w:eastAsia="方正小标宋_GBK"/>
              <w:caps/>
              <w:color w:val="auto"/>
              <w:spacing w:val="4"/>
              <w:kern w:val="36"/>
              <w:sz w:val="28"/>
              <w:szCs w:val="28"/>
            </w:rPr>
            <w:tab/>
          </w:r>
          <w:r>
            <w:rPr>
              <w:rFonts w:hint="eastAsia" w:ascii="方正小标宋_GBK" w:eastAsia="方正小标宋_GBK"/>
              <w:caps/>
              <w:color w:val="auto"/>
              <w:spacing w:val="4"/>
              <w:kern w:val="36"/>
              <w:sz w:val="28"/>
              <w:szCs w:val="28"/>
              <w:lang w:val="en-US" w:eastAsia="zh-CN"/>
            </w:rPr>
            <w:t>2</w:t>
          </w:r>
          <w:r>
            <w:rPr>
              <w:rFonts w:ascii="方正小标宋_GBK" w:eastAsia="方正小标宋_GBK"/>
              <w:caps/>
              <w:color w:val="auto"/>
              <w:spacing w:val="4"/>
              <w:kern w:val="36"/>
              <w:sz w:val="28"/>
              <w:szCs w:val="28"/>
            </w:rPr>
            <w:fldChar w:fldCharType="end"/>
          </w:r>
          <w:r>
            <w:rPr>
              <w:rFonts w:hint="eastAsia" w:ascii="方正小标宋_GBK" w:eastAsia="方正小标宋_GBK"/>
              <w:caps/>
              <w:color w:val="auto"/>
              <w:spacing w:val="4"/>
              <w:kern w:val="36"/>
              <w:sz w:val="28"/>
              <w:szCs w:val="28"/>
              <w:lang w:val="en-US" w:eastAsia="zh-CN"/>
            </w:rPr>
            <w:t>8</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"_Toc154250378" </w:instrText>
          </w:r>
          <w:r>
            <w:fldChar w:fldCharType="separate"/>
          </w:r>
          <w:r>
            <w:rPr>
              <w:rFonts w:ascii="方正仿宋_GBK" w:eastAsia="方正仿宋_GBK"/>
              <w:color w:val="auto"/>
              <w:sz w:val="28"/>
              <w:szCs w:val="28"/>
              <w:lang w:val="zh-TW"/>
            </w:rPr>
            <w:t>一、加强组织管理</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2</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8</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"_Toc154250379" </w:instrText>
          </w:r>
          <w:r>
            <w:fldChar w:fldCharType="separate"/>
          </w:r>
          <w:r>
            <w:rPr>
              <w:rFonts w:ascii="方正仿宋_GBK" w:eastAsia="方正仿宋_GBK"/>
              <w:color w:val="auto"/>
              <w:sz w:val="28"/>
              <w:szCs w:val="28"/>
              <w:lang w:val="zh-TW"/>
            </w:rPr>
            <w:t>二、完善政策机制</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2</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8</w:t>
          </w:r>
        </w:p>
        <w:p>
          <w:pPr>
            <w:pStyle w:val="16"/>
            <w:adjustRightInd w:val="0"/>
            <w:snapToGrid w:val="0"/>
            <w:spacing w:line="560" w:lineRule="exact"/>
            <w:jc w:val="left"/>
            <w:rPr>
              <w:rFonts w:hint="eastAsia" w:ascii="方正仿宋_GBK" w:eastAsia="方正仿宋_GBK"/>
              <w:color w:val="auto"/>
              <w:sz w:val="28"/>
              <w:szCs w:val="28"/>
              <w:lang w:val="en-US" w:eastAsia="zh-CN"/>
            </w:rPr>
          </w:pPr>
          <w:r>
            <w:fldChar w:fldCharType="begin"/>
          </w:r>
          <w:r>
            <w:instrText xml:space="preserve"> HYPERLINK \l "_Toc154250380" </w:instrText>
          </w:r>
          <w:r>
            <w:fldChar w:fldCharType="separate"/>
          </w:r>
          <w:r>
            <w:rPr>
              <w:rFonts w:ascii="方正仿宋_GBK" w:eastAsia="方正仿宋_GBK"/>
              <w:color w:val="auto"/>
              <w:sz w:val="28"/>
              <w:szCs w:val="28"/>
              <w:lang w:val="zh-TW"/>
            </w:rPr>
            <w:t>三、强化规划管理</w:t>
          </w:r>
          <w:r>
            <w:rPr>
              <w:rFonts w:ascii="方正仿宋_GBK" w:eastAsia="方正仿宋_GBK"/>
              <w:color w:val="auto"/>
              <w:sz w:val="28"/>
              <w:szCs w:val="28"/>
              <w:lang w:val="zh-TW"/>
            </w:rPr>
            <w:tab/>
          </w:r>
          <w:r>
            <w:rPr>
              <w:rFonts w:hint="eastAsia" w:ascii="方正仿宋_GBK" w:eastAsia="方正仿宋_GBK"/>
              <w:color w:val="auto"/>
              <w:sz w:val="28"/>
              <w:szCs w:val="28"/>
              <w:lang w:val="en-US" w:eastAsia="zh-CN"/>
            </w:rPr>
            <w:t>2</w:t>
          </w:r>
          <w:r>
            <w:rPr>
              <w:rFonts w:ascii="方正仿宋_GBK" w:eastAsia="方正仿宋_GBK"/>
              <w:color w:val="auto"/>
              <w:sz w:val="28"/>
              <w:szCs w:val="28"/>
              <w:lang w:val="zh-TW"/>
            </w:rPr>
            <w:fldChar w:fldCharType="end"/>
          </w:r>
          <w:r>
            <w:rPr>
              <w:rFonts w:hint="eastAsia" w:ascii="方正仿宋_GBK" w:eastAsia="方正仿宋_GBK"/>
              <w:color w:val="auto"/>
              <w:sz w:val="28"/>
              <w:szCs w:val="28"/>
              <w:lang w:val="en-US" w:eastAsia="zh-CN"/>
            </w:rPr>
            <w:t>9</w:t>
          </w:r>
        </w:p>
        <w:p>
          <w:pPr>
            <w:pStyle w:val="13"/>
            <w:tabs>
              <w:tab w:val="right" w:leader="hyphen" w:pos="8494"/>
              <w:tab w:val="clear" w:pos="1050"/>
              <w:tab w:val="clear" w:pos="8303"/>
            </w:tabs>
            <w:adjustRightInd w:val="0"/>
            <w:snapToGrid w:val="0"/>
            <w:spacing w:line="560" w:lineRule="exact"/>
            <w:jc w:val="left"/>
            <w:rPr>
              <w:rFonts w:ascii="方正小标宋_GBK" w:eastAsia="方正小标宋_GBK"/>
              <w:caps/>
              <w:color w:val="auto"/>
              <w:spacing w:val="4"/>
              <w:kern w:val="36"/>
              <w:sz w:val="28"/>
              <w:szCs w:val="28"/>
            </w:rPr>
          </w:pPr>
          <w:r>
            <w:fldChar w:fldCharType="begin"/>
          </w:r>
          <w:r>
            <w:instrText xml:space="preserve"> HYPERLINK \l "_Toc154250389" </w:instrText>
          </w:r>
          <w:r>
            <w:fldChar w:fldCharType="separate"/>
          </w:r>
          <w:r>
            <w:rPr>
              <w:rFonts w:ascii="方正小标宋_GBK" w:eastAsia="方正小标宋_GBK"/>
              <w:caps/>
              <w:color w:val="auto"/>
              <w:spacing w:val="4"/>
              <w:kern w:val="36"/>
              <w:sz w:val="28"/>
              <w:szCs w:val="28"/>
            </w:rPr>
            <w:t>附  图</w:t>
          </w:r>
          <w:r>
            <w:rPr>
              <w:rFonts w:ascii="方正小标宋_GBK" w:eastAsia="方正小标宋_GBK"/>
              <w:caps/>
              <w:color w:val="auto"/>
              <w:spacing w:val="4"/>
              <w:kern w:val="36"/>
              <w:sz w:val="28"/>
              <w:szCs w:val="28"/>
            </w:rPr>
            <w:tab/>
          </w:r>
          <w:r>
            <w:rPr>
              <w:rFonts w:ascii="方正小标宋_GBK" w:eastAsia="方正小标宋_GBK"/>
              <w:caps/>
              <w:color w:val="auto"/>
              <w:spacing w:val="4"/>
              <w:kern w:val="36"/>
              <w:sz w:val="28"/>
              <w:szCs w:val="28"/>
            </w:rPr>
            <w:fldChar w:fldCharType="begin"/>
          </w:r>
          <w:r>
            <w:rPr>
              <w:rFonts w:ascii="方正小标宋_GBK" w:eastAsia="方正小标宋_GBK"/>
              <w:caps/>
              <w:color w:val="auto"/>
              <w:spacing w:val="4"/>
              <w:kern w:val="36"/>
              <w:sz w:val="28"/>
              <w:szCs w:val="28"/>
            </w:rPr>
            <w:instrText xml:space="preserve"> PAGEREF _Toc154250389 \h </w:instrText>
          </w:r>
          <w:r>
            <w:rPr>
              <w:rFonts w:ascii="方正小标宋_GBK" w:eastAsia="方正小标宋_GBK"/>
              <w:caps/>
              <w:color w:val="auto"/>
              <w:spacing w:val="4"/>
              <w:kern w:val="36"/>
              <w:sz w:val="28"/>
              <w:szCs w:val="28"/>
            </w:rPr>
            <w:fldChar w:fldCharType="separate"/>
          </w:r>
          <w:r>
            <w:rPr>
              <w:rFonts w:ascii="方正小标宋_GBK" w:eastAsia="方正小标宋_GBK"/>
              <w:caps/>
              <w:color w:val="auto"/>
              <w:spacing w:val="4"/>
              <w:kern w:val="36"/>
              <w:sz w:val="28"/>
              <w:szCs w:val="28"/>
            </w:rPr>
            <w:t>3</w:t>
          </w:r>
          <w:r>
            <w:rPr>
              <w:rFonts w:hint="eastAsia" w:ascii="方正小标宋_GBK" w:eastAsia="方正小标宋_GBK"/>
              <w:caps/>
              <w:color w:val="auto"/>
              <w:spacing w:val="4"/>
              <w:kern w:val="36"/>
              <w:sz w:val="28"/>
              <w:szCs w:val="28"/>
              <w:lang w:val="en-US" w:eastAsia="zh-CN"/>
            </w:rPr>
            <w:t>2</w:t>
          </w:r>
          <w:r>
            <w:rPr>
              <w:rFonts w:ascii="方正小标宋_GBK" w:eastAsia="方正小标宋_GBK"/>
              <w:caps/>
              <w:color w:val="auto"/>
              <w:spacing w:val="4"/>
              <w:kern w:val="36"/>
              <w:sz w:val="28"/>
              <w:szCs w:val="28"/>
            </w:rPr>
            <w:fldChar w:fldCharType="end"/>
          </w:r>
          <w:r>
            <w:rPr>
              <w:rFonts w:ascii="方正小标宋_GBK" w:eastAsia="方正小标宋_GBK"/>
              <w:caps/>
              <w:color w:val="auto"/>
              <w:spacing w:val="4"/>
              <w:kern w:val="36"/>
              <w:sz w:val="28"/>
              <w:szCs w:val="28"/>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"_Toc154250390" </w:instrText>
          </w:r>
          <w:r>
            <w:fldChar w:fldCharType="separate"/>
          </w:r>
          <w:r>
            <w:rPr>
              <w:rFonts w:ascii="方正仿宋_GBK" w:eastAsia="方正仿宋_GBK"/>
              <w:color w:val="auto"/>
              <w:sz w:val="28"/>
              <w:szCs w:val="28"/>
              <w:lang w:val="zh-TW"/>
            </w:rPr>
            <w:t>附图1  林地资源现状图</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_Toc154250390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3</w:t>
          </w:r>
          <w:r>
            <w:rPr>
              <w:rFonts w:hint="eastAsia" w:ascii="方正仿宋_GBK" w:eastAsia="方正仿宋_GBK"/>
              <w:color w:val="auto"/>
              <w:sz w:val="28"/>
              <w:szCs w:val="28"/>
              <w:lang w:val="en-US" w:eastAsia="zh-CN"/>
            </w:rPr>
            <w:t>2</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r>
            <w:fldChar w:fldCharType="begin"/>
          </w:r>
          <w:r>
            <w:instrText xml:space="preserve"> HYPERLINK \l "_Toc154250391" </w:instrText>
          </w:r>
          <w:r>
            <w:fldChar w:fldCharType="separate"/>
          </w:r>
          <w:r>
            <w:rPr>
              <w:rFonts w:ascii="方正仿宋_GBK" w:eastAsia="方正仿宋_GBK"/>
              <w:color w:val="auto"/>
              <w:sz w:val="28"/>
              <w:szCs w:val="28"/>
              <w:lang w:val="zh-TW"/>
            </w:rPr>
            <w:t>附图2  林地资源规划图</w:t>
          </w:r>
          <w:r>
            <w:rPr>
              <w:rFonts w:ascii="方正仿宋_GBK" w:eastAsia="方正仿宋_GBK"/>
              <w:color w:val="auto"/>
              <w:sz w:val="28"/>
              <w:szCs w:val="28"/>
              <w:lang w:val="zh-TW"/>
            </w:rPr>
            <w:tab/>
          </w:r>
          <w:r>
            <w:rPr>
              <w:rFonts w:ascii="方正仿宋_GBK" w:eastAsia="方正仿宋_GBK"/>
              <w:color w:val="auto"/>
              <w:sz w:val="28"/>
              <w:szCs w:val="28"/>
              <w:lang w:val="zh-TW"/>
            </w:rPr>
            <w:fldChar w:fldCharType="begin"/>
          </w:r>
          <w:r>
            <w:rPr>
              <w:rFonts w:ascii="方正仿宋_GBK" w:eastAsia="方正仿宋_GBK"/>
              <w:color w:val="auto"/>
              <w:sz w:val="28"/>
              <w:szCs w:val="28"/>
              <w:lang w:val="zh-TW"/>
            </w:rPr>
            <w:instrText xml:space="preserve"> PAGEREF _Toc154250391 \h </w:instrText>
          </w:r>
          <w:r>
            <w:rPr>
              <w:rFonts w:ascii="方正仿宋_GBK" w:eastAsia="方正仿宋_GBK"/>
              <w:color w:val="auto"/>
              <w:sz w:val="28"/>
              <w:szCs w:val="28"/>
              <w:lang w:val="zh-TW"/>
            </w:rPr>
            <w:fldChar w:fldCharType="separate"/>
          </w:r>
          <w:r>
            <w:rPr>
              <w:rFonts w:ascii="方正仿宋_GBK" w:eastAsia="方正仿宋_GBK"/>
              <w:color w:val="auto"/>
              <w:sz w:val="28"/>
              <w:szCs w:val="28"/>
              <w:lang w:val="zh-TW"/>
            </w:rPr>
            <w:t>3</w:t>
          </w:r>
          <w:r>
            <w:rPr>
              <w:rFonts w:hint="eastAsia" w:ascii="方正仿宋_GBK" w:eastAsia="方正仿宋_GBK"/>
              <w:color w:val="auto"/>
              <w:sz w:val="28"/>
              <w:szCs w:val="28"/>
              <w:lang w:val="en-US" w:eastAsia="zh-CN"/>
            </w:rPr>
            <w:t>3</w:t>
          </w:r>
          <w:r>
            <w:rPr>
              <w:rFonts w:ascii="方正仿宋_GBK" w:eastAsia="方正仿宋_GBK"/>
              <w:color w:val="auto"/>
              <w:sz w:val="28"/>
              <w:szCs w:val="28"/>
              <w:lang w:val="zh-TW"/>
            </w:rPr>
            <w:fldChar w:fldCharType="end"/>
          </w:r>
          <w:r>
            <w:rPr>
              <w:rFonts w:ascii="方正仿宋_GBK" w:eastAsia="方正仿宋_GBK"/>
              <w:color w:val="auto"/>
              <w:sz w:val="28"/>
              <w:szCs w:val="28"/>
              <w:lang w:val="zh-TW"/>
            </w:rPr>
            <w:fldChar w:fldCharType="end"/>
          </w:r>
        </w:p>
        <w:p>
          <w:pPr>
            <w:pStyle w:val="16"/>
            <w:adjustRightInd w:val="0"/>
            <w:snapToGrid w:val="0"/>
            <w:spacing w:line="560" w:lineRule="exact"/>
            <w:jc w:val="left"/>
            <w:rPr>
              <w:rFonts w:ascii="方正仿宋_GBK" w:eastAsia="方正仿宋_GBK"/>
              <w:color w:val="auto"/>
              <w:sz w:val="28"/>
              <w:szCs w:val="28"/>
              <w:lang w:val="zh-TW"/>
            </w:rPr>
          </w:pPr>
        </w:p>
        <w:p>
          <w:pPr>
            <w:pStyle w:val="16"/>
            <w:adjustRightInd w:val="0"/>
            <w:snapToGrid w:val="0"/>
            <w:spacing w:line="560" w:lineRule="exact"/>
            <w:jc w:val="left"/>
            <w:rPr>
              <w:rFonts w:ascii="方正仿宋_GBK" w:eastAsia="方正仿宋_GBK"/>
              <w:color w:val="auto"/>
              <w:sz w:val="28"/>
              <w:szCs w:val="28"/>
              <w:lang w:val="zh-TW"/>
            </w:rPr>
          </w:pPr>
        </w:p>
        <w:p>
          <w:pPr>
            <w:pStyle w:val="16"/>
            <w:adjustRightInd w:val="0"/>
            <w:snapToGrid w:val="0"/>
            <w:spacing w:line="560" w:lineRule="exact"/>
            <w:jc w:val="left"/>
            <w:rPr>
              <w:color w:val="auto"/>
            </w:rPr>
          </w:pPr>
          <w:r>
            <w:rPr>
              <w:rFonts w:ascii="方正仿宋_GBK" w:eastAsia="方正仿宋_GBK"/>
              <w:color w:val="auto"/>
              <w:sz w:val="28"/>
              <w:szCs w:val="28"/>
              <w:lang w:val="zh-TW"/>
            </w:rPr>
            <w:fldChar w:fldCharType="end"/>
          </w:r>
        </w:p>
      </w:sdtContent>
    </w:sdt>
    <w:p>
      <w:pPr>
        <w:widowControl/>
        <w:adjustRightInd w:val="0"/>
        <w:snapToGrid w:val="0"/>
        <w:spacing w:line="560" w:lineRule="exact"/>
        <w:jc w:val="left"/>
        <w:rPr>
          <w:rFonts w:ascii="宋体" w:hAnsi="宋体" w:eastAsia="宋体" w:cs="宋体"/>
          <w:color w:val="auto"/>
          <w:sz w:val="36"/>
          <w:szCs w:val="36"/>
        </w:rPr>
      </w:pPr>
    </w:p>
    <w:p>
      <w:pPr>
        <w:widowControl/>
        <w:spacing w:before="120" w:beforeLines="50" w:line="560" w:lineRule="exact"/>
        <w:jc w:val="left"/>
        <w:rPr>
          <w:color w:val="auto"/>
        </w:rPr>
        <w:sectPr>
          <w:footerReference r:id="rId9" w:type="default"/>
          <w:pgSz w:w="11900" w:h="16840"/>
          <w:pgMar w:top="1440" w:right="1797" w:bottom="1440" w:left="1797" w:header="737" w:footer="737" w:gutter="0"/>
          <w:pgNumType w:fmt="decimal" w:start="1"/>
          <w:cols w:space="720" w:num="1"/>
        </w:sectPr>
      </w:pPr>
    </w:p>
    <w:p>
      <w:pPr>
        <w:pStyle w:val="3"/>
      </w:pPr>
      <w:bookmarkStart w:id="12" w:name="_bookmark1"/>
      <w:bookmarkEnd w:id="12"/>
      <w:bookmarkStart w:id="13" w:name="_Toc154250352"/>
      <w:bookmarkStart w:id="14" w:name="_Toc149941332"/>
      <w:bookmarkStart w:id="15" w:name="_Hlk124497183"/>
      <w:r>
        <w:rPr>
          <w:rFonts w:hint="eastAsia"/>
        </w:rPr>
        <w:t>第一章</w:t>
      </w:r>
      <w:r>
        <w:t xml:space="preserve">  </w:t>
      </w:r>
      <w:r>
        <w:rPr>
          <w:rFonts w:hint="eastAsia"/>
        </w:rPr>
        <w:t>规划基础</w:t>
      </w:r>
      <w:bookmarkEnd w:id="13"/>
      <w:bookmarkEnd w:id="14"/>
    </w:p>
    <w:p>
      <w:pPr>
        <w:pStyle w:val="4"/>
      </w:pPr>
      <w:bookmarkStart w:id="16" w:name="_bookmark2"/>
      <w:bookmarkEnd w:id="16"/>
      <w:bookmarkStart w:id="17" w:name="_Toc149941333"/>
      <w:bookmarkStart w:id="18" w:name="_Toc154250353"/>
      <w:r>
        <w:t>一、现状与问题</w:t>
      </w:r>
      <w:bookmarkEnd w:id="17"/>
      <w:bookmarkEnd w:id="18"/>
    </w:p>
    <w:p>
      <w:pPr>
        <w:pStyle w:val="37"/>
        <w:rPr>
          <w:rFonts w:hint="eastAsia" w:ascii="楷体_GB2312" w:hAnsi="楷体_GB2312" w:eastAsia="楷体_GB2312" w:cs="楷体_GB2312"/>
          <w:b/>
          <w:bCs/>
        </w:rPr>
      </w:pPr>
      <w:r>
        <w:rPr>
          <w:rFonts w:hint="eastAsia" w:ascii="楷体_GB2312" w:hAnsi="楷体_GB2312" w:eastAsia="楷体_GB2312" w:cs="楷体_GB2312"/>
          <w:b/>
          <w:bCs/>
        </w:rPr>
        <w:t>（一）林地空间结构趋于合理，保护利用格局不断完善</w:t>
      </w:r>
    </w:p>
    <w:p>
      <w:pPr>
        <w:pStyle w:val="37"/>
      </w:pPr>
      <w:r>
        <w:t>贯彻落实全市主体功能区战略，</w:t>
      </w:r>
      <w:r>
        <w:rPr>
          <w:rFonts w:hint="eastAsia"/>
        </w:rPr>
        <w:t>按照国土空间布局，科学开展</w:t>
      </w:r>
      <w:r>
        <w:t>林地宏观调控</w:t>
      </w:r>
      <w:r>
        <w:rPr>
          <w:rFonts w:hint="eastAsia"/>
        </w:rPr>
        <w:t>。</w:t>
      </w:r>
      <w:r>
        <w:t>以山区</w:t>
      </w:r>
      <w:r>
        <w:rPr>
          <w:rFonts w:hint="eastAsia"/>
        </w:rPr>
        <w:t>生态公益林、</w:t>
      </w:r>
      <w:r>
        <w:t>平原生态林</w:t>
      </w:r>
      <w:r>
        <w:rPr>
          <w:rFonts w:hint="eastAsia"/>
        </w:rPr>
        <w:t>为主，城镇</w:t>
      </w:r>
      <w:r>
        <w:t>森林为</w:t>
      </w:r>
      <w:r>
        <w:rPr>
          <w:rFonts w:hint="eastAsia"/>
        </w:rPr>
        <w:t>辅，以工程造林和森林健康经营为抓手，以生态保护补偿为支撑，以服务于国际一流的和谐宜居之都建设为目标的</w:t>
      </w:r>
      <w:r>
        <w:t>保护</w:t>
      </w:r>
      <w:r>
        <w:rPr>
          <w:rFonts w:hint="eastAsia"/>
        </w:rPr>
        <w:t>利用</w:t>
      </w:r>
      <w:r>
        <w:t>格局基本形成。</w:t>
      </w:r>
    </w:p>
    <w:p>
      <w:pPr>
        <w:pStyle w:val="30"/>
      </w:pPr>
      <w:r>
        <w:rPr>
          <w:rFonts w:hint="eastAsia"/>
        </w:rPr>
        <w:t>（二）</w:t>
      </w:r>
      <w:r>
        <w:t>森林</w:t>
      </w:r>
      <w:r>
        <w:rPr>
          <w:rFonts w:hint="eastAsia"/>
        </w:rPr>
        <w:t>数量质量</w:t>
      </w:r>
      <w:r>
        <w:t>稳步增长，生态</w:t>
      </w:r>
      <w:r>
        <w:rPr>
          <w:rFonts w:hint="eastAsia"/>
        </w:rPr>
        <w:t>服务功能</w:t>
      </w:r>
      <w:r>
        <w:t>明显增强</w:t>
      </w:r>
    </w:p>
    <w:p>
      <w:pPr>
        <w:pStyle w:val="37"/>
      </w:pPr>
      <w:r>
        <w:t>围绕落实服务首都核心功能</w:t>
      </w:r>
      <w:r>
        <w:rPr>
          <w:rFonts w:hint="eastAsia"/>
        </w:rPr>
        <w:t>，</w:t>
      </w:r>
      <w:r>
        <w:t>接续实施了以两轮百万亩造林</w:t>
      </w:r>
      <w:r>
        <w:rPr>
          <w:rFonts w:hint="eastAsia"/>
        </w:rPr>
        <w:t>、森林健康经营</w:t>
      </w:r>
      <w:r>
        <w:t>为代表的一批重大生态工程，绿色空间</w:t>
      </w:r>
      <w:r>
        <w:rPr>
          <w:rFonts w:hint="eastAsia"/>
        </w:rPr>
        <w:t>不断拓展</w:t>
      </w:r>
      <w:r>
        <w:t>，</w:t>
      </w:r>
      <w:r>
        <w:rPr>
          <w:rFonts w:hint="eastAsia"/>
        </w:rPr>
        <w:t>森林储量持续增加，森林“四库”功能不断增强。</w:t>
      </w:r>
    </w:p>
    <w:p>
      <w:pPr>
        <w:pStyle w:val="30"/>
      </w:pPr>
      <w:r>
        <w:rPr>
          <w:rFonts w:hint="eastAsia"/>
        </w:rPr>
        <w:t>（三）</w:t>
      </w:r>
      <w:r>
        <w:t>林地管理能力不断提升，保护</w:t>
      </w:r>
      <w:r>
        <w:rPr>
          <w:rFonts w:hint="eastAsia"/>
        </w:rPr>
        <w:t>管理</w:t>
      </w:r>
      <w:r>
        <w:t>体系日趋完善</w:t>
      </w:r>
    </w:p>
    <w:p>
      <w:pPr>
        <w:pStyle w:val="37"/>
      </w:pPr>
      <w:r>
        <w:rPr>
          <w:rFonts w:hint="eastAsia"/>
        </w:rPr>
        <w:t>建立了以林地保护利用为主导，以制度规范为核心，以林地定额、林木采伐限额管理为抓手，以监督执法为保障的管理体系。构建了以第三次全国国土调查及年度国土变更调查（以下简称“三调”）成果为统一底版，北京市园林绿化资源调查监测智慧管理系统为统一平台，国家、市、区统一调查的一体化监测体系。实施分区施策、分类经营、分级保护差别化、精准化管理，林地全部落地上图入库，实现以林长制为主体、以森林督查为抓手的常态化监管和执法机制，形成了依法施管、以规控地、以图管地的新局面</w:t>
      </w:r>
      <w:r>
        <w:t>。</w:t>
      </w:r>
    </w:p>
    <w:p>
      <w:pPr>
        <w:pStyle w:val="30"/>
      </w:pPr>
      <w:r>
        <w:rPr>
          <w:rFonts w:hint="eastAsia"/>
        </w:rPr>
        <w:t>（四）林地利用类型日益丰富，综合利用能力持续提升</w:t>
      </w:r>
    </w:p>
    <w:p>
      <w:pPr>
        <w:pStyle w:val="37"/>
      </w:pPr>
      <w:r>
        <w:rPr>
          <w:rFonts w:hint="eastAsia"/>
        </w:rPr>
        <w:t>统筹公益林地和商品林地，深化改革、持续完善林地用途管制制度，规范林地利用行为，引导节约集约使用林地。有序保障了APEC会议、北京世园会、北京冬奥会、北京创新产业园区等重大重点工程，全面保障了两轮百万亩造林绿化、一道二道绿化、“五河十路”生态廊道建设、废弃矿山生态修复、京津风沙源治理等绿色生态工程，保障了京密引水渠、南水北调干线两侧绿化，支持了森林公园、湿地公园等生态文化教育基地建设。积极引导林田、林水、林旅结合，推动</w:t>
      </w:r>
      <w:r>
        <w:rPr>
          <w:rFonts w:hint="eastAsia"/>
          <w:spacing w:val="-24"/>
        </w:rPr>
        <w:t>立体复合经营，</w:t>
      </w:r>
      <w:r>
        <w:rPr>
          <w:rFonts w:hint="eastAsia"/>
        </w:rPr>
        <w:t>促进林下经济发展，助农实现以林为业、生态增收。</w:t>
      </w:r>
    </w:p>
    <w:p>
      <w:pPr>
        <w:pStyle w:val="37"/>
      </w:pPr>
      <w:r>
        <w:t>林地保护利用成效</w:t>
      </w:r>
      <w:r>
        <w:rPr>
          <w:rFonts w:hint="eastAsia"/>
        </w:rPr>
        <w:t>显著</w:t>
      </w:r>
      <w:r>
        <w:t>，</w:t>
      </w:r>
      <w:r>
        <w:rPr>
          <w:rFonts w:hint="eastAsia"/>
        </w:rPr>
        <w:t>科学规范管理的局面初步形成，</w:t>
      </w:r>
      <w:r>
        <w:t>但</w:t>
      </w:r>
      <w:r>
        <w:rPr>
          <w:rFonts w:hint="eastAsia"/>
        </w:rPr>
        <w:t>与贯彻新发展理念、构建新发展格局、</w:t>
      </w:r>
      <w:r>
        <w:t>推动国际一流的和谐宜居之都</w:t>
      </w:r>
      <w:r>
        <w:rPr>
          <w:rFonts w:hint="eastAsia"/>
        </w:rPr>
        <w:t>建设</w:t>
      </w:r>
      <w:r>
        <w:t>的</w:t>
      </w:r>
      <w:r>
        <w:rPr>
          <w:rFonts w:hint="eastAsia"/>
        </w:rPr>
        <w:t>要求</w:t>
      </w:r>
      <w:r>
        <w:t>相比，还存在</w:t>
      </w:r>
      <w:r>
        <w:rPr>
          <w:rFonts w:hint="eastAsia"/>
        </w:rPr>
        <w:t>以下</w:t>
      </w:r>
      <w:r>
        <w:t>一些问题。</w:t>
      </w:r>
    </w:p>
    <w:p>
      <w:pPr>
        <w:pStyle w:val="37"/>
        <w:ind w:firstLine="602"/>
      </w:pPr>
      <w:r>
        <w:rPr>
          <w:b/>
        </w:rPr>
        <w:t>——</w:t>
      </w:r>
      <w:r>
        <w:rPr>
          <w:rFonts w:hint="eastAsia"/>
          <w:b/>
        </w:rPr>
        <w:t>规划衔接不紧密。</w:t>
      </w:r>
      <w:r>
        <w:rPr>
          <w:rFonts w:hint="eastAsia"/>
        </w:rPr>
        <w:t>上一轮规划编制与相关部门有过充分沟通和意见征求，但限于规划体系、数据共享、技术条件等客观条件，相关规划衔接不够充分。规划实施因受行业标准、统计口径等因素的影响，存在协调联动不够，一定程度限制了</w:t>
      </w:r>
      <w:bookmarkStart w:id="19" w:name="_Hlk148430974"/>
      <w:r>
        <w:rPr>
          <w:rFonts w:hint="eastAsia"/>
        </w:rPr>
        <w:t>规划的执行力</w:t>
      </w:r>
      <w:bookmarkEnd w:id="19"/>
      <w:r>
        <w:rPr>
          <w:rFonts w:hint="eastAsia"/>
        </w:rPr>
        <w:t>。新时期应着重加强规划衔接，推动“多规合一”。</w:t>
      </w:r>
    </w:p>
    <w:p>
      <w:pPr>
        <w:pStyle w:val="37"/>
        <w:ind w:firstLine="602"/>
      </w:pPr>
      <w:r>
        <w:rPr>
          <w:b/>
        </w:rPr>
        <w:t>——林地</w:t>
      </w:r>
      <w:r>
        <w:rPr>
          <w:rFonts w:hint="eastAsia"/>
          <w:b/>
        </w:rPr>
        <w:t>保护压力大</w:t>
      </w:r>
      <w:r>
        <w:rPr>
          <w:b/>
        </w:rPr>
        <w:t>。</w:t>
      </w:r>
      <w:r>
        <w:rPr>
          <w:rFonts w:hint="eastAsia"/>
        </w:rPr>
        <w:t>上一轮规划期，北京市处于城市基础设施、公共民生、高新技术产业等建设工程使用林地的高峰期，全市占用林地呈增长趋势。</w:t>
      </w:r>
      <w:r>
        <w:rPr>
          <w:rFonts w:hint="eastAsia"/>
          <w:lang w:val="en-US"/>
        </w:rPr>
        <w:t>在</w:t>
      </w:r>
      <w:r>
        <w:rPr>
          <w:rFonts w:hint="eastAsia"/>
        </w:rPr>
        <w:t>严保耕地和永久基本农田、城市化进程推进的情况下，用地需求矛盾更加突出。土地分类关于园地、草地、建设用地等的划定标准，导致林地范围变化。新增造林空间有限，占补平衡操作难度大。</w:t>
      </w:r>
    </w:p>
    <w:p>
      <w:pPr>
        <w:pStyle w:val="37"/>
        <w:ind w:firstLine="602"/>
      </w:pPr>
      <w:r>
        <w:rPr>
          <w:b/>
          <w:bCs/>
        </w:rPr>
        <w:t>——</w:t>
      </w:r>
      <w:r>
        <w:rPr>
          <w:rFonts w:hint="eastAsia"/>
          <w:b/>
          <w:bCs/>
        </w:rPr>
        <w:t>林地生产力</w:t>
      </w:r>
      <w:r>
        <w:rPr>
          <w:b/>
          <w:bCs/>
        </w:rPr>
        <w:t>不高。</w:t>
      </w:r>
      <w:r>
        <w:t>林地质量</w:t>
      </w:r>
      <w:r>
        <w:rPr>
          <w:rFonts w:hint="eastAsia"/>
        </w:rPr>
        <w:t>不高</w:t>
      </w:r>
      <w:r>
        <w:t>，</w:t>
      </w:r>
      <w:r>
        <w:rPr>
          <w:rFonts w:hint="eastAsia"/>
        </w:rPr>
        <w:t>质量“好”（</w:t>
      </w:r>
      <w:r>
        <w:fldChar w:fldCharType="begin"/>
      </w:r>
      <w:r>
        <w:instrText xml:space="preserve"> = 1 \* ROMAN </w:instrText>
      </w:r>
      <w:r>
        <w:fldChar w:fldCharType="separate"/>
      </w:r>
      <w:r>
        <w:t>I</w:t>
      </w:r>
      <w:r>
        <w:fldChar w:fldCharType="end"/>
      </w:r>
      <w:r>
        <w:rPr>
          <w:rFonts w:hint="eastAsia"/>
        </w:rPr>
        <w:t>等级和</w:t>
      </w:r>
      <w:r>
        <w:fldChar w:fldCharType="begin"/>
      </w:r>
      <w:r>
        <w:instrText xml:space="preserve"> = 2 \* ROMAN </w:instrText>
      </w:r>
      <w:r>
        <w:fldChar w:fldCharType="separate"/>
      </w:r>
      <w:r>
        <w:t>II</w:t>
      </w:r>
      <w:r>
        <w:fldChar w:fldCharType="end"/>
      </w:r>
      <w:r>
        <w:rPr>
          <w:rFonts w:hint="eastAsia"/>
        </w:rPr>
        <w:t>等级林地）的林地面积占比</w:t>
      </w:r>
      <w:r>
        <w:rPr>
          <w:rFonts w:hint="eastAsia"/>
          <w:lang w:val="en-US" w:eastAsia="zh-CN"/>
        </w:rPr>
        <w:t>不高</w:t>
      </w:r>
      <w:r>
        <w:rPr>
          <w:rFonts w:hint="eastAsia"/>
        </w:rPr>
        <w:t>。森林资源</w:t>
      </w:r>
      <w:r>
        <w:t>结构</w:t>
      </w:r>
      <w:r>
        <w:rPr>
          <w:rFonts w:hint="eastAsia"/>
        </w:rPr>
        <w:t>离</w:t>
      </w:r>
      <w:r>
        <w:t>森林</w:t>
      </w:r>
      <w:r>
        <w:rPr>
          <w:rFonts w:hint="eastAsia"/>
        </w:rPr>
        <w:t>生态系统</w:t>
      </w:r>
      <w:r>
        <w:t>多样性、稳定性</w:t>
      </w:r>
      <w:r>
        <w:rPr>
          <w:rFonts w:hint="eastAsia"/>
        </w:rPr>
        <w:t>和可持续性的要求还有</w:t>
      </w:r>
      <w:r>
        <w:t>差</w:t>
      </w:r>
      <w:r>
        <w:rPr>
          <w:rFonts w:hint="eastAsia"/>
        </w:rPr>
        <w:t>距，绿色生态产品供给能力相对不足，难以充分满足社会公众的需求。</w:t>
      </w:r>
    </w:p>
    <w:p>
      <w:pPr>
        <w:pStyle w:val="4"/>
      </w:pPr>
      <w:bookmarkStart w:id="20" w:name="_bookmark3"/>
      <w:bookmarkEnd w:id="20"/>
      <w:bookmarkStart w:id="21" w:name="_Toc149941334"/>
      <w:bookmarkStart w:id="22" w:name="_Toc154250354"/>
      <w:r>
        <w:t>二、机遇与挑战</w:t>
      </w:r>
      <w:bookmarkEnd w:id="21"/>
      <w:bookmarkEnd w:id="22"/>
    </w:p>
    <w:p>
      <w:pPr>
        <w:pStyle w:val="30"/>
      </w:pPr>
      <w:r>
        <w:t>（一）生态文明建设要求更加</w:t>
      </w:r>
      <w:r>
        <w:rPr>
          <w:rFonts w:hint="eastAsia"/>
        </w:rPr>
        <w:t>严格</w:t>
      </w:r>
      <w:r>
        <w:t>保护管理林地</w:t>
      </w:r>
    </w:p>
    <w:p>
      <w:pPr>
        <w:pStyle w:val="37"/>
      </w:pPr>
      <w:r>
        <w:rPr>
          <w:rFonts w:hint="eastAsia"/>
        </w:rPr>
        <w:t>“森林和草原对国家生态安全具有基础性、战略性作用，林草兴则生态兴”“森林既是水库、钱库、粮库，也是碳库”“稳步扩大森林面积，提升森林质量，增强森林生态功能，为建设美丽中国创造更好的生态条件”，贯彻习近平生态文明思想和对北京一系列重要讲话精神，建设全域森林城市和花园城市，要求首都园林绿化</w:t>
      </w:r>
      <w:r>
        <w:t>坚定不移走生态优先、绿色发展之路，坚持</w:t>
      </w:r>
      <w:r>
        <w:rPr>
          <w:rFonts w:hint="eastAsia"/>
        </w:rPr>
        <w:t>人与自然和谐共处，严格落实生态保护红线制度，用最严格制度最严密法治保护好园林绿化资源，守护好首都的绿水青山，</w:t>
      </w:r>
      <w:r>
        <w:t>持续完善林地管理体系，科学</w:t>
      </w:r>
      <w:r>
        <w:rPr>
          <w:rFonts w:hint="eastAsia"/>
        </w:rPr>
        <w:t>高效</w:t>
      </w:r>
      <w:r>
        <w:t>利用林地，增加森林面积，提高</w:t>
      </w:r>
      <w:r>
        <w:rPr>
          <w:rFonts w:hint="eastAsia"/>
        </w:rPr>
        <w:t>森林</w:t>
      </w:r>
      <w:r>
        <w:t>质量，提升林地</w:t>
      </w:r>
      <w:r>
        <w:rPr>
          <w:rFonts w:hint="eastAsia"/>
        </w:rPr>
        <w:t>生产力，助推实现“双碳”目标。</w:t>
      </w:r>
    </w:p>
    <w:p>
      <w:pPr>
        <w:pStyle w:val="30"/>
      </w:pPr>
      <w:r>
        <w:rPr>
          <w:rFonts w:hint="eastAsia"/>
        </w:rPr>
        <w:t>（二）首都</w:t>
      </w:r>
      <w:r>
        <w:t>高质量发展要求更加</w:t>
      </w:r>
      <w:r>
        <w:rPr>
          <w:rFonts w:hint="eastAsia"/>
        </w:rPr>
        <w:t>集约</w:t>
      </w:r>
      <w:r>
        <w:t>高</w:t>
      </w:r>
      <w:r>
        <w:rPr>
          <w:lang w:val="zh-CN"/>
        </w:rPr>
        <w:t>效</w:t>
      </w:r>
      <w:r>
        <w:rPr>
          <w:rFonts w:hint="eastAsia"/>
          <w:lang w:val="zh-CN"/>
        </w:rPr>
        <w:t>利用</w:t>
      </w:r>
      <w:r>
        <w:t>林地</w:t>
      </w:r>
    </w:p>
    <w:p>
      <w:pPr>
        <w:pStyle w:val="37"/>
      </w:pPr>
      <w:r>
        <w:rPr>
          <w:rFonts w:hint="eastAsia"/>
        </w:rPr>
        <w:t>首都高质量发展要求绿色创新、减量提质，园林绿化作为新时代首都高质量发展的重要组成部分，正从绿起来、美起来向活起来、优起来转变，从重数量、重规模、重建设向建管并重、多效并举、生态惠民转变，从粗放低效使用林地向集约高效经营林地转变，要求在全面保护林地的基础上，充分发挥林地生产力，进一步优化绿色生态空间，建立健康稳定的森林生态系统，丰富生物多样性，实现生态价值不断增长，促进绿色发展，推动天蓝、水清、森林环绕的生态城市建设，厚植首都高质量发展的绿色基底，满足人民群众对优美生态环境、优质生态产品、优秀生态文化的新需求、新期待。</w:t>
      </w:r>
    </w:p>
    <w:p>
      <w:pPr>
        <w:pStyle w:val="30"/>
      </w:pPr>
      <w:r>
        <w:rPr>
          <w:rFonts w:hint="eastAsia"/>
        </w:rPr>
        <w:t>（三）新版总规要求健全市域绿色空间体系</w:t>
      </w:r>
    </w:p>
    <w:p>
      <w:pPr>
        <w:pStyle w:val="37"/>
      </w:pPr>
      <w:r>
        <w:rPr>
          <w:rFonts w:hint="eastAsia"/>
        </w:rPr>
        <w:t>新版总规</w:t>
      </w:r>
      <w:r>
        <w:t>指出，</w:t>
      </w:r>
      <w:r>
        <w:rPr>
          <w:rFonts w:hint="eastAsia"/>
        </w:rPr>
        <w:t>构建多类型、多层次、多功能、成网络的高质量绿色空间体系。完善以绿兴业、以绿惠民政策机制，不断扩大绿色生态空间。着力建设以绿为体、林水相依的绿色景观系统，增强游憩及生态服务功能，重塑城市和自然的关系，让市民更加方便亲近自然，并明确了规划目标和重点建设任务。</w:t>
      </w:r>
      <w:r>
        <w:t>林地保护利用规划不仅要刚性传导</w:t>
      </w:r>
      <w:bookmarkStart w:id="23" w:name="_Hlk152091140"/>
      <w:r>
        <w:t>落实</w:t>
      </w:r>
      <w:r>
        <w:rPr>
          <w:rFonts w:hint="eastAsia"/>
        </w:rPr>
        <w:t>新版总规有关国土空间开发保护要求，</w:t>
      </w:r>
      <w:bookmarkEnd w:id="23"/>
      <w:r>
        <w:rPr>
          <w:rFonts w:hint="eastAsia"/>
        </w:rPr>
        <w:t>全力推动全域森林城市完善和花园城市建设</w:t>
      </w:r>
      <w:r>
        <w:t>,而且要合理规划森林资源保护利用结构和布局，提高森林覆盖率、森林蓄积量，全面构建“</w:t>
      </w:r>
      <w:r>
        <w:rPr>
          <w:rFonts w:hint="eastAsia"/>
        </w:rPr>
        <w:t>一屏、三环、五河、</w:t>
      </w:r>
      <w:bookmarkStart w:id="24" w:name="_bookmark4"/>
      <w:bookmarkEnd w:id="24"/>
      <w:r>
        <w:rPr>
          <w:rFonts w:hint="eastAsia"/>
        </w:rPr>
        <w:t>九楔”的市域绿色空间结构，整体推进首都高品质绿色空间，提升森林生态系统质量和稳定性。</w:t>
      </w:r>
    </w:p>
    <w:p>
      <w:pPr>
        <w:pStyle w:val="30"/>
      </w:pPr>
      <w:r>
        <w:t>（四）</w:t>
      </w:r>
      <w:r>
        <w:rPr>
          <w:rFonts w:hint="eastAsia"/>
        </w:rPr>
        <w:t>全面施行林长制要求压实林地保护利用责任</w:t>
      </w:r>
    </w:p>
    <w:p>
      <w:pPr>
        <w:pStyle w:val="37"/>
      </w:pPr>
      <w:r>
        <w:rPr>
          <w:rFonts w:hint="eastAsia"/>
        </w:rPr>
        <w:t>北京市《关于全面建立林长制的实施意见》要求强化领导干部生态保护属地管理责任，构建党政同责、属地负责、部门协同、源头治理、全域覆盖的</w:t>
      </w:r>
      <w:r>
        <w:t>四级林长</w:t>
      </w:r>
      <w:r>
        <w:rPr>
          <w:rFonts w:hint="eastAsia"/>
        </w:rPr>
        <w:t>制责任体系。为实现林长制目标考核中森林覆盖率、林地保有量、森林蓄积量等重要指标，在实施林地保护利用规划过程中，要进一步加强制度建设，完善管理机制，压实林地保护管理利用的主体责任。</w:t>
      </w:r>
    </w:p>
    <w:p>
      <w:pPr>
        <w:pStyle w:val="37"/>
        <w:rPr>
          <w:rFonts w:ascii="宋体" w:hAnsi="宋体" w:eastAsia="宋体" w:cs="宋体"/>
          <w:b/>
          <w:bCs/>
        </w:rPr>
      </w:pPr>
      <w:r>
        <w:rPr>
          <w:rFonts w:hint="eastAsia"/>
        </w:rPr>
        <w:t>林地保护利用面临上述多方面机遇，但同时也存在诸多挑战。国土空间约束趋紧，林地空间不稳定，配置不尽合理，亟待“多规合一”。建设项目使用林地持续增加，造林绿化空间扩展有限，林地保护压力大。林地生产力现状与高质量发展的要求不匹配，森林生态系统多功能效益与首都建设和市民的需求有差距。</w:t>
      </w:r>
    </w:p>
    <w:p>
      <w:pPr>
        <w:pStyle w:val="3"/>
      </w:pPr>
      <w:bookmarkStart w:id="25" w:name="_Toc154250355"/>
      <w:bookmarkStart w:id="26" w:name="_Toc149941335"/>
      <w:r>
        <w:rPr>
          <w:rFonts w:hint="eastAsia"/>
        </w:rPr>
        <w:t>第二章</w:t>
      </w:r>
      <w:r>
        <w:t xml:space="preserve">  </w:t>
      </w:r>
      <w:r>
        <w:rPr>
          <w:rFonts w:hint="eastAsia"/>
        </w:rPr>
        <w:t>指导思想与目标任务</w:t>
      </w:r>
      <w:bookmarkEnd w:id="25"/>
      <w:bookmarkEnd w:id="26"/>
    </w:p>
    <w:p>
      <w:pPr>
        <w:pStyle w:val="4"/>
      </w:pPr>
      <w:bookmarkStart w:id="27" w:name="_bookmark5"/>
      <w:bookmarkEnd w:id="27"/>
      <w:bookmarkStart w:id="28" w:name="_Toc149941336"/>
      <w:bookmarkStart w:id="29" w:name="_Toc154250356"/>
      <w:r>
        <w:t>一、指导思想</w:t>
      </w:r>
      <w:bookmarkEnd w:id="28"/>
      <w:bookmarkEnd w:id="29"/>
    </w:p>
    <w:p>
      <w:pPr>
        <w:pStyle w:val="37"/>
      </w:pPr>
      <w:r>
        <w:t>以习近平</w:t>
      </w:r>
      <w:r>
        <w:rPr>
          <w:rFonts w:hint="eastAsia"/>
        </w:rPr>
        <w:t>生态文明</w:t>
      </w:r>
      <w:r>
        <w:t>思想为指导，立足新发展阶段、贯彻新发展理念，</w:t>
      </w:r>
      <w:r>
        <w:rPr>
          <w:rFonts w:hint="eastAsia"/>
        </w:rPr>
        <w:t>以筑牢市域</w:t>
      </w:r>
      <w:r>
        <w:t>绿色空间结构</w:t>
      </w:r>
      <w:r>
        <w:rPr>
          <w:rFonts w:hint="eastAsia"/>
        </w:rPr>
        <w:t>、实现</w:t>
      </w:r>
      <w:bookmarkStart w:id="30" w:name="_Hlk152090980"/>
      <w:r>
        <w:rPr>
          <w:rFonts w:hint="eastAsia"/>
        </w:rPr>
        <w:t>园林绿化高质量发展为出发点和落脚点，紧扣</w:t>
      </w:r>
      <w:r>
        <w:t>“严格保护、</w:t>
      </w:r>
      <w:r>
        <w:rPr>
          <w:rFonts w:hint="eastAsia"/>
        </w:rPr>
        <w:t>优化布局、</w:t>
      </w:r>
      <w:r>
        <w:t>科学经营、持续利用”</w:t>
      </w:r>
      <w:r>
        <w:rPr>
          <w:rFonts w:hint="eastAsia"/>
        </w:rPr>
        <w:t>主线</w:t>
      </w:r>
      <w:r>
        <w:t>，</w:t>
      </w:r>
      <w:bookmarkEnd w:id="30"/>
      <w:r>
        <w:rPr>
          <w:rFonts w:hint="eastAsia"/>
        </w:rPr>
        <w:t>统筹</w:t>
      </w:r>
      <w:r>
        <w:t>优化林地空间格局，</w:t>
      </w:r>
      <w:r>
        <w:rPr>
          <w:rFonts w:hint="eastAsia"/>
        </w:rPr>
        <w:t>明确林地管理范围，全面保护林地，合理利用林地，科学补充林地，着力提升森林结构的稳定性、森林生产力的持续性，实现森林生态系统功能的多样性，持续提升全域森林城市水平，全力助推花园城市建设，</w:t>
      </w:r>
      <w:bookmarkStart w:id="31" w:name="_Hlk152091876"/>
      <w:r>
        <w:t>为</w:t>
      </w:r>
      <w:r>
        <w:rPr>
          <w:rFonts w:hint="eastAsia"/>
        </w:rPr>
        <w:t>建设</w:t>
      </w:r>
      <w:r>
        <w:t>国际一流的和谐宜居之都</w:t>
      </w:r>
      <w:r>
        <w:rPr>
          <w:rFonts w:hint="eastAsia"/>
        </w:rPr>
        <w:t>奠定坚实生态基础</w:t>
      </w:r>
      <w:r>
        <w:t>。</w:t>
      </w:r>
      <w:bookmarkEnd w:id="31"/>
    </w:p>
    <w:p>
      <w:pPr>
        <w:pStyle w:val="4"/>
      </w:pPr>
      <w:bookmarkStart w:id="32" w:name="_bookmark6"/>
      <w:bookmarkEnd w:id="32"/>
      <w:bookmarkStart w:id="33" w:name="_Toc154250357"/>
      <w:bookmarkStart w:id="34" w:name="_Toc149941337"/>
      <w:r>
        <w:t>二、基本原则</w:t>
      </w:r>
      <w:bookmarkEnd w:id="33"/>
      <w:bookmarkEnd w:id="34"/>
    </w:p>
    <w:p>
      <w:pPr>
        <w:pStyle w:val="37"/>
        <w:ind w:firstLine="602"/>
      </w:pPr>
      <w:r>
        <w:rPr>
          <w:rFonts w:hint="eastAsia"/>
          <w:b/>
        </w:rPr>
        <w:t>——</w:t>
      </w:r>
      <w:r>
        <w:rPr>
          <w:b/>
        </w:rPr>
        <w:t>依法依规</w:t>
      </w:r>
      <w:r>
        <w:rPr>
          <w:rFonts w:hint="eastAsia"/>
          <w:b/>
        </w:rPr>
        <w:t>，</w:t>
      </w:r>
      <w:r>
        <w:rPr>
          <w:b/>
        </w:rPr>
        <w:t>严格保护</w:t>
      </w:r>
      <w:r>
        <w:rPr>
          <w:rFonts w:hint="eastAsia"/>
          <w:b/>
        </w:rPr>
        <w:t>。</w:t>
      </w:r>
      <w:r>
        <w:t>严格遵循</w:t>
      </w:r>
      <w:r>
        <w:rPr>
          <w:rFonts w:hint="eastAsia"/>
        </w:rPr>
        <w:t>《中华人民共和国森林法》等相关法律法规及政策</w:t>
      </w:r>
      <w:r>
        <w:t>，明确林地</w:t>
      </w:r>
      <w:r>
        <w:rPr>
          <w:rFonts w:hint="eastAsia"/>
        </w:rPr>
        <w:t>管理范围，实施</w:t>
      </w:r>
      <w:r>
        <w:t>林地落地上图。</w:t>
      </w:r>
      <w:r>
        <w:rPr>
          <w:rFonts w:hint="eastAsia"/>
        </w:rPr>
        <w:t>用最严格制度最严密法治保护森林资源，</w:t>
      </w:r>
      <w:r>
        <w:t>重点保护</w:t>
      </w:r>
      <w:r>
        <w:rPr>
          <w:rFonts w:hint="eastAsia"/>
        </w:rPr>
        <w:t>自然保护地、饮用水源地等</w:t>
      </w:r>
      <w:r>
        <w:t>生态功能重要和生态脆弱区域的林地，依法依规适度增加林地，</w:t>
      </w:r>
      <w:r>
        <w:rPr>
          <w:rFonts w:hint="eastAsia"/>
        </w:rPr>
        <w:t>落实生态保护红线，</w:t>
      </w:r>
      <w:r>
        <w:t>守住森林和林地空间边界。</w:t>
      </w:r>
    </w:p>
    <w:p>
      <w:pPr>
        <w:pStyle w:val="37"/>
        <w:ind w:firstLine="602"/>
      </w:pPr>
      <w:r>
        <w:rPr>
          <w:rFonts w:hint="eastAsia"/>
          <w:b/>
          <w:bCs/>
        </w:rPr>
        <w:t>——</w:t>
      </w:r>
      <w:r>
        <w:rPr>
          <w:b/>
          <w:bCs/>
        </w:rPr>
        <w:t>合理布局，科学</w:t>
      </w:r>
      <w:r>
        <w:rPr>
          <w:rFonts w:hint="eastAsia"/>
          <w:b/>
          <w:bCs/>
        </w:rPr>
        <w:t>经营。</w:t>
      </w:r>
      <w:r>
        <w:rPr>
          <w:rFonts w:hint="eastAsia"/>
        </w:rPr>
        <w:t>统筹国土空间“三区三线”和国土空间规划的林地保护与利用，协调非建设空间的相互关系，按照宜林则林的原则，明确林地保护利用方向、重点和森林资源保护发展目标，优化调整林地空间布局。</w:t>
      </w:r>
      <w:r>
        <w:t>坚持在保护中经营、在经营中保护，立足林地资源禀赋，地尽其力</w:t>
      </w:r>
      <w:r>
        <w:rPr>
          <w:rFonts w:hint="eastAsia"/>
        </w:rPr>
        <w:t>，</w:t>
      </w:r>
      <w:r>
        <w:t>因地制宜落实林地分类经营</w:t>
      </w:r>
      <w:r>
        <w:rPr>
          <w:rFonts w:hint="eastAsia"/>
        </w:rPr>
        <w:t>，培育稳定、健康、优质、高效的森林生态系统。</w:t>
      </w:r>
    </w:p>
    <w:p>
      <w:pPr>
        <w:pStyle w:val="37"/>
        <w:ind w:firstLine="602"/>
      </w:pPr>
      <w:r>
        <w:rPr>
          <w:rFonts w:hint="eastAsia"/>
          <w:b/>
          <w:bCs/>
        </w:rPr>
        <w:t>——</w:t>
      </w:r>
      <w:r>
        <w:rPr>
          <w:b/>
          <w:bCs/>
        </w:rPr>
        <w:t>分区施策，</w:t>
      </w:r>
      <w:r>
        <w:rPr>
          <w:rFonts w:hint="eastAsia"/>
          <w:b/>
          <w:bCs/>
        </w:rPr>
        <w:t>合理利用。</w:t>
      </w:r>
      <w:r>
        <w:rPr>
          <w:rFonts w:hint="eastAsia"/>
        </w:rPr>
        <w:t>明确山区生态涵养区、平原新城区、中心城区林地保有量</w:t>
      </w:r>
      <w:r>
        <w:t>目标</w:t>
      </w:r>
      <w:r>
        <w:rPr>
          <w:rFonts w:hint="eastAsia"/>
        </w:rPr>
        <w:t>，深化施行森林面积占补平衡，</w:t>
      </w:r>
      <w:r>
        <w:t>保障</w:t>
      </w:r>
      <w:r>
        <w:rPr>
          <w:rFonts w:hint="eastAsia"/>
        </w:rPr>
        <w:t>园林绿化</w:t>
      </w:r>
      <w:r>
        <w:t>重点工程建设，</w:t>
      </w:r>
      <w:r>
        <w:rPr>
          <w:rFonts w:hint="eastAsia"/>
        </w:rPr>
        <w:t>明确林地利用上线，</w:t>
      </w:r>
      <w:r>
        <w:t>节约</w:t>
      </w:r>
      <w:r>
        <w:rPr>
          <w:rFonts w:hint="eastAsia"/>
        </w:rPr>
        <w:t>集约</w:t>
      </w:r>
      <w:r>
        <w:t>使用林地，保障国家和</w:t>
      </w:r>
      <w:r>
        <w:rPr>
          <w:rFonts w:hint="eastAsia"/>
        </w:rPr>
        <w:t>本</w:t>
      </w:r>
      <w:r>
        <w:t>市重大、重点、基础</w:t>
      </w:r>
      <w:r>
        <w:rPr>
          <w:rFonts w:hint="eastAsia"/>
        </w:rPr>
        <w:t>建设和公共民生</w:t>
      </w:r>
      <w:r>
        <w:t>项目需要。</w:t>
      </w:r>
      <w:r>
        <w:rPr>
          <w:rFonts w:hint="eastAsia"/>
        </w:rPr>
        <w:t>科学划定林地保护等级，确定</w:t>
      </w:r>
      <w:r>
        <w:t>分级管控</w:t>
      </w:r>
      <w:r>
        <w:rPr>
          <w:rFonts w:hint="eastAsia"/>
        </w:rPr>
        <w:t>措施，</w:t>
      </w:r>
      <w:r>
        <w:t>因地制宜</w:t>
      </w:r>
      <w:r>
        <w:rPr>
          <w:rFonts w:hint="eastAsia"/>
        </w:rPr>
        <w:t>合理利用林地资源</w:t>
      </w:r>
      <w:r>
        <w:t>。</w:t>
      </w:r>
    </w:p>
    <w:p>
      <w:pPr>
        <w:pStyle w:val="37"/>
        <w:ind w:firstLine="602"/>
        <w:rPr>
          <w:rFonts w:ascii="Times New Roman" w:hAnsi="Times New Roman" w:eastAsia="Times New Roman" w:cs="Times New Roman"/>
          <w:spacing w:val="-34"/>
        </w:rPr>
      </w:pPr>
      <w:r>
        <w:rPr>
          <w:rFonts w:hint="eastAsia"/>
          <w:b/>
          <w:bCs/>
        </w:rPr>
        <w:t>——完善制度</w:t>
      </w:r>
      <w:r>
        <w:rPr>
          <w:b/>
          <w:bCs/>
        </w:rPr>
        <w:t>，强化监管</w:t>
      </w:r>
      <w:r>
        <w:rPr>
          <w:rFonts w:hint="eastAsia"/>
          <w:b/>
          <w:bCs/>
        </w:rPr>
        <w:t>。</w:t>
      </w:r>
      <w:r>
        <w:rPr>
          <w:rFonts w:hint="eastAsia"/>
        </w:rPr>
        <w:t>坚持完善实践证明行之有效的林地保护利用政策，建立健全适应新形势的</w:t>
      </w:r>
      <w:r>
        <w:t>林地治理体系</w:t>
      </w:r>
      <w:r>
        <w:rPr>
          <w:rFonts w:hint="eastAsia"/>
        </w:rPr>
        <w:t>和管理机制</w:t>
      </w:r>
      <w:r>
        <w:t>，</w:t>
      </w:r>
      <w:r>
        <w:rPr>
          <w:rFonts w:hint="eastAsia"/>
        </w:rPr>
        <w:t>并将林地保护利用政策纳入本市地方法规。</w:t>
      </w:r>
      <w:r>
        <w:t>加强林地保护利用全过程、全周期的</w:t>
      </w:r>
      <w:r>
        <w:rPr>
          <w:rFonts w:hint="eastAsia"/>
        </w:rPr>
        <w:t>一体化动态</w:t>
      </w:r>
      <w:r>
        <w:t>监测、监督</w:t>
      </w:r>
      <w:r>
        <w:rPr>
          <w:rFonts w:hint="eastAsia"/>
        </w:rPr>
        <w:t>执法</w:t>
      </w:r>
      <w:r>
        <w:t>，提高</w:t>
      </w:r>
      <w:r>
        <w:rPr>
          <w:spacing w:val="-34"/>
        </w:rPr>
        <w:t>林地</w:t>
      </w:r>
      <w:r>
        <w:rPr>
          <w:rFonts w:hint="eastAsia"/>
          <w:spacing w:val="-34"/>
        </w:rPr>
        <w:t>管理</w:t>
      </w:r>
      <w:r>
        <w:rPr>
          <w:spacing w:val="-34"/>
        </w:rPr>
        <w:t>的</w:t>
      </w:r>
      <w:r>
        <w:rPr>
          <w:rFonts w:hint="eastAsia"/>
          <w:spacing w:val="-34"/>
        </w:rPr>
        <w:t>针对性、</w:t>
      </w:r>
      <w:r>
        <w:rPr>
          <w:spacing w:val="-34"/>
        </w:rPr>
        <w:t>及时性</w:t>
      </w:r>
      <w:r>
        <w:rPr>
          <w:rFonts w:hint="eastAsia"/>
          <w:spacing w:val="-34"/>
        </w:rPr>
        <w:t>和准确性</w:t>
      </w:r>
      <w:r>
        <w:rPr>
          <w:spacing w:val="-34"/>
        </w:rPr>
        <w:t>，</w:t>
      </w:r>
      <w:r>
        <w:rPr>
          <w:rFonts w:hint="eastAsia"/>
          <w:spacing w:val="-34"/>
        </w:rPr>
        <w:t>确保首都园林绿化高质量发展。</w:t>
      </w:r>
    </w:p>
    <w:p>
      <w:pPr>
        <w:pStyle w:val="4"/>
      </w:pPr>
      <w:bookmarkStart w:id="35" w:name="_bookmark7"/>
      <w:bookmarkEnd w:id="35"/>
      <w:bookmarkStart w:id="36" w:name="_Toc149941338"/>
      <w:bookmarkStart w:id="37" w:name="_Toc154250358"/>
      <w:r>
        <w:t>三、目标</w:t>
      </w:r>
      <w:r>
        <w:rPr>
          <w:rFonts w:hint="eastAsia"/>
        </w:rPr>
        <w:t>任务</w:t>
      </w:r>
      <w:bookmarkEnd w:id="36"/>
      <w:bookmarkEnd w:id="37"/>
    </w:p>
    <w:p>
      <w:pPr>
        <w:pStyle w:val="37"/>
      </w:pPr>
      <w:r>
        <w:rPr>
          <w:rFonts w:hint="eastAsia"/>
        </w:rPr>
        <w:t>建立完善与国土空间规划相协调的林地保护利用体系，优化与高质量发展相适应的林地空间格局，形成总量稳定、动态平衡、合理利用的林地可持续发展态势，为实现森林资源保护发展目标打牢坚实基础。到2</w:t>
      </w:r>
      <w:r>
        <w:t>025</w:t>
      </w:r>
      <w:r>
        <w:rPr>
          <w:rFonts w:hint="eastAsia"/>
        </w:rPr>
        <w:t>年，森林覆盖率达到</w:t>
      </w:r>
      <w:r>
        <w:t>45%</w:t>
      </w:r>
      <w:r>
        <w:rPr>
          <w:rFonts w:hint="eastAsia"/>
          <w:lang w:eastAsia="zh-CN"/>
        </w:rPr>
        <w:t>，</w:t>
      </w:r>
      <w:r>
        <w:rPr>
          <w:rFonts w:hint="eastAsia"/>
        </w:rPr>
        <w:t>林地保有量达到</w:t>
      </w:r>
      <w:r>
        <w:t>97.6万公顷。到2035年，</w:t>
      </w:r>
      <w:r>
        <w:rPr>
          <w:rFonts w:hint="eastAsia"/>
        </w:rPr>
        <w:t>森林覆盖率稳定在</w:t>
      </w:r>
      <w:r>
        <w:t>45%</w:t>
      </w:r>
      <w:r>
        <w:rPr>
          <w:rFonts w:hint="eastAsia"/>
        </w:rPr>
        <w:t>。林地保有量稳定在</w:t>
      </w:r>
      <w:r>
        <w:t>98万公顷</w:t>
      </w:r>
      <w:r>
        <w:rPr>
          <w:rFonts w:hint="eastAsia"/>
        </w:rPr>
        <w:t>。</w:t>
      </w:r>
    </w:p>
    <w:p>
      <w:pPr>
        <w:pStyle w:val="3"/>
      </w:pPr>
      <w:bookmarkStart w:id="38" w:name="_bookmark8"/>
      <w:bookmarkEnd w:id="38"/>
      <w:bookmarkStart w:id="39" w:name="_Toc149941339"/>
      <w:bookmarkStart w:id="40" w:name="_Toc154250359"/>
      <w:r>
        <w:rPr>
          <w:rFonts w:hint="eastAsia"/>
        </w:rPr>
        <w:t>第三章</w:t>
      </w:r>
      <w:r>
        <w:t xml:space="preserve">  </w:t>
      </w:r>
      <w:r>
        <w:rPr>
          <w:rFonts w:hint="eastAsia"/>
        </w:rPr>
        <w:t>优化林地保护利用格局</w:t>
      </w:r>
      <w:bookmarkEnd w:id="39"/>
      <w:bookmarkEnd w:id="40"/>
    </w:p>
    <w:p>
      <w:pPr>
        <w:pStyle w:val="4"/>
      </w:pPr>
      <w:bookmarkStart w:id="41" w:name="_bookmark9"/>
      <w:bookmarkEnd w:id="41"/>
      <w:bookmarkStart w:id="42" w:name="_Toc154250360"/>
      <w:bookmarkStart w:id="43" w:name="_Toc149941340"/>
      <w:r>
        <w:t>一、合理划定林地</w:t>
      </w:r>
      <w:bookmarkEnd w:id="42"/>
      <w:bookmarkEnd w:id="43"/>
    </w:p>
    <w:p>
      <w:pPr>
        <w:pStyle w:val="37"/>
        <w:ind w:firstLine="602"/>
        <w:rPr>
          <w:rFonts w:hint="eastAsia"/>
        </w:rPr>
      </w:pPr>
      <w:r>
        <w:rPr>
          <w:rFonts w:hint="eastAsia"/>
          <w:b/>
          <w:bCs/>
        </w:rPr>
        <w:t>——明确林地管理边界。</w:t>
      </w:r>
      <w:r>
        <w:t>坚持国土空间唯一性和地类唯一性，以</w:t>
      </w:r>
      <w:r>
        <w:rPr>
          <w:rFonts w:hint="eastAsia"/>
        </w:rPr>
        <w:t>“三调”成果</w:t>
      </w:r>
      <w:r>
        <w:t>为统一底版，以国土空间规划及“三区三线”划定成果为依据，遵循依法依规、实事求是原则，综合考虑地类来源的合理性、合法性，科学合理</w:t>
      </w:r>
      <w:r>
        <w:rPr>
          <w:rFonts w:hint="eastAsia"/>
        </w:rPr>
        <w:t>、及时</w:t>
      </w:r>
      <w:r>
        <w:t>准确</w:t>
      </w:r>
      <w:r>
        <w:rPr>
          <w:rFonts w:hint="eastAsia"/>
        </w:rPr>
        <w:t>地明确</w:t>
      </w:r>
      <w:r>
        <w:t>林地管理边界。</w:t>
      </w:r>
      <w:r>
        <w:rPr>
          <w:rFonts w:hint="eastAsia"/>
        </w:rPr>
        <w:t>在永久基本农田和耕地保护目标范围以外，对现状为森林植被覆盖的土地，按照“应划尽划、应保尽保”原则，依法稳妥有序恢复林地管理属性。对于平原生态林、山区公益林等享受政府政策的森林资源，依法依规优先纳入林地管理。</w:t>
      </w:r>
    </w:p>
    <w:p>
      <w:pPr>
        <w:pStyle w:val="37"/>
        <w:ind w:firstLine="602"/>
        <w:rPr>
          <w:rFonts w:ascii="宋体" w:hAnsi="宋体"/>
        </w:rPr>
      </w:pPr>
      <w:r>
        <w:rPr>
          <w:rFonts w:hint="eastAsia"/>
          <w:b/>
          <w:bCs/>
        </w:rPr>
        <w:t>——明晰林地管理职责。</w:t>
      </w:r>
      <w:r>
        <w:rPr>
          <w:rFonts w:hint="eastAsia"/>
        </w:rPr>
        <w:t>依法严格控制林地转为非林地，确保林地保有量不减少。依据批准的林地范围，</w:t>
      </w:r>
      <w:r>
        <w:t>按照林地落界条件和精度要求，</w:t>
      </w:r>
      <w:r>
        <w:rPr>
          <w:rFonts w:hint="eastAsia"/>
        </w:rPr>
        <w:t>不重不漏地将</w:t>
      </w:r>
      <w:r>
        <w:rPr>
          <w:rFonts w:hint="eastAsia" w:ascii="宋体" w:hAnsi="宋体"/>
        </w:rPr>
        <w:t>林地界线落地上图，记载林地保护等级等管理属性</w:t>
      </w:r>
      <w:r>
        <w:rPr>
          <w:rFonts w:hint="eastAsia"/>
        </w:rPr>
        <w:t>。</w:t>
      </w:r>
      <w:r>
        <w:rPr>
          <w:rFonts w:ascii="宋体" w:hAnsi="宋体"/>
        </w:rPr>
        <w:t>结合森林经营活动</w:t>
      </w:r>
      <w:r>
        <w:rPr>
          <w:rFonts w:hint="eastAsia" w:ascii="宋体" w:hAnsi="宋体"/>
        </w:rPr>
        <w:t>，准确掌握林地范围变化，及时更新林地界线。积极协调规自部门，将林地落界成果</w:t>
      </w:r>
      <w:r>
        <w:rPr>
          <w:rFonts w:hint="eastAsia"/>
        </w:rPr>
        <w:t>纳入国土空间规划“一张图”</w:t>
      </w:r>
      <w:r>
        <w:rPr>
          <w:rFonts w:hint="eastAsia" w:ascii="宋体" w:hAnsi="宋体"/>
        </w:rPr>
        <w:t>。</w:t>
      </w:r>
    </w:p>
    <w:p>
      <w:pPr>
        <w:pStyle w:val="4"/>
      </w:pPr>
      <w:bookmarkStart w:id="44" w:name="_bookmark10"/>
      <w:bookmarkEnd w:id="44"/>
      <w:bookmarkStart w:id="45" w:name="_Toc149941341"/>
      <w:bookmarkStart w:id="46" w:name="_Toc154250361"/>
      <w:r>
        <w:rPr>
          <w:rFonts w:hint="eastAsia"/>
        </w:rPr>
        <w:t>二、科学配置</w:t>
      </w:r>
      <w:r>
        <w:t>林地</w:t>
      </w:r>
      <w:r>
        <w:rPr>
          <w:rFonts w:hint="eastAsia"/>
        </w:rPr>
        <w:t>空间</w:t>
      </w:r>
      <w:bookmarkEnd w:id="45"/>
      <w:r>
        <w:rPr>
          <w:rFonts w:hint="eastAsia"/>
        </w:rPr>
        <w:t>布局</w:t>
      </w:r>
      <w:bookmarkEnd w:id="46"/>
    </w:p>
    <w:p>
      <w:pPr>
        <w:pStyle w:val="37"/>
        <w:ind w:firstLine="602"/>
      </w:pPr>
      <w:r>
        <w:rPr>
          <w:rFonts w:hint="eastAsia"/>
          <w:b/>
          <w:bCs/>
        </w:rPr>
        <w:t>——优化林水林路结构，改善中心城区宜居环境。</w:t>
      </w:r>
      <w:r>
        <w:rPr>
          <w:rFonts w:hint="eastAsia"/>
        </w:rPr>
        <w:t>结合城市水系、道路等重要生态廊道及生态绿心、生态节点，着力实施生态修复，加大绿化美化力度，加强森林景观改造，推进过熟林更新，优化树种结构，促进单一树种纯林地向多树种、多层次混交林升级，提高林分质量。继续加强森林公园、风景名胜区等大型绿色斑块建设，推进绿廊、绿岛联通，防止城市热岛连片蔓延，推进自然景观、森林步道网络建设，塑造</w:t>
      </w:r>
      <w:r>
        <w:t>遍布城区、特色鲜明、布局均衡、全民共享的人居</w:t>
      </w:r>
      <w:r>
        <w:rPr>
          <w:rFonts w:hint="eastAsia"/>
        </w:rPr>
        <w:t>森林景观</w:t>
      </w:r>
      <w:r>
        <w:t>。</w:t>
      </w:r>
    </w:p>
    <w:p>
      <w:pPr>
        <w:pStyle w:val="37"/>
        <w:ind w:firstLine="602"/>
        <w:rPr>
          <w:rFonts w:eastAsia="PMingLiU"/>
        </w:rPr>
      </w:pPr>
      <w:r>
        <w:rPr>
          <w:rFonts w:hint="eastAsia"/>
          <w:b/>
          <w:bCs/>
        </w:rPr>
        <w:t>——优化林田水路网格结构，助推平原新城生态体系建设。</w:t>
      </w:r>
      <w:r>
        <w:rPr>
          <w:rFonts w:hint="eastAsia"/>
        </w:rPr>
        <w:t>围绕平原新城区生态空间总体布局，推动绿色廊道、城市森林、公园绿地和居民社区之间的高效衔接和自然连通，完善生态网络，优化生态空间格局。实施人工林近自然经营，选择长寿、抗逆、食源、美观的乡土树种，织补生态林断带残带，避让耕地保护目标、加宽加厚河流、道路、农田林网等生态廊道，优化林网绿色空间结构。着力开展平原森林抚育，优化森林结构，营造具有混交、复层、异龄等结构特征的森林，促进大尺度城市森林公园建设，最大限度提高森林的生态服务功能，提高生态环境品质。</w:t>
      </w:r>
    </w:p>
    <w:p>
      <w:pPr>
        <w:pStyle w:val="37"/>
        <w:ind w:firstLine="602"/>
        <w:rPr>
          <w:rFonts w:hint="eastAsia"/>
          <w:shd w:val="clear" w:color="auto" w:fill="FFFFFF"/>
        </w:rPr>
      </w:pPr>
      <w:r>
        <w:rPr>
          <w:rFonts w:hint="eastAsia"/>
          <w:b/>
          <w:bCs/>
        </w:rPr>
        <w:t>——优化山区利用结构，筑牢山区绿色生态屏障。</w:t>
      </w:r>
      <w:r>
        <w:rPr>
          <w:rFonts w:hint="eastAsia"/>
        </w:rPr>
        <w:t>统筹推进山水林田湖草沙系统治理，依托燕山山地生态综合治理等工程建设，实施燕山、太行山缺绿少林地区的封山育林和人工造林，改造提升一般灌木林，持续增加森林面积和储量。继续开展森林健康经营，实施天然次生林</w:t>
      </w:r>
      <w:r>
        <w:t>封</w:t>
      </w:r>
      <w:r>
        <w:rPr>
          <w:rFonts w:hint="eastAsia"/>
        </w:rPr>
        <w:t>育</w:t>
      </w:r>
      <w:r>
        <w:t>管理</w:t>
      </w:r>
      <w:r>
        <w:rPr>
          <w:rFonts w:hint="eastAsia"/>
        </w:rPr>
        <w:t>，</w:t>
      </w:r>
      <w:r>
        <w:rPr>
          <w:rFonts w:hint="eastAsia"/>
          <w:shd w:val="clear" w:color="auto" w:fill="FFFFFF"/>
        </w:rPr>
        <w:t>抚育调整林木竞争关系，</w:t>
      </w:r>
      <w:r>
        <w:rPr>
          <w:rFonts w:hint="eastAsia"/>
        </w:rPr>
        <w:t>不断提高天然林的稳定性和抗逆能力，促进自然恢复，逐步形成地带性顶级群落。实施人工林近自然经营，强化中幼林抚育，优化</w:t>
      </w:r>
      <w:r>
        <w:rPr>
          <w:rFonts w:hint="eastAsia"/>
          <w:shd w:val="clear" w:color="auto" w:fill="FFFFFF"/>
        </w:rPr>
        <w:t>调整林分结构，改造提升纯林和低效林，培育复层混交异龄林，</w:t>
      </w:r>
      <w:r>
        <w:rPr>
          <w:shd w:val="clear" w:color="auto" w:fill="FFFFFF"/>
        </w:rPr>
        <w:t>提升</w:t>
      </w:r>
      <w:r>
        <w:rPr>
          <w:rFonts w:hint="eastAsia"/>
          <w:shd w:val="clear" w:color="auto" w:fill="FFFFFF"/>
        </w:rPr>
        <w:t>森林</w:t>
      </w:r>
      <w:r>
        <w:rPr>
          <w:shd w:val="clear" w:color="auto" w:fill="FFFFFF"/>
        </w:rPr>
        <w:t>水源涵养</w:t>
      </w:r>
      <w:r>
        <w:rPr>
          <w:rFonts w:hint="eastAsia"/>
          <w:shd w:val="clear" w:color="auto" w:fill="FFFFFF"/>
        </w:rPr>
        <w:t>、水土保持、</w:t>
      </w:r>
      <w:r>
        <w:rPr>
          <w:shd w:val="clear" w:color="auto" w:fill="FFFFFF"/>
        </w:rPr>
        <w:t>生物多样性</w:t>
      </w:r>
      <w:r>
        <w:rPr>
          <w:rFonts w:hint="eastAsia"/>
          <w:shd w:val="clear" w:color="auto" w:fill="FFFFFF"/>
        </w:rPr>
        <w:t>保护等生态安全</w:t>
      </w:r>
      <w:r>
        <w:rPr>
          <w:shd w:val="clear" w:color="auto" w:fill="FFFFFF"/>
        </w:rPr>
        <w:t>功能</w:t>
      </w:r>
      <w:r>
        <w:rPr>
          <w:rFonts w:hint="eastAsia"/>
          <w:shd w:val="clear" w:color="auto" w:fill="FFFFFF"/>
        </w:rPr>
        <w:t>。</w:t>
      </w:r>
    </w:p>
    <w:p>
      <w:pPr>
        <w:pStyle w:val="4"/>
      </w:pPr>
      <w:bookmarkStart w:id="47" w:name="_bookmark11"/>
      <w:bookmarkEnd w:id="47"/>
      <w:bookmarkStart w:id="48" w:name="_Toc149941342"/>
      <w:bookmarkStart w:id="49" w:name="_Toc154250362"/>
      <w:r>
        <w:t>三、</w:t>
      </w:r>
      <w:bookmarkEnd w:id="48"/>
      <w:r>
        <w:rPr>
          <w:rFonts w:hint="eastAsia"/>
        </w:rPr>
        <w:t>林地空间分区建设内容</w:t>
      </w:r>
      <w:bookmarkEnd w:id="49"/>
    </w:p>
    <w:p>
      <w:pPr>
        <w:pStyle w:val="37"/>
        <w:ind w:firstLine="602"/>
      </w:pPr>
      <w:r>
        <w:rPr>
          <w:rFonts w:hint="eastAsia"/>
          <w:b/>
          <w:bCs/>
        </w:rPr>
        <w:t>——</w:t>
      </w:r>
      <w:r>
        <w:rPr>
          <w:b/>
          <w:bCs/>
        </w:rPr>
        <w:t>中心城区绿化</w:t>
      </w:r>
      <w:r>
        <w:rPr>
          <w:rFonts w:hint="eastAsia"/>
          <w:b/>
          <w:bCs/>
        </w:rPr>
        <w:t>美化。</w:t>
      </w:r>
      <w:r>
        <w:rPr>
          <w:rFonts w:hint="eastAsia" w:cs="Times New Roman"/>
          <w:kern w:val="2"/>
        </w:rPr>
        <w:t>围绕核心区功能重组、中心城区疏解提升等不同功能建设对森林生态空间的需求，</w:t>
      </w:r>
      <w:r>
        <w:rPr>
          <w:rFonts w:hint="eastAsia"/>
        </w:rPr>
        <w:t>以建设森林城市、创建一流人居环境为目标，以增加绿色空间、调控绿地林地林木密度为重点，提高景观效果和生态功能。继续实施留白增绿、拆违还绿、见缝插绿，</w:t>
      </w:r>
      <w:r>
        <w:t>因地制宜推动新</w:t>
      </w:r>
      <w:r>
        <w:rPr>
          <w:rFonts w:hint="eastAsia"/>
        </w:rPr>
        <w:t>绿化地</w:t>
      </w:r>
      <w:r>
        <w:t>与原有绿地联通连片，新增一定规模、近自然的城市片林，构建大尺度城市绿色生态空间，形成集中连片的城市森林。</w:t>
      </w:r>
      <w:r>
        <w:rPr>
          <w:rFonts w:hint="eastAsia"/>
        </w:rPr>
        <w:t>着力织补以城市环路、城市主干道、</w:t>
      </w:r>
      <w:r>
        <w:t>对外交通道路</w:t>
      </w:r>
      <w:r>
        <w:rPr>
          <w:rFonts w:hint="eastAsia"/>
        </w:rPr>
        <w:t>、</w:t>
      </w:r>
      <w:r>
        <w:t>水系</w:t>
      </w:r>
      <w:r>
        <w:rPr>
          <w:rFonts w:hint="eastAsia"/>
        </w:rPr>
        <w:t>及</w:t>
      </w:r>
      <w:r>
        <w:t>山脉</w:t>
      </w:r>
      <w:r>
        <w:rPr>
          <w:rFonts w:hint="eastAsia"/>
        </w:rPr>
        <w:t>为骨架的</w:t>
      </w:r>
      <w:r>
        <w:t>生态廊道</w:t>
      </w:r>
      <w:r>
        <w:rPr>
          <w:rFonts w:hint="eastAsia"/>
        </w:rPr>
        <w:t>，联通现有</w:t>
      </w:r>
      <w:r>
        <w:t>森林</w:t>
      </w:r>
      <w:r>
        <w:rPr>
          <w:rFonts w:hint="eastAsia"/>
        </w:rPr>
        <w:t>绿地</w:t>
      </w:r>
      <w:r>
        <w:t>斑块</w:t>
      </w:r>
      <w:r>
        <w:rPr>
          <w:rFonts w:hint="eastAsia"/>
        </w:rPr>
        <w:t>，构建</w:t>
      </w:r>
      <w:r>
        <w:t>稳定的廊道生境。</w:t>
      </w:r>
      <w:r>
        <w:rPr>
          <w:rFonts w:hint="eastAsia"/>
        </w:rPr>
        <w:t>持续推进城墙遗址公园环、一道绿隔城市公园环、二道绿隔郊野公园环建设，串联森林、绿地，联通道路、水系，形成自然生态、蓝绿交融、和谐亲民、安全韧性、可持续发展的公园环。</w:t>
      </w:r>
    </w:p>
    <w:p>
      <w:pPr>
        <w:pStyle w:val="37"/>
        <w:ind w:firstLine="602"/>
      </w:pPr>
      <w:r>
        <w:rPr>
          <w:rFonts w:hint="eastAsia"/>
          <w:b/>
          <w:bCs/>
        </w:rPr>
        <w:t>——平原新城区生态绿网建设。</w:t>
      </w:r>
      <w:r>
        <w:rPr>
          <w:rFonts w:hint="eastAsia"/>
        </w:rPr>
        <w:t>落实平原新城区保障首都生态安全、疏解中心城区宜居压力、促进区域协同发展等主要功能，以建设连接中心城区、新城及跨界城市组团的生态绿网，培育平原近自然生态林为重点，促进林、田、宅、水、路有机融合，</w:t>
      </w:r>
      <w:r>
        <w:rPr>
          <w:rFonts w:hint="eastAsia" w:ascii="Times New Roman" w:hAnsi="Times New Roman"/>
        </w:rPr>
        <w:t>提升平原生态系统连通性和稳定性。</w:t>
      </w:r>
      <w:r>
        <w:rPr>
          <w:rFonts w:hint="eastAsia"/>
        </w:rPr>
        <w:t>大力开展</w:t>
      </w:r>
      <w:r>
        <w:t>千亩片林</w:t>
      </w:r>
      <w:r>
        <w:rPr>
          <w:rFonts w:hint="eastAsia"/>
        </w:rPr>
        <w:t>、</w:t>
      </w:r>
      <w:r>
        <w:t>万亩片林</w:t>
      </w:r>
      <w:r>
        <w:rPr>
          <w:rFonts w:hint="eastAsia"/>
        </w:rPr>
        <w:t>建设，</w:t>
      </w:r>
      <w:r>
        <w:t>扩增片林规模</w:t>
      </w:r>
      <w:r>
        <w:rPr>
          <w:rFonts w:hint="eastAsia"/>
        </w:rPr>
        <w:t>，加快生态林断带织补，促进新造林和原有林有机衔接，</w:t>
      </w:r>
      <w:r>
        <w:t>构建连通性廊道</w:t>
      </w:r>
      <w:r>
        <w:rPr>
          <w:rFonts w:hint="eastAsia"/>
        </w:rPr>
        <w:t>，形成</w:t>
      </w:r>
      <w:r>
        <w:rPr>
          <w:rFonts w:hint="eastAsia" w:cs="Times New Roman"/>
        </w:rPr>
        <w:t>具有景观震撼力和生态影响力的平原森林格局。</w:t>
      </w:r>
      <w:r>
        <w:rPr>
          <w:rFonts w:hint="eastAsia" w:hAnsi="仿宋_GB2312" w:cs="仿宋_GB2312"/>
        </w:rPr>
        <w:t>实施分级分类管护经营平原生态林，推进平原生态林近自然化培育，建设综合管护经营示范区和生态保育小区，推进动物栖息地构建和生境保护，</w:t>
      </w:r>
      <w:r>
        <w:rPr>
          <w:rFonts w:hint="eastAsia"/>
        </w:rPr>
        <w:t>构建系统稳定、生物多样性丰富的森林生态系统。</w:t>
      </w:r>
    </w:p>
    <w:p>
      <w:pPr>
        <w:pStyle w:val="37"/>
        <w:ind w:firstLine="602"/>
      </w:pPr>
      <w:r>
        <w:rPr>
          <w:rFonts w:hint="eastAsia"/>
          <w:b/>
          <w:bCs/>
        </w:rPr>
        <w:t>——山区生态屏障建设。</w:t>
      </w:r>
      <w:r>
        <w:rPr>
          <w:rFonts w:hint="eastAsia"/>
        </w:rPr>
        <w:t>落实首都重要生态屏障、水源保护地，以及宜居宜业宜游的生态发展示范区等功能定位，以提升水源涵养、水土保持、防风固沙，以及景观休闲、科教文化等重要生态功能为重点，推进保障首都生态安全的后花园建设。全面</w:t>
      </w:r>
      <w:r>
        <w:t>加强对栎类、桦树</w:t>
      </w:r>
      <w:r>
        <w:rPr>
          <w:rFonts w:hint="eastAsia"/>
        </w:rPr>
        <w:t>、山杨</w:t>
      </w:r>
      <w:r>
        <w:t>、油松、侧柏等天然次生林保护，</w:t>
      </w:r>
      <w:r>
        <w:rPr>
          <w:rFonts w:hint="eastAsia"/>
        </w:rPr>
        <w:t>因地制宜地开展栎类、山杨、山杏、山桃等</w:t>
      </w:r>
      <w:r>
        <w:t>天然次生林</w:t>
      </w:r>
      <w:r>
        <w:rPr>
          <w:rFonts w:hint="eastAsia"/>
        </w:rPr>
        <w:t>抚育，深度开展稀疏退化天然林的补植补造、定株抚育，密度过高天然林的密度调整，促进形成地带性顶级群落。实施困难立地造林、</w:t>
      </w:r>
      <w:r>
        <w:t>废弃矿山生态修复</w:t>
      </w:r>
      <w:r>
        <w:rPr>
          <w:rFonts w:hint="eastAsia"/>
        </w:rPr>
        <w:t>，提高森林植被覆盖。加强对野生动物栖息地、珍稀野生植物群落的保护，丰富生物多样性，构建多物种、</w:t>
      </w:r>
      <w:r>
        <w:t>多层次、多功能、稳定健康的</w:t>
      </w:r>
      <w:r>
        <w:rPr>
          <w:rFonts w:hint="eastAsia"/>
        </w:rPr>
        <w:t>生态屏障。</w:t>
      </w:r>
    </w:p>
    <w:p>
      <w:pPr>
        <w:pStyle w:val="37"/>
      </w:pPr>
      <w:bookmarkStart w:id="50" w:name="_bookmark12"/>
      <w:bookmarkEnd w:id="50"/>
      <w:bookmarkStart w:id="51" w:name="_Toc149941343"/>
    </w:p>
    <w:p>
      <w:pPr>
        <w:pStyle w:val="3"/>
      </w:pPr>
      <w:bookmarkStart w:id="52" w:name="_Toc154250363"/>
      <w:r>
        <w:rPr>
          <w:rFonts w:hint="eastAsia"/>
        </w:rPr>
        <w:t>第四章</w:t>
      </w:r>
      <w:r>
        <w:t xml:space="preserve">  </w:t>
      </w:r>
      <w:r>
        <w:rPr>
          <w:rFonts w:hint="eastAsia"/>
        </w:rPr>
        <w:t>全面保护林地</w:t>
      </w:r>
      <w:bookmarkEnd w:id="51"/>
      <w:bookmarkEnd w:id="52"/>
    </w:p>
    <w:p>
      <w:pPr>
        <w:pStyle w:val="37"/>
        <w:rPr>
          <w:b/>
          <w:bCs/>
        </w:rPr>
      </w:pPr>
      <w:bookmarkStart w:id="53" w:name="_bookmark13"/>
      <w:bookmarkEnd w:id="53"/>
      <w:bookmarkStart w:id="54" w:name="_Toc154250364"/>
      <w:bookmarkStart w:id="55" w:name="_Toc149941344"/>
      <w:r>
        <w:rPr>
          <w:rFonts w:hint="eastAsia" w:ascii="黑体" w:hAnsi="黑体" w:eastAsia="黑体" w:cs="黑体"/>
          <w:b/>
          <w:bCs/>
          <w:sz w:val="32"/>
          <w:szCs w:val="32"/>
        </w:rPr>
        <w:t>一、明确保护任务</w:t>
      </w:r>
      <w:bookmarkEnd w:id="54"/>
      <w:bookmarkEnd w:id="55"/>
    </w:p>
    <w:p>
      <w:pPr>
        <w:pStyle w:val="30"/>
      </w:pPr>
      <w:r>
        <w:t>（一）落实林地和森林保护责任</w:t>
      </w:r>
    </w:p>
    <w:p>
      <w:pPr>
        <w:pStyle w:val="37"/>
        <w:ind w:firstLine="602"/>
      </w:pPr>
      <w:r>
        <w:rPr>
          <w:rFonts w:hint="eastAsia"/>
          <w:b/>
        </w:rPr>
        <w:t>——稳定林地和森林存量空间布局</w:t>
      </w:r>
      <w:r>
        <w:rPr>
          <w:b/>
        </w:rPr>
        <w:t>。</w:t>
      </w:r>
      <w:r>
        <w:rPr>
          <w:rFonts w:hint="eastAsia"/>
        </w:rPr>
        <w:t>以</w:t>
      </w:r>
      <w:r>
        <w:rPr>
          <w:rFonts w:hint="eastAsia" w:asciiTheme="minorEastAsia" w:hAnsiTheme="minorEastAsia" w:eastAsiaTheme="minorEastAsia"/>
        </w:rPr>
        <w:t>“</w:t>
      </w:r>
      <w:r>
        <w:rPr>
          <w:rFonts w:hint="eastAsia"/>
        </w:rPr>
        <w:t>三调”和森林资源专项调查对接融合结果为基础，</w:t>
      </w:r>
      <w:r>
        <w:t>明确</w:t>
      </w:r>
      <w:r>
        <w:rPr>
          <w:rFonts w:hint="eastAsia"/>
        </w:rPr>
        <w:t>全市林地保有量</w:t>
      </w:r>
      <w:r>
        <w:rPr>
          <w:rFonts w:hint="eastAsia"/>
          <w:lang w:val="en-US" w:eastAsia="zh-CN"/>
        </w:rPr>
        <w:t>和</w:t>
      </w:r>
      <w:r>
        <w:rPr>
          <w:rFonts w:hint="eastAsia"/>
        </w:rPr>
        <w:t>森林保有量，分解落实到各区，由各区落地上图。全面落实</w:t>
      </w:r>
      <w:r>
        <w:t>稳数量、提质量、保空间“三位一体”</w:t>
      </w:r>
      <w:r>
        <w:rPr>
          <w:rFonts w:hint="eastAsia"/>
        </w:rPr>
        <w:t>的林地和森林保护措施，守住全市及各区</w:t>
      </w:r>
      <w:r>
        <w:t>林地</w:t>
      </w:r>
      <w:r>
        <w:rPr>
          <w:rFonts w:hint="eastAsia"/>
        </w:rPr>
        <w:t>保有量</w:t>
      </w:r>
      <w:r>
        <w:t>、森林</w:t>
      </w:r>
      <w:r>
        <w:rPr>
          <w:rFonts w:hint="eastAsia"/>
        </w:rPr>
        <w:t>保有量的底线，总体稳定林地空间布局</w:t>
      </w:r>
      <w:r>
        <w:t>。</w:t>
      </w:r>
    </w:p>
    <w:p>
      <w:pPr>
        <w:pStyle w:val="37"/>
        <w:ind w:firstLine="602"/>
      </w:pPr>
      <w:r>
        <w:rPr>
          <w:rFonts w:hint="eastAsia"/>
          <w:b/>
        </w:rPr>
        <w:t>——确保森林覆盖率稳中有升。</w:t>
      </w:r>
      <w:r>
        <w:rPr>
          <w:rFonts w:hint="eastAsia"/>
        </w:rPr>
        <w:t>严格执行林木采伐限额管理制度，实行森林面积占补平衡，落实全市森林覆盖率目标责任。将规划期内森林覆盖率目标指标分解到各区，</w:t>
      </w:r>
      <w:r>
        <w:t>落实造林绿化空间，</w:t>
      </w:r>
      <w:r>
        <w:rPr>
          <w:rFonts w:hint="eastAsia"/>
        </w:rPr>
        <w:t>持续推进困难立地造林、废弃矿山生态修复和封山育林，促进退化森林植被重建，</w:t>
      </w:r>
      <w:r>
        <w:t>依法合规、稳妥有序</w:t>
      </w:r>
      <w:r>
        <w:rPr>
          <w:rFonts w:hint="eastAsia"/>
        </w:rPr>
        <w:t>增加森林面积</w:t>
      </w:r>
      <w:r>
        <w:t>。</w:t>
      </w:r>
      <w:r>
        <w:rPr>
          <w:rFonts w:hint="eastAsia"/>
          <w:lang w:val="en-US"/>
        </w:rPr>
        <w:t>对未纳入林地保有量范畴的森林，由区级人民政府统筹安排，同等严格落实保护责任，保持林地外森林面积动态稳定，确保规划目标实现。</w:t>
      </w:r>
    </w:p>
    <w:p>
      <w:pPr>
        <w:pStyle w:val="37"/>
        <w:ind w:firstLine="602"/>
      </w:pPr>
      <w:r>
        <w:rPr>
          <w:rFonts w:hint="eastAsia"/>
          <w:b/>
          <w:bCs/>
        </w:rPr>
        <w:t>——压实林地保护责任。</w:t>
      </w:r>
      <w:r>
        <w:rPr>
          <w:rFonts w:hint="eastAsia"/>
        </w:rPr>
        <w:t>充分利用林长制的组织体系和管理制度，健全各级党委和政府落实森林资源保护目标责任考核机制，落实林地保护属地主体责任。对森林保护责任目标完成情况定期考核，实行森林保护党政同责、终身追责。</w:t>
      </w:r>
    </w:p>
    <w:p>
      <w:pPr>
        <w:pStyle w:val="30"/>
      </w:pPr>
      <w:r>
        <w:rPr>
          <w:rFonts w:hint="eastAsia"/>
        </w:rPr>
        <w:t>（二）</w:t>
      </w:r>
      <w:r>
        <w:t>严格保护公益林地和天然林</w:t>
      </w:r>
    </w:p>
    <w:p>
      <w:pPr>
        <w:pStyle w:val="37"/>
        <w:ind w:firstLine="602"/>
      </w:pPr>
      <w:r>
        <w:rPr>
          <w:rFonts w:hint="eastAsia"/>
          <w:b/>
        </w:rPr>
        <w:t>——实行并轨管理。</w:t>
      </w:r>
      <w:r>
        <w:rPr>
          <w:rFonts w:hint="eastAsia"/>
        </w:rPr>
        <w:t>实行</w:t>
      </w:r>
      <w:r>
        <w:t>天然林保护与生态公益林管理并轨制度，</w:t>
      </w:r>
      <w:r>
        <w:rPr>
          <w:rFonts w:hint="eastAsia"/>
        </w:rPr>
        <w:t>统一落界、统一管护制度，实现一体化保护。</w:t>
      </w:r>
      <w:r>
        <w:t>把天然林全部纳入保护范围，</w:t>
      </w:r>
      <w:r>
        <w:rPr>
          <w:rFonts w:hint="eastAsia"/>
        </w:rPr>
        <w:t>按照</w:t>
      </w:r>
      <w:r>
        <w:t>重点公益林进行统筹管理。</w:t>
      </w:r>
      <w:r>
        <w:rPr>
          <w:rFonts w:hint="eastAsia"/>
        </w:rPr>
        <w:t>科学区划界定公益林地，严禁擅自改变国家级公益林地的性质、随意调整国家级公益林地的范围或降低保护等级。</w:t>
      </w:r>
    </w:p>
    <w:p>
      <w:pPr>
        <w:pStyle w:val="37"/>
        <w:ind w:firstLine="602"/>
        <w:rPr>
          <w:lang w:val="en-US"/>
        </w:rPr>
      </w:pPr>
      <w:r>
        <w:rPr>
          <w:rFonts w:hint="eastAsia"/>
          <w:b/>
          <w:bCs/>
        </w:rPr>
        <w:t>——严格保护天然林。</w:t>
      </w:r>
      <w:r>
        <w:t>坚持“应保尽保、能保必保”，</w:t>
      </w:r>
      <w:r>
        <w:rPr>
          <w:rFonts w:hint="eastAsia"/>
        </w:rPr>
        <w:t>严禁擅自改变天然林性质，</w:t>
      </w:r>
      <w:r>
        <w:t>严禁滥砍滥伐</w:t>
      </w:r>
      <w:r>
        <w:rPr>
          <w:rFonts w:hint="eastAsia"/>
        </w:rPr>
        <w:t>、非法</w:t>
      </w:r>
      <w:r>
        <w:t>采挖移植，严禁</w:t>
      </w:r>
      <w:r>
        <w:rPr>
          <w:rFonts w:hint="eastAsia"/>
        </w:rPr>
        <w:t>以修复等名义</w:t>
      </w:r>
      <w:r>
        <w:t>将天然林改造为人工林，以及其他破坏天然林及其生态环境的行为。严管天然林</w:t>
      </w:r>
      <w:r>
        <w:rPr>
          <w:rFonts w:hint="eastAsia"/>
        </w:rPr>
        <w:t>林</w:t>
      </w:r>
      <w:r>
        <w:t>地占用，严格控制天然林</w:t>
      </w:r>
      <w:r>
        <w:rPr>
          <w:rFonts w:hint="eastAsia"/>
        </w:rPr>
        <w:t>林</w:t>
      </w:r>
      <w:r>
        <w:t>地转为其他用途，除国防建设、国家重大工程特殊需要外，禁止占用</w:t>
      </w:r>
      <w:r>
        <w:rPr>
          <w:rFonts w:hint="eastAsia"/>
        </w:rPr>
        <w:t>保护重点区域的</w:t>
      </w:r>
      <w:r>
        <w:t>天然林</w:t>
      </w:r>
      <w:r>
        <w:rPr>
          <w:rFonts w:hint="eastAsia"/>
        </w:rPr>
        <w:t>林</w:t>
      </w:r>
      <w:r>
        <w:t>地。</w:t>
      </w:r>
    </w:p>
    <w:p>
      <w:pPr>
        <w:pStyle w:val="4"/>
      </w:pPr>
      <w:bookmarkStart w:id="56" w:name="_bookmark14"/>
      <w:bookmarkEnd w:id="56"/>
      <w:bookmarkStart w:id="57" w:name="_Toc149941345"/>
      <w:bookmarkStart w:id="58" w:name="_Toc154250365"/>
      <w:r>
        <w:t>二、严格用途管制</w:t>
      </w:r>
      <w:bookmarkEnd w:id="57"/>
      <w:bookmarkEnd w:id="58"/>
    </w:p>
    <w:p>
      <w:pPr>
        <w:pStyle w:val="30"/>
      </w:pPr>
      <w:r>
        <w:t>（一）严格控制林地转为建设用地</w:t>
      </w:r>
    </w:p>
    <w:p>
      <w:pPr>
        <w:pStyle w:val="37"/>
        <w:ind w:firstLine="602"/>
      </w:pPr>
      <w:r>
        <w:rPr>
          <w:rFonts w:hint="eastAsia"/>
          <w:b/>
        </w:rPr>
        <w:t>——规范工程建设使用林地。</w:t>
      </w:r>
      <w:r>
        <w:rPr>
          <w:rFonts w:hint="eastAsia"/>
        </w:rPr>
        <w:t>林地应当用于林业发展和生态建设，不得擅自改变用途。</w:t>
      </w:r>
      <w:r>
        <w:t>矿藏勘查、开采以及其他各类工程建设，应当不占或者少占林地</w:t>
      </w:r>
      <w:r>
        <w:rPr>
          <w:rFonts w:hint="eastAsia"/>
        </w:rPr>
        <w:t>，</w:t>
      </w:r>
      <w:r>
        <w:t>确需使用林地的，应当经</w:t>
      </w:r>
      <w:r>
        <w:rPr>
          <w:rFonts w:hint="eastAsia"/>
        </w:rPr>
        <w:t>区</w:t>
      </w:r>
      <w:r>
        <w:t>级以上人民政府园林绿化主管部门审核同意，依法办理</w:t>
      </w:r>
      <w:r>
        <w:rPr>
          <w:rFonts w:hint="eastAsia"/>
        </w:rPr>
        <w:t>建设用地</w:t>
      </w:r>
      <w:r>
        <w:t>审批手续。严格控制国有林地转为</w:t>
      </w:r>
      <w:r>
        <w:rPr>
          <w:rFonts w:hint="eastAsia"/>
        </w:rPr>
        <w:t>建设用</w:t>
      </w:r>
      <w:r>
        <w:t>地。</w:t>
      </w:r>
    </w:p>
    <w:p>
      <w:pPr>
        <w:pStyle w:val="37"/>
        <w:ind w:firstLine="602"/>
      </w:pPr>
      <w:r>
        <w:rPr>
          <w:rFonts w:hint="eastAsia"/>
          <w:b/>
          <w:bCs/>
        </w:rPr>
        <w:t>——</w:t>
      </w:r>
      <w:bookmarkStart w:id="59" w:name="_Hlk153463541"/>
      <w:r>
        <w:rPr>
          <w:rFonts w:hint="eastAsia"/>
          <w:b/>
          <w:bCs/>
        </w:rPr>
        <w:t>落实占用林地定额制度。</w:t>
      </w:r>
      <w:bookmarkEnd w:id="59"/>
      <w:r>
        <w:rPr>
          <w:rFonts w:hint="eastAsia"/>
        </w:rPr>
        <w:t>坚持</w:t>
      </w:r>
      <w:r>
        <w:t>“总量控制、定额管理、合理供地、节约用地、森林面积占补平衡”制度，</w:t>
      </w:r>
      <w:r>
        <w:rPr>
          <w:rFonts w:hint="eastAsia"/>
        </w:rPr>
        <w:t>每五年编制一次本行政区域内的建设项目占用林地定额，经本级人民政府审核同意。</w:t>
      </w:r>
      <w:r>
        <w:t>优先保障</w:t>
      </w:r>
      <w:r>
        <w:rPr>
          <w:rFonts w:hint="eastAsia"/>
        </w:rPr>
        <w:t>基础设施、公共</w:t>
      </w:r>
      <w:r>
        <w:t>民生、军事</w:t>
      </w:r>
      <w:r>
        <w:rPr>
          <w:rFonts w:hint="eastAsia"/>
        </w:rPr>
        <w:t>国防、外交</w:t>
      </w:r>
      <w:r>
        <w:t>等公益性建设项目</w:t>
      </w:r>
      <w:r>
        <w:rPr>
          <w:rFonts w:hint="eastAsia"/>
        </w:rPr>
        <w:t>使用林地</w:t>
      </w:r>
      <w:r>
        <w:t>，适度控制用于城镇扩展边界等建设项目</w:t>
      </w:r>
      <w:r>
        <w:rPr>
          <w:rFonts w:hint="eastAsia"/>
        </w:rPr>
        <w:t>使用林地</w:t>
      </w:r>
      <w:r>
        <w:t>，从严控制工矿开发和商业经营性开发等建设项目</w:t>
      </w:r>
      <w:r>
        <w:rPr>
          <w:rFonts w:hint="eastAsia"/>
        </w:rPr>
        <w:t>使用林地</w:t>
      </w:r>
      <w:r>
        <w:t>。</w:t>
      </w:r>
    </w:p>
    <w:p>
      <w:pPr>
        <w:pStyle w:val="30"/>
      </w:pPr>
      <w:r>
        <w:t>（二）严格控制林地转为其他农用地</w:t>
      </w:r>
    </w:p>
    <w:p>
      <w:pPr>
        <w:pStyle w:val="37"/>
        <w:ind w:firstLine="602"/>
        <w:rPr>
          <w:rFonts w:eastAsia="PMingLiU"/>
        </w:rPr>
      </w:pPr>
      <w:r>
        <w:rPr>
          <w:rFonts w:hint="eastAsia"/>
          <w:b/>
          <w:bCs/>
        </w:rPr>
        <w:t>——规范林地转化为其他农用土地。</w:t>
      </w:r>
      <w:r>
        <w:rPr>
          <w:rFonts w:hint="eastAsia"/>
        </w:rPr>
        <w:t>严禁破坏生态环境砍树挖山填湖，</w:t>
      </w:r>
      <w:r>
        <w:t>禁止毁林挖</w:t>
      </w:r>
      <w:r>
        <w:rPr>
          <w:rFonts w:hint="eastAsia"/>
        </w:rPr>
        <w:t>砂</w:t>
      </w:r>
      <w:r>
        <w:t>挖塘</w:t>
      </w:r>
      <w:r>
        <w:rPr>
          <w:rFonts w:hint="eastAsia"/>
        </w:rPr>
        <w:t>，不得以整治名义擅自</w:t>
      </w:r>
      <w:r>
        <w:t>毁林开垦</w:t>
      </w:r>
      <w:r>
        <w:rPr>
          <w:rFonts w:hint="eastAsia"/>
        </w:rPr>
        <w:t>，禁止以</w:t>
      </w:r>
      <w:r>
        <w:t>林粮间作等将林地转化为</w:t>
      </w:r>
      <w:r>
        <w:rPr>
          <w:rFonts w:hint="eastAsia"/>
        </w:rPr>
        <w:t>耕地、园地、草地等</w:t>
      </w:r>
      <w:r>
        <w:t>其他农用地</w:t>
      </w:r>
      <w:r>
        <w:rPr>
          <w:rFonts w:hint="eastAsia"/>
        </w:rPr>
        <w:t>及农业设施建设用地</w:t>
      </w:r>
      <w:r>
        <w:t>。</w:t>
      </w:r>
      <w:r>
        <w:rPr>
          <w:rFonts w:hint="eastAsia"/>
        </w:rPr>
        <w:t>因</w:t>
      </w:r>
      <w:r>
        <w:t>种植结构调整</w:t>
      </w:r>
      <w:r>
        <w:rPr>
          <w:rFonts w:hint="eastAsia"/>
        </w:rPr>
        <w:t>，</w:t>
      </w:r>
      <w:r>
        <w:t>依法依规通过土地综合整治、耕地进出平衡将林地转为</w:t>
      </w:r>
      <w:bookmarkStart w:id="127" w:name="_GoBack"/>
      <w:bookmarkEnd w:id="127"/>
      <w:r>
        <w:t>耕地等</w:t>
      </w:r>
      <w:r>
        <w:rPr>
          <w:rFonts w:hint="eastAsia"/>
        </w:rPr>
        <w:t>其它农用地</w:t>
      </w:r>
      <w:r>
        <w:t>的，实行林地进出平衡</w:t>
      </w:r>
      <w:r>
        <w:rPr>
          <w:rFonts w:hint="eastAsia"/>
        </w:rPr>
        <w:t>，</w:t>
      </w:r>
      <w:r>
        <w:t>补足同等数量、质量的可以长期稳定保有的林地。</w:t>
      </w:r>
      <w:r>
        <w:rPr>
          <w:rFonts w:hint="eastAsia"/>
        </w:rPr>
        <w:t>对河道上开口以内的现状林地，按林地管理，逐步推进河道上口内林地按需调整。</w:t>
      </w:r>
    </w:p>
    <w:p>
      <w:pPr>
        <w:pStyle w:val="37"/>
        <w:ind w:firstLine="602"/>
      </w:pPr>
      <w:r>
        <w:rPr>
          <w:rFonts w:hint="eastAsia"/>
          <w:b/>
          <w:bCs/>
        </w:rPr>
        <w:t>——建立健全林地进出平衡制度。</w:t>
      </w:r>
      <w:r>
        <w:rPr>
          <w:rFonts w:hint="eastAsia"/>
        </w:rPr>
        <w:t>实行年度计划管理，建立林地年度进出平衡管理台账</w:t>
      </w:r>
      <w:r>
        <w:t>，明确</w:t>
      </w:r>
      <w:r>
        <w:rPr>
          <w:rFonts w:hint="eastAsia"/>
        </w:rPr>
        <w:t>林</w:t>
      </w:r>
      <w:r>
        <w:t>地转为</w:t>
      </w:r>
      <w:r>
        <w:rPr>
          <w:rFonts w:hint="eastAsia"/>
        </w:rPr>
        <w:t>耕</w:t>
      </w:r>
      <w:r>
        <w:t>地等其他农用地的规模、布局、时序和年度安排</w:t>
      </w:r>
      <w:r>
        <w:rPr>
          <w:rFonts w:hint="eastAsia"/>
        </w:rPr>
        <w:t>。市、区两级园林绿化部门定期开展林地进出平衡的动态监测监管，及时发现和处理问题，会同有关部门督促整改。</w:t>
      </w:r>
    </w:p>
    <w:p>
      <w:pPr>
        <w:pStyle w:val="30"/>
      </w:pPr>
      <w:r>
        <w:t>（三）</w:t>
      </w:r>
      <w:r>
        <w:rPr>
          <w:rFonts w:hint="eastAsia"/>
        </w:rPr>
        <w:t>严格森林采伐更新管理</w:t>
      </w:r>
    </w:p>
    <w:p>
      <w:pPr>
        <w:pStyle w:val="37"/>
        <w:ind w:firstLine="602"/>
        <w:rPr>
          <w:rFonts w:eastAsia="PMingLiU"/>
        </w:rPr>
      </w:pPr>
      <w:r>
        <w:rPr>
          <w:rFonts w:hint="eastAsia"/>
          <w:b/>
          <w:bCs/>
        </w:rPr>
        <w:t>——强化森林采伐后的种植管控。</w:t>
      </w:r>
      <w:r>
        <w:rPr>
          <w:rFonts w:hint="eastAsia"/>
        </w:rPr>
        <w:t>坚持</w:t>
      </w:r>
      <w:r>
        <w:t>林地</w:t>
      </w:r>
      <w:r>
        <w:rPr>
          <w:rFonts w:hint="eastAsia"/>
        </w:rPr>
        <w:t>主导用于</w:t>
      </w:r>
      <w:r>
        <w:t>培育多功能</w:t>
      </w:r>
      <w:r>
        <w:rPr>
          <w:rFonts w:hint="eastAsia"/>
        </w:rPr>
        <w:t>、</w:t>
      </w:r>
      <w:r>
        <w:t>多目标</w:t>
      </w:r>
      <w:r>
        <w:rPr>
          <w:rFonts w:hint="eastAsia"/>
        </w:rPr>
        <w:t>森林。严格控制森林皆伐，</w:t>
      </w:r>
      <w:r>
        <w:t>采用皆伐方式采伐的，应在当年或者次年内完成更新造林任务</w:t>
      </w:r>
      <w:r>
        <w:rPr>
          <w:rFonts w:hint="eastAsia"/>
        </w:rPr>
        <w:t>，更新造林时，应优先选择珍贵、乡土乔木树种，营造森林环境。采伐迹地</w:t>
      </w:r>
      <w:r>
        <w:t>严禁种植农作物或改造为园地；</w:t>
      </w:r>
      <w:r>
        <w:rPr>
          <w:rFonts w:hint="eastAsia"/>
        </w:rPr>
        <w:t>禁止以低质低效林改造、种植结构调整为名将乔木林地、灌木林地改造成园地、草地等其它农用地。不得将天然林更新为人工林，保护森林土壤和天然植被</w:t>
      </w:r>
      <w:r>
        <w:t>。</w:t>
      </w:r>
    </w:p>
    <w:p>
      <w:pPr>
        <w:pStyle w:val="37"/>
        <w:ind w:firstLine="602"/>
      </w:pPr>
      <w:r>
        <w:rPr>
          <w:rFonts w:hint="eastAsia"/>
          <w:b/>
          <w:bCs/>
        </w:rPr>
        <w:t>——加强森林采伐更新监测。</w:t>
      </w:r>
      <w:r>
        <w:rPr>
          <w:rFonts w:hint="eastAsia"/>
        </w:rPr>
        <w:t>充分利用园林绿化资源管理平台，采用</w:t>
      </w:r>
      <w:r>
        <w:t>卫星遥感</w:t>
      </w:r>
      <w:r>
        <w:rPr>
          <w:rFonts w:hint="eastAsia"/>
        </w:rPr>
        <w:t>监测</w:t>
      </w:r>
      <w:r>
        <w:t>、大数据</w:t>
      </w:r>
      <w:r>
        <w:rPr>
          <w:rFonts w:hint="eastAsia"/>
        </w:rPr>
        <w:t>分析</w:t>
      </w:r>
      <w:r>
        <w:t>等信息化手段，</w:t>
      </w:r>
      <w:r>
        <w:rPr>
          <w:rFonts w:hint="eastAsia"/>
        </w:rPr>
        <w:t>及时</w:t>
      </w:r>
      <w:r>
        <w:t>监测</w:t>
      </w:r>
      <w:r>
        <w:rPr>
          <w:rFonts w:hint="eastAsia"/>
        </w:rPr>
        <w:t>森林采伐、造林更新、</w:t>
      </w:r>
      <w:r>
        <w:t>种植</w:t>
      </w:r>
      <w:r>
        <w:rPr>
          <w:rFonts w:hint="eastAsia"/>
        </w:rPr>
        <w:t>结构调整等</w:t>
      </w:r>
      <w:r>
        <w:t>变化</w:t>
      </w:r>
      <w:r>
        <w:rPr>
          <w:rFonts w:hint="eastAsia"/>
        </w:rPr>
        <w:t>信息</w:t>
      </w:r>
      <w:r>
        <w:t>。开展日常巡查和核查</w:t>
      </w:r>
      <w:r>
        <w:rPr>
          <w:rFonts w:hint="eastAsia"/>
        </w:rPr>
        <w:t>，强化森林督查，</w:t>
      </w:r>
      <w:r>
        <w:t>早发现、早制止</w:t>
      </w:r>
      <w:r>
        <w:rPr>
          <w:rFonts w:hint="eastAsia"/>
        </w:rPr>
        <w:t>违法违规使用</w:t>
      </w:r>
      <w:r>
        <w:t>林地</w:t>
      </w:r>
      <w:r>
        <w:rPr>
          <w:rFonts w:hint="eastAsia"/>
        </w:rPr>
        <w:t>和采伐林木的行为，</w:t>
      </w:r>
      <w:r>
        <w:t>严格防止林地和森林</w:t>
      </w:r>
      <w:r>
        <w:rPr>
          <w:rFonts w:hint="eastAsia"/>
        </w:rPr>
        <w:t>违法</w:t>
      </w:r>
      <w:r>
        <w:t>流失。</w:t>
      </w:r>
    </w:p>
    <w:p>
      <w:pPr>
        <w:pStyle w:val="30"/>
      </w:pPr>
      <w:r>
        <w:t>（四）</w:t>
      </w:r>
      <w:r>
        <w:rPr>
          <w:rFonts w:hint="eastAsia"/>
        </w:rPr>
        <w:t>严格</w:t>
      </w:r>
      <w:r>
        <w:rPr>
          <w:rFonts w:hint="eastAsia" w:ascii="仿宋" w:hAnsi="仿宋" w:eastAsia="仿宋" w:cs="仿宋"/>
        </w:rPr>
        <w:t>林业直服设施</w:t>
      </w:r>
      <w:r>
        <w:t>和临时</w:t>
      </w:r>
      <w:r>
        <w:rPr>
          <w:rFonts w:hint="eastAsia"/>
        </w:rPr>
        <w:t>占</w:t>
      </w:r>
      <w:r>
        <w:t>用林地</w:t>
      </w:r>
      <w:r>
        <w:rPr>
          <w:rFonts w:hint="eastAsia"/>
        </w:rPr>
        <w:t>管理</w:t>
      </w:r>
    </w:p>
    <w:p>
      <w:pPr>
        <w:pStyle w:val="37"/>
        <w:ind w:firstLine="602"/>
      </w:pPr>
      <w:r>
        <w:rPr>
          <w:rFonts w:hint="eastAsia"/>
          <w:b/>
          <w:bCs/>
        </w:rPr>
        <w:t>——依法依规使用林业直服设施用地和临时占用林地。</w:t>
      </w:r>
      <w:r>
        <w:rPr>
          <w:rFonts w:hint="eastAsia"/>
        </w:rPr>
        <w:t>严格按照国家有关部门规定的标准界定直接为林业生产经营服务的工程设施占用林地</w:t>
      </w:r>
      <w:r>
        <w:t>（</w:t>
      </w:r>
      <w:r>
        <w:rPr>
          <w:rFonts w:hint="eastAsia"/>
        </w:rPr>
        <w:t>以下简称为“林业直服设施用地”</w:t>
      </w:r>
      <w:r>
        <w:t>）</w:t>
      </w:r>
      <w:r>
        <w:rPr>
          <w:rFonts w:hint="eastAsia"/>
        </w:rPr>
        <w:t>，严禁超标准建设。</w:t>
      </w:r>
      <w:r>
        <w:t>不得改变</w:t>
      </w:r>
      <w:r>
        <w:rPr>
          <w:rFonts w:hint="eastAsia"/>
        </w:rPr>
        <w:t>林业直服设施用地</w:t>
      </w:r>
      <w:r>
        <w:t>、经依法审批临时</w:t>
      </w:r>
      <w:r>
        <w:rPr>
          <w:rFonts w:hint="eastAsia"/>
        </w:rPr>
        <w:t>占</w:t>
      </w:r>
      <w:r>
        <w:t>用林地的林地性质。不得以</w:t>
      </w:r>
      <w:r>
        <w:rPr>
          <w:rFonts w:hint="eastAsia"/>
        </w:rPr>
        <w:t>林业直服设施用地、</w:t>
      </w:r>
      <w:r>
        <w:t>临时用地名义批准永久性建设使用林地。</w:t>
      </w:r>
    </w:p>
    <w:p>
      <w:pPr>
        <w:pStyle w:val="37"/>
        <w:ind w:firstLine="602"/>
      </w:pPr>
      <w:r>
        <w:rPr>
          <w:rFonts w:hint="eastAsia"/>
          <w:b/>
        </w:rPr>
        <w:t>——</w:t>
      </w:r>
      <w:r>
        <w:rPr>
          <w:b/>
        </w:rPr>
        <w:t>加大临时占用林地的修复力度</w:t>
      </w:r>
      <w:r>
        <w:rPr>
          <w:rFonts w:hint="eastAsia"/>
          <w:b/>
        </w:rPr>
        <w:t>。</w:t>
      </w:r>
      <w:r>
        <w:t>临时占用林地期满后</w:t>
      </w:r>
      <w:r>
        <w:rPr>
          <w:rFonts w:hint="eastAsia"/>
        </w:rPr>
        <w:t>，</w:t>
      </w:r>
      <w:r>
        <w:t>必须</w:t>
      </w:r>
      <w:r>
        <w:rPr>
          <w:rFonts w:hint="eastAsia"/>
        </w:rPr>
        <w:t>依法在</w:t>
      </w:r>
      <w:r>
        <w:t>原地、同面积、等质量</w:t>
      </w:r>
      <w:r>
        <w:rPr>
          <w:rFonts w:hint="eastAsia"/>
        </w:rPr>
        <w:t>恢复林业生产条件和森林植被</w:t>
      </w:r>
      <w:r>
        <w:t>，防止水土流失</w:t>
      </w:r>
      <w:r>
        <w:rPr>
          <w:rFonts w:hint="eastAsia"/>
        </w:rPr>
        <w:t>、泥石流等次生灾害</w:t>
      </w:r>
      <w:r>
        <w:t>，避免立地条件恶化。强化临时使用林地的监管，开展对恢复方案的可行性评估，组织对恢复情况</w:t>
      </w:r>
      <w:r>
        <w:rPr>
          <w:rFonts w:hint="eastAsia"/>
        </w:rPr>
        <w:t>进行检查</w:t>
      </w:r>
      <w:r>
        <w:t>验收。</w:t>
      </w:r>
    </w:p>
    <w:p>
      <w:pPr>
        <w:pStyle w:val="4"/>
      </w:pPr>
      <w:bookmarkStart w:id="60" w:name="_bookmark15"/>
      <w:bookmarkEnd w:id="60"/>
      <w:bookmarkStart w:id="61" w:name="_Toc149941346"/>
      <w:bookmarkStart w:id="62" w:name="_Toc154250366"/>
      <w:r>
        <w:t>三、实行分级</w:t>
      </w:r>
      <w:r>
        <w:rPr>
          <w:rFonts w:hint="eastAsia"/>
        </w:rPr>
        <w:t>分类保护</w:t>
      </w:r>
      <w:bookmarkEnd w:id="61"/>
      <w:bookmarkEnd w:id="62"/>
    </w:p>
    <w:p>
      <w:pPr>
        <w:pStyle w:val="30"/>
      </w:pPr>
      <w:r>
        <w:rPr>
          <w:rFonts w:hint="eastAsia"/>
        </w:rPr>
        <w:t>（一）坚持分级保护</w:t>
      </w:r>
    </w:p>
    <w:p>
      <w:pPr>
        <w:pStyle w:val="37"/>
        <w:ind w:firstLine="602"/>
        <w:rPr>
          <w:rFonts w:hint="eastAsia"/>
        </w:rPr>
      </w:pPr>
      <w:r>
        <w:rPr>
          <w:rFonts w:hint="eastAsia"/>
          <w:b/>
        </w:rPr>
        <w:t>——</w:t>
      </w:r>
      <w:r>
        <w:rPr>
          <w:b/>
        </w:rPr>
        <w:t>科学划定林地保护等级</w:t>
      </w:r>
      <w:r>
        <w:rPr>
          <w:rFonts w:hint="eastAsia"/>
          <w:b/>
        </w:rPr>
        <w:t>。</w:t>
      </w:r>
      <w:r>
        <w:t>按照</w:t>
      </w:r>
      <w:r>
        <w:rPr>
          <w:rFonts w:hint="eastAsia"/>
        </w:rPr>
        <w:t>保护优先与科学利用</w:t>
      </w:r>
      <w:r>
        <w:t>相结合原则，根据林地生态脆弱性、生态区位重要性、</w:t>
      </w:r>
      <w:r>
        <w:rPr>
          <w:rFonts w:hint="eastAsia"/>
        </w:rPr>
        <w:t>林地生产力、</w:t>
      </w:r>
      <w:r>
        <w:t>经济重要程度及其它相关</w:t>
      </w:r>
      <w:r>
        <w:rPr>
          <w:rFonts w:hint="eastAsia"/>
        </w:rPr>
        <w:t>指标</w:t>
      </w:r>
      <w:r>
        <w:t>，结合北京市林业发展实际，</w:t>
      </w:r>
      <w:r>
        <w:rPr>
          <w:rFonts w:hint="eastAsia"/>
        </w:rPr>
        <w:t>将林地按严格保护程度划分为</w:t>
      </w:r>
      <w:r>
        <w:t>Ⅰ、Ⅱ、Ⅲ、Ⅳ</w:t>
      </w:r>
      <w:r>
        <w:rPr>
          <w:rFonts w:hint="eastAsia"/>
        </w:rPr>
        <w:t>四个保护等级，</w:t>
      </w:r>
      <w:r>
        <w:t>实行分级管理</w:t>
      </w:r>
      <w:r>
        <w:rPr>
          <w:rFonts w:hint="eastAsia"/>
        </w:rPr>
        <w:t>。林地保护等级一经划定，原则上不得调整，确因生态区位、主导功能及政策因素等划分条件变化需调整的，需经科学论证后，由区级以上园林绿化主管部门批准。</w:t>
      </w:r>
    </w:p>
    <w:p>
      <w:pPr>
        <w:pStyle w:val="37"/>
        <w:ind w:firstLine="602"/>
      </w:pPr>
      <w:r>
        <w:rPr>
          <w:rFonts w:hint="eastAsia"/>
          <w:b/>
          <w:bCs/>
        </w:rPr>
        <w:t>——</w:t>
      </w:r>
      <w:r>
        <w:rPr>
          <w:b/>
          <w:bCs/>
        </w:rPr>
        <w:t>严格实行分级管控</w:t>
      </w:r>
      <w:r>
        <w:rPr>
          <w:rFonts w:hint="eastAsia"/>
          <w:b/>
          <w:bCs/>
        </w:rPr>
        <w:t>。</w:t>
      </w:r>
      <w:r>
        <w:rPr>
          <w:rFonts w:hint="eastAsia"/>
        </w:rPr>
        <w:t>根据保护级别，分别制定相应的保护、利用和管理措施</w:t>
      </w:r>
      <w:r>
        <w:t>。</w:t>
      </w:r>
      <w:r>
        <w:rPr>
          <w:rFonts w:hint="eastAsia"/>
        </w:rPr>
        <w:t>不得随意调整或变更林地保护等级，禁止为了开发建设而擅自降低林地保护等级。</w:t>
      </w:r>
    </w:p>
    <w:p>
      <w:pPr>
        <w:pStyle w:val="30"/>
      </w:pPr>
      <w:r>
        <w:rPr>
          <w:rFonts w:hint="eastAsia"/>
        </w:rPr>
        <w:t>（二）差别化管理</w:t>
      </w:r>
      <w:r>
        <w:t>林地</w:t>
      </w:r>
    </w:p>
    <w:bookmarkEnd w:id="15"/>
    <w:p>
      <w:pPr>
        <w:pStyle w:val="37"/>
        <w:ind w:firstLine="602"/>
      </w:pPr>
      <w:r>
        <w:rPr>
          <w:rFonts w:hint="eastAsia"/>
          <w:b/>
        </w:rPr>
        <w:t>——实行分区施策。</w:t>
      </w:r>
      <w:r>
        <w:t>严格</w:t>
      </w:r>
      <w:r>
        <w:rPr>
          <w:rFonts w:hint="eastAsia"/>
        </w:rPr>
        <w:t>限制</w:t>
      </w:r>
      <w:r>
        <w:t>人为</w:t>
      </w:r>
      <w:r>
        <w:rPr>
          <w:rFonts w:hint="eastAsia"/>
        </w:rPr>
        <w:t>干扰山区</w:t>
      </w:r>
      <w:r>
        <w:t>生态涵养区自然生态，</w:t>
      </w:r>
      <w:r>
        <w:rPr>
          <w:rFonts w:hint="eastAsia"/>
        </w:rPr>
        <w:t>严禁除森林经营，以及经批准的森林旅游、林下经济等工作以外的其他与林地利用有关人为活动。</w:t>
      </w:r>
      <w:r>
        <w:t>严格控制平原生态发展区林地转为建设用地</w:t>
      </w:r>
      <w:r>
        <w:rPr>
          <w:rFonts w:hint="eastAsia"/>
        </w:rPr>
        <w:t>和</w:t>
      </w:r>
      <w:r>
        <w:t>其它</w:t>
      </w:r>
      <w:r>
        <w:rPr>
          <w:rFonts w:hint="eastAsia"/>
        </w:rPr>
        <w:t>农</w:t>
      </w:r>
      <w:r>
        <w:t>用地，</w:t>
      </w:r>
      <w:r>
        <w:rPr>
          <w:rFonts w:hint="eastAsia"/>
        </w:rPr>
        <w:t>禁止重要生态廊道上的林地逆转</w:t>
      </w:r>
      <w:r>
        <w:t>。</w:t>
      </w:r>
      <w:r>
        <w:rPr>
          <w:rFonts w:hint="eastAsia"/>
        </w:rPr>
        <w:t>严格管制</w:t>
      </w:r>
      <w:r>
        <w:t>城市生态建设区</w:t>
      </w:r>
      <w:r>
        <w:rPr>
          <w:rFonts w:hint="eastAsia"/>
        </w:rPr>
        <w:t>林地使用，保证林地和森林基本稳定，规范城镇开发边界内</w:t>
      </w:r>
      <w:r>
        <w:t>林地</w:t>
      </w:r>
      <w:r>
        <w:rPr>
          <w:rFonts w:hint="eastAsia"/>
        </w:rPr>
        <w:t>占用手续，加强</w:t>
      </w:r>
      <w:r>
        <w:t>代征绿地的</w:t>
      </w:r>
      <w:r>
        <w:rPr>
          <w:rFonts w:hint="eastAsia"/>
        </w:rPr>
        <w:t>造林</w:t>
      </w:r>
      <w:r>
        <w:t>绿化。</w:t>
      </w:r>
    </w:p>
    <w:p>
      <w:pPr>
        <w:pStyle w:val="37"/>
        <w:ind w:firstLine="602"/>
      </w:pPr>
      <w:r>
        <w:rPr>
          <w:rFonts w:hint="eastAsia"/>
          <w:b/>
          <w:bCs/>
        </w:rPr>
        <w:t>——实行重点管控。</w:t>
      </w:r>
      <w:r>
        <w:rPr>
          <w:rFonts w:hint="eastAsia"/>
        </w:rPr>
        <w:t>严格控制人为因素对自然生态的干扰，在</w:t>
      </w:r>
      <w:r>
        <w:t>自然保护</w:t>
      </w:r>
      <w:r>
        <w:rPr>
          <w:rFonts w:hint="eastAsia"/>
        </w:rPr>
        <w:t>地</w:t>
      </w:r>
      <w:r>
        <w:t>核心保护区</w:t>
      </w:r>
      <w:r>
        <w:rPr>
          <w:rFonts w:hint="eastAsia"/>
        </w:rPr>
        <w:t>原则上禁止人为活动，</w:t>
      </w:r>
      <w:r>
        <w:t>一般控制区内</w:t>
      </w:r>
      <w:r>
        <w:rPr>
          <w:rFonts w:hint="eastAsia"/>
        </w:rPr>
        <w:t>限制</w:t>
      </w:r>
      <w:r>
        <w:t>人为活动</w:t>
      </w:r>
      <w:r>
        <w:rPr>
          <w:rFonts w:hint="eastAsia"/>
        </w:rPr>
        <w:t>。</w:t>
      </w:r>
      <w:r>
        <w:t>严禁</w:t>
      </w:r>
      <w:r>
        <w:rPr>
          <w:rFonts w:hint="eastAsia"/>
        </w:rPr>
        <w:t>在</w:t>
      </w:r>
      <w:r>
        <w:t>生态红线</w:t>
      </w:r>
      <w:r>
        <w:rPr>
          <w:rFonts w:hint="eastAsia"/>
        </w:rPr>
        <w:t>的林地内进行</w:t>
      </w:r>
      <w:r>
        <w:t>不符合主体功能定位的各类开发活动，加强自然生态系统的保护和修复</w:t>
      </w:r>
      <w:r>
        <w:rPr>
          <w:rFonts w:hint="eastAsia"/>
        </w:rPr>
        <w:t>，保证</w:t>
      </w:r>
      <w:r>
        <w:t>生态空间</w:t>
      </w:r>
      <w:r>
        <w:rPr>
          <w:rFonts w:hint="eastAsia"/>
        </w:rPr>
        <w:t>内林地</w:t>
      </w:r>
      <w:r>
        <w:t>面积不减少、功能不降低</w:t>
      </w:r>
      <w:r>
        <w:rPr>
          <w:rFonts w:hint="eastAsia"/>
        </w:rPr>
        <w:t>。</w:t>
      </w:r>
      <w:r>
        <w:t>严禁</w:t>
      </w:r>
      <w:r>
        <w:rPr>
          <w:rFonts w:hint="eastAsia"/>
        </w:rPr>
        <w:t>在</w:t>
      </w:r>
      <w:r>
        <w:t>生态公益林地</w:t>
      </w:r>
      <w:r>
        <w:rPr>
          <w:rFonts w:hint="eastAsia"/>
        </w:rPr>
        <w:t>和政府划定的</w:t>
      </w:r>
      <w:r>
        <w:t>高保护价值林地</w:t>
      </w:r>
      <w:r>
        <w:rPr>
          <w:rFonts w:hint="eastAsia"/>
        </w:rPr>
        <w:t>内</w:t>
      </w:r>
      <w:r>
        <w:t>开展</w:t>
      </w:r>
      <w:r>
        <w:rPr>
          <w:rFonts w:hint="eastAsia"/>
        </w:rPr>
        <w:t>可能威胁生态系统稳定、生态功能正常发挥和生物多样性保护的各类林地开发利用活动。</w:t>
      </w:r>
    </w:p>
    <w:p>
      <w:pPr>
        <w:pStyle w:val="37"/>
        <w:ind w:firstLine="602"/>
      </w:pPr>
      <w:r>
        <w:rPr>
          <w:rFonts w:hint="eastAsia"/>
          <w:b/>
        </w:rPr>
        <w:t>——实行分等利用。</w:t>
      </w:r>
      <w:r>
        <w:rPr>
          <w:rFonts w:hint="eastAsia"/>
        </w:rPr>
        <w:t>依据林地的自然属性和经营条件，将林地按质量优劣划分为</w:t>
      </w:r>
      <w:r>
        <w:t>Ⅰ、Ⅱ、Ⅲ、Ⅳ</w:t>
      </w:r>
      <w:r>
        <w:rPr>
          <w:rFonts w:hint="eastAsia"/>
        </w:rPr>
        <w:t>、Ⅴ五个质量等级。对质量“好”的Ⅰ、Ⅱ等级林地，节约集约利用，注重发挥林地的综合效益。对质量“中”的Ⅲ、Ⅳ等级林地，重点进行生态建设，在不降低林地地力条件下开展生产经营活动。对质量“差”的</w:t>
      </w:r>
      <w:r>
        <w:rPr>
          <w:rFonts w:hint="eastAsia"/>
          <w:bCs/>
        </w:rPr>
        <w:t>Ⅴ等</w:t>
      </w:r>
      <w:r>
        <w:rPr>
          <w:rFonts w:hint="eastAsia"/>
        </w:rPr>
        <w:t>级林地，主要进行生态修复，有效遏制林地退化。</w:t>
      </w:r>
    </w:p>
    <w:p>
      <w:pPr>
        <w:pStyle w:val="4"/>
      </w:pPr>
      <w:bookmarkStart w:id="63" w:name="_Toc149941347"/>
      <w:bookmarkStart w:id="64" w:name="_Toc154250367"/>
      <w:r>
        <w:t>四、科学补充林地</w:t>
      </w:r>
      <w:bookmarkEnd w:id="63"/>
      <w:bookmarkEnd w:id="64"/>
    </w:p>
    <w:p>
      <w:pPr>
        <w:pStyle w:val="30"/>
      </w:pPr>
      <w:r>
        <w:rPr>
          <w:rFonts w:hint="eastAsia"/>
        </w:rPr>
        <w:t>（一）</w:t>
      </w:r>
      <w:r>
        <w:t>多措并举增补林地</w:t>
      </w:r>
    </w:p>
    <w:p>
      <w:pPr>
        <w:pStyle w:val="37"/>
        <w:ind w:firstLine="602"/>
      </w:pPr>
      <w:r>
        <w:rPr>
          <w:rFonts w:hint="eastAsia" w:ascii="方正仿宋_GBK" w:hAnsi="Times New Roman" w:eastAsia="方正仿宋_GBK" w:cs="Times New Roman"/>
          <w:b/>
          <w:bCs/>
        </w:rPr>
        <w:t>——科学合理地将造林空间纳入补充林地。</w:t>
      </w:r>
      <w:bookmarkStart w:id="65" w:name="_Hlk152092962"/>
      <w:r>
        <w:rPr>
          <w:rFonts w:hint="eastAsia"/>
        </w:rPr>
        <w:t>完善造林空间适宜性评估制度，</w:t>
      </w:r>
      <w:r>
        <w:rPr>
          <w:rFonts w:hint="eastAsia"/>
          <w:lang w:val="en-US"/>
        </w:rPr>
        <w:t>定期开展造林空间适宜性评估，</w:t>
      </w:r>
      <w:r>
        <w:rPr>
          <w:rFonts w:hint="eastAsia"/>
        </w:rPr>
        <w:t>建立适宜造林空间的动态调整机制。</w:t>
      </w:r>
      <w:bookmarkEnd w:id="65"/>
      <w:r>
        <w:rPr>
          <w:rFonts w:hint="eastAsia"/>
        </w:rPr>
        <w:t>在经评估适宜造林的其它草地、裸土地、裸岩石砾地、</w:t>
      </w:r>
      <w:r>
        <w:t>废弃矿山</w:t>
      </w:r>
      <w:r>
        <w:rPr>
          <w:rFonts w:hint="eastAsia"/>
        </w:rPr>
        <w:t>、</w:t>
      </w:r>
      <w:r>
        <w:t>危村险村</w:t>
      </w:r>
      <w:r>
        <w:rPr>
          <w:rFonts w:hint="eastAsia"/>
        </w:rPr>
        <w:t>、</w:t>
      </w:r>
      <w:r>
        <w:t>拆迁腾退地</w:t>
      </w:r>
      <w:r>
        <w:rPr>
          <w:rFonts w:hint="eastAsia"/>
        </w:rPr>
        <w:t>、违建</w:t>
      </w:r>
      <w:r>
        <w:t>腾退地、废弃坡地</w:t>
      </w:r>
      <w:r>
        <w:rPr>
          <w:rFonts w:hint="eastAsia"/>
        </w:rPr>
        <w:t>和</w:t>
      </w:r>
      <w:r>
        <w:t>空闲地</w:t>
      </w:r>
      <w:r>
        <w:rPr>
          <w:rFonts w:hint="eastAsia"/>
        </w:rPr>
        <w:t>、</w:t>
      </w:r>
      <w:r>
        <w:t>政府收回的代征绿地</w:t>
      </w:r>
      <w:r>
        <w:rPr>
          <w:rFonts w:hint="eastAsia"/>
        </w:rPr>
        <w:t>，以及耕地保护空间外、规划非建设空间内的零散耕地等非林地中规划造林空间，按照生态区位、生态功能、生态布局、立地条件优先确定补充林地范围。规划优先将已确认的造林绿化空间纳入补充林地。</w:t>
      </w:r>
    </w:p>
    <w:p>
      <w:pPr>
        <w:pStyle w:val="37"/>
        <w:ind w:firstLine="602"/>
      </w:pPr>
      <w:r>
        <w:rPr>
          <w:rFonts w:hint="eastAsia" w:ascii="方正仿宋_GBK" w:hAnsi="Times New Roman" w:eastAsia="方正仿宋_GBK" w:cs="Times New Roman"/>
          <w:b/>
          <w:bCs/>
        </w:rPr>
        <w:t>——科学合理地将市域绿色空间内的适宜土地纳入补充林地。</w:t>
      </w:r>
      <w:r>
        <w:rPr>
          <w:rFonts w:hint="eastAsia"/>
        </w:rPr>
        <w:t>按应保尽保、应划尽划的原则，实事求是地将位于生态保护红线、林草保护区、生态混合区内，未纳入规划林地且符合林业生产条件的图斑，优先纳入补充林地。</w:t>
      </w:r>
    </w:p>
    <w:p>
      <w:pPr>
        <w:pStyle w:val="30"/>
      </w:pPr>
      <w:r>
        <w:rPr>
          <w:rFonts w:hint="eastAsia"/>
        </w:rPr>
        <w:t>（二）加强补充林地管理</w:t>
      </w:r>
    </w:p>
    <w:p>
      <w:pPr>
        <w:pStyle w:val="37"/>
        <w:ind w:firstLine="602"/>
        <w:rPr>
          <w:b w:val="0"/>
          <w:bCs w:val="0"/>
        </w:rPr>
      </w:pPr>
      <w:r>
        <w:rPr>
          <w:rFonts w:hint="eastAsia" w:ascii="方正仿宋_GBK" w:hAnsi="Times New Roman" w:eastAsia="方正仿宋_GBK" w:cs="Times New Roman"/>
          <w:b/>
          <w:bCs/>
        </w:rPr>
        <w:t>——建立健全补充林地机制。</w:t>
      </w:r>
      <w:r>
        <w:rPr>
          <w:rFonts w:hint="eastAsia"/>
        </w:rPr>
        <w:t>建立以区内补充为主、市内调剂为辅，积极探索全市适度统筹的补充林地机制。</w:t>
      </w:r>
      <w:r>
        <w:t>按林地保有量目标和</w:t>
      </w:r>
      <w:r>
        <w:rPr>
          <w:rFonts w:hint="eastAsia"/>
        </w:rPr>
        <w:t>区域</w:t>
      </w:r>
      <w:r>
        <w:t>生态建</w:t>
      </w:r>
      <w:r>
        <w:rPr>
          <w:b w:val="0"/>
          <w:bCs w:val="0"/>
        </w:rPr>
        <w:t>设需求，</w:t>
      </w:r>
      <w:r>
        <w:rPr>
          <w:rFonts w:hint="eastAsia"/>
          <w:b w:val="0"/>
          <w:bCs w:val="0"/>
        </w:rPr>
        <w:t>动态调整补充林地。加强补充林地监管，造林绿化空间的</w:t>
      </w:r>
      <w:r>
        <w:rPr>
          <w:rFonts w:hint="eastAsia" w:ascii="方正仿宋_GBK" w:hAnsi="Times New Roman" w:eastAsia="方正仿宋_GBK" w:cs="Times New Roman"/>
          <w:b w:val="0"/>
          <w:bCs w:val="0"/>
        </w:rPr>
        <w:t>补充林地未在规定期限完成造林或成林验收的，或影响林地保有量目标实现的，对占用林地定额进行调控，</w:t>
      </w:r>
      <w:r>
        <w:rPr>
          <w:rFonts w:hint="eastAsia"/>
          <w:b w:val="0"/>
          <w:bCs w:val="0"/>
        </w:rPr>
        <w:t>保障</w:t>
      </w:r>
      <w:r>
        <w:rPr>
          <w:b w:val="0"/>
          <w:bCs w:val="0"/>
        </w:rPr>
        <w:t>林地总量的动态平衡</w:t>
      </w:r>
      <w:r>
        <w:rPr>
          <w:rFonts w:hint="eastAsia"/>
          <w:b w:val="0"/>
          <w:bCs w:val="0"/>
        </w:rPr>
        <w:t>。</w:t>
      </w:r>
    </w:p>
    <w:p>
      <w:pPr>
        <w:pStyle w:val="37"/>
        <w:ind w:firstLine="602"/>
      </w:pPr>
      <w:r>
        <w:rPr>
          <w:rFonts w:hint="eastAsia" w:ascii="方正仿宋_GBK" w:hAnsi="Times New Roman" w:eastAsia="方正仿宋_GBK" w:cs="Times New Roman"/>
          <w:b/>
          <w:bCs/>
        </w:rPr>
        <w:t>——及时建立补充林地储备库。</w:t>
      </w:r>
      <w:r>
        <w:rPr>
          <w:rFonts w:hint="eastAsia"/>
        </w:rPr>
        <w:t>按照“先造林（含现状森林）入库，后确定林地属性”或“先确定林地属性，后完成造林”两种模式，建立补充林地储备库。先造林（含现状森林）入库的必须是非林地上形成的森林；先确定林地属性后造林的地块，必须在当年或次年完成造林或封育，达到成林年限必须完成验收。验收后“落地上图”，依法依规按程序纳入林地管理。年度国土变更调查实有林地面积与林地保护利用规划确定林地保有量的差值，能够落地上图，优先安排造林，达到造林生产条件的，纳入补充林地储备库管理。</w:t>
      </w:r>
    </w:p>
    <w:p>
      <w:pPr>
        <w:pStyle w:val="3"/>
      </w:pPr>
      <w:bookmarkStart w:id="66" w:name="_bookmark17"/>
      <w:bookmarkEnd w:id="66"/>
      <w:bookmarkStart w:id="67" w:name="_Toc154250368"/>
      <w:bookmarkStart w:id="68" w:name="_Toc149941348"/>
      <w:r>
        <w:rPr>
          <w:rFonts w:hint="eastAsia"/>
        </w:rPr>
        <w:t>第五章</w:t>
      </w:r>
      <w:r>
        <w:t xml:space="preserve">  </w:t>
      </w:r>
      <w:r>
        <w:rPr>
          <w:rFonts w:hint="eastAsia"/>
        </w:rPr>
        <w:t>高效利用林地</w:t>
      </w:r>
      <w:bookmarkEnd w:id="67"/>
      <w:bookmarkEnd w:id="68"/>
    </w:p>
    <w:p>
      <w:pPr>
        <w:pStyle w:val="4"/>
      </w:pPr>
      <w:bookmarkStart w:id="69" w:name="_bookmark18"/>
      <w:bookmarkEnd w:id="69"/>
      <w:bookmarkStart w:id="70" w:name="_Toc154250369"/>
      <w:bookmarkStart w:id="71" w:name="_Toc149941349"/>
      <w:r>
        <w:t>一、保障</w:t>
      </w:r>
      <w:r>
        <w:rPr>
          <w:rFonts w:hint="eastAsia"/>
        </w:rPr>
        <w:t>园林绿化重点建设用地</w:t>
      </w:r>
      <w:bookmarkEnd w:id="70"/>
      <w:bookmarkEnd w:id="71"/>
    </w:p>
    <w:p>
      <w:pPr>
        <w:pStyle w:val="37"/>
        <w:ind w:firstLine="602"/>
        <w:rPr>
          <w:rFonts w:ascii="仿宋" w:eastAsia="仿宋"/>
        </w:rPr>
      </w:pPr>
      <w:r>
        <w:rPr>
          <w:rFonts w:hint="eastAsia" w:ascii="方正仿宋_GBK" w:eastAsia="方正仿宋_GBK"/>
          <w:b/>
        </w:rPr>
        <w:t>——保障生态安全屏障用地。</w:t>
      </w:r>
      <w:r>
        <w:rPr>
          <w:rFonts w:hint="eastAsia" w:ascii="仿宋" w:eastAsia="仿宋"/>
        </w:rPr>
        <w:t>根据“一屏、三环、五河、九楔”市域绿色空间建设发展的需要，全力支持山区生态屏障的水源涵养、水土保持、生物多样性保护等生态系统服务功能提升的用地需求。优先满足三环五河九楔、绿园绿地绿廊绿带发挥净化空气、防尘减</w:t>
      </w:r>
      <w:r>
        <w:rPr>
          <w:rFonts w:hint="eastAsia"/>
        </w:rPr>
        <w:t>噪</w:t>
      </w:r>
      <w:r>
        <w:rPr>
          <w:rFonts w:hint="eastAsia" w:ascii="仿宋" w:eastAsia="仿宋"/>
        </w:rPr>
        <w:t>、生物多样性保护、减缓热岛效应等功能的生态网络建设用地需求。重点支持市域内城乡公园体系建设的用地需求，提升人民群众对生态环境的获得感、幸福感、安全感。切实增强生态系统稳定性，显著提升生态系统功能，持续改善宜居环境，保障首都生态安全。</w:t>
      </w:r>
    </w:p>
    <w:p>
      <w:pPr>
        <w:pStyle w:val="37"/>
        <w:ind w:firstLine="602"/>
        <w:rPr>
          <w:rFonts w:ascii="方正仿宋_GBK" w:eastAsia="方正仿宋_GBK"/>
          <w:b/>
        </w:rPr>
      </w:pPr>
      <w:r>
        <w:rPr>
          <w:rFonts w:hint="eastAsia" w:ascii="方正仿宋_GBK" w:hAnsi="Times New Roman" w:eastAsia="方正仿宋_GBK" w:cs="Times New Roman"/>
          <w:b/>
          <w:bCs/>
        </w:rPr>
        <w:t>——</w:t>
      </w:r>
      <w:r>
        <w:rPr>
          <w:rFonts w:hint="eastAsia" w:ascii="方正仿宋_GBK" w:eastAsia="方正仿宋_GBK"/>
          <w:b/>
        </w:rPr>
        <w:t>保障生态公众服务用地。</w:t>
      </w:r>
      <w:r>
        <w:rPr>
          <w:rFonts w:hint="eastAsia" w:ascii="仿宋" w:eastAsia="仿宋"/>
        </w:rPr>
        <w:t>科学利用资源优势和区域特点，在不破坏森林生态功能的前提下，充分发挥林地多种功能潜力，适度支持“公园</w:t>
      </w:r>
      <w:r>
        <w:rPr>
          <w:rFonts w:ascii="仿宋" w:eastAsia="仿宋"/>
        </w:rPr>
        <w:t>+</w:t>
      </w:r>
      <w:r>
        <w:rPr>
          <w:rFonts w:hint="eastAsia" w:ascii="仿宋" w:eastAsia="仿宋"/>
        </w:rPr>
        <w:t>”、游憩体验、森林旅游、自然教育、文化传承、科研</w:t>
      </w:r>
      <w:r>
        <w:rPr>
          <w:rFonts w:hint="eastAsia"/>
        </w:rPr>
        <w:t>监测</w:t>
      </w:r>
      <w:r>
        <w:rPr>
          <w:rFonts w:hint="eastAsia" w:ascii="仿宋" w:eastAsia="仿宋"/>
        </w:rPr>
        <w:t>等基础设施用地需求，推进林城、林水、林田、林草、林路、林旅、林体、林文</w:t>
      </w:r>
      <w:r>
        <w:rPr>
          <w:rFonts w:hint="eastAsia" w:hAnsi="仿宋_GB2312" w:cs="仿宋_GB2312"/>
        </w:rPr>
        <w:t>、林墓</w:t>
      </w:r>
      <w:r>
        <w:rPr>
          <w:rFonts w:hint="eastAsia" w:ascii="仿宋" w:eastAsia="仿宋"/>
        </w:rPr>
        <w:t>复合利用、融合发展，不断满足社会公众对生态产品的需求。</w:t>
      </w:r>
    </w:p>
    <w:p>
      <w:pPr>
        <w:pStyle w:val="37"/>
        <w:ind w:firstLine="602"/>
      </w:pPr>
      <w:r>
        <w:rPr>
          <w:rFonts w:hint="eastAsia" w:ascii="方正仿宋_GBK" w:eastAsia="方正仿宋_GBK"/>
          <w:b/>
        </w:rPr>
        <w:t>——保障林业产业发展用地。</w:t>
      </w:r>
      <w:r>
        <w:rPr>
          <w:rFonts w:hint="eastAsia" w:ascii="仿宋" w:eastAsia="仿宋"/>
        </w:rPr>
        <w:t>结合资源禀赋与目标市场需求，全力支持北京“名特优”果品果树基地、林果类农业文化遗产资源和“京字号”古老果树资源用地，支持“林下种植+自然体验”等新型产业用</w:t>
      </w:r>
      <w:r>
        <w:rPr>
          <w:rFonts w:hint="eastAsia"/>
        </w:rPr>
        <w:t>地</w:t>
      </w:r>
      <w:r>
        <w:rPr>
          <w:rFonts w:hint="eastAsia" w:ascii="仿宋" w:eastAsia="仿宋"/>
        </w:rPr>
        <w:t>，推动北京特色林果、花卉、蜂业等生态产业高质量发展。因地制宜、科学利用林地资源，切实保障高标准国家储备林建设、丰产优质用材林基地建设、高质量林下经济发展等用地，推动资源优势转化为发展优势。</w:t>
      </w:r>
    </w:p>
    <w:p>
      <w:pPr>
        <w:pStyle w:val="4"/>
      </w:pPr>
      <w:bookmarkStart w:id="72" w:name="_bookmark19"/>
      <w:bookmarkEnd w:id="72"/>
      <w:bookmarkStart w:id="73" w:name="_Toc154250370"/>
      <w:bookmarkStart w:id="74" w:name="_Toc149941350"/>
      <w:r>
        <w:t>二、保障</w:t>
      </w:r>
      <w:r>
        <w:rPr>
          <w:rFonts w:hint="eastAsia"/>
        </w:rPr>
        <w:t>重大重点项目用地</w:t>
      </w:r>
      <w:bookmarkEnd w:id="73"/>
      <w:bookmarkEnd w:id="74"/>
    </w:p>
    <w:p>
      <w:pPr>
        <w:pStyle w:val="37"/>
        <w:ind w:firstLine="602"/>
        <w:rPr>
          <w:rFonts w:ascii="仿宋" w:eastAsia="仿宋"/>
        </w:rPr>
      </w:pPr>
      <w:r>
        <w:rPr>
          <w:rFonts w:hint="eastAsia" w:ascii="方正仿宋_GBK" w:eastAsia="方正仿宋_GBK"/>
          <w:b/>
        </w:rPr>
        <w:t>——保障基础设施建设用地。</w:t>
      </w:r>
      <w:r>
        <w:rPr>
          <w:rFonts w:hint="eastAsia" w:ascii="仿宋" w:eastAsia="仿宋"/>
        </w:rPr>
        <w:t>提前积极参与重点重大工程用地规划，保障列入国家和市重点建设项目目录的公路、水运、城市道路、铁路、水务、电力、能源基地等基础设施、新型基础设施、公共事业和</w:t>
      </w:r>
      <w:r>
        <w:rPr>
          <w:rFonts w:hint="eastAsia"/>
        </w:rPr>
        <w:t>民生</w:t>
      </w:r>
      <w:r>
        <w:rPr>
          <w:rFonts w:hint="eastAsia" w:ascii="仿宋" w:eastAsia="仿宋"/>
        </w:rPr>
        <w:t>、高新技术产业、先进制造业、战略性新兴产业、军事国防、外交等建设项目使用林地。加大国家重大项目占用林地保障力度，探索完善使用林地定额保障机制。</w:t>
      </w:r>
    </w:p>
    <w:p>
      <w:pPr>
        <w:pStyle w:val="37"/>
        <w:ind w:firstLine="602"/>
        <w:rPr>
          <w:rFonts w:ascii="仿宋" w:eastAsia="仿宋"/>
        </w:rPr>
      </w:pPr>
      <w:r>
        <w:rPr>
          <w:rFonts w:hint="eastAsia" w:ascii="方正仿宋_GBK" w:eastAsia="方正仿宋_GBK"/>
          <w:b/>
        </w:rPr>
        <w:t>——适度保障城乡建设用地。</w:t>
      </w:r>
      <w:r>
        <w:rPr>
          <w:rFonts w:hint="eastAsia" w:ascii="仿宋" w:eastAsia="仿宋"/>
        </w:rPr>
        <w:t>结合城镇发展实际，支持城镇开发边界内建设项目使用</w:t>
      </w:r>
      <w:r>
        <w:rPr>
          <w:rFonts w:hint="eastAsia"/>
        </w:rPr>
        <w:t>林地</w:t>
      </w:r>
      <w:r>
        <w:rPr>
          <w:rFonts w:hint="eastAsia" w:ascii="仿宋" w:eastAsia="仿宋"/>
        </w:rPr>
        <w:t>，依法依规办理林地占用手续，逐步按需满足用地需求。限制城镇开发边界外城乡建设项目使用林地。</w:t>
      </w:r>
    </w:p>
    <w:p>
      <w:pPr>
        <w:pStyle w:val="37"/>
        <w:ind w:firstLine="602"/>
        <w:rPr>
          <w:rFonts w:ascii="仿宋" w:eastAsia="仿宋"/>
        </w:rPr>
      </w:pPr>
      <w:r>
        <w:rPr>
          <w:rFonts w:hint="eastAsia" w:ascii="方正仿宋_GBK" w:eastAsia="方正仿宋_GBK"/>
          <w:b/>
        </w:rPr>
        <w:t>——保障木本粮油用地。</w:t>
      </w:r>
      <w:r>
        <w:rPr>
          <w:rFonts w:hint="eastAsia" w:ascii="仿宋" w:eastAsia="仿宋"/>
        </w:rPr>
        <w:t>全面落实国家、北京市关于耕地保护的决策部署，切实协调好、保护好、利用好林地资源和耕地资源，将位于永久基本农田和耕地保护目标范围内，“三调”为林地的地块逐步退出，</w:t>
      </w:r>
      <w:r>
        <w:rPr>
          <w:rFonts w:hint="eastAsia"/>
        </w:rPr>
        <w:t>恢复</w:t>
      </w:r>
      <w:r>
        <w:rPr>
          <w:rFonts w:hint="eastAsia" w:ascii="仿宋" w:eastAsia="仿宋"/>
        </w:rPr>
        <w:t>耕地属性。依法依规支持建设核桃、板栗、仁用杏、柿树、榛子等木本粮油及林果生产的林地使用，积极推广良种选育和集约经营技术，提高木本粮油及林果产量和质量，丰富市场需求。</w:t>
      </w:r>
    </w:p>
    <w:p>
      <w:pPr>
        <w:pStyle w:val="4"/>
      </w:pPr>
      <w:bookmarkStart w:id="75" w:name="_bookmark20"/>
      <w:bookmarkEnd w:id="75"/>
      <w:bookmarkStart w:id="76" w:name="_Toc149941351"/>
      <w:bookmarkStart w:id="77" w:name="_Toc154250371"/>
      <w:r>
        <w:t>三、</w:t>
      </w:r>
      <w:r>
        <w:rPr>
          <w:rFonts w:hint="eastAsia"/>
        </w:rPr>
        <w:t>确保持续利用林地</w:t>
      </w:r>
      <w:bookmarkEnd w:id="76"/>
      <w:bookmarkEnd w:id="77"/>
    </w:p>
    <w:p>
      <w:pPr>
        <w:pStyle w:val="37"/>
        <w:ind w:firstLine="602"/>
        <w:rPr>
          <w:rFonts w:ascii="仿宋" w:eastAsia="仿宋"/>
        </w:rPr>
      </w:pPr>
      <w:r>
        <w:rPr>
          <w:rFonts w:hint="eastAsia" w:ascii="方正仿宋_GBK" w:eastAsia="方正仿宋_GBK"/>
          <w:b/>
        </w:rPr>
        <w:t>——充分利用林地资源。</w:t>
      </w:r>
      <w:r>
        <w:rPr>
          <w:rFonts w:hint="eastAsia" w:ascii="仿宋" w:eastAsia="仿宋"/>
        </w:rPr>
        <w:t>科学编制造林规划，强化规划时序管控，实现林地的全部利用。引导开展测土施肥，采取生物或工程措施，提高林地土壤肥力。按照不同立地条件，采用自然恢复和人工修复的手段，科学有序开展造林。对山区灌木林地，采用封山育林和人工</w:t>
      </w:r>
      <w:r>
        <w:rPr>
          <w:rFonts w:hint="eastAsia"/>
        </w:rPr>
        <w:t>促进</w:t>
      </w:r>
      <w:r>
        <w:rPr>
          <w:rFonts w:hint="eastAsia" w:ascii="仿宋" w:eastAsia="仿宋"/>
        </w:rPr>
        <w:t>天然更新等手段，逐步将灌木林改造为乔木林。对疏林地，采用补植补造、定株抚育等手段，培育乔木林。对临时用地、岩石裸露地、裸土地、拆迁腾退地等适宜森林生长的林地，以及纳入造林绿化空间的废弃矿山等，采取恢复林地土壤、人工造林等措施，培育乔木林。强化水土保持，减少对生态环境的破坏，维护生物多样性。促进生态系统向顶级群落演替，助推“双碳”目标实现。</w:t>
      </w:r>
    </w:p>
    <w:p>
      <w:pPr>
        <w:pStyle w:val="37"/>
        <w:ind w:firstLine="602"/>
        <w:rPr>
          <w:rFonts w:ascii="仿宋" w:eastAsia="仿宋"/>
        </w:rPr>
      </w:pPr>
      <w:r>
        <w:rPr>
          <w:rFonts w:hint="eastAsia" w:ascii="方正仿宋_GBK" w:eastAsia="方正仿宋_GBK"/>
          <w:b/>
        </w:rPr>
        <w:t>——积极修复毁损林地。</w:t>
      </w:r>
      <w:r>
        <w:rPr>
          <w:rFonts w:hint="eastAsia" w:ascii="仿宋" w:eastAsia="仿宋"/>
        </w:rPr>
        <w:t>坚持山水林田湖草沙综合治理理念，按照宜林则林、宜灌则灌、宜草则草的原则，采取工程措施与生物措施相结合的方式，</w:t>
      </w:r>
      <w:r>
        <w:rPr>
          <w:rFonts w:hint="eastAsia"/>
        </w:rPr>
        <w:t>逐步</w:t>
      </w:r>
      <w:r>
        <w:rPr>
          <w:rFonts w:hint="eastAsia" w:ascii="仿宋" w:eastAsia="仿宋"/>
        </w:rPr>
        <w:t>恢复毁损林地的森林植被生长条件，实现生态系统重建。及时回收临时用地、毁林开垦林地、建设项目非法占用林地，以人工修复为主，逐步恢复为高质量森林。</w:t>
      </w:r>
    </w:p>
    <w:p>
      <w:pPr>
        <w:pStyle w:val="37"/>
        <w:ind w:firstLine="602"/>
        <w:rPr>
          <w:rFonts w:ascii="方正仿宋_GBK" w:eastAsia="方正仿宋_GBK"/>
          <w:b/>
        </w:rPr>
      </w:pPr>
      <w:r>
        <w:rPr>
          <w:rFonts w:hint="eastAsia" w:ascii="方正仿宋_GBK" w:eastAsia="方正仿宋_GBK"/>
          <w:b/>
          <w:lang w:eastAsia="zh-TW"/>
        </w:rPr>
        <w:t>——加快修复退化林地。</w:t>
      </w:r>
      <w:r>
        <w:rPr>
          <w:rFonts w:hint="eastAsia" w:ascii="仿宋" w:eastAsia="仿宋"/>
        </w:rPr>
        <w:t>科学规划并实施退化林地修复，综合运用工程、生物等措施，继续实施北方防沙带治理和天然林保护等工程，修复稀疏老化</w:t>
      </w:r>
      <w:r>
        <w:rPr>
          <w:rFonts w:hint="eastAsia"/>
        </w:rPr>
        <w:t>、</w:t>
      </w:r>
      <w:r>
        <w:rPr>
          <w:rFonts w:hint="eastAsia" w:ascii="仿宋" w:eastAsia="仿宋"/>
        </w:rPr>
        <w:t>生长不良的退化林，改善林分结构和生境，遏制逆行演替，促进进展演替。</w:t>
      </w:r>
    </w:p>
    <w:p>
      <w:pPr>
        <w:pStyle w:val="37"/>
        <w:ind w:firstLine="602"/>
        <w:rPr>
          <w:rFonts w:ascii="仿宋" w:eastAsia="仿宋"/>
        </w:rPr>
      </w:pPr>
      <w:r>
        <w:rPr>
          <w:rFonts w:hint="eastAsia" w:ascii="方正仿宋_GBK" w:eastAsia="方正仿宋_GBK"/>
          <w:b/>
        </w:rPr>
        <w:t>——完善林地质量评价体系。</w:t>
      </w:r>
      <w:r>
        <w:rPr>
          <w:rFonts w:hint="eastAsia" w:ascii="仿宋" w:eastAsia="仿宋"/>
        </w:rPr>
        <w:t>完善立地质量评价标准，依据林地土壤、地形地貌等自然地理条件，以小班为单元开展立地评价，推行与立地质量对应的适地适树造林和森林可持续经营模式。探索林地分等</w:t>
      </w:r>
      <w:r>
        <w:rPr>
          <w:rFonts w:hint="eastAsia"/>
        </w:rPr>
        <w:t>定级</w:t>
      </w:r>
      <w:r>
        <w:rPr>
          <w:rFonts w:hint="eastAsia" w:ascii="仿宋" w:eastAsia="仿宋"/>
        </w:rPr>
        <w:t>价格评估，完善林地分等指标</w:t>
      </w:r>
      <w:bookmarkStart w:id="78" w:name="_bookmark22"/>
      <w:bookmarkEnd w:id="78"/>
      <w:r>
        <w:rPr>
          <w:rFonts w:hint="eastAsia" w:ascii="仿宋" w:eastAsia="仿宋"/>
        </w:rPr>
        <w:t>体系，根据气候、地形、地貌、土壤、生态条件等影响林地质量的因素，进行林地质量分等定级。</w:t>
      </w:r>
    </w:p>
    <w:p>
      <w:pPr>
        <w:pStyle w:val="4"/>
      </w:pPr>
      <w:bookmarkStart w:id="79" w:name="_bookmark21"/>
      <w:bookmarkEnd w:id="79"/>
      <w:bookmarkStart w:id="80" w:name="_Toc149941352"/>
      <w:bookmarkStart w:id="81" w:name="_Toc154250372"/>
      <w:r>
        <w:t>四、</w:t>
      </w:r>
      <w:r>
        <w:rPr>
          <w:rFonts w:hint="eastAsia"/>
        </w:rPr>
        <w:t>节约规范使用林地</w:t>
      </w:r>
      <w:bookmarkEnd w:id="80"/>
      <w:bookmarkEnd w:id="81"/>
    </w:p>
    <w:p>
      <w:pPr>
        <w:pStyle w:val="37"/>
        <w:ind w:firstLine="602"/>
        <w:rPr>
          <w:rFonts w:ascii="仿宋" w:eastAsia="仿宋"/>
        </w:rPr>
      </w:pPr>
      <w:r>
        <w:rPr>
          <w:rFonts w:hint="eastAsia" w:ascii="仿宋" w:eastAsia="仿宋"/>
          <w:b/>
          <w:bCs/>
        </w:rPr>
        <w:t>——规范林业基础设施</w:t>
      </w:r>
      <w:r>
        <w:rPr>
          <w:rFonts w:ascii="仿宋" w:eastAsia="仿宋"/>
          <w:b/>
          <w:bCs/>
        </w:rPr>
        <w:t>使用林地</w:t>
      </w:r>
      <w:r>
        <w:rPr>
          <w:rFonts w:hint="eastAsia" w:ascii="仿宋" w:eastAsia="仿宋"/>
          <w:b/>
          <w:bCs/>
        </w:rPr>
        <w:t>。</w:t>
      </w:r>
      <w:r>
        <w:rPr>
          <w:rFonts w:hint="eastAsia" w:ascii="仿宋" w:eastAsia="仿宋"/>
        </w:rPr>
        <w:t>支持修筑直接为林业生产经营服务的工程设施，包括防火巡护道、森林步道、输电线路、防火、通信、管护设施、科研宣教等基础设施。加强顶层设计，充分利用已有设施设备，合理规划林业直服设施用地布局，提高林地使用效率。</w:t>
      </w:r>
      <w:r>
        <w:rPr>
          <w:rFonts w:hint="eastAsia"/>
        </w:rPr>
        <w:t>结合实际</w:t>
      </w:r>
      <w:r>
        <w:rPr>
          <w:rFonts w:hint="eastAsia" w:ascii="仿宋" w:eastAsia="仿宋"/>
        </w:rPr>
        <w:t>需要，探索研究林业直服设施用地相关管理制度。</w:t>
      </w:r>
    </w:p>
    <w:p>
      <w:pPr>
        <w:pStyle w:val="37"/>
        <w:ind w:firstLine="602"/>
        <w:rPr>
          <w:rFonts w:ascii="仿宋" w:eastAsia="仿宋"/>
        </w:rPr>
      </w:pPr>
      <w:r>
        <w:rPr>
          <w:rFonts w:hint="eastAsia" w:ascii="仿宋" w:eastAsia="仿宋"/>
          <w:b/>
          <w:bCs/>
        </w:rPr>
        <w:t>——支持绿色惠民项目</w:t>
      </w:r>
      <w:r>
        <w:rPr>
          <w:rFonts w:ascii="仿宋" w:eastAsia="仿宋"/>
          <w:b/>
          <w:bCs/>
        </w:rPr>
        <w:t>使用林地</w:t>
      </w:r>
      <w:r>
        <w:rPr>
          <w:rFonts w:hint="eastAsia" w:ascii="仿宋" w:eastAsia="仿宋"/>
          <w:b/>
          <w:bCs/>
        </w:rPr>
        <w:t>。</w:t>
      </w:r>
      <w:r>
        <w:rPr>
          <w:rFonts w:hint="eastAsia" w:ascii="仿宋" w:eastAsia="仿宋"/>
        </w:rPr>
        <w:t>禁止使用</w:t>
      </w:r>
      <w:r>
        <w:rPr>
          <w:rFonts w:ascii="仿宋" w:eastAsia="仿宋"/>
        </w:rPr>
        <w:t>I</w:t>
      </w:r>
      <w:r>
        <w:rPr>
          <w:rFonts w:hint="eastAsia" w:ascii="仿宋" w:eastAsia="仿宋"/>
        </w:rPr>
        <w:t>级保护林地，</w:t>
      </w:r>
      <w:r>
        <w:rPr>
          <w:rFonts w:ascii="仿宋" w:eastAsia="仿宋"/>
        </w:rPr>
        <w:t>限制</w:t>
      </w:r>
      <w:r>
        <w:rPr>
          <w:rFonts w:hint="eastAsia" w:ascii="仿宋" w:eastAsia="仿宋"/>
        </w:rPr>
        <w:t>使用</w:t>
      </w:r>
      <w:r>
        <w:rPr>
          <w:rFonts w:ascii="仿宋" w:eastAsia="仿宋"/>
        </w:rPr>
        <w:t>II</w:t>
      </w:r>
      <w:r>
        <w:rPr>
          <w:rFonts w:hint="eastAsia" w:ascii="仿宋" w:eastAsia="仿宋"/>
        </w:rPr>
        <w:t>级保护林地，</w:t>
      </w:r>
      <w:r>
        <w:rPr>
          <w:rFonts w:ascii="仿宋" w:eastAsia="仿宋"/>
        </w:rPr>
        <w:t>引导</w:t>
      </w:r>
      <w:r>
        <w:rPr>
          <w:rFonts w:hint="eastAsia" w:ascii="仿宋" w:eastAsia="仿宋"/>
        </w:rPr>
        <w:t>使用</w:t>
      </w:r>
      <w:r>
        <w:rPr>
          <w:rFonts w:ascii="仿宋" w:eastAsia="仿宋"/>
        </w:rPr>
        <w:t>III、IV</w:t>
      </w:r>
      <w:r>
        <w:rPr>
          <w:rFonts w:hint="eastAsia" w:ascii="仿宋" w:eastAsia="仿宋"/>
        </w:rPr>
        <w:t>级保护林地。在不破坏林地和森林整体环境、不造成林地退化和流失、保持林地生物多样性的前提下，支持</w:t>
      </w:r>
      <w:r>
        <w:rPr>
          <w:rFonts w:hint="eastAsia"/>
        </w:rPr>
        <w:t>休闲</w:t>
      </w:r>
      <w:r>
        <w:rPr>
          <w:rFonts w:hint="eastAsia" w:ascii="仿宋" w:eastAsia="仿宋"/>
        </w:rPr>
        <w:t>游憩、林下种植、森林康养、自然教育、森林游憩等绿色产业，适度发展林下养殖，节约规范使用林地。促进生态</w:t>
      </w:r>
      <w:r>
        <w:rPr>
          <w:rFonts w:hint="eastAsia"/>
        </w:rPr>
        <w:t>产业发展</w:t>
      </w:r>
      <w:r>
        <w:rPr>
          <w:rFonts w:hint="eastAsia" w:ascii="仿宋" w:eastAsia="仿宋"/>
        </w:rPr>
        <w:t>，实现生态惠民、生态利民、生态为民。</w:t>
      </w:r>
    </w:p>
    <w:p>
      <w:pPr>
        <w:pStyle w:val="37"/>
        <w:ind w:firstLine="602"/>
        <w:rPr>
          <w:rFonts w:ascii="仿宋" w:eastAsia="仿宋"/>
        </w:rPr>
      </w:pPr>
      <w:r>
        <w:rPr>
          <w:rFonts w:hint="eastAsia" w:ascii="仿宋" w:eastAsia="仿宋"/>
          <w:b/>
          <w:bCs/>
        </w:rPr>
        <w:t>——精准管控建设项目</w:t>
      </w:r>
      <w:r>
        <w:rPr>
          <w:rFonts w:ascii="仿宋" w:eastAsia="仿宋"/>
          <w:b/>
          <w:bCs/>
        </w:rPr>
        <w:t>使用</w:t>
      </w:r>
      <w:r>
        <w:rPr>
          <w:rFonts w:hint="eastAsia" w:ascii="仿宋" w:eastAsia="仿宋"/>
          <w:b/>
          <w:bCs/>
        </w:rPr>
        <w:t>林地。</w:t>
      </w:r>
      <w:r>
        <w:rPr>
          <w:rFonts w:hint="eastAsia" w:ascii="仿宋" w:eastAsia="仿宋"/>
        </w:rPr>
        <w:t>禁止各类建设项目占用Ⅰ级保护林地，重大重点公益类建设项目确需占用的，须经论证评估，尽量缩小使用林地规模。</w:t>
      </w:r>
      <w:r>
        <w:rPr>
          <w:rFonts w:ascii="仿宋" w:eastAsia="仿宋"/>
        </w:rPr>
        <w:t>严格限制建设工程占用天然林</w:t>
      </w:r>
      <w:r>
        <w:rPr>
          <w:rFonts w:hint="eastAsia" w:ascii="仿宋" w:eastAsia="仿宋"/>
        </w:rPr>
        <w:t>或质量“好”</w:t>
      </w:r>
      <w:r>
        <w:rPr>
          <w:rFonts w:ascii="仿宋" w:eastAsia="仿宋"/>
        </w:rPr>
        <w:t>的林地</w:t>
      </w:r>
      <w:r>
        <w:rPr>
          <w:rFonts w:hint="eastAsia" w:ascii="仿宋" w:eastAsia="仿宋"/>
        </w:rPr>
        <w:t>，</w:t>
      </w:r>
      <w:r>
        <w:rPr>
          <w:rFonts w:hint="eastAsia"/>
        </w:rPr>
        <w:t>从严</w:t>
      </w:r>
      <w:r>
        <w:rPr>
          <w:rFonts w:hint="eastAsia" w:ascii="仿宋" w:eastAsia="仿宋"/>
        </w:rPr>
        <w:t>控制商业性经营设施建设用地。加强建设项目</w:t>
      </w:r>
      <w:r>
        <w:rPr>
          <w:rFonts w:ascii="仿宋" w:eastAsia="仿宋"/>
        </w:rPr>
        <w:t>使用</w:t>
      </w:r>
      <w:r>
        <w:rPr>
          <w:rFonts w:hint="eastAsia" w:ascii="仿宋" w:eastAsia="仿宋"/>
        </w:rPr>
        <w:t>林地的全过程管理，积极引导科学使用林地和少占林地，避免盲目扩大建设规模造成林地浪费，为林业生态建设营造更大的空间。</w:t>
      </w:r>
    </w:p>
    <w:p>
      <w:pPr>
        <w:pStyle w:val="3"/>
      </w:pPr>
      <w:bookmarkStart w:id="82" w:name="_Toc149941353"/>
      <w:bookmarkStart w:id="83" w:name="_Toc154250373"/>
      <w:r>
        <w:rPr>
          <w:rFonts w:hint="eastAsia"/>
        </w:rPr>
        <w:t>第六章</w:t>
      </w:r>
      <w:r>
        <w:t xml:space="preserve">  </w:t>
      </w:r>
      <w:r>
        <w:rPr>
          <w:rFonts w:hint="eastAsia"/>
        </w:rPr>
        <w:t>科学经营森林</w:t>
      </w:r>
      <w:bookmarkEnd w:id="82"/>
      <w:bookmarkEnd w:id="83"/>
    </w:p>
    <w:p>
      <w:pPr>
        <w:pStyle w:val="4"/>
      </w:pPr>
      <w:bookmarkStart w:id="84" w:name="_bookmark23"/>
      <w:bookmarkEnd w:id="84"/>
      <w:bookmarkStart w:id="85" w:name="_Toc154250374"/>
      <w:bookmarkStart w:id="86" w:name="_Toc149941354"/>
      <w:bookmarkStart w:id="87" w:name="_Hlk148983411"/>
      <w:r>
        <w:rPr>
          <w:rFonts w:hint="eastAsia"/>
        </w:rPr>
        <w:t>一、全面实施森林可持续经营</w:t>
      </w:r>
      <w:bookmarkEnd w:id="85"/>
      <w:bookmarkEnd w:id="86"/>
    </w:p>
    <w:p>
      <w:pPr>
        <w:pStyle w:val="30"/>
      </w:pPr>
      <w:r>
        <w:t>（一）</w:t>
      </w:r>
      <w:r>
        <w:rPr>
          <w:rFonts w:hint="eastAsia"/>
        </w:rPr>
        <w:t>完善森林经营制度</w:t>
      </w:r>
    </w:p>
    <w:p>
      <w:pPr>
        <w:pStyle w:val="37"/>
        <w:ind w:firstLine="602"/>
      </w:pPr>
      <w:r>
        <w:rPr>
          <w:rFonts w:hint="eastAsia"/>
          <w:b/>
          <w:bCs/>
        </w:rPr>
        <w:t>——完善森林经营规划。</w:t>
      </w:r>
      <w:r>
        <w:rPr>
          <w:rFonts w:hint="eastAsia"/>
        </w:rPr>
        <w:t>鼓励引导各区</w:t>
      </w:r>
      <w:r>
        <w:t>编制区级森林经营规划，</w:t>
      </w:r>
      <w:r>
        <w:rPr>
          <w:rFonts w:hint="eastAsia"/>
          <w:shd w:val="clear" w:color="auto" w:fill="FFFFFF"/>
        </w:rPr>
        <w:t>转变经营理念，把构建</w:t>
      </w:r>
      <w:r>
        <w:rPr>
          <w:rFonts w:hint="eastAsia"/>
        </w:rPr>
        <w:t>长寿高大、乡土树种为主的</w:t>
      </w:r>
      <w:r>
        <w:rPr>
          <w:rFonts w:hint="eastAsia"/>
          <w:shd w:val="clear" w:color="auto" w:fill="FFFFFF"/>
        </w:rPr>
        <w:t>稳定健康优质高效森林生态系统，培育</w:t>
      </w:r>
      <w:r>
        <w:rPr>
          <w:rFonts w:hint="eastAsia"/>
        </w:rPr>
        <w:t>多树种、多层次、多色彩、多结构、多类型的近自然森林景观作为森林经营方向。调整优化经营措施，完善关键技术，加快探索建立科学、规范、可持续的现代森林经营体系，</w:t>
      </w:r>
      <w:r>
        <w:rPr>
          <w:rFonts w:hint="eastAsia"/>
          <w:shd w:val="clear" w:color="auto" w:fill="FFFFFF"/>
        </w:rPr>
        <w:t>全面科学推动森林经营长期持续开展，避免急功近利的短期经营行为。</w:t>
      </w:r>
    </w:p>
    <w:p>
      <w:pPr>
        <w:pStyle w:val="37"/>
        <w:ind w:firstLine="602"/>
        <w:rPr>
          <w:shd w:val="clear" w:color="auto" w:fill="FFFFFF"/>
        </w:rPr>
      </w:pPr>
      <w:r>
        <w:rPr>
          <w:rFonts w:hint="eastAsia"/>
          <w:b/>
        </w:rPr>
        <w:t>——编制实施森林经营方案。</w:t>
      </w:r>
      <w:r>
        <w:rPr>
          <w:rFonts w:hint="eastAsia"/>
          <w:shd w:val="clear" w:color="auto" w:fill="FFFFFF"/>
        </w:rPr>
        <w:t>国有林场应当依法依规编制森林经营方案，科学、规范、可持续开展森林经营活动，鼓励新型集体林场编制实施森林经营方案，规范创新集体经营模式，支持、引导其他林业</w:t>
      </w:r>
      <w:r>
        <w:rPr>
          <w:rFonts w:hint="eastAsia"/>
        </w:rPr>
        <w:t>经营者</w:t>
      </w:r>
      <w:r>
        <w:rPr>
          <w:rFonts w:hint="eastAsia"/>
          <w:shd w:val="clear" w:color="auto" w:fill="FFFFFF"/>
        </w:rPr>
        <w:t>编制森林经营方案，推动全域森林可持续经营。建立以经营小班为单元的多目标、全周期森林可持续经营模式，将林地保护、造林、抚育、采伐利用全过程的森林经营措施落实到经营小班，全面提升森林质量和功能效益。</w:t>
      </w:r>
    </w:p>
    <w:p>
      <w:pPr>
        <w:pStyle w:val="30"/>
      </w:pPr>
      <w:r>
        <w:rPr>
          <w:rFonts w:hint="eastAsia"/>
        </w:rPr>
        <w:t>（二）理顺经营管理机制</w:t>
      </w:r>
    </w:p>
    <w:p>
      <w:pPr>
        <w:pStyle w:val="37"/>
        <w:ind w:firstLine="602"/>
      </w:pPr>
      <w:r>
        <w:rPr>
          <w:rFonts w:hint="eastAsia"/>
          <w:b/>
          <w:bCs/>
        </w:rPr>
        <w:t>——</w:t>
      </w:r>
      <w:r>
        <w:rPr>
          <w:b/>
          <w:bCs/>
        </w:rPr>
        <w:t>厘清</w:t>
      </w:r>
      <w:r>
        <w:rPr>
          <w:rFonts w:hint="eastAsia"/>
          <w:b/>
          <w:bCs/>
        </w:rPr>
        <w:t>林地外森林</w:t>
      </w:r>
      <w:r>
        <w:rPr>
          <w:b/>
          <w:bCs/>
        </w:rPr>
        <w:t>资源</w:t>
      </w:r>
      <w:r>
        <w:rPr>
          <w:rFonts w:hint="eastAsia"/>
          <w:b/>
          <w:bCs/>
        </w:rPr>
        <w:t>状况。</w:t>
      </w:r>
      <w:r>
        <w:t>将</w:t>
      </w:r>
      <w:r>
        <w:rPr>
          <w:rFonts w:hint="eastAsia"/>
        </w:rPr>
        <w:t>林地外的</w:t>
      </w:r>
      <w:r>
        <w:t>公园绿地</w:t>
      </w:r>
      <w:r>
        <w:rPr>
          <w:rFonts w:hint="eastAsia"/>
        </w:rPr>
        <w:t>树木</w:t>
      </w:r>
      <w:r>
        <w:t>、农田林网</w:t>
      </w:r>
      <w:r>
        <w:rPr>
          <w:rFonts w:hint="eastAsia"/>
        </w:rPr>
        <w:t>、经济林，沟路渠河</w:t>
      </w:r>
      <w:r>
        <w:t>两</w:t>
      </w:r>
      <w:r>
        <w:rPr>
          <w:rFonts w:hint="eastAsia"/>
        </w:rPr>
        <w:t>侧</w:t>
      </w:r>
      <w:r>
        <w:t>等重要</w:t>
      </w:r>
      <w:r>
        <w:rPr>
          <w:rFonts w:hint="eastAsia"/>
        </w:rPr>
        <w:t>森林</w:t>
      </w:r>
      <w:r>
        <w:t>资源，纳入</w:t>
      </w:r>
      <w:r>
        <w:rPr>
          <w:rFonts w:hint="eastAsia"/>
        </w:rPr>
        <w:t>园林绿资源调查监测</w:t>
      </w:r>
      <w:r>
        <w:t>，</w:t>
      </w:r>
      <w:r>
        <w:rPr>
          <w:rFonts w:hint="eastAsia"/>
        </w:rPr>
        <w:t>摸清底数，</w:t>
      </w:r>
      <w:r>
        <w:t>及时掌握林地外</w:t>
      </w:r>
      <w:r>
        <w:rPr>
          <w:rFonts w:hint="eastAsia"/>
        </w:rPr>
        <w:t>森林</w:t>
      </w:r>
      <w:r>
        <w:t>资源的数量、质量、分布及动态变化情况。</w:t>
      </w:r>
    </w:p>
    <w:p>
      <w:pPr>
        <w:pStyle w:val="37"/>
        <w:ind w:firstLine="602"/>
      </w:pPr>
      <w:r>
        <w:rPr>
          <w:rFonts w:hint="eastAsia"/>
          <w:b/>
          <w:bCs/>
        </w:rPr>
        <w:t>——规范林地外森林资源管理。</w:t>
      </w:r>
      <w:r>
        <w:rPr>
          <w:rFonts w:hint="eastAsia"/>
        </w:rPr>
        <w:t>依法自主经营管理，对集体经营或个人承包经营的，推行集约经营和农林复合经营，合理开展生产经营活动。非林地上的农田防护林、防风固沙林、护路林、护岸护堤林和城镇林木等的更新采伐，由有关主管部门按照有关规定管理，并监督更新，实施结果书面告知所在区园林绿化主管部门</w:t>
      </w:r>
      <w:r>
        <w:t>。</w:t>
      </w:r>
      <w:r>
        <w:rPr>
          <w:rFonts w:hint="eastAsia"/>
        </w:rPr>
        <w:t>工程占用现状森林的，须报区园林绿化主管部门调整备案。</w:t>
      </w:r>
    </w:p>
    <w:bookmarkEnd w:id="87"/>
    <w:p>
      <w:pPr>
        <w:pStyle w:val="4"/>
      </w:pPr>
      <w:bookmarkStart w:id="88" w:name="_bookmark24"/>
      <w:bookmarkEnd w:id="88"/>
      <w:bookmarkStart w:id="89" w:name="_Toc154250375"/>
      <w:bookmarkStart w:id="90" w:name="_Toc149941355"/>
      <w:r>
        <w:rPr>
          <w:rFonts w:hint="eastAsia"/>
        </w:rPr>
        <w:t>二、持续提升林地内森林资源经营</w:t>
      </w:r>
      <w:bookmarkEnd w:id="89"/>
      <w:bookmarkEnd w:id="90"/>
    </w:p>
    <w:p>
      <w:pPr>
        <w:pStyle w:val="30"/>
      </w:pPr>
      <w:r>
        <w:rPr>
          <w:rFonts w:hint="eastAsia"/>
        </w:rPr>
        <w:t>（一）中心城区</w:t>
      </w:r>
    </w:p>
    <w:p>
      <w:pPr>
        <w:pStyle w:val="37"/>
        <w:ind w:firstLine="602"/>
      </w:pPr>
      <w:r>
        <w:rPr>
          <w:rFonts w:hint="eastAsia"/>
          <w:b/>
          <w:bCs/>
        </w:rPr>
        <w:t>——提高城市森林质量。</w:t>
      </w:r>
      <w:r>
        <w:rPr>
          <w:rFonts w:hint="eastAsia"/>
        </w:rPr>
        <w:t>实行网格化、精细化、精准化养护管理，</w:t>
      </w:r>
      <w:r>
        <w:rPr>
          <w:rFonts w:hint="eastAsia" w:ascii="Arial" w:hAnsi="Arial" w:cs="Arial"/>
          <w:shd w:val="clear" w:color="auto" w:fill="FFFFFF"/>
        </w:rPr>
        <w:t>因地制宜推动新造林与原有零散绿地连通连片，</w:t>
      </w:r>
      <w:r>
        <w:rPr>
          <w:rFonts w:hint="eastAsia"/>
        </w:rPr>
        <w:t>有序开展大型片林的改造提升，合理配置</w:t>
      </w:r>
      <w:r>
        <w:rPr>
          <w:rFonts w:hint="eastAsia" w:ascii="Arial" w:hAnsi="Arial" w:cs="Arial"/>
          <w:shd w:val="clear" w:color="auto" w:fill="FFFFFF"/>
        </w:rPr>
        <w:t>常绿、落叶乔木、灌木地被植物，增加优新彩叶树、浆果坚果树种的比例。</w:t>
      </w:r>
      <w:r>
        <w:rPr>
          <w:rFonts w:hint="eastAsia" w:ascii="ˎ̥" w:hAnsi="ˎ̥" w:cs="宋体"/>
        </w:rPr>
        <w:t>注重场地内原有大树的保护与合理利用，增加高大乡土乔木的密度、提升植物</w:t>
      </w:r>
      <w:r>
        <w:rPr>
          <w:rFonts w:hint="eastAsia"/>
        </w:rPr>
        <w:t>物种丰富度，</w:t>
      </w:r>
      <w:r>
        <w:rPr>
          <w:rFonts w:hint="eastAsia" w:ascii="ˎ̥" w:hAnsi="ˎ̥" w:cs="宋体"/>
        </w:rPr>
        <w:t>避免有害物种的侵入，</w:t>
      </w:r>
      <w:r>
        <w:rPr>
          <w:rFonts w:hint="eastAsia"/>
        </w:rPr>
        <w:t>优化群落的结构层次。科学有序解决杨柳飞絮问题，</w:t>
      </w:r>
      <w:r>
        <w:t>推广本杰士堆、人工鸟巢、小微地形和野草园艺化，</w:t>
      </w:r>
      <w:r>
        <w:rPr>
          <w:rFonts w:hint="eastAsia"/>
        </w:rPr>
        <w:t>形成布局合理、特色鲜明、健康多样的城市森林。</w:t>
      </w:r>
    </w:p>
    <w:p>
      <w:pPr>
        <w:pStyle w:val="37"/>
        <w:ind w:firstLine="602"/>
      </w:pPr>
      <w:r>
        <w:rPr>
          <w:rFonts w:hint="eastAsia"/>
          <w:b/>
          <w:bCs/>
        </w:rPr>
        <w:t>——美化人居工作环境。</w:t>
      </w:r>
      <w:r>
        <w:rPr>
          <w:rFonts w:hint="eastAsia"/>
        </w:rPr>
        <w:t>提升大型片林空间利用效率，依法依规，因地制宜设置森林步道、林下休息场所，科普体验、户外拓展等配套服务设施，丰富市民享受绿色空间的途径，促进公园绿地、郊野林地间绿色相融、绿道相通的大尺度生态空间体系建设。持续</w:t>
      </w:r>
      <w:r>
        <w:t>推进“无界公园</w:t>
      </w:r>
      <w:r>
        <w:rPr>
          <w:rFonts w:hint="eastAsia"/>
        </w:rPr>
        <w:t>”</w:t>
      </w:r>
      <w:r>
        <w:t>建设</w:t>
      </w:r>
      <w:r>
        <w:rPr>
          <w:rFonts w:hint="eastAsia"/>
        </w:rPr>
        <w:t>，促进公园融于生活，设置游园警示牌、</w:t>
      </w:r>
      <w:r>
        <w:t>巡逻岗</w:t>
      </w:r>
      <w:r>
        <w:rPr>
          <w:rFonts w:hint="eastAsia"/>
        </w:rPr>
        <w:t>、监控摄像头等安全设施，推广</w:t>
      </w:r>
      <w:r>
        <w:t>远程</w:t>
      </w:r>
      <w:r>
        <w:rPr>
          <w:rFonts w:hint="eastAsia"/>
        </w:rPr>
        <w:t>智慧化监控技术，实现公共服务共建、共享、共管，满足“市民休闲”和“城市透绿”的双重需要。</w:t>
      </w:r>
    </w:p>
    <w:p>
      <w:pPr>
        <w:pStyle w:val="30"/>
      </w:pPr>
      <w:r>
        <w:rPr>
          <w:rFonts w:hint="eastAsia"/>
        </w:rPr>
        <w:t>（二）平原新城区</w:t>
      </w:r>
    </w:p>
    <w:p>
      <w:pPr>
        <w:pStyle w:val="37"/>
        <w:ind w:firstLine="602"/>
      </w:pPr>
      <w:r>
        <w:rPr>
          <w:rFonts w:hint="eastAsia"/>
          <w:b/>
        </w:rPr>
        <w:t>——合理调整森林结构。</w:t>
      </w:r>
      <w:r>
        <w:rPr>
          <w:rFonts w:hint="eastAsia"/>
        </w:rPr>
        <w:t>突出地域特色和森林主导功能，扎实开展平原生态林的抚育养护、结构调整、改造提升、灾害防控等提质提效工作，建成乔灌草立体配置，点线面有机结合，色彩浓重、气势浑厚的平原生态网络。着力推动平原商品林集约化经营，增加林木储量，提升林果产能和品质，适度有序发展林下经济，依法自主管理，高效利用森林资源，</w:t>
      </w:r>
      <w:r>
        <w:rPr>
          <w:rFonts w:hint="eastAsia"/>
          <w:shd w:val="clear" w:color="auto" w:fill="FFFFFF"/>
        </w:rPr>
        <w:t>培育特色优势产业，</w:t>
      </w:r>
      <w:r>
        <w:rPr>
          <w:rFonts w:hint="eastAsia"/>
        </w:rPr>
        <w:t>提高商品林经济效益。</w:t>
      </w:r>
    </w:p>
    <w:p>
      <w:pPr>
        <w:pStyle w:val="37"/>
        <w:ind w:firstLine="602"/>
        <w:rPr>
          <w:rFonts w:cs="Arial"/>
          <w:shd w:val="clear" w:color="auto" w:fill="FFFFFF"/>
        </w:rPr>
      </w:pPr>
      <w:r>
        <w:rPr>
          <w:rFonts w:hint="eastAsia"/>
          <w:b/>
        </w:rPr>
        <w:t>——全面提升森林景观。</w:t>
      </w:r>
      <w:r>
        <w:rPr>
          <w:rFonts w:hint="eastAsia"/>
          <w:shd w:val="clear" w:color="auto" w:fill="FFFFFF"/>
        </w:rPr>
        <w:t>着力推进交通干线、河流两侧、郊野公园及村庄周边绿化彩化，严格保育森林，加大人工纯林改培力度，</w:t>
      </w:r>
      <w:r>
        <w:t>提高乡土、</w:t>
      </w:r>
      <w:r>
        <w:rPr>
          <w:rFonts w:hint="eastAsia"/>
          <w:shd w:val="clear" w:color="auto" w:fill="FFFFFF"/>
        </w:rPr>
        <w:t>观花观叶观果、</w:t>
      </w:r>
      <w:r>
        <w:t>食源蜜源树种</w:t>
      </w:r>
      <w:r>
        <w:rPr>
          <w:rFonts w:hint="eastAsia"/>
          <w:shd w:val="clear" w:color="auto" w:fill="FFFFFF"/>
        </w:rPr>
        <w:t>比例，培育春有花、夏有荫、秋有果、冬有绿，季相丰富多彩的城市</w:t>
      </w:r>
      <w:r>
        <w:rPr>
          <w:rFonts w:hint="eastAsia" w:cs="Arial"/>
          <w:shd w:val="clear" w:color="auto" w:fill="FFFFFF"/>
        </w:rPr>
        <w:t>森林景观。不断优化完善林下步</w:t>
      </w:r>
      <w:r>
        <w:rPr>
          <w:rFonts w:hint="eastAsia"/>
        </w:rPr>
        <w:t>道</w:t>
      </w:r>
      <w:r>
        <w:rPr>
          <w:rFonts w:hint="eastAsia" w:cs="Arial"/>
          <w:shd w:val="clear" w:color="auto" w:fill="FFFFFF"/>
        </w:rPr>
        <w:t>、照明路灯、标识标牌等公共服务基础设施，提升森林休闲游憩、改善环境、愉悦身心等服务功能，提高森林的美景度和可亲近度。</w:t>
      </w:r>
    </w:p>
    <w:p>
      <w:pPr>
        <w:pStyle w:val="30"/>
      </w:pPr>
      <w:bookmarkStart w:id="91" w:name="_bookmark25"/>
      <w:bookmarkEnd w:id="91"/>
      <w:bookmarkStart w:id="92" w:name="_Toc149941356"/>
      <w:bookmarkStart w:id="93" w:name="_Hlk148983431"/>
      <w:r>
        <w:rPr>
          <w:rFonts w:hint="eastAsia"/>
        </w:rPr>
        <w:t>（三）山区</w:t>
      </w:r>
      <w:r>
        <w:t>生态涵养区</w:t>
      </w:r>
    </w:p>
    <w:p>
      <w:pPr>
        <w:pStyle w:val="37"/>
        <w:ind w:firstLine="602"/>
      </w:pPr>
      <w:r>
        <w:rPr>
          <w:rFonts w:hint="eastAsia"/>
          <w:b/>
        </w:rPr>
        <w:t>——加速天然林正向演替进程。</w:t>
      </w:r>
      <w:bookmarkStart w:id="94" w:name="_Hlk152092980"/>
      <w:r>
        <w:t>建立</w:t>
      </w:r>
      <w:r>
        <w:rPr>
          <w:rFonts w:hint="eastAsia"/>
        </w:rPr>
        <w:t>健全</w:t>
      </w:r>
      <w:r>
        <w:t>天然林休养生息制度，</w:t>
      </w:r>
      <w:bookmarkEnd w:id="94"/>
      <w:r>
        <w:t>严格</w:t>
      </w:r>
      <w:r>
        <w:rPr>
          <w:rFonts w:hint="eastAsia"/>
        </w:rPr>
        <w:t>限制</w:t>
      </w:r>
      <w:r>
        <w:t>天然林采伐</w:t>
      </w:r>
      <w:r>
        <w:rPr>
          <w:rFonts w:hint="eastAsia"/>
        </w:rPr>
        <w:t>，严禁</w:t>
      </w:r>
      <w:r>
        <w:t>采挖</w:t>
      </w:r>
      <w:r>
        <w:rPr>
          <w:rFonts w:hint="eastAsia"/>
        </w:rPr>
        <w:t>移植天然林木以及</w:t>
      </w:r>
      <w:r>
        <w:t>原生天然濒危珍稀</w:t>
      </w:r>
      <w:r>
        <w:rPr>
          <w:rFonts w:hint="eastAsia"/>
        </w:rPr>
        <w:t>植物、</w:t>
      </w:r>
      <w:r>
        <w:t>古树名木等行为。持续加强天然林的</w:t>
      </w:r>
      <w:r>
        <w:rPr>
          <w:rFonts w:hint="eastAsia"/>
        </w:rPr>
        <w:t>保护恢复和科学培育</w:t>
      </w:r>
      <w:r>
        <w:t>，</w:t>
      </w:r>
      <w:r>
        <w:rPr>
          <w:rFonts w:hint="eastAsia"/>
        </w:rPr>
        <w:t>以自然恢复为主、人工促进为辅，保育并举，</w:t>
      </w:r>
      <w:r>
        <w:rPr>
          <w:rFonts w:hint="eastAsia" w:hAnsi="仿宋_GB2312" w:cs="仿宋_GB2312"/>
        </w:rPr>
        <w:t>重点保护栎类、桦树、山杨、油松、侧柏等集中分布的天然次生林，</w:t>
      </w:r>
      <w:r>
        <w:rPr>
          <w:rFonts w:hint="eastAsia"/>
        </w:rPr>
        <w:t>注重培育乡土树种，改善目标树生长条件，优化天然林分结构，促进形成地带性顶级群落，提高森林生态系统的稳定性、多样性。</w:t>
      </w:r>
    </w:p>
    <w:p>
      <w:pPr>
        <w:pStyle w:val="37"/>
        <w:ind w:firstLine="602"/>
        <w:rPr>
          <w:rFonts w:eastAsia="PMingLiU"/>
        </w:rPr>
      </w:pPr>
      <w:r>
        <w:rPr>
          <w:rFonts w:hint="eastAsia"/>
          <w:b/>
          <w:bCs/>
        </w:rPr>
        <w:t>——加强人工林抚育经营。</w:t>
      </w:r>
      <w:r>
        <w:rPr>
          <w:rFonts w:hint="eastAsia"/>
        </w:rPr>
        <w:t>树立从造林建群、幼林管护、抚育调整、采伐利用到再次更新的全周期森林可持续经营理念。营造实生乡土长寿树种，实施封山育林、修枝、施肥、除蘖、补植，促进林木郁闭成林，坚持留优去劣、留强去弱，调整林分密度和树种结构，严禁大面积皆伐，逐步培育异龄、复层、混交、近自然森林。适当建设</w:t>
      </w:r>
      <w:r>
        <w:t>防火巡护道路、</w:t>
      </w:r>
      <w:r>
        <w:rPr>
          <w:rFonts w:hint="eastAsia"/>
        </w:rPr>
        <w:t>森林步道以及森林旅游、森林康养等相关设施，充分发挥森林多功能效益。</w:t>
      </w:r>
    </w:p>
    <w:p>
      <w:pPr>
        <w:pStyle w:val="4"/>
      </w:pPr>
      <w:bookmarkStart w:id="95" w:name="_Toc154250376"/>
      <w:r>
        <w:rPr>
          <w:rFonts w:hint="eastAsia"/>
        </w:rPr>
        <w:t>三、引导规范林地外林木资源经营</w:t>
      </w:r>
      <w:bookmarkEnd w:id="92"/>
      <w:bookmarkEnd w:id="95"/>
    </w:p>
    <w:p>
      <w:pPr>
        <w:pStyle w:val="30"/>
      </w:pPr>
      <w:r>
        <w:rPr>
          <w:rFonts w:hint="eastAsia"/>
        </w:rPr>
        <w:t>（一）防护林和特用林</w:t>
      </w:r>
    </w:p>
    <w:p>
      <w:pPr>
        <w:pStyle w:val="37"/>
        <w:ind w:firstLine="602"/>
      </w:pPr>
      <w:r>
        <w:rPr>
          <w:rFonts w:hint="eastAsia"/>
          <w:b/>
          <w:bCs/>
        </w:rPr>
        <w:t>——统筹开展防护林建设。</w:t>
      </w:r>
      <w:r>
        <w:rPr>
          <w:rFonts w:hint="eastAsia"/>
        </w:rPr>
        <w:t>按照山水林田湖草沙综合治理理念，</w:t>
      </w:r>
      <w:r>
        <w:rPr>
          <w:rFonts w:hint="eastAsia"/>
          <w:shd w:val="clear" w:color="auto" w:fill="FFFFFF"/>
        </w:rPr>
        <w:t>合理布局防护林带的走向、间距和宽度，优先选用</w:t>
      </w:r>
      <w:r>
        <w:rPr>
          <w:rFonts w:hint="eastAsia"/>
        </w:rPr>
        <w:t>树体高大美观、适应性和抗逆性强</w:t>
      </w:r>
      <w:r>
        <w:rPr>
          <w:rFonts w:hint="eastAsia"/>
          <w:shd w:val="clear" w:color="auto" w:fill="FFFFFF"/>
        </w:rPr>
        <w:t>的乡土长寿树种，</w:t>
      </w:r>
      <w:r>
        <w:rPr>
          <w:rFonts w:hint="eastAsia"/>
        </w:rPr>
        <w:t>加快农田防护林、防风固沙林、护路林、护岸护堤林等防护林的更新改造、缺失修复、景观提升，织补绿色空间，打通生态廊道，</w:t>
      </w:r>
      <w:r>
        <w:t>营造林、田、水</w:t>
      </w:r>
      <w:r>
        <w:rPr>
          <w:rFonts w:hint="eastAsia"/>
        </w:rPr>
        <w:t>、路</w:t>
      </w:r>
      <w:r>
        <w:t>相结合，开合有序的绿色空间，</w:t>
      </w:r>
      <w:r>
        <w:rPr>
          <w:rFonts w:hint="eastAsia"/>
        </w:rPr>
        <w:t>实现道路林荫化、河渠风景化、农田林网化。</w:t>
      </w:r>
    </w:p>
    <w:p>
      <w:pPr>
        <w:pStyle w:val="37"/>
        <w:ind w:firstLine="602"/>
        <w:rPr>
          <w:shd w:val="clear" w:color="auto" w:fill="FFFFFF"/>
          <w:lang w:bidi="ar"/>
        </w:rPr>
      </w:pPr>
      <w:r>
        <w:rPr>
          <w:rFonts w:hint="eastAsia"/>
          <w:b/>
          <w:bCs/>
        </w:rPr>
        <w:t>——充分发挥特用林多功能效益。</w:t>
      </w:r>
      <w:r>
        <w:rPr>
          <w:rFonts w:hint="eastAsia"/>
          <w:shd w:val="clear" w:color="auto" w:fill="FFFFFF"/>
          <w:lang w:bidi="ar"/>
        </w:rPr>
        <w:t>实施保护为主、分类经营，积极开展国防林的森林抚育和更新改造，营造安全、舒适的环境。及时掌握名胜古迹和革命纪念林的生长状况，防虫、防火、防雷击，开展树木</w:t>
      </w:r>
      <w:r>
        <w:rPr>
          <w:rFonts w:hint="eastAsia"/>
        </w:rPr>
        <w:t>养护</w:t>
      </w:r>
      <w:r>
        <w:rPr>
          <w:rFonts w:hint="eastAsia"/>
          <w:shd w:val="clear" w:color="auto" w:fill="FFFFFF"/>
          <w:lang w:bidi="ar"/>
        </w:rPr>
        <w:t>复壮，有效保护珍贵稀有物种资源和历史文化。严格执行《北京市绿化条例》有关规定，划定城镇林木养护等级，明确管理责任，规范开展景观维护提升，保障生产生活运行安全。加强实验林、环保林等其他特用林的养护管理，促进城乡生态环境协同发展。</w:t>
      </w:r>
    </w:p>
    <w:p>
      <w:pPr>
        <w:pStyle w:val="30"/>
      </w:pPr>
      <w:r>
        <w:rPr>
          <w:rFonts w:hint="eastAsia"/>
        </w:rPr>
        <w:t>（二）经济林和用材林</w:t>
      </w:r>
    </w:p>
    <w:p>
      <w:pPr>
        <w:pStyle w:val="37"/>
        <w:ind w:firstLine="602"/>
        <w:rPr>
          <w:shd w:val="clear" w:color="auto" w:fill="FFFFFF"/>
        </w:rPr>
      </w:pPr>
      <w:r>
        <w:rPr>
          <w:rFonts w:hint="eastAsia"/>
          <w:b/>
          <w:bCs/>
        </w:rPr>
        <w:t>——创新规范特色经济林产业。</w:t>
      </w:r>
      <w:r>
        <w:rPr>
          <w:rFonts w:hint="eastAsia"/>
          <w:shd w:val="clear" w:color="auto" w:fill="FFFFFF"/>
        </w:rPr>
        <w:t>充分尊重农民、企业等经营主体意愿，引导科学选择搭配特色树种、品种及栽培模式，支持集约经营。加大对“京字号”产品种质资源的推广应用，鼓励经营主体创建果品、苗木、花卉等新品牌，支持开展规模化、标准化建设。倡导建立稳定</w:t>
      </w:r>
      <w:r>
        <w:rPr>
          <w:rFonts w:hint="eastAsia"/>
        </w:rPr>
        <w:t>的</w:t>
      </w:r>
      <w:r>
        <w:rPr>
          <w:rFonts w:hint="eastAsia"/>
          <w:shd w:val="clear" w:color="auto" w:fill="FFFFFF"/>
        </w:rPr>
        <w:t>多方利益联结机制，支持林果、园圃的繁殖培育、加工销售等传统产业与采摘观光、生态休闲等新型产业的深度融合，推动优质高效的特色经济林产业建设。</w:t>
      </w:r>
    </w:p>
    <w:p>
      <w:pPr>
        <w:pStyle w:val="37"/>
        <w:ind w:firstLine="602"/>
      </w:pPr>
      <w:r>
        <w:rPr>
          <w:rFonts w:hint="eastAsia"/>
          <w:b/>
        </w:rPr>
        <w:t>——引导栽植丰产优质用材林。</w:t>
      </w:r>
      <w:r>
        <w:rPr>
          <w:rFonts w:hint="eastAsia"/>
          <w:shd w:val="clear" w:color="auto" w:fill="FFFFFF"/>
        </w:rPr>
        <w:t>充分尊重经营者意愿，鼓励营造速生丰产林，培育珍贵树种。加大用材林定向集约经营力度，实施中幼林抚育和低质林改造，加快形成大径级用材林，推广大径材套种乡土珍稀树种、林</w:t>
      </w:r>
      <w:r>
        <w:rPr>
          <w:rFonts w:hint="eastAsia"/>
        </w:rPr>
        <w:t>下</w:t>
      </w:r>
      <w:r>
        <w:rPr>
          <w:rFonts w:hint="eastAsia"/>
          <w:shd w:val="clear" w:color="auto" w:fill="FFFFFF"/>
        </w:rPr>
        <w:t>养殖等“立体复合经营”模式。合理利用用材林的生态</w:t>
      </w:r>
      <w:r>
        <w:rPr>
          <w:rFonts w:hint="eastAsia"/>
        </w:rPr>
        <w:t>区位</w:t>
      </w:r>
      <w:r>
        <w:rPr>
          <w:rFonts w:hint="eastAsia"/>
          <w:shd w:val="clear" w:color="auto" w:fill="FFFFFF"/>
        </w:rPr>
        <w:t>优势，完善</w:t>
      </w:r>
      <w:r>
        <w:rPr>
          <w:rFonts w:hint="eastAsia"/>
        </w:rPr>
        <w:t>市域绿色空间体系</w:t>
      </w:r>
      <w:r>
        <w:rPr>
          <w:rFonts w:hint="eastAsia"/>
          <w:shd w:val="clear" w:color="auto" w:fill="FFFFFF"/>
        </w:rPr>
        <w:t>，</w:t>
      </w:r>
      <w:r>
        <w:t>提升森林生态系统的完整性和连通性。</w:t>
      </w:r>
    </w:p>
    <w:bookmarkEnd w:id="93"/>
    <w:p>
      <w:pPr>
        <w:pStyle w:val="3"/>
      </w:pPr>
      <w:bookmarkStart w:id="96" w:name="_bookmark26"/>
      <w:bookmarkEnd w:id="96"/>
      <w:bookmarkStart w:id="97" w:name="_Toc154250377"/>
      <w:bookmarkStart w:id="98" w:name="_Toc149941357"/>
      <w:r>
        <w:rPr>
          <w:rFonts w:hint="eastAsia"/>
        </w:rPr>
        <w:t>第七章</w:t>
      </w:r>
      <w:r>
        <w:t xml:space="preserve">  </w:t>
      </w:r>
      <w:r>
        <w:rPr>
          <w:rFonts w:hint="eastAsia"/>
        </w:rPr>
        <w:t>健全规划实施保障</w:t>
      </w:r>
      <w:bookmarkEnd w:id="97"/>
      <w:bookmarkEnd w:id="98"/>
    </w:p>
    <w:p>
      <w:pPr>
        <w:pStyle w:val="4"/>
      </w:pPr>
      <w:bookmarkStart w:id="99" w:name="_bookmark27"/>
      <w:bookmarkEnd w:id="99"/>
      <w:bookmarkStart w:id="100" w:name="_Toc154250378"/>
      <w:bookmarkStart w:id="101" w:name="_Toc149941358"/>
      <w:r>
        <w:rPr>
          <w:rFonts w:hint="eastAsia"/>
        </w:rPr>
        <w:t>一、</w:t>
      </w:r>
      <w:r>
        <w:t>加强组织</w:t>
      </w:r>
      <w:r>
        <w:rPr>
          <w:rFonts w:hint="eastAsia"/>
        </w:rPr>
        <w:t>管理</w:t>
      </w:r>
      <w:bookmarkEnd w:id="100"/>
      <w:bookmarkEnd w:id="101"/>
    </w:p>
    <w:p>
      <w:pPr>
        <w:pStyle w:val="37"/>
        <w:ind w:firstLine="602"/>
      </w:pPr>
      <w:r>
        <w:rPr>
          <w:rFonts w:hint="eastAsia"/>
          <w:b/>
          <w:bCs/>
        </w:rPr>
        <w:t>——</w:t>
      </w:r>
      <w:r>
        <w:rPr>
          <w:b/>
          <w:bCs/>
        </w:rPr>
        <w:t>加强</w:t>
      </w:r>
      <w:r>
        <w:rPr>
          <w:rFonts w:hint="eastAsia"/>
          <w:b/>
          <w:bCs/>
        </w:rPr>
        <w:t>领导。</w:t>
      </w:r>
      <w:r>
        <w:rPr>
          <w:rFonts w:hint="eastAsia"/>
        </w:rPr>
        <w:t>发挥党的领导核心作用，把党的领导贯穿到林地保护利用规划编制、实施的全过程、各领域、各环节。</w:t>
      </w:r>
      <w:r>
        <w:t>把实施规划纳入</w:t>
      </w:r>
      <w:r>
        <w:rPr>
          <w:rFonts w:hint="eastAsia"/>
        </w:rPr>
        <w:t>党委</w:t>
      </w:r>
      <w:r>
        <w:t>政府</w:t>
      </w:r>
      <w:r>
        <w:rPr>
          <w:rFonts w:hint="eastAsia"/>
        </w:rPr>
        <w:t>工作中</w:t>
      </w:r>
      <w:r>
        <w:t>，</w:t>
      </w:r>
      <w:r>
        <w:rPr>
          <w:rFonts w:hint="eastAsia"/>
        </w:rPr>
        <w:t>强化规划执行力，</w:t>
      </w:r>
      <w:r>
        <w:t>充分发挥规划</w:t>
      </w:r>
      <w:r>
        <w:rPr>
          <w:rFonts w:hint="eastAsia"/>
        </w:rPr>
        <w:t>在林地资源管理中的引领作用。</w:t>
      </w:r>
    </w:p>
    <w:p>
      <w:pPr>
        <w:pStyle w:val="37"/>
        <w:ind w:firstLine="602"/>
      </w:pPr>
      <w:r>
        <w:rPr>
          <w:rFonts w:hint="eastAsia"/>
          <w:b/>
          <w:bCs/>
        </w:rPr>
        <w:t>——统筹协调。</w:t>
      </w:r>
      <w:r>
        <w:rPr>
          <w:rFonts w:hint="eastAsia"/>
        </w:rPr>
        <w:t>市、区两级</w:t>
      </w:r>
      <w:r>
        <w:t>园林绿化、规自</w:t>
      </w:r>
      <w:r>
        <w:rPr>
          <w:rFonts w:hint="eastAsia"/>
        </w:rPr>
        <w:t>、农业农村、水务等相关部门，强化部门联动，明确责任分工，严格规范林地管理，建立各司其职、各负其责、齐抓共管、运转高效的林地保护管理工作机制。规划实施中要</w:t>
      </w:r>
      <w:r>
        <w:t>加强</w:t>
      </w:r>
      <w:r>
        <w:rPr>
          <w:rFonts w:hint="eastAsia"/>
        </w:rPr>
        <w:t>部门协同</w:t>
      </w:r>
      <w:r>
        <w:t>，密切配合，</w:t>
      </w:r>
      <w:r>
        <w:rPr>
          <w:rFonts w:hint="eastAsia"/>
        </w:rPr>
        <w:t>形成工作合力，遇到重大事项及时按程序报告，确保国家和市级重大决策部署落实到位。</w:t>
      </w:r>
    </w:p>
    <w:p>
      <w:pPr>
        <w:pStyle w:val="37"/>
        <w:ind w:firstLine="602"/>
        <w:rPr>
          <w:b/>
          <w:bCs/>
        </w:rPr>
      </w:pPr>
      <w:r>
        <w:rPr>
          <w:rFonts w:hint="eastAsia"/>
          <w:b/>
          <w:bCs/>
        </w:rPr>
        <w:t>——落实</w:t>
      </w:r>
      <w:r>
        <w:rPr>
          <w:b/>
          <w:bCs/>
        </w:rPr>
        <w:t>责任</w:t>
      </w:r>
      <w:r>
        <w:rPr>
          <w:rFonts w:hint="eastAsia"/>
          <w:b/>
          <w:bCs/>
        </w:rPr>
        <w:t>。</w:t>
      </w:r>
      <w:r>
        <w:rPr>
          <w:rFonts w:hint="eastAsia"/>
        </w:rPr>
        <w:t>市区两级党委和政府要履行林地保护利用规划管理主体责任，维护规划的</w:t>
      </w:r>
      <w:r>
        <w:t>权威</w:t>
      </w:r>
      <w:r>
        <w:rPr>
          <w:rFonts w:hint="eastAsia"/>
        </w:rPr>
        <w:t>性、严肃性，规划一经批复，任何部门和个人不得随意修改、违规变更，将森林覆盖率、林地保有量等规划目标纳入林长制目标考核体系。明确市区两级</w:t>
      </w:r>
      <w:r>
        <w:t>园林绿化</w:t>
      </w:r>
      <w:r>
        <w:rPr>
          <w:rFonts w:hint="eastAsia"/>
        </w:rPr>
        <w:t>、</w:t>
      </w:r>
      <w:r>
        <w:t>规自</w:t>
      </w:r>
      <w:r>
        <w:rPr>
          <w:rFonts w:hint="eastAsia"/>
        </w:rPr>
        <w:t>、农业农村、水务等部门的责任，加强规划实施的监督检查，</w:t>
      </w:r>
      <w:r>
        <w:t>及时发现、制止违反林地保护利用规划的行为</w:t>
      </w:r>
      <w:r>
        <w:rPr>
          <w:rFonts w:hint="eastAsia"/>
        </w:rPr>
        <w:t>。</w:t>
      </w:r>
    </w:p>
    <w:p>
      <w:pPr>
        <w:pStyle w:val="4"/>
      </w:pPr>
      <w:bookmarkStart w:id="102" w:name="_bookmark28"/>
      <w:bookmarkEnd w:id="102"/>
      <w:bookmarkStart w:id="103" w:name="_Toc154250379"/>
      <w:bookmarkStart w:id="104" w:name="_Toc149941359"/>
      <w:r>
        <w:rPr>
          <w:rFonts w:hint="eastAsia"/>
        </w:rPr>
        <w:t>二、</w:t>
      </w:r>
      <w:r>
        <w:t>完善政策机制</w:t>
      </w:r>
      <w:bookmarkEnd w:id="103"/>
      <w:bookmarkEnd w:id="104"/>
    </w:p>
    <w:p>
      <w:pPr>
        <w:pStyle w:val="37"/>
        <w:ind w:firstLine="602"/>
        <w:rPr>
          <w:rFonts w:ascii="方正仿宋_GBK" w:eastAsia="方正仿宋_GBK"/>
          <w:b/>
        </w:rPr>
      </w:pPr>
      <w:r>
        <w:rPr>
          <w:rFonts w:hint="eastAsia" w:ascii="方正仿宋_GBK" w:eastAsia="方正仿宋_GBK" w:cs="Times New Roman"/>
          <w:b/>
          <w:bCs/>
        </w:rPr>
        <w:t>——</w:t>
      </w:r>
      <w:r>
        <w:rPr>
          <w:rFonts w:hint="eastAsia" w:ascii="方正仿宋_GBK" w:eastAsia="方正仿宋_GBK"/>
          <w:b/>
        </w:rPr>
        <w:t>完善规划实施政策制度。</w:t>
      </w:r>
      <w:r>
        <w:rPr>
          <w:rFonts w:hint="eastAsia"/>
        </w:rPr>
        <w:t>制定林地进出平衡</w:t>
      </w:r>
      <w:bookmarkStart w:id="105" w:name="_Hlk152093326"/>
      <w:r>
        <w:rPr>
          <w:rFonts w:hint="eastAsia"/>
        </w:rPr>
        <w:t>、森林采伐更新管理</w:t>
      </w:r>
      <w:bookmarkEnd w:id="105"/>
      <w:r>
        <w:rPr>
          <w:rFonts w:hint="eastAsia"/>
        </w:rPr>
        <w:t>等配套政策措施，探索林地与其它类型农用地的转换政策。完善补充林地、造林空间适宜性评估动态调整机制，明确补充来源和管控措施。优化占用林地定额管理政策。加强林地林权管理，切实维护国有林地确权登记颁证成果的权威性和合法性，</w:t>
      </w:r>
      <w:r>
        <w:t>规范林地林权流转行为，</w:t>
      </w:r>
      <w:r>
        <w:rPr>
          <w:rFonts w:hint="eastAsia"/>
        </w:rPr>
        <w:t>不得非法改变林地用途和毁坏森林、林木、林地。</w:t>
      </w:r>
    </w:p>
    <w:p>
      <w:pPr>
        <w:pStyle w:val="37"/>
        <w:ind w:firstLine="602"/>
      </w:pPr>
      <w:r>
        <w:rPr>
          <w:rFonts w:hint="eastAsia" w:ascii="方正仿宋_GBK" w:eastAsia="方正仿宋_GBK" w:cs="Times New Roman"/>
          <w:b/>
          <w:bCs/>
        </w:rPr>
        <w:t>——完善</w:t>
      </w:r>
      <w:r>
        <w:rPr>
          <w:rFonts w:hint="eastAsia" w:ascii="方正仿宋_GBK" w:hAnsi="Times New Roman" w:eastAsia="方正仿宋_GBK" w:cs="Times New Roman"/>
          <w:b/>
          <w:bCs/>
        </w:rPr>
        <w:t>生态保护补偿制度。</w:t>
      </w:r>
      <w:bookmarkStart w:id="106" w:name="_Hlk152093002"/>
      <w:r>
        <w:rPr>
          <w:rFonts w:hint="eastAsia"/>
        </w:rPr>
        <w:t>健全生态保护补偿制度，</w:t>
      </w:r>
      <w:bookmarkEnd w:id="106"/>
      <w:r>
        <w:rPr>
          <w:rFonts w:hint="eastAsia"/>
        </w:rPr>
        <w:t>依据生态产品价值及社会经济发展，逐步增加生态公益林、退耕还林、天然林、经济林等生态保护补偿，健全体现碳汇价值的林地生态保护补偿机制。</w:t>
      </w:r>
      <w:bookmarkStart w:id="107" w:name="_Hlk152093202"/>
      <w:r>
        <w:rPr>
          <w:rFonts w:hint="eastAsia"/>
        </w:rPr>
        <w:t>建立林地分等定级差别化价格调节机制</w:t>
      </w:r>
      <w:bookmarkEnd w:id="107"/>
      <w:r>
        <w:rPr>
          <w:rFonts w:hint="eastAsia"/>
        </w:rPr>
        <w:t>，以林地定级成果为基础，实行林地价格评估与政府公示制度，实现林地优质优价，引导建设项目节约用地。</w:t>
      </w:r>
    </w:p>
    <w:p>
      <w:pPr>
        <w:pStyle w:val="37"/>
        <w:ind w:firstLine="602"/>
      </w:pPr>
      <w:r>
        <w:rPr>
          <w:rFonts w:hint="eastAsia" w:ascii="方正仿宋_GBK" w:hAnsi="Times New Roman" w:eastAsia="方正仿宋_GBK" w:cs="Times New Roman"/>
          <w:b/>
          <w:bCs/>
        </w:rPr>
        <w:t>——稳定投入机制。</w:t>
      </w:r>
      <w:r>
        <w:rPr>
          <w:rFonts w:hint="eastAsia"/>
        </w:rPr>
        <w:t>加大</w:t>
      </w:r>
      <w:r>
        <w:t>生态建设财政补贴投入力度，</w:t>
      </w:r>
      <w:r>
        <w:rPr>
          <w:rFonts w:hint="eastAsia"/>
        </w:rPr>
        <w:t>稳定资金投入，拓展资金渠道。提高</w:t>
      </w:r>
      <w:r>
        <w:t>水源保护地、自然保护区等</w:t>
      </w:r>
      <w:r>
        <w:rPr>
          <w:rFonts w:hint="eastAsia"/>
        </w:rPr>
        <w:t>生态脆弱和生态区位重要区域</w:t>
      </w:r>
      <w:r>
        <w:t>林地的资金投入，防止毁林和森林退化。</w:t>
      </w:r>
      <w:r>
        <w:rPr>
          <w:rFonts w:hint="eastAsia"/>
        </w:rPr>
        <w:t>按照造林难度落实</w:t>
      </w:r>
      <w:r>
        <w:t>退化林地</w:t>
      </w:r>
      <w:r>
        <w:rPr>
          <w:rFonts w:hint="eastAsia"/>
        </w:rPr>
        <w:t>生态</w:t>
      </w:r>
      <w:r>
        <w:t>修复</w:t>
      </w:r>
      <w:r>
        <w:rPr>
          <w:rFonts w:hint="eastAsia"/>
        </w:rPr>
        <w:t>和补充林地造林的建设经费。</w:t>
      </w:r>
      <w:r>
        <w:t>确保</w:t>
      </w:r>
      <w:r>
        <w:rPr>
          <w:rFonts w:hint="eastAsia"/>
        </w:rPr>
        <w:t>规划编制、林地落界、规划实施、监测评价</w:t>
      </w:r>
      <w:r>
        <w:t>、</w:t>
      </w:r>
      <w:r>
        <w:rPr>
          <w:rFonts w:hint="eastAsia"/>
        </w:rPr>
        <w:t>数据</w:t>
      </w:r>
      <w:r>
        <w:t>管理</w:t>
      </w:r>
      <w:r>
        <w:rPr>
          <w:rFonts w:hint="eastAsia"/>
        </w:rPr>
        <w:t>以及林地执法监管</w:t>
      </w:r>
      <w:r>
        <w:t>、管护</w:t>
      </w:r>
      <w:r>
        <w:rPr>
          <w:rFonts w:hint="eastAsia"/>
        </w:rPr>
        <w:t>等</w:t>
      </w:r>
      <w:r>
        <w:t>资金投入</w:t>
      </w:r>
      <w:r>
        <w:rPr>
          <w:rFonts w:hint="eastAsia"/>
        </w:rPr>
        <w:t>。</w:t>
      </w:r>
      <w:r>
        <w:t>积极</w:t>
      </w:r>
      <w:r>
        <w:rPr>
          <w:rFonts w:hint="eastAsia"/>
        </w:rPr>
        <w:t>鼓励和引导社会资金投入补充林地和森林资源的保护利用。</w:t>
      </w:r>
    </w:p>
    <w:p>
      <w:pPr>
        <w:pStyle w:val="37"/>
        <w:ind w:firstLine="602"/>
      </w:pPr>
      <w:r>
        <w:rPr>
          <w:rFonts w:hint="eastAsia" w:ascii="方正仿宋_GBK" w:hAnsi="Times New Roman" w:eastAsia="方正仿宋_GBK" w:cs="Times New Roman"/>
          <w:b/>
          <w:bCs/>
        </w:rPr>
        <w:t>——推动生态产品价值实现。</w:t>
      </w:r>
      <w:r>
        <w:rPr>
          <w:rFonts w:hint="eastAsia"/>
        </w:rPr>
        <w:t>完善森林碳汇监测计量核算体系，推动符合条件的森林碳汇进入碳交易市场。科学测算和评估林地和森林发展潜力，</w:t>
      </w:r>
      <w:r>
        <w:rPr>
          <w:rFonts w:hint="eastAsia"/>
          <w:shd w:val="clear" w:color="auto" w:fill="FFFFFF"/>
        </w:rPr>
        <w:t>鼓励</w:t>
      </w:r>
      <w:r>
        <w:rPr>
          <w:rFonts w:hint="eastAsia"/>
        </w:rPr>
        <w:t>通过</w:t>
      </w:r>
      <w:r>
        <w:rPr>
          <w:rFonts w:hint="eastAsia"/>
          <w:shd w:val="clear" w:color="auto" w:fill="FFFFFF"/>
        </w:rPr>
        <w:t>政府管控或设定限额，推动合法合规开展森林覆盖率、</w:t>
      </w:r>
      <w:r>
        <w:rPr>
          <w:rFonts w:hint="eastAsia"/>
        </w:rPr>
        <w:t>地役权及补充林地</w:t>
      </w:r>
      <w:r>
        <w:rPr>
          <w:rFonts w:hint="eastAsia"/>
          <w:shd w:val="clear" w:color="auto" w:fill="FFFFFF"/>
        </w:rPr>
        <w:t>等生态资源权益指标交易</w:t>
      </w:r>
      <w:r>
        <w:rPr>
          <w:rFonts w:hint="eastAsia"/>
        </w:rPr>
        <w:t>。</w:t>
      </w:r>
    </w:p>
    <w:p>
      <w:pPr>
        <w:pStyle w:val="4"/>
      </w:pPr>
      <w:bookmarkStart w:id="108" w:name="_bookmark29"/>
      <w:bookmarkEnd w:id="108"/>
      <w:bookmarkStart w:id="109" w:name="_Toc149941360"/>
      <w:bookmarkStart w:id="110" w:name="_Toc154250380"/>
      <w:r>
        <w:rPr>
          <w:rFonts w:hint="eastAsia"/>
        </w:rPr>
        <w:t>三、</w:t>
      </w:r>
      <w:r>
        <w:t>强化规划管理</w:t>
      </w:r>
      <w:bookmarkEnd w:id="109"/>
      <w:bookmarkEnd w:id="110"/>
    </w:p>
    <w:p>
      <w:pPr>
        <w:pStyle w:val="37"/>
        <w:ind w:firstLine="602"/>
      </w:pPr>
      <w:r>
        <w:rPr>
          <w:rFonts w:hint="eastAsia"/>
          <w:b/>
          <w:bCs/>
        </w:rPr>
        <w:t>——加强规划衔接。</w:t>
      </w:r>
      <w:r>
        <w:rPr>
          <w:rFonts w:hint="eastAsia"/>
        </w:rPr>
        <w:t>林地保护利用规划要</w:t>
      </w:r>
      <w:r>
        <w:rPr>
          <w:rFonts w:hint="eastAsia"/>
          <w:lang w:val="en-US"/>
        </w:rPr>
        <w:t>刚性传导落实新版总规要求，与</w:t>
      </w:r>
      <w:r>
        <w:rPr>
          <w:rFonts w:hint="eastAsia"/>
          <w:lang w:val="en-US" w:eastAsia="zh-CN"/>
        </w:rPr>
        <w:t>国土空间规划</w:t>
      </w:r>
      <w:r>
        <w:rPr>
          <w:rFonts w:hint="eastAsia"/>
          <w:lang w:val="en-US"/>
        </w:rPr>
        <w:t>统筹</w:t>
      </w:r>
      <w:r>
        <w:rPr>
          <w:rFonts w:hint="eastAsia"/>
        </w:rPr>
        <w:t>衔接，并与发改、交通、水务、旅游、农业农村、生态环境保护和生态建设等相关规划相协调，纳入国土空间规划“一张图”实施监督。</w:t>
      </w:r>
      <w:r>
        <w:t>区级规划应根据市级规划编制，</w:t>
      </w:r>
      <w:r>
        <w:rPr>
          <w:rFonts w:hint="eastAsia"/>
        </w:rPr>
        <w:t>通过指标控制、分区传导、政策管控等，将《规划》确定的战略目标、空间布局和重点任务，落实到区级林地保护利用规划。鼓励有条件的乡镇编制本区域林地保护利用规划。</w:t>
      </w:r>
    </w:p>
    <w:p>
      <w:pPr>
        <w:pStyle w:val="37"/>
        <w:ind w:firstLine="602"/>
        <w:rPr>
          <w:b/>
          <w:bCs/>
        </w:rPr>
      </w:pPr>
      <w:r>
        <w:rPr>
          <w:rFonts w:hint="eastAsia"/>
          <w:b/>
        </w:rPr>
        <w:t>——落实规划审批管理。</w:t>
      </w:r>
      <w:r>
        <w:rPr>
          <w:rFonts w:hint="eastAsia"/>
        </w:rPr>
        <w:t>区级林地保护利用规划经北京市园林绿化局审查同意后，由区级人民政府批准实施。</w:t>
      </w:r>
      <w:bookmarkStart w:id="111" w:name="_Hlk152093016"/>
      <w:r>
        <w:rPr>
          <w:rFonts w:hint="eastAsia"/>
        </w:rPr>
        <w:t>建立林地保护利用规划定期评估制度，</w:t>
      </w:r>
      <w:bookmarkEnd w:id="111"/>
      <w:r>
        <w:rPr>
          <w:rFonts w:hint="eastAsia"/>
        </w:rPr>
        <w:t>结合国民经济社会发展实际和规划定期评估结果，确需对规划进行修改和调整的，履行原规划编制审批程序。</w:t>
      </w:r>
    </w:p>
    <w:p>
      <w:pPr>
        <w:pStyle w:val="37"/>
        <w:ind w:firstLine="602"/>
      </w:pPr>
      <w:r>
        <w:rPr>
          <w:rFonts w:hint="eastAsia"/>
          <w:b/>
          <w:bCs/>
        </w:rPr>
        <w:t>——强化规划实施监测监管。</w:t>
      </w:r>
      <w:r>
        <w:rPr>
          <w:rFonts w:hint="eastAsia"/>
        </w:rPr>
        <w:t>依托国家林草生态网络感知系统和北京市</w:t>
      </w:r>
      <w:r>
        <w:t>园林绿化智慧管理平台</w:t>
      </w:r>
      <w:r>
        <w:rPr>
          <w:rFonts w:hint="eastAsia"/>
        </w:rPr>
        <w:t>，优化完善集资源</w:t>
      </w:r>
      <w:r>
        <w:t>现状与规划信息于一体</w:t>
      </w:r>
      <w:r>
        <w:rPr>
          <w:rFonts w:hint="eastAsia"/>
        </w:rPr>
        <w:t>的</w:t>
      </w:r>
      <w:r>
        <w:t>林地保护利用“一张图”</w:t>
      </w:r>
      <w:r>
        <w:rPr>
          <w:rFonts w:hint="eastAsia"/>
        </w:rPr>
        <w:t>，构建涵盖</w:t>
      </w:r>
      <w:r>
        <w:t>规划实施、监测、评估、预警</w:t>
      </w:r>
      <w:r>
        <w:rPr>
          <w:rFonts w:hint="eastAsia"/>
        </w:rPr>
        <w:t>、修编</w:t>
      </w:r>
      <w:r>
        <w:t>全流程的管理系统。</w:t>
      </w:r>
      <w:bookmarkStart w:id="112" w:name="_Hlk152925980"/>
      <w:r>
        <w:rPr>
          <w:rFonts w:hint="eastAsia"/>
        </w:rPr>
        <w:t>开展园林绿化资源专项和年度等调查监测，完善林地空间与调查监测数据同步更新机制。健全与国土空间规划“一张图”衔接、协调机制，推进规划数据与其他行业部门的共建共享，</w:t>
      </w:r>
      <w:bookmarkEnd w:id="112"/>
      <w:r>
        <w:rPr>
          <w:rFonts w:hint="eastAsia"/>
        </w:rPr>
        <w:t>提升规划的服务能力。</w:t>
      </w:r>
    </w:p>
    <w:p>
      <w:pPr>
        <w:pStyle w:val="37"/>
        <w:ind w:firstLine="602"/>
      </w:pPr>
      <w:r>
        <w:rPr>
          <w:rFonts w:hint="eastAsia"/>
          <w:b/>
          <w:bCs/>
        </w:rPr>
        <w:t>——</w:t>
      </w:r>
      <w:r>
        <w:rPr>
          <w:b/>
          <w:bCs/>
        </w:rPr>
        <w:t>营造良好氛围</w:t>
      </w:r>
      <w:r>
        <w:rPr>
          <w:rFonts w:hint="eastAsia"/>
          <w:b/>
          <w:bCs/>
        </w:rPr>
        <w:t>。</w:t>
      </w:r>
      <w:r>
        <w:t>利用多种媒体，广泛深入地</w:t>
      </w:r>
      <w:r>
        <w:rPr>
          <w:rFonts w:hint="eastAsia"/>
        </w:rPr>
        <w:t>讲好林业故事，</w:t>
      </w:r>
      <w:r>
        <w:t>深入开展</w:t>
      </w:r>
      <w:r>
        <w:rPr>
          <w:rFonts w:hint="eastAsia"/>
        </w:rPr>
        <w:t>森林资源保护利用的政策解读、舆论引导工作，增强全社会自觉保护林地、合理利用林地的意识。鼓励引导社会公众积极参与森林自然教育和生态体验等活动，推动生态产品富民利民，提高社会公众的参与度和获得感，实现全民共建、全民共享、全民受益。</w:t>
      </w:r>
    </w:p>
    <w:p>
      <w:pPr>
        <w:pStyle w:val="37"/>
      </w:pPr>
    </w:p>
    <w:p>
      <w:pPr>
        <w:pStyle w:val="37"/>
        <w:sectPr>
          <w:headerReference r:id="rId10" w:type="default"/>
          <w:footerReference r:id="rId11" w:type="default"/>
          <w:pgSz w:w="11900" w:h="16840"/>
          <w:pgMar w:top="1440" w:right="1797" w:bottom="1440" w:left="1797" w:header="737" w:footer="882" w:gutter="0"/>
          <w:pgNumType w:fmt="decimal" w:start="1"/>
          <w:cols w:space="720" w:num="1"/>
        </w:sectPr>
      </w:pPr>
    </w:p>
    <w:p>
      <w:pPr>
        <w:pStyle w:val="3"/>
      </w:pPr>
      <w:bookmarkStart w:id="113" w:name="_bookmark36"/>
      <w:bookmarkEnd w:id="113"/>
      <w:bookmarkStart w:id="114" w:name="_bookmark30"/>
      <w:bookmarkEnd w:id="114"/>
      <w:bookmarkStart w:id="115" w:name="_Toc154250389"/>
      <w:r>
        <w:rPr>
          <w:rFonts w:hint="eastAsia"/>
        </w:rPr>
        <w:t xml:space="preserve">附 </w:t>
      </w:r>
      <w:r>
        <w:t xml:space="preserve"> </w:t>
      </w:r>
      <w:r>
        <w:rPr>
          <w:rFonts w:hint="eastAsia"/>
        </w:rPr>
        <w:t>图</w:t>
      </w:r>
      <w:bookmarkEnd w:id="115"/>
    </w:p>
    <w:p>
      <w:pPr>
        <w:pStyle w:val="4"/>
        <w:ind w:left="0" w:leftChars="0" w:firstLine="0" w:firstLineChars="0"/>
      </w:pPr>
      <w:bookmarkStart w:id="116" w:name="_bookmark37"/>
      <w:bookmarkEnd w:id="116"/>
      <w:bookmarkStart w:id="117" w:name="_Toc154250390"/>
      <w:r>
        <w:rPr>
          <w:rFonts w:hint="eastAsia"/>
        </w:rPr>
        <w:t>附图</w:t>
      </w:r>
      <w:r>
        <w:t xml:space="preserve">1  </w:t>
      </w:r>
      <w:r>
        <w:rPr>
          <w:rFonts w:hint="eastAsia"/>
        </w:rPr>
        <w:t>林地资源现状图</w:t>
      </w:r>
      <w:bookmarkEnd w:id="117"/>
    </w:p>
    <w:p>
      <w:pPr>
        <w:widowControl/>
        <w:spacing w:before="100" w:beforeAutospacing="1" w:after="100" w:afterAutospacing="1"/>
        <w:jc w:val="center"/>
        <w:rPr>
          <w:rFonts w:ascii="仿宋" w:hAnsi="仿宋" w:eastAsia="黑体" w:cs="仿宋"/>
          <w:bCs/>
          <w:color w:val="auto"/>
          <w:kern w:val="2"/>
          <w:sz w:val="28"/>
          <w:szCs w:val="28"/>
        </w:rPr>
      </w:pPr>
      <w:r>
        <w:rPr>
          <w:rFonts w:hint="eastAsia" w:ascii="宋体" w:hAnsi="宋体" w:eastAsia="宋体" w:cs="宋体"/>
          <w:color w:val="auto"/>
          <w:sz w:val="24"/>
          <w:szCs w:val="24"/>
          <w:lang w:eastAsia="zh-CN"/>
        </w:rPr>
        <w:drawing>
          <wp:inline distT="0" distB="0" distL="114300" distR="114300">
            <wp:extent cx="5404485" cy="7640955"/>
            <wp:effectExtent l="0" t="0" r="5715" b="17145"/>
            <wp:docPr id="1" name="图片 1" descr="北京市林业保护利用规划（2021-2035年） - 1_画板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北京市林业保护利用规划（2021-2035年） - 1_画板 1"/>
                    <pic:cNvPicPr>
                      <a:picLocks noChangeAspect="true"/>
                    </pic:cNvPicPr>
                  </pic:nvPicPr>
                  <pic:blipFill>
                    <a:blip r:embed="rId14"/>
                    <a:stretch>
                      <a:fillRect/>
                    </a:stretch>
                  </pic:blipFill>
                  <pic:spPr>
                    <a:xfrm>
                      <a:off x="0" y="0"/>
                      <a:ext cx="5404485" cy="7640955"/>
                    </a:xfrm>
                    <a:prstGeom prst="rect">
                      <a:avLst/>
                    </a:prstGeom>
                  </pic:spPr>
                </pic:pic>
              </a:graphicData>
            </a:graphic>
          </wp:inline>
        </w:drawing>
      </w:r>
      <w:bookmarkStart w:id="118" w:name="_bookmark38"/>
      <w:bookmarkEnd w:id="118"/>
      <w:bookmarkStart w:id="119" w:name="_bookmark41"/>
      <w:bookmarkEnd w:id="119"/>
      <w:bookmarkStart w:id="120" w:name="_bookmark39"/>
      <w:bookmarkEnd w:id="120"/>
      <w:bookmarkStart w:id="121" w:name="_bookmark40"/>
      <w:bookmarkEnd w:id="121"/>
      <w:bookmarkStart w:id="122" w:name="_Toc154250391"/>
    </w:p>
    <w:p>
      <w:pPr>
        <w:pStyle w:val="4"/>
        <w:ind w:left="0" w:leftChars="0" w:firstLine="0" w:firstLineChars="0"/>
      </w:pPr>
      <w:r>
        <w:rPr>
          <w:rFonts w:hint="eastAsia"/>
        </w:rPr>
        <w:t>附图2</w:t>
      </w:r>
      <w:r>
        <w:t xml:space="preserve">  </w:t>
      </w:r>
      <w:r>
        <w:rPr>
          <w:rFonts w:hint="eastAsia"/>
        </w:rPr>
        <w:t>林地资源规划图</w:t>
      </w:r>
      <w:bookmarkEnd w:id="122"/>
    </w:p>
    <w:p>
      <w:pPr>
        <w:jc w:val="center"/>
        <w:rPr>
          <w:rFonts w:ascii="宋体" w:hAnsi="宋体" w:eastAsia="宋体" w:cs="宋体"/>
          <w:color w:val="auto"/>
          <w:sz w:val="24"/>
          <w:szCs w:val="24"/>
        </w:rPr>
      </w:pPr>
      <w:r>
        <w:rPr>
          <w:rFonts w:hint="eastAsia" w:eastAsia="宋体"/>
          <w:color w:val="auto"/>
          <w:lang w:eastAsia="zh-CN"/>
        </w:rPr>
        <w:drawing>
          <wp:inline distT="0" distB="0" distL="114300" distR="114300">
            <wp:extent cx="5902960" cy="8345170"/>
            <wp:effectExtent l="0" t="0" r="2540" b="17780"/>
            <wp:docPr id="2" name="图片 2" descr="北京市林业保护利用规划（2021-2035年） - 2_画板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北京市林业保护利用规划（2021-2035年） - 2_画板 1"/>
                    <pic:cNvPicPr>
                      <a:picLocks noChangeAspect="true"/>
                    </pic:cNvPicPr>
                  </pic:nvPicPr>
                  <pic:blipFill>
                    <a:blip r:embed="rId15"/>
                    <a:stretch>
                      <a:fillRect/>
                    </a:stretch>
                  </pic:blipFill>
                  <pic:spPr>
                    <a:xfrm>
                      <a:off x="0" y="0"/>
                      <a:ext cx="5902960" cy="8345170"/>
                    </a:xfrm>
                    <a:prstGeom prst="rect">
                      <a:avLst/>
                    </a:prstGeom>
                  </pic:spPr>
                </pic:pic>
              </a:graphicData>
            </a:graphic>
          </wp:inline>
        </w:drawing>
      </w:r>
      <w:bookmarkStart w:id="123" w:name="_bookmark45"/>
      <w:bookmarkEnd w:id="123"/>
      <w:bookmarkStart w:id="124" w:name="_bookmark44"/>
      <w:bookmarkEnd w:id="124"/>
      <w:bookmarkStart w:id="125" w:name="_bookmark42"/>
      <w:bookmarkEnd w:id="125"/>
      <w:bookmarkStart w:id="126" w:name="_bookmark43"/>
      <w:bookmarkEnd w:id="126"/>
    </w:p>
    <w:p>
      <w:pPr>
        <w:widowControl/>
        <w:spacing w:before="100" w:beforeAutospacing="1" w:after="100" w:afterAutospacing="1"/>
        <w:jc w:val="left"/>
        <w:rPr>
          <w:rFonts w:ascii="宋体" w:hAnsi="宋体" w:eastAsia="宋体" w:cs="宋体"/>
          <w:color w:val="auto"/>
          <w:sz w:val="24"/>
          <w:szCs w:val="24"/>
        </w:rPr>
      </w:pPr>
    </w:p>
    <w:p>
      <w:pPr>
        <w:jc w:val="both"/>
        <w:rPr>
          <w:color w:val="auto"/>
        </w:rPr>
      </w:pPr>
    </w:p>
    <w:sectPr>
      <w:footerReference r:id="rId12" w:type="default"/>
      <w:pgSz w:w="11900" w:h="16840"/>
      <w:pgMar w:top="1440" w:right="1418" w:bottom="1440" w:left="1418" w:header="737" w:footer="88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PingFang SC Semibold">
    <w:altName w:val="方正宋体S-超大字符集(SIP)"/>
    <w:panose1 w:val="00000000000000000000"/>
    <w:charset w:val="00"/>
    <w:family w:val="roman"/>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PingFang SC Regular">
    <w:altName w:val="方正宋体S-超大字符集(SIP)"/>
    <w:panose1 w:val="00000000000000000000"/>
    <w:charset w:val="00"/>
    <w:family w:val="roman"/>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SimSong Bold">
    <w:altName w:val="方正宋体S-超大字符集(SIP)"/>
    <w:panose1 w:val="00000000000000000000"/>
    <w:charset w:val="00"/>
    <w:family w:val="roman"/>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PMingLiU">
    <w:altName w:val="Droid Sans Fallback"/>
    <w:panose1 w:val="02010601000101010101"/>
    <w:charset w:val="88"/>
    <w:family w:val="roman"/>
    <w:pitch w:val="default"/>
    <w:sig w:usb0="00000000" w:usb1="00000000" w:usb2="00000016" w:usb3="00000000" w:csb0="0010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Noto Serif CJK JP"/>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方正楷体_GBK" w:eastAsia="方正楷体_GBK"/>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方正楷体_GBK" w:eastAsia="方正楷体_GBK"/>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3810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&#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bjXUj0AAAAAUBAAAPAAAAAAAAAAEAIAAAADgAAABk&#10;cnMvZG93bnJldi54bWxQSwECFAAUAAAACACHTuJAoFyGSzECAABQBAAADgAAAAAAAAABACAAAAA1&#10;AQAAZHJzL2Uyb0RvYy54bWxQSwUGAAAAAAYABgBZAQAA2AUAAAAA&#10;">
              <v:fill on="f" focussize="0,0"/>
              <v:stroke on="f" weight="1pt" miterlimit="4" joinstyle="miter"/>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3810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W411I9AAAAAFAQAADwAAAAAAAAABACAAAAA4AAAA&#10;ZHJzL2Rvd25yZXYueG1sUEsBAhQAFAAAAAgAh07iQGZRpb8yAgAAUAQAAA4AAAAAAAAAAQAgAAAA&#10;NQEAAGRycy9lMm9Eb2MueG1sUEsFBgAAAAAGAAYAWQEAANkFAAAAAA==&#10;">
              <v:fill on="f" focussize="0,0"/>
              <v:stroke on="f" weight="1pt" miterlimit="4" joinstyle="miter"/>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MWE5ZjAzYWZhOWQ4NGMxNmFmY2E2MWE1YmM3OTcifQ=="/>
  </w:docVars>
  <w:rsids>
    <w:rsidRoot w:val="00843C99"/>
    <w:rsid w:val="000005C6"/>
    <w:rsid w:val="000037EC"/>
    <w:rsid w:val="000071DE"/>
    <w:rsid w:val="0001114D"/>
    <w:rsid w:val="00011F2F"/>
    <w:rsid w:val="00013CD1"/>
    <w:rsid w:val="00013E4E"/>
    <w:rsid w:val="00015AE1"/>
    <w:rsid w:val="00015D25"/>
    <w:rsid w:val="00017517"/>
    <w:rsid w:val="00017BCC"/>
    <w:rsid w:val="000222FD"/>
    <w:rsid w:val="0002304E"/>
    <w:rsid w:val="0002439D"/>
    <w:rsid w:val="000263E9"/>
    <w:rsid w:val="00027643"/>
    <w:rsid w:val="00031053"/>
    <w:rsid w:val="000341A5"/>
    <w:rsid w:val="00034E35"/>
    <w:rsid w:val="00034FF8"/>
    <w:rsid w:val="00035DD9"/>
    <w:rsid w:val="00036220"/>
    <w:rsid w:val="000370CE"/>
    <w:rsid w:val="000373CB"/>
    <w:rsid w:val="00037CEA"/>
    <w:rsid w:val="0004153D"/>
    <w:rsid w:val="00041540"/>
    <w:rsid w:val="00042E94"/>
    <w:rsid w:val="0004350D"/>
    <w:rsid w:val="0004352F"/>
    <w:rsid w:val="00043591"/>
    <w:rsid w:val="000443D7"/>
    <w:rsid w:val="000444D5"/>
    <w:rsid w:val="00045AD0"/>
    <w:rsid w:val="000469E6"/>
    <w:rsid w:val="000501AC"/>
    <w:rsid w:val="000510E6"/>
    <w:rsid w:val="000525D9"/>
    <w:rsid w:val="00052933"/>
    <w:rsid w:val="000532AA"/>
    <w:rsid w:val="00053C05"/>
    <w:rsid w:val="000544AB"/>
    <w:rsid w:val="00054CFE"/>
    <w:rsid w:val="00054FEE"/>
    <w:rsid w:val="000551C0"/>
    <w:rsid w:val="00055D3A"/>
    <w:rsid w:val="00057BFD"/>
    <w:rsid w:val="00057C9B"/>
    <w:rsid w:val="00061346"/>
    <w:rsid w:val="00062786"/>
    <w:rsid w:val="000635D0"/>
    <w:rsid w:val="0006364E"/>
    <w:rsid w:val="0006440B"/>
    <w:rsid w:val="00064756"/>
    <w:rsid w:val="00065936"/>
    <w:rsid w:val="0006603E"/>
    <w:rsid w:val="000668E2"/>
    <w:rsid w:val="00066AA5"/>
    <w:rsid w:val="00067551"/>
    <w:rsid w:val="000679B7"/>
    <w:rsid w:val="00070E7F"/>
    <w:rsid w:val="00072F49"/>
    <w:rsid w:val="00073F27"/>
    <w:rsid w:val="000749DE"/>
    <w:rsid w:val="000768F0"/>
    <w:rsid w:val="00080190"/>
    <w:rsid w:val="00082793"/>
    <w:rsid w:val="0008446A"/>
    <w:rsid w:val="000849D5"/>
    <w:rsid w:val="00084BE7"/>
    <w:rsid w:val="00084CB3"/>
    <w:rsid w:val="00087CDB"/>
    <w:rsid w:val="000916DD"/>
    <w:rsid w:val="00093031"/>
    <w:rsid w:val="00094544"/>
    <w:rsid w:val="00094BAE"/>
    <w:rsid w:val="00094C89"/>
    <w:rsid w:val="00095064"/>
    <w:rsid w:val="000964C1"/>
    <w:rsid w:val="00096EE3"/>
    <w:rsid w:val="00097748"/>
    <w:rsid w:val="00097CD6"/>
    <w:rsid w:val="000A06C3"/>
    <w:rsid w:val="000A06E1"/>
    <w:rsid w:val="000A0960"/>
    <w:rsid w:val="000A19AA"/>
    <w:rsid w:val="000A2AFF"/>
    <w:rsid w:val="000A3312"/>
    <w:rsid w:val="000A4258"/>
    <w:rsid w:val="000A48C4"/>
    <w:rsid w:val="000A5B71"/>
    <w:rsid w:val="000A742A"/>
    <w:rsid w:val="000B2F81"/>
    <w:rsid w:val="000B3489"/>
    <w:rsid w:val="000B4000"/>
    <w:rsid w:val="000B44B3"/>
    <w:rsid w:val="000C12C8"/>
    <w:rsid w:val="000C1B70"/>
    <w:rsid w:val="000C347A"/>
    <w:rsid w:val="000C3D8E"/>
    <w:rsid w:val="000C44C5"/>
    <w:rsid w:val="000C4B1F"/>
    <w:rsid w:val="000C4BD4"/>
    <w:rsid w:val="000C6912"/>
    <w:rsid w:val="000C7F9B"/>
    <w:rsid w:val="000D0620"/>
    <w:rsid w:val="000D0C01"/>
    <w:rsid w:val="000D34E7"/>
    <w:rsid w:val="000D3D92"/>
    <w:rsid w:val="000D6733"/>
    <w:rsid w:val="000D7037"/>
    <w:rsid w:val="000E07DD"/>
    <w:rsid w:val="000E1225"/>
    <w:rsid w:val="000E1753"/>
    <w:rsid w:val="000E3476"/>
    <w:rsid w:val="000E3BCD"/>
    <w:rsid w:val="000E3BEE"/>
    <w:rsid w:val="000E3E60"/>
    <w:rsid w:val="000E4E4B"/>
    <w:rsid w:val="000E5888"/>
    <w:rsid w:val="000E59EF"/>
    <w:rsid w:val="000E6227"/>
    <w:rsid w:val="000E6B06"/>
    <w:rsid w:val="000F11DA"/>
    <w:rsid w:val="000F1522"/>
    <w:rsid w:val="000F345F"/>
    <w:rsid w:val="000F3CBF"/>
    <w:rsid w:val="000F4854"/>
    <w:rsid w:val="000F5038"/>
    <w:rsid w:val="000F6666"/>
    <w:rsid w:val="000F6759"/>
    <w:rsid w:val="000F78CA"/>
    <w:rsid w:val="001022D9"/>
    <w:rsid w:val="00102BB1"/>
    <w:rsid w:val="00103B40"/>
    <w:rsid w:val="00104DB0"/>
    <w:rsid w:val="00105899"/>
    <w:rsid w:val="00105EBA"/>
    <w:rsid w:val="00105FC2"/>
    <w:rsid w:val="00110123"/>
    <w:rsid w:val="0011060A"/>
    <w:rsid w:val="00111524"/>
    <w:rsid w:val="00111B98"/>
    <w:rsid w:val="00111C0D"/>
    <w:rsid w:val="00112750"/>
    <w:rsid w:val="00112881"/>
    <w:rsid w:val="001138E7"/>
    <w:rsid w:val="001145D2"/>
    <w:rsid w:val="001151B1"/>
    <w:rsid w:val="001159D1"/>
    <w:rsid w:val="00116361"/>
    <w:rsid w:val="00116A13"/>
    <w:rsid w:val="00116A7A"/>
    <w:rsid w:val="001174F0"/>
    <w:rsid w:val="00117DFA"/>
    <w:rsid w:val="00120E7F"/>
    <w:rsid w:val="00121A8E"/>
    <w:rsid w:val="00122427"/>
    <w:rsid w:val="00122979"/>
    <w:rsid w:val="00122F02"/>
    <w:rsid w:val="0012499F"/>
    <w:rsid w:val="00124BAE"/>
    <w:rsid w:val="001264FC"/>
    <w:rsid w:val="00126967"/>
    <w:rsid w:val="00127882"/>
    <w:rsid w:val="001306B9"/>
    <w:rsid w:val="00130EE7"/>
    <w:rsid w:val="00132B8E"/>
    <w:rsid w:val="00132E02"/>
    <w:rsid w:val="001347C9"/>
    <w:rsid w:val="00134E46"/>
    <w:rsid w:val="00134EB9"/>
    <w:rsid w:val="00136051"/>
    <w:rsid w:val="00137E29"/>
    <w:rsid w:val="001400CD"/>
    <w:rsid w:val="00142233"/>
    <w:rsid w:val="00142338"/>
    <w:rsid w:val="001440B3"/>
    <w:rsid w:val="001447DF"/>
    <w:rsid w:val="00146081"/>
    <w:rsid w:val="00147E10"/>
    <w:rsid w:val="00147E5B"/>
    <w:rsid w:val="00150C43"/>
    <w:rsid w:val="00151F63"/>
    <w:rsid w:val="00153DFA"/>
    <w:rsid w:val="001553A6"/>
    <w:rsid w:val="001558BD"/>
    <w:rsid w:val="00156216"/>
    <w:rsid w:val="00160106"/>
    <w:rsid w:val="001602FC"/>
    <w:rsid w:val="00161FB4"/>
    <w:rsid w:val="00162336"/>
    <w:rsid w:val="00162F5C"/>
    <w:rsid w:val="00162FE0"/>
    <w:rsid w:val="00163B36"/>
    <w:rsid w:val="00164687"/>
    <w:rsid w:val="00165FE0"/>
    <w:rsid w:val="0016676D"/>
    <w:rsid w:val="00167757"/>
    <w:rsid w:val="00167A29"/>
    <w:rsid w:val="00170454"/>
    <w:rsid w:val="0017053F"/>
    <w:rsid w:val="00171B36"/>
    <w:rsid w:val="00171D87"/>
    <w:rsid w:val="0017298A"/>
    <w:rsid w:val="00175601"/>
    <w:rsid w:val="00175974"/>
    <w:rsid w:val="0017632E"/>
    <w:rsid w:val="0017790D"/>
    <w:rsid w:val="00177BFE"/>
    <w:rsid w:val="00181264"/>
    <w:rsid w:val="001815E2"/>
    <w:rsid w:val="001872ED"/>
    <w:rsid w:val="00187F0D"/>
    <w:rsid w:val="00191C19"/>
    <w:rsid w:val="00194319"/>
    <w:rsid w:val="00194E03"/>
    <w:rsid w:val="001952DC"/>
    <w:rsid w:val="00195DFC"/>
    <w:rsid w:val="00197630"/>
    <w:rsid w:val="00197D0B"/>
    <w:rsid w:val="001A15D5"/>
    <w:rsid w:val="001A18E5"/>
    <w:rsid w:val="001A1AA6"/>
    <w:rsid w:val="001A3D7B"/>
    <w:rsid w:val="001A4395"/>
    <w:rsid w:val="001A6384"/>
    <w:rsid w:val="001A7975"/>
    <w:rsid w:val="001B052C"/>
    <w:rsid w:val="001B17EB"/>
    <w:rsid w:val="001B2F49"/>
    <w:rsid w:val="001B4FA0"/>
    <w:rsid w:val="001B578E"/>
    <w:rsid w:val="001B58C0"/>
    <w:rsid w:val="001B69FF"/>
    <w:rsid w:val="001B7508"/>
    <w:rsid w:val="001B7AA5"/>
    <w:rsid w:val="001B7BE9"/>
    <w:rsid w:val="001C1E38"/>
    <w:rsid w:val="001C4B5E"/>
    <w:rsid w:val="001C5E1C"/>
    <w:rsid w:val="001C6877"/>
    <w:rsid w:val="001C6BFF"/>
    <w:rsid w:val="001C726E"/>
    <w:rsid w:val="001C76C3"/>
    <w:rsid w:val="001C78B7"/>
    <w:rsid w:val="001C78DA"/>
    <w:rsid w:val="001D0B7F"/>
    <w:rsid w:val="001D0CCF"/>
    <w:rsid w:val="001D3784"/>
    <w:rsid w:val="001D52E1"/>
    <w:rsid w:val="001D6CC8"/>
    <w:rsid w:val="001D6EF4"/>
    <w:rsid w:val="001D6FE2"/>
    <w:rsid w:val="001D741E"/>
    <w:rsid w:val="001E0CDE"/>
    <w:rsid w:val="001E3199"/>
    <w:rsid w:val="001E5AB4"/>
    <w:rsid w:val="001E615F"/>
    <w:rsid w:val="001E6A83"/>
    <w:rsid w:val="001F0B86"/>
    <w:rsid w:val="001F17E5"/>
    <w:rsid w:val="001F182D"/>
    <w:rsid w:val="001F3787"/>
    <w:rsid w:val="001F482C"/>
    <w:rsid w:val="001F4CDF"/>
    <w:rsid w:val="001F5BBE"/>
    <w:rsid w:val="001F7AFF"/>
    <w:rsid w:val="002003E7"/>
    <w:rsid w:val="00201566"/>
    <w:rsid w:val="00201E30"/>
    <w:rsid w:val="00204907"/>
    <w:rsid w:val="00205EAC"/>
    <w:rsid w:val="002061BB"/>
    <w:rsid w:val="002068C8"/>
    <w:rsid w:val="00206B56"/>
    <w:rsid w:val="00207D63"/>
    <w:rsid w:val="00210D30"/>
    <w:rsid w:val="002115C9"/>
    <w:rsid w:val="0021172B"/>
    <w:rsid w:val="00212194"/>
    <w:rsid w:val="00213B6D"/>
    <w:rsid w:val="00215D16"/>
    <w:rsid w:val="00217BA6"/>
    <w:rsid w:val="002209E9"/>
    <w:rsid w:val="002225F7"/>
    <w:rsid w:val="00223343"/>
    <w:rsid w:val="00223B84"/>
    <w:rsid w:val="002260F1"/>
    <w:rsid w:val="00226134"/>
    <w:rsid w:val="00226FF7"/>
    <w:rsid w:val="0023060D"/>
    <w:rsid w:val="002310CC"/>
    <w:rsid w:val="0023202B"/>
    <w:rsid w:val="0023210D"/>
    <w:rsid w:val="0023229F"/>
    <w:rsid w:val="002322F1"/>
    <w:rsid w:val="00232496"/>
    <w:rsid w:val="00233F73"/>
    <w:rsid w:val="00233FBA"/>
    <w:rsid w:val="00236B98"/>
    <w:rsid w:val="00237EAB"/>
    <w:rsid w:val="00241B56"/>
    <w:rsid w:val="00242527"/>
    <w:rsid w:val="00242F0E"/>
    <w:rsid w:val="00242FFB"/>
    <w:rsid w:val="0024332A"/>
    <w:rsid w:val="00244CEF"/>
    <w:rsid w:val="002457AB"/>
    <w:rsid w:val="00247049"/>
    <w:rsid w:val="00250EF5"/>
    <w:rsid w:val="00252319"/>
    <w:rsid w:val="00252B34"/>
    <w:rsid w:val="00254C98"/>
    <w:rsid w:val="00257385"/>
    <w:rsid w:val="00260F65"/>
    <w:rsid w:val="00261143"/>
    <w:rsid w:val="00261939"/>
    <w:rsid w:val="00264F84"/>
    <w:rsid w:val="00267497"/>
    <w:rsid w:val="002722C9"/>
    <w:rsid w:val="00273CFC"/>
    <w:rsid w:val="00275847"/>
    <w:rsid w:val="00275CB1"/>
    <w:rsid w:val="002768FA"/>
    <w:rsid w:val="00277647"/>
    <w:rsid w:val="002776DC"/>
    <w:rsid w:val="0027773D"/>
    <w:rsid w:val="00277DCD"/>
    <w:rsid w:val="002803DD"/>
    <w:rsid w:val="00284D57"/>
    <w:rsid w:val="00284F98"/>
    <w:rsid w:val="0028511B"/>
    <w:rsid w:val="00286F6B"/>
    <w:rsid w:val="00287236"/>
    <w:rsid w:val="00287728"/>
    <w:rsid w:val="00291F15"/>
    <w:rsid w:val="00292895"/>
    <w:rsid w:val="0029403D"/>
    <w:rsid w:val="0029531C"/>
    <w:rsid w:val="002956BC"/>
    <w:rsid w:val="00296121"/>
    <w:rsid w:val="00296DFA"/>
    <w:rsid w:val="00296F77"/>
    <w:rsid w:val="00297F8C"/>
    <w:rsid w:val="002A3015"/>
    <w:rsid w:val="002A35B5"/>
    <w:rsid w:val="002A3714"/>
    <w:rsid w:val="002A3799"/>
    <w:rsid w:val="002A3D5C"/>
    <w:rsid w:val="002A43B8"/>
    <w:rsid w:val="002A5CE0"/>
    <w:rsid w:val="002A6466"/>
    <w:rsid w:val="002A7346"/>
    <w:rsid w:val="002B1125"/>
    <w:rsid w:val="002B1BEE"/>
    <w:rsid w:val="002B203E"/>
    <w:rsid w:val="002B24CC"/>
    <w:rsid w:val="002B34C4"/>
    <w:rsid w:val="002B3ED5"/>
    <w:rsid w:val="002B4A61"/>
    <w:rsid w:val="002B4C46"/>
    <w:rsid w:val="002B5A87"/>
    <w:rsid w:val="002B5F96"/>
    <w:rsid w:val="002B5FE7"/>
    <w:rsid w:val="002B7479"/>
    <w:rsid w:val="002B78E6"/>
    <w:rsid w:val="002C1B32"/>
    <w:rsid w:val="002C1CF6"/>
    <w:rsid w:val="002C3201"/>
    <w:rsid w:val="002C35E3"/>
    <w:rsid w:val="002C40DA"/>
    <w:rsid w:val="002C484E"/>
    <w:rsid w:val="002C4B47"/>
    <w:rsid w:val="002C4D80"/>
    <w:rsid w:val="002C5752"/>
    <w:rsid w:val="002C5853"/>
    <w:rsid w:val="002C6666"/>
    <w:rsid w:val="002C6A94"/>
    <w:rsid w:val="002D03DA"/>
    <w:rsid w:val="002D244A"/>
    <w:rsid w:val="002D3DE4"/>
    <w:rsid w:val="002D6097"/>
    <w:rsid w:val="002D6FBE"/>
    <w:rsid w:val="002D7AA4"/>
    <w:rsid w:val="002E1147"/>
    <w:rsid w:val="002E1E6F"/>
    <w:rsid w:val="002E3CCB"/>
    <w:rsid w:val="002E4F67"/>
    <w:rsid w:val="002E552D"/>
    <w:rsid w:val="002E5D52"/>
    <w:rsid w:val="002E5F87"/>
    <w:rsid w:val="002E67E8"/>
    <w:rsid w:val="002E7EE9"/>
    <w:rsid w:val="002F0F63"/>
    <w:rsid w:val="002F26F3"/>
    <w:rsid w:val="002F4821"/>
    <w:rsid w:val="002F48FD"/>
    <w:rsid w:val="002F6362"/>
    <w:rsid w:val="00302143"/>
    <w:rsid w:val="0030585D"/>
    <w:rsid w:val="00306797"/>
    <w:rsid w:val="003100A4"/>
    <w:rsid w:val="003108FD"/>
    <w:rsid w:val="003111A7"/>
    <w:rsid w:val="00313B23"/>
    <w:rsid w:val="00313D37"/>
    <w:rsid w:val="00314612"/>
    <w:rsid w:val="00315B5A"/>
    <w:rsid w:val="00315EA0"/>
    <w:rsid w:val="00316957"/>
    <w:rsid w:val="00316DD9"/>
    <w:rsid w:val="00320906"/>
    <w:rsid w:val="00321058"/>
    <w:rsid w:val="00323E41"/>
    <w:rsid w:val="00324C8C"/>
    <w:rsid w:val="003253DB"/>
    <w:rsid w:val="0032562B"/>
    <w:rsid w:val="003257F3"/>
    <w:rsid w:val="00325E04"/>
    <w:rsid w:val="00326A27"/>
    <w:rsid w:val="003304C2"/>
    <w:rsid w:val="0033208A"/>
    <w:rsid w:val="003340C9"/>
    <w:rsid w:val="003343A0"/>
    <w:rsid w:val="00334D33"/>
    <w:rsid w:val="00335A83"/>
    <w:rsid w:val="003366BB"/>
    <w:rsid w:val="00336AB9"/>
    <w:rsid w:val="00341B37"/>
    <w:rsid w:val="00341B45"/>
    <w:rsid w:val="0034320E"/>
    <w:rsid w:val="00343BD5"/>
    <w:rsid w:val="00344526"/>
    <w:rsid w:val="00346AB2"/>
    <w:rsid w:val="00347530"/>
    <w:rsid w:val="00351BC8"/>
    <w:rsid w:val="00354617"/>
    <w:rsid w:val="0035502A"/>
    <w:rsid w:val="00355BAC"/>
    <w:rsid w:val="00355EE3"/>
    <w:rsid w:val="0035650D"/>
    <w:rsid w:val="00356EF2"/>
    <w:rsid w:val="00357196"/>
    <w:rsid w:val="003577CD"/>
    <w:rsid w:val="00360A06"/>
    <w:rsid w:val="00360AA8"/>
    <w:rsid w:val="00360DCD"/>
    <w:rsid w:val="00361E3F"/>
    <w:rsid w:val="003621A4"/>
    <w:rsid w:val="00364416"/>
    <w:rsid w:val="00365820"/>
    <w:rsid w:val="00365B0F"/>
    <w:rsid w:val="00366236"/>
    <w:rsid w:val="0036653B"/>
    <w:rsid w:val="003745E6"/>
    <w:rsid w:val="0037714E"/>
    <w:rsid w:val="00377CA0"/>
    <w:rsid w:val="00377E21"/>
    <w:rsid w:val="00380351"/>
    <w:rsid w:val="003836C8"/>
    <w:rsid w:val="00385064"/>
    <w:rsid w:val="00386E34"/>
    <w:rsid w:val="003901E3"/>
    <w:rsid w:val="00391A55"/>
    <w:rsid w:val="00391C0A"/>
    <w:rsid w:val="00392993"/>
    <w:rsid w:val="0039407F"/>
    <w:rsid w:val="003977F4"/>
    <w:rsid w:val="003A0EA5"/>
    <w:rsid w:val="003A15C6"/>
    <w:rsid w:val="003A5A43"/>
    <w:rsid w:val="003A673A"/>
    <w:rsid w:val="003A6D27"/>
    <w:rsid w:val="003A713F"/>
    <w:rsid w:val="003B1CCE"/>
    <w:rsid w:val="003B22CF"/>
    <w:rsid w:val="003B5870"/>
    <w:rsid w:val="003B633D"/>
    <w:rsid w:val="003B66FB"/>
    <w:rsid w:val="003B7579"/>
    <w:rsid w:val="003B75A7"/>
    <w:rsid w:val="003B77F1"/>
    <w:rsid w:val="003C02F8"/>
    <w:rsid w:val="003C09B5"/>
    <w:rsid w:val="003C0C4E"/>
    <w:rsid w:val="003C1085"/>
    <w:rsid w:val="003C289B"/>
    <w:rsid w:val="003C2B39"/>
    <w:rsid w:val="003C4523"/>
    <w:rsid w:val="003C7BCA"/>
    <w:rsid w:val="003D0893"/>
    <w:rsid w:val="003D1DD5"/>
    <w:rsid w:val="003D3A03"/>
    <w:rsid w:val="003D5EAC"/>
    <w:rsid w:val="003D6638"/>
    <w:rsid w:val="003E0DD9"/>
    <w:rsid w:val="003E144F"/>
    <w:rsid w:val="003E3E9F"/>
    <w:rsid w:val="003E4638"/>
    <w:rsid w:val="003E4E15"/>
    <w:rsid w:val="003E4F0C"/>
    <w:rsid w:val="003E507E"/>
    <w:rsid w:val="003E5D12"/>
    <w:rsid w:val="003E60ED"/>
    <w:rsid w:val="003F0AA7"/>
    <w:rsid w:val="003F0E9F"/>
    <w:rsid w:val="003F1529"/>
    <w:rsid w:val="003F2AC6"/>
    <w:rsid w:val="003F2C61"/>
    <w:rsid w:val="003F4381"/>
    <w:rsid w:val="003F4AF7"/>
    <w:rsid w:val="003F5313"/>
    <w:rsid w:val="003F57DA"/>
    <w:rsid w:val="003F64AA"/>
    <w:rsid w:val="003F73F9"/>
    <w:rsid w:val="00400120"/>
    <w:rsid w:val="0040078E"/>
    <w:rsid w:val="00400D54"/>
    <w:rsid w:val="00401112"/>
    <w:rsid w:val="00401365"/>
    <w:rsid w:val="004018BE"/>
    <w:rsid w:val="004028E3"/>
    <w:rsid w:val="00402CF5"/>
    <w:rsid w:val="00402D3A"/>
    <w:rsid w:val="004046B1"/>
    <w:rsid w:val="00404D57"/>
    <w:rsid w:val="004053CB"/>
    <w:rsid w:val="004059EE"/>
    <w:rsid w:val="00406704"/>
    <w:rsid w:val="004073F5"/>
    <w:rsid w:val="00410AAF"/>
    <w:rsid w:val="00412AEF"/>
    <w:rsid w:val="004140BC"/>
    <w:rsid w:val="00414F7A"/>
    <w:rsid w:val="004152F6"/>
    <w:rsid w:val="00415A18"/>
    <w:rsid w:val="00415E69"/>
    <w:rsid w:val="00416467"/>
    <w:rsid w:val="004206F9"/>
    <w:rsid w:val="00420E8B"/>
    <w:rsid w:val="00423177"/>
    <w:rsid w:val="00425C09"/>
    <w:rsid w:val="00426D2D"/>
    <w:rsid w:val="00427080"/>
    <w:rsid w:val="00431B43"/>
    <w:rsid w:val="00433443"/>
    <w:rsid w:val="00434AB3"/>
    <w:rsid w:val="00436120"/>
    <w:rsid w:val="00436532"/>
    <w:rsid w:val="00436B52"/>
    <w:rsid w:val="0043733E"/>
    <w:rsid w:val="00437CF2"/>
    <w:rsid w:val="0044060D"/>
    <w:rsid w:val="00440C04"/>
    <w:rsid w:val="00440E07"/>
    <w:rsid w:val="00443F31"/>
    <w:rsid w:val="00444A68"/>
    <w:rsid w:val="00444D48"/>
    <w:rsid w:val="00445F23"/>
    <w:rsid w:val="0044614A"/>
    <w:rsid w:val="0045039F"/>
    <w:rsid w:val="004528F2"/>
    <w:rsid w:val="00453313"/>
    <w:rsid w:val="00454003"/>
    <w:rsid w:val="00456AA4"/>
    <w:rsid w:val="00457BAF"/>
    <w:rsid w:val="00461A0D"/>
    <w:rsid w:val="00462625"/>
    <w:rsid w:val="00464D7D"/>
    <w:rsid w:val="00465B8A"/>
    <w:rsid w:val="0046621E"/>
    <w:rsid w:val="00466A81"/>
    <w:rsid w:val="0047116C"/>
    <w:rsid w:val="00471672"/>
    <w:rsid w:val="00473342"/>
    <w:rsid w:val="0047452E"/>
    <w:rsid w:val="00476304"/>
    <w:rsid w:val="00476A2C"/>
    <w:rsid w:val="00477699"/>
    <w:rsid w:val="00482C2C"/>
    <w:rsid w:val="0048366C"/>
    <w:rsid w:val="004849B1"/>
    <w:rsid w:val="00485004"/>
    <w:rsid w:val="00486D2F"/>
    <w:rsid w:val="004903AF"/>
    <w:rsid w:val="0049166E"/>
    <w:rsid w:val="00491A76"/>
    <w:rsid w:val="0049201B"/>
    <w:rsid w:val="004921AA"/>
    <w:rsid w:val="004931CB"/>
    <w:rsid w:val="004945F1"/>
    <w:rsid w:val="00495175"/>
    <w:rsid w:val="00496298"/>
    <w:rsid w:val="00496FD7"/>
    <w:rsid w:val="004972D9"/>
    <w:rsid w:val="00497368"/>
    <w:rsid w:val="004A0583"/>
    <w:rsid w:val="004A07F6"/>
    <w:rsid w:val="004A0A2C"/>
    <w:rsid w:val="004A12E9"/>
    <w:rsid w:val="004A14FF"/>
    <w:rsid w:val="004A1A90"/>
    <w:rsid w:val="004A1CA6"/>
    <w:rsid w:val="004A3B71"/>
    <w:rsid w:val="004A460A"/>
    <w:rsid w:val="004A4C9F"/>
    <w:rsid w:val="004B4385"/>
    <w:rsid w:val="004B4F4B"/>
    <w:rsid w:val="004B6A5D"/>
    <w:rsid w:val="004B6FA8"/>
    <w:rsid w:val="004C03BD"/>
    <w:rsid w:val="004C4756"/>
    <w:rsid w:val="004C591E"/>
    <w:rsid w:val="004D08F7"/>
    <w:rsid w:val="004D1171"/>
    <w:rsid w:val="004D145B"/>
    <w:rsid w:val="004D3537"/>
    <w:rsid w:val="004D5E11"/>
    <w:rsid w:val="004D5EB6"/>
    <w:rsid w:val="004D60D0"/>
    <w:rsid w:val="004D648B"/>
    <w:rsid w:val="004D6E00"/>
    <w:rsid w:val="004D6F2E"/>
    <w:rsid w:val="004E00A0"/>
    <w:rsid w:val="004E07AA"/>
    <w:rsid w:val="004E1223"/>
    <w:rsid w:val="004E18F7"/>
    <w:rsid w:val="004E2828"/>
    <w:rsid w:val="004E32A3"/>
    <w:rsid w:val="004E3E23"/>
    <w:rsid w:val="004E5083"/>
    <w:rsid w:val="004E63A7"/>
    <w:rsid w:val="004E6CA2"/>
    <w:rsid w:val="004F009D"/>
    <w:rsid w:val="004F00B2"/>
    <w:rsid w:val="004F0142"/>
    <w:rsid w:val="004F13C3"/>
    <w:rsid w:val="004F5BD2"/>
    <w:rsid w:val="004F6FEE"/>
    <w:rsid w:val="004F7361"/>
    <w:rsid w:val="004F756B"/>
    <w:rsid w:val="004F77FA"/>
    <w:rsid w:val="00501EB8"/>
    <w:rsid w:val="0050231D"/>
    <w:rsid w:val="00503237"/>
    <w:rsid w:val="00503A34"/>
    <w:rsid w:val="005101D5"/>
    <w:rsid w:val="00510220"/>
    <w:rsid w:val="00511EE3"/>
    <w:rsid w:val="00513CC0"/>
    <w:rsid w:val="005145E7"/>
    <w:rsid w:val="00516238"/>
    <w:rsid w:val="005174A6"/>
    <w:rsid w:val="00517997"/>
    <w:rsid w:val="00521591"/>
    <w:rsid w:val="00521A26"/>
    <w:rsid w:val="005220B8"/>
    <w:rsid w:val="005225CD"/>
    <w:rsid w:val="005226D5"/>
    <w:rsid w:val="0052426E"/>
    <w:rsid w:val="00524283"/>
    <w:rsid w:val="0052764E"/>
    <w:rsid w:val="005278A6"/>
    <w:rsid w:val="00531D8F"/>
    <w:rsid w:val="0053336C"/>
    <w:rsid w:val="005336AD"/>
    <w:rsid w:val="00533903"/>
    <w:rsid w:val="00534341"/>
    <w:rsid w:val="00534725"/>
    <w:rsid w:val="00534A6E"/>
    <w:rsid w:val="00535F68"/>
    <w:rsid w:val="00537C7C"/>
    <w:rsid w:val="00537FB3"/>
    <w:rsid w:val="0054405C"/>
    <w:rsid w:val="00544EA8"/>
    <w:rsid w:val="00545ED4"/>
    <w:rsid w:val="0054647E"/>
    <w:rsid w:val="00547895"/>
    <w:rsid w:val="005510F4"/>
    <w:rsid w:val="005525D1"/>
    <w:rsid w:val="00552C49"/>
    <w:rsid w:val="0055518D"/>
    <w:rsid w:val="00556621"/>
    <w:rsid w:val="00556708"/>
    <w:rsid w:val="005567A0"/>
    <w:rsid w:val="00556F18"/>
    <w:rsid w:val="005574F0"/>
    <w:rsid w:val="0055771F"/>
    <w:rsid w:val="00561366"/>
    <w:rsid w:val="0056186D"/>
    <w:rsid w:val="005672E8"/>
    <w:rsid w:val="00567305"/>
    <w:rsid w:val="005673A4"/>
    <w:rsid w:val="005676F3"/>
    <w:rsid w:val="00567E16"/>
    <w:rsid w:val="00572F35"/>
    <w:rsid w:val="00573BD4"/>
    <w:rsid w:val="00573EF3"/>
    <w:rsid w:val="00574549"/>
    <w:rsid w:val="005747D7"/>
    <w:rsid w:val="00575FCD"/>
    <w:rsid w:val="00576CEB"/>
    <w:rsid w:val="005772C2"/>
    <w:rsid w:val="005777BC"/>
    <w:rsid w:val="005778C5"/>
    <w:rsid w:val="005814F0"/>
    <w:rsid w:val="00581ED5"/>
    <w:rsid w:val="00581FEC"/>
    <w:rsid w:val="00586C93"/>
    <w:rsid w:val="0058777F"/>
    <w:rsid w:val="0058785C"/>
    <w:rsid w:val="00594E60"/>
    <w:rsid w:val="00595053"/>
    <w:rsid w:val="00595EBC"/>
    <w:rsid w:val="00596629"/>
    <w:rsid w:val="0059665D"/>
    <w:rsid w:val="005A115F"/>
    <w:rsid w:val="005A1AAF"/>
    <w:rsid w:val="005B03D4"/>
    <w:rsid w:val="005B269F"/>
    <w:rsid w:val="005B4365"/>
    <w:rsid w:val="005B4774"/>
    <w:rsid w:val="005B4B9F"/>
    <w:rsid w:val="005B5449"/>
    <w:rsid w:val="005B67B9"/>
    <w:rsid w:val="005B6C15"/>
    <w:rsid w:val="005B7BE7"/>
    <w:rsid w:val="005B7FC4"/>
    <w:rsid w:val="005C039F"/>
    <w:rsid w:val="005C0ACE"/>
    <w:rsid w:val="005C0DE1"/>
    <w:rsid w:val="005C1F56"/>
    <w:rsid w:val="005C2E80"/>
    <w:rsid w:val="005C352E"/>
    <w:rsid w:val="005C3E8B"/>
    <w:rsid w:val="005C4CDA"/>
    <w:rsid w:val="005C69B5"/>
    <w:rsid w:val="005D03DE"/>
    <w:rsid w:val="005D0951"/>
    <w:rsid w:val="005D1334"/>
    <w:rsid w:val="005D13BC"/>
    <w:rsid w:val="005D1C7C"/>
    <w:rsid w:val="005D2465"/>
    <w:rsid w:val="005D3341"/>
    <w:rsid w:val="005D3BC9"/>
    <w:rsid w:val="005D5302"/>
    <w:rsid w:val="005E2143"/>
    <w:rsid w:val="005E2783"/>
    <w:rsid w:val="005E2821"/>
    <w:rsid w:val="005E3364"/>
    <w:rsid w:val="005E47B2"/>
    <w:rsid w:val="005E6E9D"/>
    <w:rsid w:val="005E7343"/>
    <w:rsid w:val="005E75AC"/>
    <w:rsid w:val="005F1833"/>
    <w:rsid w:val="005F278B"/>
    <w:rsid w:val="005F2E92"/>
    <w:rsid w:val="005F3384"/>
    <w:rsid w:val="005F3431"/>
    <w:rsid w:val="005F5EC0"/>
    <w:rsid w:val="005F7918"/>
    <w:rsid w:val="00603251"/>
    <w:rsid w:val="006033CC"/>
    <w:rsid w:val="00604149"/>
    <w:rsid w:val="006055B1"/>
    <w:rsid w:val="006055C7"/>
    <w:rsid w:val="006056F6"/>
    <w:rsid w:val="00605F68"/>
    <w:rsid w:val="0060767D"/>
    <w:rsid w:val="00615832"/>
    <w:rsid w:val="00615884"/>
    <w:rsid w:val="00615AAF"/>
    <w:rsid w:val="00616FB7"/>
    <w:rsid w:val="006214E3"/>
    <w:rsid w:val="006226A8"/>
    <w:rsid w:val="006234E3"/>
    <w:rsid w:val="00624346"/>
    <w:rsid w:val="006247BF"/>
    <w:rsid w:val="00625799"/>
    <w:rsid w:val="006257A1"/>
    <w:rsid w:val="00626209"/>
    <w:rsid w:val="006263E2"/>
    <w:rsid w:val="006273D6"/>
    <w:rsid w:val="00630B20"/>
    <w:rsid w:val="00631AE1"/>
    <w:rsid w:val="006321F7"/>
    <w:rsid w:val="0063342A"/>
    <w:rsid w:val="0063478C"/>
    <w:rsid w:val="0063553A"/>
    <w:rsid w:val="0063674F"/>
    <w:rsid w:val="00637347"/>
    <w:rsid w:val="00640B82"/>
    <w:rsid w:val="00641D76"/>
    <w:rsid w:val="006437DE"/>
    <w:rsid w:val="00644A91"/>
    <w:rsid w:val="00644CC9"/>
    <w:rsid w:val="00644CE8"/>
    <w:rsid w:val="00644CFC"/>
    <w:rsid w:val="00645D57"/>
    <w:rsid w:val="00645FC8"/>
    <w:rsid w:val="00646EAB"/>
    <w:rsid w:val="00647192"/>
    <w:rsid w:val="00651ECE"/>
    <w:rsid w:val="00652CAD"/>
    <w:rsid w:val="00653307"/>
    <w:rsid w:val="006536E4"/>
    <w:rsid w:val="00653D58"/>
    <w:rsid w:val="00654170"/>
    <w:rsid w:val="006550C9"/>
    <w:rsid w:val="0065521E"/>
    <w:rsid w:val="00657F2E"/>
    <w:rsid w:val="0066009E"/>
    <w:rsid w:val="00660989"/>
    <w:rsid w:val="00664285"/>
    <w:rsid w:val="006655E0"/>
    <w:rsid w:val="0066589E"/>
    <w:rsid w:val="00665BD3"/>
    <w:rsid w:val="0067049A"/>
    <w:rsid w:val="0067148E"/>
    <w:rsid w:val="00673C3B"/>
    <w:rsid w:val="0067600F"/>
    <w:rsid w:val="006774BB"/>
    <w:rsid w:val="006778C6"/>
    <w:rsid w:val="006814E1"/>
    <w:rsid w:val="00681D56"/>
    <w:rsid w:val="0068552F"/>
    <w:rsid w:val="0068601B"/>
    <w:rsid w:val="00687F61"/>
    <w:rsid w:val="00690283"/>
    <w:rsid w:val="0069214F"/>
    <w:rsid w:val="006924A3"/>
    <w:rsid w:val="006947D0"/>
    <w:rsid w:val="006948C6"/>
    <w:rsid w:val="00695405"/>
    <w:rsid w:val="006959EE"/>
    <w:rsid w:val="00696AEB"/>
    <w:rsid w:val="0069705A"/>
    <w:rsid w:val="00697402"/>
    <w:rsid w:val="006A2F0C"/>
    <w:rsid w:val="006A3E8A"/>
    <w:rsid w:val="006A48D2"/>
    <w:rsid w:val="006A5D04"/>
    <w:rsid w:val="006B0F1E"/>
    <w:rsid w:val="006B4E14"/>
    <w:rsid w:val="006B6E39"/>
    <w:rsid w:val="006B7410"/>
    <w:rsid w:val="006B7C82"/>
    <w:rsid w:val="006B7E13"/>
    <w:rsid w:val="006B7FB2"/>
    <w:rsid w:val="006C25FC"/>
    <w:rsid w:val="006C2959"/>
    <w:rsid w:val="006C3483"/>
    <w:rsid w:val="006C37C5"/>
    <w:rsid w:val="006C4A80"/>
    <w:rsid w:val="006C6CBD"/>
    <w:rsid w:val="006C7422"/>
    <w:rsid w:val="006C7469"/>
    <w:rsid w:val="006D08BA"/>
    <w:rsid w:val="006D2DBC"/>
    <w:rsid w:val="006D4D29"/>
    <w:rsid w:val="006D50EB"/>
    <w:rsid w:val="006D64B8"/>
    <w:rsid w:val="006D7D82"/>
    <w:rsid w:val="006E0E6F"/>
    <w:rsid w:val="006E0FFD"/>
    <w:rsid w:val="006E1353"/>
    <w:rsid w:val="006E286B"/>
    <w:rsid w:val="006E339E"/>
    <w:rsid w:val="006E54C2"/>
    <w:rsid w:val="006E57AB"/>
    <w:rsid w:val="006E5852"/>
    <w:rsid w:val="006E59B2"/>
    <w:rsid w:val="006E71EC"/>
    <w:rsid w:val="006E7A3C"/>
    <w:rsid w:val="006E7B4E"/>
    <w:rsid w:val="006F1133"/>
    <w:rsid w:val="006F1F41"/>
    <w:rsid w:val="006F1FF3"/>
    <w:rsid w:val="006F36D9"/>
    <w:rsid w:val="006F3C9F"/>
    <w:rsid w:val="006F4132"/>
    <w:rsid w:val="006F4948"/>
    <w:rsid w:val="006F4E5C"/>
    <w:rsid w:val="006F54A7"/>
    <w:rsid w:val="00700A67"/>
    <w:rsid w:val="00701F29"/>
    <w:rsid w:val="00702BC7"/>
    <w:rsid w:val="00702F48"/>
    <w:rsid w:val="00703154"/>
    <w:rsid w:val="00703C69"/>
    <w:rsid w:val="007048F0"/>
    <w:rsid w:val="00705F00"/>
    <w:rsid w:val="007079BF"/>
    <w:rsid w:val="00711530"/>
    <w:rsid w:val="00711B33"/>
    <w:rsid w:val="00711CF2"/>
    <w:rsid w:val="007126D4"/>
    <w:rsid w:val="007137AD"/>
    <w:rsid w:val="00714203"/>
    <w:rsid w:val="00714969"/>
    <w:rsid w:val="00714AFE"/>
    <w:rsid w:val="00714CDA"/>
    <w:rsid w:val="007151C7"/>
    <w:rsid w:val="0071521B"/>
    <w:rsid w:val="00720062"/>
    <w:rsid w:val="0072229F"/>
    <w:rsid w:val="00722584"/>
    <w:rsid w:val="007236DC"/>
    <w:rsid w:val="00724974"/>
    <w:rsid w:val="00725398"/>
    <w:rsid w:val="00726E37"/>
    <w:rsid w:val="0072740B"/>
    <w:rsid w:val="00727885"/>
    <w:rsid w:val="00727FB7"/>
    <w:rsid w:val="00730C91"/>
    <w:rsid w:val="00731395"/>
    <w:rsid w:val="0073171A"/>
    <w:rsid w:val="00737475"/>
    <w:rsid w:val="00737F49"/>
    <w:rsid w:val="00741F55"/>
    <w:rsid w:val="007439E1"/>
    <w:rsid w:val="00745CA8"/>
    <w:rsid w:val="007462E6"/>
    <w:rsid w:val="007472DA"/>
    <w:rsid w:val="007500B2"/>
    <w:rsid w:val="007500D8"/>
    <w:rsid w:val="00750DB6"/>
    <w:rsid w:val="00753AFC"/>
    <w:rsid w:val="00757CF2"/>
    <w:rsid w:val="007629FA"/>
    <w:rsid w:val="00762BDE"/>
    <w:rsid w:val="007632F6"/>
    <w:rsid w:val="00764032"/>
    <w:rsid w:val="00765461"/>
    <w:rsid w:val="007666BF"/>
    <w:rsid w:val="00767830"/>
    <w:rsid w:val="00774128"/>
    <w:rsid w:val="00774CC8"/>
    <w:rsid w:val="007753DF"/>
    <w:rsid w:val="007765BD"/>
    <w:rsid w:val="0077763C"/>
    <w:rsid w:val="00780523"/>
    <w:rsid w:val="00780686"/>
    <w:rsid w:val="007818A4"/>
    <w:rsid w:val="00781FE0"/>
    <w:rsid w:val="00782545"/>
    <w:rsid w:val="0078357A"/>
    <w:rsid w:val="007836D8"/>
    <w:rsid w:val="007854D2"/>
    <w:rsid w:val="00785F50"/>
    <w:rsid w:val="00786F96"/>
    <w:rsid w:val="00790A99"/>
    <w:rsid w:val="00791564"/>
    <w:rsid w:val="00792850"/>
    <w:rsid w:val="007933FA"/>
    <w:rsid w:val="00793ECE"/>
    <w:rsid w:val="00794C7E"/>
    <w:rsid w:val="00794D30"/>
    <w:rsid w:val="00795182"/>
    <w:rsid w:val="00795531"/>
    <w:rsid w:val="0079660B"/>
    <w:rsid w:val="0079674E"/>
    <w:rsid w:val="00797EFB"/>
    <w:rsid w:val="007A0DBF"/>
    <w:rsid w:val="007A10B5"/>
    <w:rsid w:val="007A293E"/>
    <w:rsid w:val="007A3B4A"/>
    <w:rsid w:val="007B152C"/>
    <w:rsid w:val="007B1EAF"/>
    <w:rsid w:val="007B1F9E"/>
    <w:rsid w:val="007B2244"/>
    <w:rsid w:val="007B2529"/>
    <w:rsid w:val="007B27E4"/>
    <w:rsid w:val="007B310B"/>
    <w:rsid w:val="007B4AB6"/>
    <w:rsid w:val="007B4DD7"/>
    <w:rsid w:val="007B54BD"/>
    <w:rsid w:val="007B576C"/>
    <w:rsid w:val="007B7961"/>
    <w:rsid w:val="007C19F2"/>
    <w:rsid w:val="007C1DFF"/>
    <w:rsid w:val="007C1E23"/>
    <w:rsid w:val="007C4E9F"/>
    <w:rsid w:val="007C4FB6"/>
    <w:rsid w:val="007C7ECD"/>
    <w:rsid w:val="007D000A"/>
    <w:rsid w:val="007D02C4"/>
    <w:rsid w:val="007D201D"/>
    <w:rsid w:val="007D6B46"/>
    <w:rsid w:val="007D7BFA"/>
    <w:rsid w:val="007D7F52"/>
    <w:rsid w:val="007E0A9F"/>
    <w:rsid w:val="007E1AC7"/>
    <w:rsid w:val="007E1BFB"/>
    <w:rsid w:val="007E34D9"/>
    <w:rsid w:val="007E4605"/>
    <w:rsid w:val="007E6458"/>
    <w:rsid w:val="007E674B"/>
    <w:rsid w:val="007E6FD8"/>
    <w:rsid w:val="007E7252"/>
    <w:rsid w:val="007F0AA0"/>
    <w:rsid w:val="007F1838"/>
    <w:rsid w:val="007F1A44"/>
    <w:rsid w:val="007F22C9"/>
    <w:rsid w:val="007F2FAE"/>
    <w:rsid w:val="007F330B"/>
    <w:rsid w:val="007F4ABC"/>
    <w:rsid w:val="007F7B8A"/>
    <w:rsid w:val="008009E6"/>
    <w:rsid w:val="0080141A"/>
    <w:rsid w:val="00801818"/>
    <w:rsid w:val="00801DB3"/>
    <w:rsid w:val="00802AF2"/>
    <w:rsid w:val="00802DEA"/>
    <w:rsid w:val="008053AA"/>
    <w:rsid w:val="008066BA"/>
    <w:rsid w:val="00806B17"/>
    <w:rsid w:val="0081024A"/>
    <w:rsid w:val="00810CD2"/>
    <w:rsid w:val="00812DBE"/>
    <w:rsid w:val="008145C3"/>
    <w:rsid w:val="008148F5"/>
    <w:rsid w:val="00814C6D"/>
    <w:rsid w:val="00815C13"/>
    <w:rsid w:val="0081600D"/>
    <w:rsid w:val="00817EB5"/>
    <w:rsid w:val="008202DA"/>
    <w:rsid w:val="008207F6"/>
    <w:rsid w:val="00820BE3"/>
    <w:rsid w:val="00822604"/>
    <w:rsid w:val="0082329C"/>
    <w:rsid w:val="0082445B"/>
    <w:rsid w:val="00824820"/>
    <w:rsid w:val="00824C79"/>
    <w:rsid w:val="00826B15"/>
    <w:rsid w:val="00830321"/>
    <w:rsid w:val="00832557"/>
    <w:rsid w:val="008329B4"/>
    <w:rsid w:val="00832D64"/>
    <w:rsid w:val="00832FB3"/>
    <w:rsid w:val="008332B6"/>
    <w:rsid w:val="0083509C"/>
    <w:rsid w:val="008350B0"/>
    <w:rsid w:val="0083516D"/>
    <w:rsid w:val="008367F6"/>
    <w:rsid w:val="0084045E"/>
    <w:rsid w:val="00842FCC"/>
    <w:rsid w:val="00843C99"/>
    <w:rsid w:val="00843FB1"/>
    <w:rsid w:val="00845010"/>
    <w:rsid w:val="00845B8A"/>
    <w:rsid w:val="00845F1E"/>
    <w:rsid w:val="0084655D"/>
    <w:rsid w:val="00847944"/>
    <w:rsid w:val="0085044E"/>
    <w:rsid w:val="00852DC1"/>
    <w:rsid w:val="0085430A"/>
    <w:rsid w:val="00856042"/>
    <w:rsid w:val="00856110"/>
    <w:rsid w:val="0086211E"/>
    <w:rsid w:val="0086239F"/>
    <w:rsid w:val="00863E92"/>
    <w:rsid w:val="0086453C"/>
    <w:rsid w:val="00864A30"/>
    <w:rsid w:val="00864BF1"/>
    <w:rsid w:val="00864D2F"/>
    <w:rsid w:val="00865636"/>
    <w:rsid w:val="0086585A"/>
    <w:rsid w:val="0086657E"/>
    <w:rsid w:val="0086669D"/>
    <w:rsid w:val="00871393"/>
    <w:rsid w:val="008714AB"/>
    <w:rsid w:val="00871558"/>
    <w:rsid w:val="00871978"/>
    <w:rsid w:val="00874556"/>
    <w:rsid w:val="00875664"/>
    <w:rsid w:val="0087571A"/>
    <w:rsid w:val="008774DB"/>
    <w:rsid w:val="00880840"/>
    <w:rsid w:val="0088216F"/>
    <w:rsid w:val="00883E91"/>
    <w:rsid w:val="00885F3F"/>
    <w:rsid w:val="00887001"/>
    <w:rsid w:val="00887541"/>
    <w:rsid w:val="00890015"/>
    <w:rsid w:val="008905C7"/>
    <w:rsid w:val="00891115"/>
    <w:rsid w:val="00891D55"/>
    <w:rsid w:val="00892050"/>
    <w:rsid w:val="0089273A"/>
    <w:rsid w:val="00897E9D"/>
    <w:rsid w:val="008A0F0D"/>
    <w:rsid w:val="008A1452"/>
    <w:rsid w:val="008A2754"/>
    <w:rsid w:val="008A2D47"/>
    <w:rsid w:val="008A3747"/>
    <w:rsid w:val="008A3C64"/>
    <w:rsid w:val="008A407B"/>
    <w:rsid w:val="008A4A04"/>
    <w:rsid w:val="008A5E7D"/>
    <w:rsid w:val="008A6735"/>
    <w:rsid w:val="008B1AC9"/>
    <w:rsid w:val="008B35AB"/>
    <w:rsid w:val="008B3A0C"/>
    <w:rsid w:val="008B3C37"/>
    <w:rsid w:val="008B3D4C"/>
    <w:rsid w:val="008B4E6B"/>
    <w:rsid w:val="008B6276"/>
    <w:rsid w:val="008B7415"/>
    <w:rsid w:val="008B7D4C"/>
    <w:rsid w:val="008C0FEB"/>
    <w:rsid w:val="008C4AAD"/>
    <w:rsid w:val="008C4C64"/>
    <w:rsid w:val="008C4CF9"/>
    <w:rsid w:val="008C56CC"/>
    <w:rsid w:val="008C6440"/>
    <w:rsid w:val="008D1203"/>
    <w:rsid w:val="008D4086"/>
    <w:rsid w:val="008D4E45"/>
    <w:rsid w:val="008D7374"/>
    <w:rsid w:val="008D7D82"/>
    <w:rsid w:val="008D7DE3"/>
    <w:rsid w:val="008E0036"/>
    <w:rsid w:val="008E044B"/>
    <w:rsid w:val="008E0879"/>
    <w:rsid w:val="008E1E2D"/>
    <w:rsid w:val="008E2229"/>
    <w:rsid w:val="008E4A94"/>
    <w:rsid w:val="008E4DCC"/>
    <w:rsid w:val="008E7288"/>
    <w:rsid w:val="008E74F4"/>
    <w:rsid w:val="008F0DBF"/>
    <w:rsid w:val="008F11F2"/>
    <w:rsid w:val="008F150A"/>
    <w:rsid w:val="008F192E"/>
    <w:rsid w:val="008F1FC9"/>
    <w:rsid w:val="008F68E7"/>
    <w:rsid w:val="00902C9F"/>
    <w:rsid w:val="00904FDA"/>
    <w:rsid w:val="00906462"/>
    <w:rsid w:val="00906537"/>
    <w:rsid w:val="00906E1E"/>
    <w:rsid w:val="00907726"/>
    <w:rsid w:val="00910CF1"/>
    <w:rsid w:val="00912BDF"/>
    <w:rsid w:val="00913923"/>
    <w:rsid w:val="009149EC"/>
    <w:rsid w:val="00914A62"/>
    <w:rsid w:val="00914DBF"/>
    <w:rsid w:val="00915AAD"/>
    <w:rsid w:val="00916865"/>
    <w:rsid w:val="009169BD"/>
    <w:rsid w:val="00916DAA"/>
    <w:rsid w:val="00917903"/>
    <w:rsid w:val="00921211"/>
    <w:rsid w:val="00922EF6"/>
    <w:rsid w:val="009232C0"/>
    <w:rsid w:val="00923FDC"/>
    <w:rsid w:val="00925C76"/>
    <w:rsid w:val="009264C5"/>
    <w:rsid w:val="00926978"/>
    <w:rsid w:val="00927D9B"/>
    <w:rsid w:val="00930A76"/>
    <w:rsid w:val="00931A29"/>
    <w:rsid w:val="00931FDF"/>
    <w:rsid w:val="00933053"/>
    <w:rsid w:val="00935728"/>
    <w:rsid w:val="009366A3"/>
    <w:rsid w:val="009370AB"/>
    <w:rsid w:val="00940525"/>
    <w:rsid w:val="00941745"/>
    <w:rsid w:val="00941E1D"/>
    <w:rsid w:val="00942220"/>
    <w:rsid w:val="009459C9"/>
    <w:rsid w:val="009469E1"/>
    <w:rsid w:val="00946B5E"/>
    <w:rsid w:val="00946CF6"/>
    <w:rsid w:val="00947792"/>
    <w:rsid w:val="00950A23"/>
    <w:rsid w:val="00951185"/>
    <w:rsid w:val="00952112"/>
    <w:rsid w:val="00953EFC"/>
    <w:rsid w:val="0095448A"/>
    <w:rsid w:val="00954BA1"/>
    <w:rsid w:val="0095648F"/>
    <w:rsid w:val="009577CA"/>
    <w:rsid w:val="00960385"/>
    <w:rsid w:val="009611E4"/>
    <w:rsid w:val="00961D06"/>
    <w:rsid w:val="0096270F"/>
    <w:rsid w:val="00965187"/>
    <w:rsid w:val="00970715"/>
    <w:rsid w:val="00970906"/>
    <w:rsid w:val="00970954"/>
    <w:rsid w:val="00970CB2"/>
    <w:rsid w:val="00971AD4"/>
    <w:rsid w:val="009729DB"/>
    <w:rsid w:val="00972E34"/>
    <w:rsid w:val="0097435F"/>
    <w:rsid w:val="0097450E"/>
    <w:rsid w:val="00976A71"/>
    <w:rsid w:val="00977541"/>
    <w:rsid w:val="00981D0B"/>
    <w:rsid w:val="00981D45"/>
    <w:rsid w:val="00984D45"/>
    <w:rsid w:val="00985A94"/>
    <w:rsid w:val="00987E44"/>
    <w:rsid w:val="009902AF"/>
    <w:rsid w:val="00990666"/>
    <w:rsid w:val="00992F17"/>
    <w:rsid w:val="00993803"/>
    <w:rsid w:val="0099412A"/>
    <w:rsid w:val="009961D9"/>
    <w:rsid w:val="00996CE7"/>
    <w:rsid w:val="009A1039"/>
    <w:rsid w:val="009A1136"/>
    <w:rsid w:val="009A27E3"/>
    <w:rsid w:val="009A3CFA"/>
    <w:rsid w:val="009A461E"/>
    <w:rsid w:val="009A49D8"/>
    <w:rsid w:val="009A4C0C"/>
    <w:rsid w:val="009A5983"/>
    <w:rsid w:val="009A6C90"/>
    <w:rsid w:val="009B0058"/>
    <w:rsid w:val="009B013B"/>
    <w:rsid w:val="009B0186"/>
    <w:rsid w:val="009B16E1"/>
    <w:rsid w:val="009B24AD"/>
    <w:rsid w:val="009B5959"/>
    <w:rsid w:val="009B6017"/>
    <w:rsid w:val="009B7BB2"/>
    <w:rsid w:val="009C004D"/>
    <w:rsid w:val="009C0722"/>
    <w:rsid w:val="009C1755"/>
    <w:rsid w:val="009C1C37"/>
    <w:rsid w:val="009C37CC"/>
    <w:rsid w:val="009C3B1C"/>
    <w:rsid w:val="009C3E7D"/>
    <w:rsid w:val="009C5116"/>
    <w:rsid w:val="009C6C53"/>
    <w:rsid w:val="009D017C"/>
    <w:rsid w:val="009D22AF"/>
    <w:rsid w:val="009D41DE"/>
    <w:rsid w:val="009D4400"/>
    <w:rsid w:val="009D4C02"/>
    <w:rsid w:val="009D527B"/>
    <w:rsid w:val="009D5660"/>
    <w:rsid w:val="009D5A46"/>
    <w:rsid w:val="009D5AFD"/>
    <w:rsid w:val="009D6618"/>
    <w:rsid w:val="009D6785"/>
    <w:rsid w:val="009E0D53"/>
    <w:rsid w:val="009E2FC1"/>
    <w:rsid w:val="009E4508"/>
    <w:rsid w:val="009E4B3F"/>
    <w:rsid w:val="009E5872"/>
    <w:rsid w:val="009E6220"/>
    <w:rsid w:val="009F0D0F"/>
    <w:rsid w:val="009F118D"/>
    <w:rsid w:val="009F173E"/>
    <w:rsid w:val="009F1BB7"/>
    <w:rsid w:val="009F339F"/>
    <w:rsid w:val="009F3670"/>
    <w:rsid w:val="009F410C"/>
    <w:rsid w:val="009F7B06"/>
    <w:rsid w:val="00A000AE"/>
    <w:rsid w:val="00A02819"/>
    <w:rsid w:val="00A02ADB"/>
    <w:rsid w:val="00A03FEF"/>
    <w:rsid w:val="00A041C2"/>
    <w:rsid w:val="00A05758"/>
    <w:rsid w:val="00A05A30"/>
    <w:rsid w:val="00A05ACE"/>
    <w:rsid w:val="00A05BF7"/>
    <w:rsid w:val="00A06686"/>
    <w:rsid w:val="00A07B00"/>
    <w:rsid w:val="00A07BF6"/>
    <w:rsid w:val="00A12CD1"/>
    <w:rsid w:val="00A14F3F"/>
    <w:rsid w:val="00A17FFD"/>
    <w:rsid w:val="00A21E56"/>
    <w:rsid w:val="00A239F8"/>
    <w:rsid w:val="00A24517"/>
    <w:rsid w:val="00A247E8"/>
    <w:rsid w:val="00A247F8"/>
    <w:rsid w:val="00A255EF"/>
    <w:rsid w:val="00A256E1"/>
    <w:rsid w:val="00A26EBF"/>
    <w:rsid w:val="00A27CDD"/>
    <w:rsid w:val="00A32E36"/>
    <w:rsid w:val="00A33343"/>
    <w:rsid w:val="00A34A5A"/>
    <w:rsid w:val="00A3633A"/>
    <w:rsid w:val="00A37F8A"/>
    <w:rsid w:val="00A406CE"/>
    <w:rsid w:val="00A40887"/>
    <w:rsid w:val="00A42026"/>
    <w:rsid w:val="00A421A4"/>
    <w:rsid w:val="00A42975"/>
    <w:rsid w:val="00A42D87"/>
    <w:rsid w:val="00A45E7C"/>
    <w:rsid w:val="00A4625D"/>
    <w:rsid w:val="00A46684"/>
    <w:rsid w:val="00A46BEF"/>
    <w:rsid w:val="00A46CC7"/>
    <w:rsid w:val="00A474FB"/>
    <w:rsid w:val="00A519BF"/>
    <w:rsid w:val="00A52477"/>
    <w:rsid w:val="00A53F6A"/>
    <w:rsid w:val="00A54A32"/>
    <w:rsid w:val="00A5555D"/>
    <w:rsid w:val="00A5568D"/>
    <w:rsid w:val="00A56FED"/>
    <w:rsid w:val="00A57228"/>
    <w:rsid w:val="00A602FF"/>
    <w:rsid w:val="00A6406F"/>
    <w:rsid w:val="00A64620"/>
    <w:rsid w:val="00A6546C"/>
    <w:rsid w:val="00A65DEE"/>
    <w:rsid w:val="00A663FE"/>
    <w:rsid w:val="00A66466"/>
    <w:rsid w:val="00A664E2"/>
    <w:rsid w:val="00A6704D"/>
    <w:rsid w:val="00A672F4"/>
    <w:rsid w:val="00A70E8E"/>
    <w:rsid w:val="00A7274A"/>
    <w:rsid w:val="00A734BC"/>
    <w:rsid w:val="00A752C0"/>
    <w:rsid w:val="00A758D4"/>
    <w:rsid w:val="00A75DCD"/>
    <w:rsid w:val="00A76A70"/>
    <w:rsid w:val="00A76AE4"/>
    <w:rsid w:val="00A81DDB"/>
    <w:rsid w:val="00A82CE2"/>
    <w:rsid w:val="00A84240"/>
    <w:rsid w:val="00A84774"/>
    <w:rsid w:val="00A84DF2"/>
    <w:rsid w:val="00A857D8"/>
    <w:rsid w:val="00A85A0E"/>
    <w:rsid w:val="00A861D0"/>
    <w:rsid w:val="00A87E40"/>
    <w:rsid w:val="00A90246"/>
    <w:rsid w:val="00A90371"/>
    <w:rsid w:val="00A921AF"/>
    <w:rsid w:val="00A923A2"/>
    <w:rsid w:val="00A92C13"/>
    <w:rsid w:val="00A93E3A"/>
    <w:rsid w:val="00A94724"/>
    <w:rsid w:val="00A954CB"/>
    <w:rsid w:val="00A966BB"/>
    <w:rsid w:val="00A97743"/>
    <w:rsid w:val="00A97BA7"/>
    <w:rsid w:val="00AA012E"/>
    <w:rsid w:val="00AA0A0A"/>
    <w:rsid w:val="00AA0D24"/>
    <w:rsid w:val="00AA10A8"/>
    <w:rsid w:val="00AA1B55"/>
    <w:rsid w:val="00AA2357"/>
    <w:rsid w:val="00AA24C6"/>
    <w:rsid w:val="00AA36C2"/>
    <w:rsid w:val="00AA77BC"/>
    <w:rsid w:val="00AA7FEE"/>
    <w:rsid w:val="00AB2348"/>
    <w:rsid w:val="00AB25A1"/>
    <w:rsid w:val="00AB265E"/>
    <w:rsid w:val="00AB4541"/>
    <w:rsid w:val="00AB64F9"/>
    <w:rsid w:val="00AB713C"/>
    <w:rsid w:val="00AB7F11"/>
    <w:rsid w:val="00AC0572"/>
    <w:rsid w:val="00AC1A9B"/>
    <w:rsid w:val="00AC312C"/>
    <w:rsid w:val="00AC4EE7"/>
    <w:rsid w:val="00AC6B9D"/>
    <w:rsid w:val="00AC6FC1"/>
    <w:rsid w:val="00AC75FA"/>
    <w:rsid w:val="00AD045F"/>
    <w:rsid w:val="00AD065C"/>
    <w:rsid w:val="00AD0BE5"/>
    <w:rsid w:val="00AD1886"/>
    <w:rsid w:val="00AD3426"/>
    <w:rsid w:val="00AD343A"/>
    <w:rsid w:val="00AD3BAA"/>
    <w:rsid w:val="00AD3D0F"/>
    <w:rsid w:val="00AD449C"/>
    <w:rsid w:val="00AD6730"/>
    <w:rsid w:val="00AD6B21"/>
    <w:rsid w:val="00AD708B"/>
    <w:rsid w:val="00AE1018"/>
    <w:rsid w:val="00AE1A56"/>
    <w:rsid w:val="00AE305D"/>
    <w:rsid w:val="00AE35CE"/>
    <w:rsid w:val="00AE3632"/>
    <w:rsid w:val="00AF0F42"/>
    <w:rsid w:val="00AF2142"/>
    <w:rsid w:val="00AF4FB7"/>
    <w:rsid w:val="00AF6800"/>
    <w:rsid w:val="00AF69D5"/>
    <w:rsid w:val="00B00BF6"/>
    <w:rsid w:val="00B00E45"/>
    <w:rsid w:val="00B019C2"/>
    <w:rsid w:val="00B02620"/>
    <w:rsid w:val="00B0508A"/>
    <w:rsid w:val="00B06292"/>
    <w:rsid w:val="00B068A2"/>
    <w:rsid w:val="00B07143"/>
    <w:rsid w:val="00B07167"/>
    <w:rsid w:val="00B072B7"/>
    <w:rsid w:val="00B11018"/>
    <w:rsid w:val="00B11ADA"/>
    <w:rsid w:val="00B12400"/>
    <w:rsid w:val="00B12AB7"/>
    <w:rsid w:val="00B13AEF"/>
    <w:rsid w:val="00B14345"/>
    <w:rsid w:val="00B14AB8"/>
    <w:rsid w:val="00B14C69"/>
    <w:rsid w:val="00B15869"/>
    <w:rsid w:val="00B16E54"/>
    <w:rsid w:val="00B173B4"/>
    <w:rsid w:val="00B208D9"/>
    <w:rsid w:val="00B20F6B"/>
    <w:rsid w:val="00B2241A"/>
    <w:rsid w:val="00B22C5A"/>
    <w:rsid w:val="00B23003"/>
    <w:rsid w:val="00B24086"/>
    <w:rsid w:val="00B24978"/>
    <w:rsid w:val="00B24C51"/>
    <w:rsid w:val="00B25976"/>
    <w:rsid w:val="00B25EA2"/>
    <w:rsid w:val="00B25FBB"/>
    <w:rsid w:val="00B269F4"/>
    <w:rsid w:val="00B27A9F"/>
    <w:rsid w:val="00B30114"/>
    <w:rsid w:val="00B31060"/>
    <w:rsid w:val="00B31506"/>
    <w:rsid w:val="00B3150C"/>
    <w:rsid w:val="00B3259D"/>
    <w:rsid w:val="00B32CD7"/>
    <w:rsid w:val="00B36059"/>
    <w:rsid w:val="00B3654F"/>
    <w:rsid w:val="00B3705B"/>
    <w:rsid w:val="00B374B2"/>
    <w:rsid w:val="00B37B09"/>
    <w:rsid w:val="00B40BF8"/>
    <w:rsid w:val="00B40C27"/>
    <w:rsid w:val="00B4220A"/>
    <w:rsid w:val="00B42D75"/>
    <w:rsid w:val="00B44A12"/>
    <w:rsid w:val="00B450FD"/>
    <w:rsid w:val="00B45FDE"/>
    <w:rsid w:val="00B46DFD"/>
    <w:rsid w:val="00B51261"/>
    <w:rsid w:val="00B5210A"/>
    <w:rsid w:val="00B52F84"/>
    <w:rsid w:val="00B53CD6"/>
    <w:rsid w:val="00B53CF5"/>
    <w:rsid w:val="00B540DC"/>
    <w:rsid w:val="00B56438"/>
    <w:rsid w:val="00B56695"/>
    <w:rsid w:val="00B56F20"/>
    <w:rsid w:val="00B57F98"/>
    <w:rsid w:val="00B60E9A"/>
    <w:rsid w:val="00B61D02"/>
    <w:rsid w:val="00B627EA"/>
    <w:rsid w:val="00B62D4C"/>
    <w:rsid w:val="00B63A5A"/>
    <w:rsid w:val="00B64F47"/>
    <w:rsid w:val="00B66B24"/>
    <w:rsid w:val="00B66E22"/>
    <w:rsid w:val="00B679EB"/>
    <w:rsid w:val="00B67CB4"/>
    <w:rsid w:val="00B70500"/>
    <w:rsid w:val="00B7200D"/>
    <w:rsid w:val="00B72764"/>
    <w:rsid w:val="00B72F19"/>
    <w:rsid w:val="00B75699"/>
    <w:rsid w:val="00B75DE2"/>
    <w:rsid w:val="00B77181"/>
    <w:rsid w:val="00B775F1"/>
    <w:rsid w:val="00B80CD4"/>
    <w:rsid w:val="00B8102B"/>
    <w:rsid w:val="00B828B7"/>
    <w:rsid w:val="00B83B71"/>
    <w:rsid w:val="00B85148"/>
    <w:rsid w:val="00B86319"/>
    <w:rsid w:val="00B86520"/>
    <w:rsid w:val="00B86758"/>
    <w:rsid w:val="00B87392"/>
    <w:rsid w:val="00B87B74"/>
    <w:rsid w:val="00B9111A"/>
    <w:rsid w:val="00B91E7B"/>
    <w:rsid w:val="00B93302"/>
    <w:rsid w:val="00B93485"/>
    <w:rsid w:val="00B93899"/>
    <w:rsid w:val="00B94B58"/>
    <w:rsid w:val="00B95138"/>
    <w:rsid w:val="00B96196"/>
    <w:rsid w:val="00BA0F7D"/>
    <w:rsid w:val="00BA2DDB"/>
    <w:rsid w:val="00BA3BD7"/>
    <w:rsid w:val="00BA4983"/>
    <w:rsid w:val="00BA4B14"/>
    <w:rsid w:val="00BA5916"/>
    <w:rsid w:val="00BA7FC3"/>
    <w:rsid w:val="00BB1787"/>
    <w:rsid w:val="00BB2FC4"/>
    <w:rsid w:val="00BB2FEE"/>
    <w:rsid w:val="00BB417F"/>
    <w:rsid w:val="00BB44E2"/>
    <w:rsid w:val="00BB6CFA"/>
    <w:rsid w:val="00BB7EA2"/>
    <w:rsid w:val="00BC1185"/>
    <w:rsid w:val="00BC160F"/>
    <w:rsid w:val="00BC1CAE"/>
    <w:rsid w:val="00BC34AF"/>
    <w:rsid w:val="00BC44F8"/>
    <w:rsid w:val="00BC5749"/>
    <w:rsid w:val="00BC5A8F"/>
    <w:rsid w:val="00BC7534"/>
    <w:rsid w:val="00BC7E68"/>
    <w:rsid w:val="00BD1FC8"/>
    <w:rsid w:val="00BD31DD"/>
    <w:rsid w:val="00BD3374"/>
    <w:rsid w:val="00BD4476"/>
    <w:rsid w:val="00BD59AC"/>
    <w:rsid w:val="00BD6044"/>
    <w:rsid w:val="00BD703A"/>
    <w:rsid w:val="00BD72AC"/>
    <w:rsid w:val="00BD7F0C"/>
    <w:rsid w:val="00BE0FEC"/>
    <w:rsid w:val="00BE1D4F"/>
    <w:rsid w:val="00BE27E5"/>
    <w:rsid w:val="00BE366A"/>
    <w:rsid w:val="00BE3706"/>
    <w:rsid w:val="00BE3A58"/>
    <w:rsid w:val="00BE5116"/>
    <w:rsid w:val="00BE65D1"/>
    <w:rsid w:val="00BE74B5"/>
    <w:rsid w:val="00BE76EC"/>
    <w:rsid w:val="00BF11DE"/>
    <w:rsid w:val="00BF1416"/>
    <w:rsid w:val="00BF161A"/>
    <w:rsid w:val="00BF2036"/>
    <w:rsid w:val="00BF246C"/>
    <w:rsid w:val="00BF2C56"/>
    <w:rsid w:val="00BF301A"/>
    <w:rsid w:val="00BF30A0"/>
    <w:rsid w:val="00BF3D0A"/>
    <w:rsid w:val="00BF6216"/>
    <w:rsid w:val="00BF7359"/>
    <w:rsid w:val="00C00F5D"/>
    <w:rsid w:val="00C029C0"/>
    <w:rsid w:val="00C03295"/>
    <w:rsid w:val="00C04AC0"/>
    <w:rsid w:val="00C04FA1"/>
    <w:rsid w:val="00C05A5C"/>
    <w:rsid w:val="00C07CC8"/>
    <w:rsid w:val="00C10D30"/>
    <w:rsid w:val="00C11152"/>
    <w:rsid w:val="00C119D8"/>
    <w:rsid w:val="00C12101"/>
    <w:rsid w:val="00C12E7F"/>
    <w:rsid w:val="00C148DC"/>
    <w:rsid w:val="00C16F7A"/>
    <w:rsid w:val="00C20CC0"/>
    <w:rsid w:val="00C239F7"/>
    <w:rsid w:val="00C24626"/>
    <w:rsid w:val="00C2486C"/>
    <w:rsid w:val="00C260C5"/>
    <w:rsid w:val="00C2631D"/>
    <w:rsid w:val="00C272E5"/>
    <w:rsid w:val="00C3107A"/>
    <w:rsid w:val="00C3126E"/>
    <w:rsid w:val="00C326C8"/>
    <w:rsid w:val="00C33ABA"/>
    <w:rsid w:val="00C355EC"/>
    <w:rsid w:val="00C378D8"/>
    <w:rsid w:val="00C37A3F"/>
    <w:rsid w:val="00C37F61"/>
    <w:rsid w:val="00C439C4"/>
    <w:rsid w:val="00C4521A"/>
    <w:rsid w:val="00C45797"/>
    <w:rsid w:val="00C45F58"/>
    <w:rsid w:val="00C4651F"/>
    <w:rsid w:val="00C46A12"/>
    <w:rsid w:val="00C46B40"/>
    <w:rsid w:val="00C500CE"/>
    <w:rsid w:val="00C501A6"/>
    <w:rsid w:val="00C50DEF"/>
    <w:rsid w:val="00C51C0D"/>
    <w:rsid w:val="00C525CB"/>
    <w:rsid w:val="00C53112"/>
    <w:rsid w:val="00C543EC"/>
    <w:rsid w:val="00C557C2"/>
    <w:rsid w:val="00C55F94"/>
    <w:rsid w:val="00C56C59"/>
    <w:rsid w:val="00C56CD6"/>
    <w:rsid w:val="00C6021B"/>
    <w:rsid w:val="00C61866"/>
    <w:rsid w:val="00C623E9"/>
    <w:rsid w:val="00C64BB8"/>
    <w:rsid w:val="00C64C24"/>
    <w:rsid w:val="00C65BC0"/>
    <w:rsid w:val="00C67961"/>
    <w:rsid w:val="00C67C02"/>
    <w:rsid w:val="00C7044D"/>
    <w:rsid w:val="00C70E7F"/>
    <w:rsid w:val="00C70F60"/>
    <w:rsid w:val="00C718DD"/>
    <w:rsid w:val="00C71FF3"/>
    <w:rsid w:val="00C72387"/>
    <w:rsid w:val="00C72AA9"/>
    <w:rsid w:val="00C74BA8"/>
    <w:rsid w:val="00C74CF8"/>
    <w:rsid w:val="00C75249"/>
    <w:rsid w:val="00C75B95"/>
    <w:rsid w:val="00C75D4E"/>
    <w:rsid w:val="00C803EE"/>
    <w:rsid w:val="00C81505"/>
    <w:rsid w:val="00C8155A"/>
    <w:rsid w:val="00C81815"/>
    <w:rsid w:val="00C829D5"/>
    <w:rsid w:val="00C8518E"/>
    <w:rsid w:val="00C86DED"/>
    <w:rsid w:val="00C87F03"/>
    <w:rsid w:val="00C90BD2"/>
    <w:rsid w:val="00C90EAD"/>
    <w:rsid w:val="00C9261D"/>
    <w:rsid w:val="00C94913"/>
    <w:rsid w:val="00C96E11"/>
    <w:rsid w:val="00CA0257"/>
    <w:rsid w:val="00CA0559"/>
    <w:rsid w:val="00CA37AB"/>
    <w:rsid w:val="00CA6D1C"/>
    <w:rsid w:val="00CB2BD5"/>
    <w:rsid w:val="00CB318B"/>
    <w:rsid w:val="00CB43F7"/>
    <w:rsid w:val="00CB7988"/>
    <w:rsid w:val="00CB7E75"/>
    <w:rsid w:val="00CC4C24"/>
    <w:rsid w:val="00CC5342"/>
    <w:rsid w:val="00CC59F1"/>
    <w:rsid w:val="00CC6405"/>
    <w:rsid w:val="00CC75B5"/>
    <w:rsid w:val="00CC7786"/>
    <w:rsid w:val="00CC7CC3"/>
    <w:rsid w:val="00CD0152"/>
    <w:rsid w:val="00CD10BE"/>
    <w:rsid w:val="00CD2122"/>
    <w:rsid w:val="00CD3C62"/>
    <w:rsid w:val="00CD4277"/>
    <w:rsid w:val="00CD463D"/>
    <w:rsid w:val="00CD55BD"/>
    <w:rsid w:val="00CD661D"/>
    <w:rsid w:val="00CD6D19"/>
    <w:rsid w:val="00CE45AF"/>
    <w:rsid w:val="00CE5E4D"/>
    <w:rsid w:val="00CE7A05"/>
    <w:rsid w:val="00CF0B76"/>
    <w:rsid w:val="00CF1409"/>
    <w:rsid w:val="00CF4E0D"/>
    <w:rsid w:val="00D00FE6"/>
    <w:rsid w:val="00D011F9"/>
    <w:rsid w:val="00D01607"/>
    <w:rsid w:val="00D05301"/>
    <w:rsid w:val="00D0560C"/>
    <w:rsid w:val="00D05768"/>
    <w:rsid w:val="00D059BC"/>
    <w:rsid w:val="00D05B9F"/>
    <w:rsid w:val="00D10573"/>
    <w:rsid w:val="00D12004"/>
    <w:rsid w:val="00D13F8F"/>
    <w:rsid w:val="00D16BBF"/>
    <w:rsid w:val="00D1774C"/>
    <w:rsid w:val="00D20722"/>
    <w:rsid w:val="00D2189D"/>
    <w:rsid w:val="00D21D96"/>
    <w:rsid w:val="00D232E4"/>
    <w:rsid w:val="00D237D3"/>
    <w:rsid w:val="00D241E7"/>
    <w:rsid w:val="00D244B7"/>
    <w:rsid w:val="00D2573E"/>
    <w:rsid w:val="00D257FF"/>
    <w:rsid w:val="00D265AE"/>
    <w:rsid w:val="00D26735"/>
    <w:rsid w:val="00D30ED9"/>
    <w:rsid w:val="00D31559"/>
    <w:rsid w:val="00D3170E"/>
    <w:rsid w:val="00D3176B"/>
    <w:rsid w:val="00D32700"/>
    <w:rsid w:val="00D32DFF"/>
    <w:rsid w:val="00D34A7D"/>
    <w:rsid w:val="00D3599F"/>
    <w:rsid w:val="00D37282"/>
    <w:rsid w:val="00D376E1"/>
    <w:rsid w:val="00D37E82"/>
    <w:rsid w:val="00D44895"/>
    <w:rsid w:val="00D45283"/>
    <w:rsid w:val="00D45DD3"/>
    <w:rsid w:val="00D50024"/>
    <w:rsid w:val="00D5173B"/>
    <w:rsid w:val="00D51BBB"/>
    <w:rsid w:val="00D52349"/>
    <w:rsid w:val="00D5291D"/>
    <w:rsid w:val="00D52E4D"/>
    <w:rsid w:val="00D536EE"/>
    <w:rsid w:val="00D53D9D"/>
    <w:rsid w:val="00D54FBF"/>
    <w:rsid w:val="00D55E52"/>
    <w:rsid w:val="00D55F88"/>
    <w:rsid w:val="00D57621"/>
    <w:rsid w:val="00D601AF"/>
    <w:rsid w:val="00D613BF"/>
    <w:rsid w:val="00D61489"/>
    <w:rsid w:val="00D6284C"/>
    <w:rsid w:val="00D62F15"/>
    <w:rsid w:val="00D63F70"/>
    <w:rsid w:val="00D64E97"/>
    <w:rsid w:val="00D652CF"/>
    <w:rsid w:val="00D67389"/>
    <w:rsid w:val="00D67FCE"/>
    <w:rsid w:val="00D71081"/>
    <w:rsid w:val="00D712A5"/>
    <w:rsid w:val="00D71D49"/>
    <w:rsid w:val="00D72507"/>
    <w:rsid w:val="00D73531"/>
    <w:rsid w:val="00D75778"/>
    <w:rsid w:val="00D764D2"/>
    <w:rsid w:val="00D770F2"/>
    <w:rsid w:val="00D77549"/>
    <w:rsid w:val="00D827B9"/>
    <w:rsid w:val="00D8359A"/>
    <w:rsid w:val="00D84948"/>
    <w:rsid w:val="00D8549E"/>
    <w:rsid w:val="00D85FBE"/>
    <w:rsid w:val="00D86A4D"/>
    <w:rsid w:val="00D90562"/>
    <w:rsid w:val="00D90C68"/>
    <w:rsid w:val="00D9253C"/>
    <w:rsid w:val="00D93551"/>
    <w:rsid w:val="00D94793"/>
    <w:rsid w:val="00D959FA"/>
    <w:rsid w:val="00D95D57"/>
    <w:rsid w:val="00D968A5"/>
    <w:rsid w:val="00D970F9"/>
    <w:rsid w:val="00D9745C"/>
    <w:rsid w:val="00D97A9A"/>
    <w:rsid w:val="00DA27D9"/>
    <w:rsid w:val="00DA2F76"/>
    <w:rsid w:val="00DA3073"/>
    <w:rsid w:val="00DA3455"/>
    <w:rsid w:val="00DA46E4"/>
    <w:rsid w:val="00DA4EBB"/>
    <w:rsid w:val="00DA709B"/>
    <w:rsid w:val="00DA7E26"/>
    <w:rsid w:val="00DB0887"/>
    <w:rsid w:val="00DB2CF2"/>
    <w:rsid w:val="00DB3075"/>
    <w:rsid w:val="00DB3C6C"/>
    <w:rsid w:val="00DB5906"/>
    <w:rsid w:val="00DB5A58"/>
    <w:rsid w:val="00DB6C8E"/>
    <w:rsid w:val="00DB7E3E"/>
    <w:rsid w:val="00DB7EF4"/>
    <w:rsid w:val="00DC02DC"/>
    <w:rsid w:val="00DC0A5F"/>
    <w:rsid w:val="00DC0AE1"/>
    <w:rsid w:val="00DC2E22"/>
    <w:rsid w:val="00DC44BF"/>
    <w:rsid w:val="00DC5AD9"/>
    <w:rsid w:val="00DD093D"/>
    <w:rsid w:val="00DD0DE1"/>
    <w:rsid w:val="00DD19E2"/>
    <w:rsid w:val="00DD29FF"/>
    <w:rsid w:val="00DD3386"/>
    <w:rsid w:val="00DD4091"/>
    <w:rsid w:val="00DD410B"/>
    <w:rsid w:val="00DD43D0"/>
    <w:rsid w:val="00DD4F0B"/>
    <w:rsid w:val="00DD50CF"/>
    <w:rsid w:val="00DD55A5"/>
    <w:rsid w:val="00DD742B"/>
    <w:rsid w:val="00DD7D09"/>
    <w:rsid w:val="00DE054C"/>
    <w:rsid w:val="00DE09DA"/>
    <w:rsid w:val="00DE109F"/>
    <w:rsid w:val="00DE10D5"/>
    <w:rsid w:val="00DE192E"/>
    <w:rsid w:val="00DE200A"/>
    <w:rsid w:val="00DE2477"/>
    <w:rsid w:val="00DE3E87"/>
    <w:rsid w:val="00DE52ED"/>
    <w:rsid w:val="00DE5CE4"/>
    <w:rsid w:val="00DF13B7"/>
    <w:rsid w:val="00DF22E5"/>
    <w:rsid w:val="00DF28D5"/>
    <w:rsid w:val="00DF379D"/>
    <w:rsid w:val="00DF4AEA"/>
    <w:rsid w:val="00DF4BBE"/>
    <w:rsid w:val="00DF59B8"/>
    <w:rsid w:val="00DF5E7E"/>
    <w:rsid w:val="00DF6559"/>
    <w:rsid w:val="00DF770E"/>
    <w:rsid w:val="00DF7886"/>
    <w:rsid w:val="00E0176D"/>
    <w:rsid w:val="00E017B9"/>
    <w:rsid w:val="00E01940"/>
    <w:rsid w:val="00E06149"/>
    <w:rsid w:val="00E06695"/>
    <w:rsid w:val="00E07771"/>
    <w:rsid w:val="00E11E8E"/>
    <w:rsid w:val="00E127AC"/>
    <w:rsid w:val="00E12AB1"/>
    <w:rsid w:val="00E13247"/>
    <w:rsid w:val="00E13A99"/>
    <w:rsid w:val="00E1520C"/>
    <w:rsid w:val="00E16341"/>
    <w:rsid w:val="00E1679D"/>
    <w:rsid w:val="00E16A40"/>
    <w:rsid w:val="00E20BEB"/>
    <w:rsid w:val="00E20E21"/>
    <w:rsid w:val="00E20ED8"/>
    <w:rsid w:val="00E2121C"/>
    <w:rsid w:val="00E23BF8"/>
    <w:rsid w:val="00E263A4"/>
    <w:rsid w:val="00E26CFE"/>
    <w:rsid w:val="00E31B1F"/>
    <w:rsid w:val="00E3235E"/>
    <w:rsid w:val="00E33471"/>
    <w:rsid w:val="00E342B9"/>
    <w:rsid w:val="00E34430"/>
    <w:rsid w:val="00E3507D"/>
    <w:rsid w:val="00E37A4B"/>
    <w:rsid w:val="00E41326"/>
    <w:rsid w:val="00E4165C"/>
    <w:rsid w:val="00E448AE"/>
    <w:rsid w:val="00E448CE"/>
    <w:rsid w:val="00E45435"/>
    <w:rsid w:val="00E45925"/>
    <w:rsid w:val="00E461F7"/>
    <w:rsid w:val="00E51E4C"/>
    <w:rsid w:val="00E54FFF"/>
    <w:rsid w:val="00E57A2F"/>
    <w:rsid w:val="00E625E9"/>
    <w:rsid w:val="00E6262F"/>
    <w:rsid w:val="00E62FC8"/>
    <w:rsid w:val="00E64777"/>
    <w:rsid w:val="00E65D7E"/>
    <w:rsid w:val="00E66217"/>
    <w:rsid w:val="00E6691D"/>
    <w:rsid w:val="00E67C3A"/>
    <w:rsid w:val="00E70E44"/>
    <w:rsid w:val="00E71A4F"/>
    <w:rsid w:val="00E7254B"/>
    <w:rsid w:val="00E733AC"/>
    <w:rsid w:val="00E73B2B"/>
    <w:rsid w:val="00E73C14"/>
    <w:rsid w:val="00E74A41"/>
    <w:rsid w:val="00E74B35"/>
    <w:rsid w:val="00E76C13"/>
    <w:rsid w:val="00E771C0"/>
    <w:rsid w:val="00E827AB"/>
    <w:rsid w:val="00E82DA0"/>
    <w:rsid w:val="00E83348"/>
    <w:rsid w:val="00E85744"/>
    <w:rsid w:val="00E8618F"/>
    <w:rsid w:val="00E87AEC"/>
    <w:rsid w:val="00E90994"/>
    <w:rsid w:val="00E94796"/>
    <w:rsid w:val="00E95EDA"/>
    <w:rsid w:val="00EA0BCF"/>
    <w:rsid w:val="00EA1364"/>
    <w:rsid w:val="00EA1C4B"/>
    <w:rsid w:val="00EA2DBE"/>
    <w:rsid w:val="00EA3B43"/>
    <w:rsid w:val="00EA3D04"/>
    <w:rsid w:val="00EA4884"/>
    <w:rsid w:val="00EA51A3"/>
    <w:rsid w:val="00EA66D9"/>
    <w:rsid w:val="00EA6A45"/>
    <w:rsid w:val="00EA7453"/>
    <w:rsid w:val="00EB021A"/>
    <w:rsid w:val="00EB073E"/>
    <w:rsid w:val="00EB1CFB"/>
    <w:rsid w:val="00EB34EB"/>
    <w:rsid w:val="00EB44AC"/>
    <w:rsid w:val="00EB4C99"/>
    <w:rsid w:val="00EB739F"/>
    <w:rsid w:val="00EB77F5"/>
    <w:rsid w:val="00EC132B"/>
    <w:rsid w:val="00EC1BD6"/>
    <w:rsid w:val="00EC3883"/>
    <w:rsid w:val="00EC3BA4"/>
    <w:rsid w:val="00EC4AC7"/>
    <w:rsid w:val="00EC4FC7"/>
    <w:rsid w:val="00EC64C8"/>
    <w:rsid w:val="00EC73FC"/>
    <w:rsid w:val="00EC7726"/>
    <w:rsid w:val="00ED06CC"/>
    <w:rsid w:val="00ED0793"/>
    <w:rsid w:val="00ED08CF"/>
    <w:rsid w:val="00ED1491"/>
    <w:rsid w:val="00ED1A9D"/>
    <w:rsid w:val="00ED3A43"/>
    <w:rsid w:val="00ED3B86"/>
    <w:rsid w:val="00ED4935"/>
    <w:rsid w:val="00ED5014"/>
    <w:rsid w:val="00ED5276"/>
    <w:rsid w:val="00ED6492"/>
    <w:rsid w:val="00ED711E"/>
    <w:rsid w:val="00ED7A11"/>
    <w:rsid w:val="00EE0B7E"/>
    <w:rsid w:val="00EE0E67"/>
    <w:rsid w:val="00EE1261"/>
    <w:rsid w:val="00EE1854"/>
    <w:rsid w:val="00EE2996"/>
    <w:rsid w:val="00EE4B4B"/>
    <w:rsid w:val="00EE5EA7"/>
    <w:rsid w:val="00EE6C17"/>
    <w:rsid w:val="00EF05FB"/>
    <w:rsid w:val="00EF0C67"/>
    <w:rsid w:val="00EF0CB9"/>
    <w:rsid w:val="00EF126E"/>
    <w:rsid w:val="00EF1299"/>
    <w:rsid w:val="00EF1FF7"/>
    <w:rsid w:val="00EF23C6"/>
    <w:rsid w:val="00EF39FB"/>
    <w:rsid w:val="00EF4B82"/>
    <w:rsid w:val="00EF5D2A"/>
    <w:rsid w:val="00EF72CE"/>
    <w:rsid w:val="00F01B0F"/>
    <w:rsid w:val="00F02E8E"/>
    <w:rsid w:val="00F03012"/>
    <w:rsid w:val="00F0372A"/>
    <w:rsid w:val="00F05CD2"/>
    <w:rsid w:val="00F06D3C"/>
    <w:rsid w:val="00F07E37"/>
    <w:rsid w:val="00F111E8"/>
    <w:rsid w:val="00F11237"/>
    <w:rsid w:val="00F115BE"/>
    <w:rsid w:val="00F127CA"/>
    <w:rsid w:val="00F1340B"/>
    <w:rsid w:val="00F15D1D"/>
    <w:rsid w:val="00F17A73"/>
    <w:rsid w:val="00F17C5E"/>
    <w:rsid w:val="00F17EE3"/>
    <w:rsid w:val="00F203FB"/>
    <w:rsid w:val="00F20AA8"/>
    <w:rsid w:val="00F22F52"/>
    <w:rsid w:val="00F24A72"/>
    <w:rsid w:val="00F256C7"/>
    <w:rsid w:val="00F264AB"/>
    <w:rsid w:val="00F2651F"/>
    <w:rsid w:val="00F26814"/>
    <w:rsid w:val="00F26B82"/>
    <w:rsid w:val="00F26EA8"/>
    <w:rsid w:val="00F27403"/>
    <w:rsid w:val="00F32E54"/>
    <w:rsid w:val="00F33021"/>
    <w:rsid w:val="00F33A91"/>
    <w:rsid w:val="00F3452B"/>
    <w:rsid w:val="00F34728"/>
    <w:rsid w:val="00F366F7"/>
    <w:rsid w:val="00F40030"/>
    <w:rsid w:val="00F4049D"/>
    <w:rsid w:val="00F41552"/>
    <w:rsid w:val="00F42699"/>
    <w:rsid w:val="00F42D5B"/>
    <w:rsid w:val="00F46C34"/>
    <w:rsid w:val="00F47F26"/>
    <w:rsid w:val="00F538CA"/>
    <w:rsid w:val="00F54040"/>
    <w:rsid w:val="00F55526"/>
    <w:rsid w:val="00F55BF9"/>
    <w:rsid w:val="00F56DF9"/>
    <w:rsid w:val="00F57156"/>
    <w:rsid w:val="00F6042F"/>
    <w:rsid w:val="00F60BB3"/>
    <w:rsid w:val="00F60CAA"/>
    <w:rsid w:val="00F61C8B"/>
    <w:rsid w:val="00F62B7B"/>
    <w:rsid w:val="00F63932"/>
    <w:rsid w:val="00F665D7"/>
    <w:rsid w:val="00F667EB"/>
    <w:rsid w:val="00F6748C"/>
    <w:rsid w:val="00F67E60"/>
    <w:rsid w:val="00F73474"/>
    <w:rsid w:val="00F73BD3"/>
    <w:rsid w:val="00F73C5D"/>
    <w:rsid w:val="00F74BFD"/>
    <w:rsid w:val="00F751CB"/>
    <w:rsid w:val="00F755A1"/>
    <w:rsid w:val="00F75D6A"/>
    <w:rsid w:val="00F7629B"/>
    <w:rsid w:val="00F7687B"/>
    <w:rsid w:val="00F76921"/>
    <w:rsid w:val="00F77989"/>
    <w:rsid w:val="00F8323C"/>
    <w:rsid w:val="00F83522"/>
    <w:rsid w:val="00F83907"/>
    <w:rsid w:val="00F83EA9"/>
    <w:rsid w:val="00F8432A"/>
    <w:rsid w:val="00F84402"/>
    <w:rsid w:val="00F84915"/>
    <w:rsid w:val="00F84D7A"/>
    <w:rsid w:val="00F86E6C"/>
    <w:rsid w:val="00F90482"/>
    <w:rsid w:val="00F90F1B"/>
    <w:rsid w:val="00F931EC"/>
    <w:rsid w:val="00F93F44"/>
    <w:rsid w:val="00F94C2A"/>
    <w:rsid w:val="00F95124"/>
    <w:rsid w:val="00F96846"/>
    <w:rsid w:val="00F977B4"/>
    <w:rsid w:val="00F97983"/>
    <w:rsid w:val="00FA08CF"/>
    <w:rsid w:val="00FA1372"/>
    <w:rsid w:val="00FA13FA"/>
    <w:rsid w:val="00FA1F80"/>
    <w:rsid w:val="00FA2812"/>
    <w:rsid w:val="00FA2E18"/>
    <w:rsid w:val="00FA30E9"/>
    <w:rsid w:val="00FA360B"/>
    <w:rsid w:val="00FA3CA9"/>
    <w:rsid w:val="00FA46C4"/>
    <w:rsid w:val="00FA5AC7"/>
    <w:rsid w:val="00FA604E"/>
    <w:rsid w:val="00FB0DA3"/>
    <w:rsid w:val="00FB3A65"/>
    <w:rsid w:val="00FB4355"/>
    <w:rsid w:val="00FB4A6B"/>
    <w:rsid w:val="00FB4D48"/>
    <w:rsid w:val="00FB60AD"/>
    <w:rsid w:val="00FB725A"/>
    <w:rsid w:val="00FB7683"/>
    <w:rsid w:val="00FB7A71"/>
    <w:rsid w:val="00FB7CCD"/>
    <w:rsid w:val="00FC2554"/>
    <w:rsid w:val="00FC28C0"/>
    <w:rsid w:val="00FC3065"/>
    <w:rsid w:val="00FC31F1"/>
    <w:rsid w:val="00FC3B36"/>
    <w:rsid w:val="00FC6BEC"/>
    <w:rsid w:val="00FC7711"/>
    <w:rsid w:val="00FD2BD1"/>
    <w:rsid w:val="00FD3414"/>
    <w:rsid w:val="00FD3F15"/>
    <w:rsid w:val="00FD42A3"/>
    <w:rsid w:val="00FD4580"/>
    <w:rsid w:val="00FD5F8D"/>
    <w:rsid w:val="00FD5F93"/>
    <w:rsid w:val="00FD786E"/>
    <w:rsid w:val="00FE0ADE"/>
    <w:rsid w:val="00FE2C32"/>
    <w:rsid w:val="00FE4191"/>
    <w:rsid w:val="00FE42E4"/>
    <w:rsid w:val="00FE5DCE"/>
    <w:rsid w:val="00FE5E59"/>
    <w:rsid w:val="00FE75FD"/>
    <w:rsid w:val="00FF0A6B"/>
    <w:rsid w:val="00FF3DB8"/>
    <w:rsid w:val="00FF4734"/>
    <w:rsid w:val="00FF4AB4"/>
    <w:rsid w:val="0D621335"/>
    <w:rsid w:val="1151226E"/>
    <w:rsid w:val="129A3494"/>
    <w:rsid w:val="131C04FE"/>
    <w:rsid w:val="14ED3166"/>
    <w:rsid w:val="18355BC4"/>
    <w:rsid w:val="1B6D3662"/>
    <w:rsid w:val="1BD712B5"/>
    <w:rsid w:val="1BE82A51"/>
    <w:rsid w:val="1BEF0254"/>
    <w:rsid w:val="20915ED7"/>
    <w:rsid w:val="21FD6BC4"/>
    <w:rsid w:val="26487037"/>
    <w:rsid w:val="2BD10619"/>
    <w:rsid w:val="2D83129D"/>
    <w:rsid w:val="2DDC50D9"/>
    <w:rsid w:val="301461DC"/>
    <w:rsid w:val="37272C99"/>
    <w:rsid w:val="38A27F9F"/>
    <w:rsid w:val="3C177780"/>
    <w:rsid w:val="3FBFDAB1"/>
    <w:rsid w:val="42B23D5F"/>
    <w:rsid w:val="46132D66"/>
    <w:rsid w:val="4B9C55AC"/>
    <w:rsid w:val="51917235"/>
    <w:rsid w:val="52846D9A"/>
    <w:rsid w:val="544B4013"/>
    <w:rsid w:val="54A61249"/>
    <w:rsid w:val="57BD4F2D"/>
    <w:rsid w:val="5A5E3D40"/>
    <w:rsid w:val="5EA52572"/>
    <w:rsid w:val="5EF7D2AE"/>
    <w:rsid w:val="5FFD6B38"/>
    <w:rsid w:val="6BBBB01A"/>
    <w:rsid w:val="6DF6B4FF"/>
    <w:rsid w:val="6EFB3C7C"/>
    <w:rsid w:val="6FBB9628"/>
    <w:rsid w:val="70CA71DE"/>
    <w:rsid w:val="77DD31FB"/>
    <w:rsid w:val="77F9F510"/>
    <w:rsid w:val="78E957D1"/>
    <w:rsid w:val="7A19518C"/>
    <w:rsid w:val="7A7F82D0"/>
    <w:rsid w:val="7AEE172D"/>
    <w:rsid w:val="7ECDF9D7"/>
    <w:rsid w:val="7FFDC74A"/>
    <w:rsid w:val="9EFFD4D0"/>
    <w:rsid w:val="ABCD1390"/>
    <w:rsid w:val="BFBF5DFF"/>
    <w:rsid w:val="CDBECDBA"/>
    <w:rsid w:val="CDFE5B62"/>
    <w:rsid w:val="DED1BDC2"/>
    <w:rsid w:val="E2EF2A55"/>
    <w:rsid w:val="E7CFDB48"/>
    <w:rsid w:val="E9F79038"/>
    <w:rsid w:val="EDEAE7D1"/>
    <w:rsid w:val="FD6F6743"/>
    <w:rsid w:val="FE7779EA"/>
    <w:rsid w:val="FEDE366C"/>
    <w:rsid w:val="FF7F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sz w:val="21"/>
      <w:szCs w:val="21"/>
      <w:u w:color="000000"/>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pageBreakBefore/>
      <w:widowControl w:val="0"/>
      <w:adjustRightInd w:val="0"/>
      <w:snapToGrid w:val="0"/>
      <w:spacing w:before="240" w:beforeLines="100" w:after="240" w:afterLines="100" w:line="560" w:lineRule="exact"/>
      <w:jc w:val="center"/>
      <w:outlineLvl w:val="1"/>
    </w:pPr>
    <w:rPr>
      <w:rFonts w:cs="宋体" w:asciiTheme="majorEastAsia" w:hAnsiTheme="majorEastAsia" w:eastAsiaTheme="majorEastAsia"/>
      <w:b/>
      <w:bCs/>
      <w:sz w:val="36"/>
      <w:szCs w:val="32"/>
      <w:u w:color="000000"/>
      <w:lang w:val="en-US" w:eastAsia="zh-CN" w:bidi="ar-SA"/>
    </w:rPr>
  </w:style>
  <w:style w:type="paragraph" w:styleId="4">
    <w:name w:val="heading 3"/>
    <w:next w:val="1"/>
    <w:link w:val="43"/>
    <w:qFormat/>
    <w:uiPriority w:val="0"/>
    <w:pPr>
      <w:keepNext/>
      <w:keepLines/>
      <w:widowControl w:val="0"/>
      <w:spacing w:before="156" w:line="560" w:lineRule="exact"/>
      <w:ind w:firstLine="640" w:firstLineChars="200"/>
      <w:outlineLvl w:val="2"/>
    </w:pPr>
    <w:rPr>
      <w:rFonts w:ascii="仿宋" w:hAnsi="仿宋" w:eastAsia="黑体" w:cs="仿宋"/>
      <w:bCs/>
      <w:kern w:val="2"/>
      <w:sz w:val="32"/>
      <w:szCs w:val="32"/>
      <w:u w:color="000000"/>
      <w:lang w:val="zh-TW" w:eastAsia="zh-CN" w:bidi="ar-SA"/>
    </w:rPr>
  </w:style>
  <w:style w:type="paragraph" w:styleId="5">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880" w:firstLineChars="200"/>
    </w:pPr>
    <w:rPr>
      <w:rFonts w:ascii="Times New Roman" w:hAnsi="Times New Roman" w:eastAsia="仿宋_GB2312" w:cs="宋体"/>
      <w:color w:val="auto"/>
      <w:kern w:val="2"/>
      <w:sz w:val="32"/>
      <w:szCs w:val="24"/>
    </w:rPr>
  </w:style>
  <w:style w:type="paragraph" w:styleId="7">
    <w:name w:val="annotation text"/>
    <w:basedOn w:val="1"/>
    <w:link w:val="45"/>
    <w:unhideWhenUsed/>
    <w:qFormat/>
    <w:uiPriority w:val="99"/>
    <w:pPr>
      <w:jc w:val="left"/>
    </w:pPr>
  </w:style>
  <w:style w:type="paragraph" w:styleId="8">
    <w:name w:val="Body Text"/>
    <w:basedOn w:val="1"/>
    <w:link w:val="47"/>
    <w:qFormat/>
    <w:uiPriority w:val="1"/>
    <w:pPr>
      <w:spacing w:before="156"/>
      <w:ind w:left="118"/>
      <w:jc w:val="left"/>
    </w:pPr>
    <w:rPr>
      <w:rFonts w:ascii="宋体" w:hAnsi="宋体" w:eastAsia="宋体" w:cstheme="minorBidi"/>
      <w:color w:val="auto"/>
      <w:sz w:val="30"/>
      <w:szCs w:val="30"/>
      <w:lang w:eastAsia="en-US"/>
    </w:rPr>
  </w:style>
  <w:style w:type="paragraph" w:styleId="9">
    <w:name w:val="toc 3"/>
    <w:next w:val="1"/>
    <w:qFormat/>
    <w:uiPriority w:val="39"/>
    <w:pPr>
      <w:tabs>
        <w:tab w:val="right" w:leader="dot" w:pos="8303"/>
      </w:tabs>
      <w:spacing w:before="160"/>
      <w:ind w:firstLine="900"/>
    </w:pPr>
    <w:rPr>
      <w:rFonts w:ascii="PingFang SC Regular" w:hAnsi="PingFang SC Regular" w:eastAsia="PingFang SC Regular" w:cs="PingFang SC Regular"/>
      <w:color w:val="000000"/>
      <w:sz w:val="28"/>
      <w:szCs w:val="28"/>
      <w:lang w:val="en-US" w:eastAsia="zh-CN" w:bidi="ar-SA"/>
    </w:rPr>
  </w:style>
  <w:style w:type="paragraph" w:styleId="10">
    <w:name w:val="Balloon Text"/>
    <w:basedOn w:val="1"/>
    <w:link w:val="34"/>
    <w:semiHidden/>
    <w:unhideWhenUsed/>
    <w:qFormat/>
    <w:uiPriority w:val="99"/>
    <w:rPr>
      <w:sz w:val="18"/>
      <w:szCs w:val="18"/>
    </w:rPr>
  </w:style>
  <w:style w:type="paragraph" w:styleId="11">
    <w:name w:val="footer"/>
    <w:link w:val="49"/>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1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39"/>
    <w:pPr>
      <w:widowControl w:val="0"/>
      <w:tabs>
        <w:tab w:val="left" w:pos="1050"/>
        <w:tab w:val="right" w:leader="dot" w:pos="8303"/>
      </w:tabs>
      <w:spacing w:line="360" w:lineRule="auto"/>
      <w:jc w:val="both"/>
    </w:pPr>
    <w:rPr>
      <w:rFonts w:ascii="Calibri" w:hAnsi="Calibri" w:eastAsia="Calibri" w:cs="Calibri"/>
      <w:color w:val="000000"/>
      <w:sz w:val="21"/>
      <w:szCs w:val="21"/>
      <w:u w:color="000000"/>
      <w:lang w:val="en-US" w:eastAsia="zh-CN" w:bidi="ar-SA"/>
    </w:rPr>
  </w:style>
  <w:style w:type="paragraph" w:styleId="14">
    <w:name w:val="toc 4"/>
    <w:next w:val="1"/>
    <w:qFormat/>
    <w:uiPriority w:val="39"/>
    <w:pPr>
      <w:widowControl w:val="0"/>
      <w:tabs>
        <w:tab w:val="right" w:leader="dot" w:pos="8303"/>
      </w:tabs>
      <w:ind w:left="1680"/>
      <w:jc w:val="both"/>
    </w:pPr>
    <w:rPr>
      <w:rFonts w:ascii="Calibri" w:hAnsi="Calibri" w:eastAsia="Calibri" w:cs="Calibri"/>
      <w:color w:val="000000"/>
      <w:sz w:val="21"/>
      <w:szCs w:val="21"/>
      <w:u w:color="000000"/>
      <w:lang w:val="en-US" w:eastAsia="zh-CN" w:bidi="ar-SA"/>
    </w:rPr>
  </w:style>
  <w:style w:type="paragraph" w:styleId="15">
    <w:name w:val="footnote text"/>
    <w:basedOn w:val="1"/>
    <w:link w:val="50"/>
    <w:semiHidden/>
    <w:unhideWhenUsed/>
    <w:qFormat/>
    <w:uiPriority w:val="99"/>
    <w:pPr>
      <w:snapToGrid w:val="0"/>
      <w:jc w:val="left"/>
    </w:pPr>
    <w:rPr>
      <w:sz w:val="18"/>
      <w:szCs w:val="18"/>
    </w:rPr>
  </w:style>
  <w:style w:type="paragraph" w:styleId="16">
    <w:name w:val="toc 2"/>
    <w:next w:val="1"/>
    <w:qFormat/>
    <w:uiPriority w:val="39"/>
    <w:pPr>
      <w:widowControl w:val="0"/>
      <w:tabs>
        <w:tab w:val="left" w:pos="1470"/>
        <w:tab w:val="right" w:leader="dot" w:pos="8303"/>
      </w:tabs>
      <w:spacing w:line="360" w:lineRule="auto"/>
      <w:ind w:left="420"/>
      <w:jc w:val="both"/>
    </w:pPr>
    <w:rPr>
      <w:rFonts w:ascii="Calibri" w:hAnsi="Calibri" w:eastAsia="Calibri" w:cs="Calibri"/>
      <w:color w:val="000000"/>
      <w:sz w:val="21"/>
      <w:szCs w:val="21"/>
      <w:u w:color="000000"/>
      <w:lang w:val="en-US" w:eastAsia="zh-CN" w:bidi="ar-SA"/>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color w:val="auto"/>
      <w:sz w:val="24"/>
      <w:szCs w:val="24"/>
    </w:rPr>
  </w:style>
  <w:style w:type="paragraph" w:styleId="18">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6"/>
    <w:semiHidden/>
    <w:unhideWhenUsed/>
    <w:qFormat/>
    <w:uiPriority w:val="99"/>
    <w:rPr>
      <w:b/>
      <w:bCs/>
    </w:rPr>
  </w:style>
  <w:style w:type="table" w:styleId="21">
    <w:name w:val="Table Grid"/>
    <w:basedOn w:val="20"/>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Emphasis"/>
    <w:basedOn w:val="22"/>
    <w:qFormat/>
    <w:uiPriority w:val="20"/>
    <w:rPr>
      <w:i/>
      <w:iCs/>
    </w:rPr>
  </w:style>
  <w:style w:type="character" w:styleId="25">
    <w:name w:val="Hyperlink"/>
    <w:qFormat/>
    <w:uiPriority w:val="99"/>
    <w:rPr>
      <w:u w:val="single"/>
    </w:rPr>
  </w:style>
  <w:style w:type="character" w:styleId="26">
    <w:name w:val="annotation reference"/>
    <w:basedOn w:val="22"/>
    <w:semiHidden/>
    <w:unhideWhenUsed/>
    <w:qFormat/>
    <w:uiPriority w:val="99"/>
    <w:rPr>
      <w:sz w:val="21"/>
      <w:szCs w:val="21"/>
    </w:rPr>
  </w:style>
  <w:style w:type="character" w:styleId="27">
    <w:name w:val="footnote reference"/>
    <w:basedOn w:val="22"/>
    <w:semiHidden/>
    <w:unhideWhenUsed/>
    <w:qFormat/>
    <w:uiPriority w:val="99"/>
    <w:rPr>
      <w:vertAlign w:val="superscript"/>
    </w:rPr>
  </w:style>
  <w:style w:type="table" w:customStyle="1" w:styleId="28">
    <w:name w:val="Table Normal"/>
    <w:qFormat/>
    <w:uiPriority w:val="0"/>
    <w:tblPr>
      <w:tblCellMar>
        <w:top w:w="0" w:type="dxa"/>
        <w:left w:w="0" w:type="dxa"/>
        <w:bottom w:w="0" w:type="dxa"/>
        <w:right w:w="0" w:type="dxa"/>
      </w:tblCellMar>
    </w:tblPr>
  </w:style>
  <w:style w:type="paragraph" w:customStyle="1" w:styleId="29">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30">
    <w:name w:val="w4级（一）"/>
    <w:qFormat/>
    <w:uiPriority w:val="0"/>
    <w:pPr>
      <w:widowControl w:val="0"/>
      <w:spacing w:line="560" w:lineRule="exact"/>
      <w:ind w:firstLine="602" w:firstLineChars="200"/>
      <w:jc w:val="both"/>
      <w:outlineLvl w:val="3"/>
    </w:pPr>
    <w:rPr>
      <w:rFonts w:ascii="华文中宋" w:hAnsi="华文中宋" w:eastAsia="楷体_GB2312" w:cs="SimSong Bold"/>
      <w:b/>
      <w:sz w:val="30"/>
      <w:szCs w:val="30"/>
      <w:u w:color="000000"/>
      <w:lang w:val="zh-TW" w:eastAsia="zh-CN" w:bidi="ar-SA"/>
    </w:rPr>
  </w:style>
  <w:style w:type="paragraph" w:customStyle="1" w:styleId="31">
    <w:name w:val="w5级1."/>
    <w:qFormat/>
    <w:uiPriority w:val="0"/>
    <w:pPr>
      <w:widowControl w:val="0"/>
      <w:spacing w:line="360" w:lineRule="auto"/>
      <w:ind w:firstLine="561"/>
      <w:jc w:val="both"/>
      <w:outlineLvl w:val="4"/>
    </w:pPr>
    <w:rPr>
      <w:rFonts w:ascii="仿宋" w:hAnsi="仿宋" w:eastAsia="仿宋" w:cs="Arial Unicode MS"/>
      <w:b/>
      <w:color w:val="000000"/>
      <w:sz w:val="28"/>
      <w:szCs w:val="28"/>
      <w:u w:color="000000"/>
      <w:lang w:val="zh-TW" w:eastAsia="zh-CN" w:bidi="ar-SA"/>
    </w:rPr>
  </w:style>
  <w:style w:type="paragraph" w:customStyle="1" w:styleId="32">
    <w:name w:val="默认"/>
    <w:qFormat/>
    <w:uiPriority w:val="0"/>
    <w:pPr>
      <w:spacing w:before="160" w:line="288" w:lineRule="auto"/>
    </w:pPr>
    <w:rPr>
      <w:rFonts w:ascii="PingFang SC Regular" w:hAnsi="PingFang SC Regular" w:eastAsia="Arial Unicode MS" w:cs="Arial Unicode MS"/>
      <w:color w:val="000000"/>
      <w:sz w:val="24"/>
      <w:szCs w:val="24"/>
      <w:lang w:val="zh-CN" w:eastAsia="zh-CN" w:bidi="ar-SA"/>
    </w:rPr>
  </w:style>
  <w:style w:type="paragraph" w:styleId="33">
    <w:name w:val="List Paragraph"/>
    <w:qFormat/>
    <w:uiPriority w:val="99"/>
    <w:pPr>
      <w:widowControl w:val="0"/>
      <w:ind w:firstLine="420"/>
      <w:jc w:val="both"/>
    </w:pPr>
    <w:rPr>
      <w:rFonts w:hint="eastAsia" w:ascii="Arial Unicode MS" w:hAnsi="Arial Unicode MS" w:eastAsia="Calibri" w:cs="Arial Unicode MS"/>
      <w:color w:val="000000"/>
      <w:kern w:val="2"/>
      <w:sz w:val="21"/>
      <w:szCs w:val="21"/>
      <w:u w:color="000000"/>
      <w:lang w:val="en-US" w:eastAsia="zh-CN" w:bidi="ar-SA"/>
    </w:rPr>
  </w:style>
  <w:style w:type="character" w:customStyle="1" w:styleId="34">
    <w:name w:val="批注框文本 字符"/>
    <w:basedOn w:val="22"/>
    <w:link w:val="10"/>
    <w:semiHidden/>
    <w:qFormat/>
    <w:uiPriority w:val="99"/>
    <w:rPr>
      <w:rFonts w:ascii="Calibri" w:hAnsi="Calibri" w:eastAsia="Arial Unicode MS" w:cs="Arial Unicode MS"/>
      <w:color w:val="000000"/>
      <w:sz w:val="18"/>
      <w:szCs w:val="18"/>
      <w:u w:color="000000"/>
    </w:rPr>
  </w:style>
  <w:style w:type="character" w:customStyle="1" w:styleId="35">
    <w:name w:val="页眉 字符"/>
    <w:basedOn w:val="22"/>
    <w:link w:val="12"/>
    <w:qFormat/>
    <w:uiPriority w:val="99"/>
    <w:rPr>
      <w:rFonts w:ascii="Calibri" w:hAnsi="Calibri" w:eastAsia="Arial Unicode MS" w:cs="Arial Unicode MS"/>
      <w:color w:val="000000"/>
      <w:sz w:val="18"/>
      <w:szCs w:val="18"/>
      <w:u w:color="000000"/>
    </w:rPr>
  </w:style>
  <w:style w:type="paragraph" w:customStyle="1" w:styleId="36">
    <w:name w:val="修订1"/>
    <w:hidden/>
    <w:semiHidden/>
    <w:qFormat/>
    <w:uiPriority w:val="99"/>
    <w:rPr>
      <w:rFonts w:ascii="Calibri" w:hAnsi="Calibri" w:eastAsia="Arial Unicode MS" w:cs="Arial Unicode MS"/>
      <w:color w:val="000000"/>
      <w:sz w:val="21"/>
      <w:szCs w:val="21"/>
      <w:u w:color="000000"/>
      <w:lang w:val="en-US" w:eastAsia="zh-CN" w:bidi="ar-SA"/>
    </w:rPr>
  </w:style>
  <w:style w:type="paragraph" w:customStyle="1" w:styleId="37">
    <w:name w:val="w正文"/>
    <w:basedOn w:val="1"/>
    <w:qFormat/>
    <w:uiPriority w:val="0"/>
    <w:pPr>
      <w:spacing w:line="560" w:lineRule="exact"/>
      <w:ind w:firstLine="600" w:firstLineChars="200"/>
    </w:pPr>
    <w:rPr>
      <w:rFonts w:ascii="仿宋_GB2312" w:hAnsi="仿宋" w:eastAsia="仿宋_GB2312" w:cs="仿宋"/>
      <w:color w:val="auto"/>
      <w:sz w:val="30"/>
      <w:szCs w:val="30"/>
      <w:lang w:val="zh-TW"/>
    </w:rPr>
  </w:style>
  <w:style w:type="character" w:customStyle="1" w:styleId="38">
    <w:name w:val="标题 字符"/>
    <w:basedOn w:val="22"/>
    <w:link w:val="18"/>
    <w:qFormat/>
    <w:uiPriority w:val="10"/>
    <w:rPr>
      <w:rFonts w:asciiTheme="majorHAnsi" w:hAnsiTheme="majorHAnsi" w:eastAsiaTheme="majorEastAsia" w:cstheme="majorBidi"/>
      <w:b/>
      <w:bCs/>
      <w:color w:val="000000"/>
      <w:sz w:val="32"/>
      <w:szCs w:val="32"/>
      <w:u w:color="000000"/>
    </w:rPr>
  </w:style>
  <w:style w:type="character" w:customStyle="1" w:styleId="39">
    <w:name w:val="标题 4 字符"/>
    <w:basedOn w:val="22"/>
    <w:link w:val="5"/>
    <w:qFormat/>
    <w:uiPriority w:val="9"/>
    <w:rPr>
      <w:rFonts w:asciiTheme="majorHAnsi" w:hAnsiTheme="majorHAnsi" w:eastAsiaTheme="majorEastAsia" w:cstheme="majorBidi"/>
      <w:b/>
      <w:bCs/>
      <w:color w:val="000000"/>
      <w:sz w:val="28"/>
      <w:szCs w:val="28"/>
      <w:u w:color="000000"/>
    </w:rPr>
  </w:style>
  <w:style w:type="character" w:customStyle="1" w:styleId="40">
    <w:name w:val="标题 1 字符"/>
    <w:basedOn w:val="22"/>
    <w:link w:val="2"/>
    <w:qFormat/>
    <w:uiPriority w:val="9"/>
    <w:rPr>
      <w:rFonts w:ascii="Calibri" w:hAnsi="Calibri" w:eastAsia="Arial Unicode MS" w:cs="Arial Unicode MS"/>
      <w:b/>
      <w:bCs/>
      <w:color w:val="000000"/>
      <w:kern w:val="44"/>
      <w:sz w:val="44"/>
      <w:szCs w:val="44"/>
      <w:u w:color="000000"/>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2">
    <w:name w:val="列出段落1"/>
    <w:basedOn w:val="1"/>
    <w:qFormat/>
    <w:uiPriority w:val="34"/>
    <w:pPr>
      <w:ind w:firstLine="420" w:firstLineChars="200"/>
    </w:pPr>
    <w:rPr>
      <w:rFonts w:ascii="Times New Roman" w:hAnsi="Times New Roman" w:eastAsia="宋体" w:cs="Times New Roman"/>
      <w:color w:val="auto"/>
      <w:kern w:val="2"/>
      <w:szCs w:val="24"/>
    </w:rPr>
  </w:style>
  <w:style w:type="character" w:customStyle="1" w:styleId="43">
    <w:name w:val="标题 3 字符"/>
    <w:basedOn w:val="22"/>
    <w:link w:val="4"/>
    <w:qFormat/>
    <w:uiPriority w:val="0"/>
    <w:rPr>
      <w:rFonts w:ascii="仿宋" w:hAnsi="仿宋" w:eastAsia="黑体" w:cs="仿宋"/>
      <w:bCs/>
      <w:kern w:val="2"/>
      <w:sz w:val="32"/>
      <w:szCs w:val="32"/>
      <w:u w:color="000000"/>
      <w:lang w:val="zh-TW"/>
    </w:rPr>
  </w:style>
  <w:style w:type="paragraph" w:styleId="44">
    <w:name w:val="No Spacing"/>
    <w:qFormat/>
    <w:uiPriority w:val="1"/>
    <w:pPr>
      <w:widowControl w:val="0"/>
      <w:jc w:val="both"/>
    </w:pPr>
    <w:rPr>
      <w:rFonts w:ascii="Calibri" w:hAnsi="Calibri" w:eastAsia="Arial Unicode MS" w:cs="Arial Unicode MS"/>
      <w:color w:val="000000"/>
      <w:sz w:val="21"/>
      <w:szCs w:val="21"/>
      <w:u w:color="000000"/>
      <w:lang w:val="en-US" w:eastAsia="zh-CN" w:bidi="ar-SA"/>
    </w:rPr>
  </w:style>
  <w:style w:type="character" w:customStyle="1" w:styleId="45">
    <w:name w:val="批注文字 字符"/>
    <w:basedOn w:val="22"/>
    <w:link w:val="7"/>
    <w:qFormat/>
    <w:uiPriority w:val="99"/>
    <w:rPr>
      <w:rFonts w:ascii="Calibri" w:hAnsi="Calibri" w:eastAsia="Arial Unicode MS" w:cs="Arial Unicode MS"/>
      <w:color w:val="000000"/>
      <w:sz w:val="21"/>
      <w:szCs w:val="21"/>
      <w:u w:color="000000"/>
    </w:rPr>
  </w:style>
  <w:style w:type="character" w:customStyle="1" w:styleId="46">
    <w:name w:val="批注主题 字符"/>
    <w:basedOn w:val="45"/>
    <w:link w:val="19"/>
    <w:semiHidden/>
    <w:qFormat/>
    <w:uiPriority w:val="99"/>
    <w:rPr>
      <w:rFonts w:ascii="Calibri" w:hAnsi="Calibri" w:eastAsia="Arial Unicode MS" w:cs="Arial Unicode MS"/>
      <w:b/>
      <w:bCs/>
      <w:color w:val="000000"/>
      <w:sz w:val="21"/>
      <w:szCs w:val="21"/>
      <w:u w:color="000000"/>
    </w:rPr>
  </w:style>
  <w:style w:type="character" w:customStyle="1" w:styleId="47">
    <w:name w:val="正文文本 字符"/>
    <w:basedOn w:val="22"/>
    <w:link w:val="8"/>
    <w:qFormat/>
    <w:uiPriority w:val="1"/>
    <w:rPr>
      <w:rFonts w:ascii="宋体" w:hAnsi="宋体" w:eastAsia="宋体" w:cstheme="minorBidi"/>
      <w:sz w:val="30"/>
      <w:szCs w:val="30"/>
      <w:lang w:eastAsia="en-US"/>
    </w:rPr>
  </w:style>
  <w:style w:type="paragraph" w:customStyle="1" w:styleId="48">
    <w:name w:val="Table Paragraph"/>
    <w:basedOn w:val="1"/>
    <w:qFormat/>
    <w:uiPriority w:val="1"/>
    <w:pPr>
      <w:jc w:val="left"/>
    </w:pPr>
    <w:rPr>
      <w:rFonts w:asciiTheme="minorHAnsi" w:hAnsiTheme="minorHAnsi" w:eastAsiaTheme="minorEastAsia" w:cstheme="minorBidi"/>
      <w:color w:val="auto"/>
      <w:sz w:val="22"/>
      <w:szCs w:val="22"/>
      <w:lang w:eastAsia="en-US"/>
    </w:rPr>
  </w:style>
  <w:style w:type="character" w:customStyle="1" w:styleId="49">
    <w:name w:val="页脚 字符"/>
    <w:basedOn w:val="22"/>
    <w:link w:val="11"/>
    <w:qFormat/>
    <w:uiPriority w:val="99"/>
    <w:rPr>
      <w:rFonts w:ascii="Calibri" w:hAnsi="Calibri" w:eastAsia="Calibri" w:cs="Calibri"/>
      <w:color w:val="000000"/>
      <w:kern w:val="2"/>
      <w:sz w:val="18"/>
      <w:szCs w:val="18"/>
      <w:u w:color="000000"/>
    </w:rPr>
  </w:style>
  <w:style w:type="character" w:customStyle="1" w:styleId="50">
    <w:name w:val="脚注文本 字符"/>
    <w:basedOn w:val="22"/>
    <w:link w:val="15"/>
    <w:semiHidden/>
    <w:qFormat/>
    <w:uiPriority w:val="99"/>
    <w:rPr>
      <w:rFonts w:ascii="Calibri" w:hAnsi="Calibri" w:eastAsia="Arial Unicode MS" w:cs="Arial Unicode MS"/>
      <w:color w:val="000000"/>
      <w:sz w:val="18"/>
      <w:szCs w:val="18"/>
      <w:u w:color="000000"/>
    </w:rPr>
  </w:style>
  <w:style w:type="paragraph" w:customStyle="1" w:styleId="51">
    <w:name w:val="Revision"/>
    <w:hidden/>
    <w:unhideWhenUsed/>
    <w:qFormat/>
    <w:uiPriority w:val="99"/>
    <w:rPr>
      <w:rFonts w:ascii="Calibri" w:hAnsi="Calibri" w:eastAsia="Arial Unicode MS" w:cs="Arial Unicode MS"/>
      <w:color w:val="000000"/>
      <w:sz w:val="21"/>
      <w:szCs w:val="21"/>
      <w:u w:color="000000"/>
      <w:lang w:val="en-US" w:eastAsia="zh-CN" w:bidi="ar-SA"/>
    </w:rPr>
  </w:style>
  <w:style w:type="paragraph" w:customStyle="1" w:styleId="52">
    <w:name w:val="Char"/>
    <w:basedOn w:val="1"/>
    <w:qFormat/>
    <w:uiPriority w:val="0"/>
    <w:rPr>
      <w:rFonts w:ascii="Times New Roman" w:hAnsi="Times New Roman" w:eastAsia="仿宋_GB2312" w:cs="Times New Roman"/>
      <w:color w:val="auto"/>
      <w:kern w:val="2"/>
      <w:sz w:val="32"/>
      <w:szCs w:val="32"/>
    </w:rPr>
  </w:style>
  <w:style w:type="paragraph" w:customStyle="1" w:styleId="53">
    <w:name w:val="w专栏.正文"/>
    <w:basedOn w:val="1"/>
    <w:qFormat/>
    <w:uiPriority w:val="0"/>
    <w:pPr>
      <w:spacing w:line="276" w:lineRule="auto"/>
      <w:ind w:firstLine="480" w:firstLineChars="200"/>
    </w:pPr>
    <w:rPr>
      <w:rFonts w:ascii="仿宋_GB2312" w:hAnsi="Times New Roman" w:eastAsia="仿宋_GB2312" w:cs="Times New Roman"/>
      <w:color w:val="auto"/>
      <w:sz w:val="24"/>
    </w:rPr>
  </w:style>
  <w:style w:type="paragraph" w:customStyle="1" w:styleId="54">
    <w:name w:val="w专栏.名称"/>
    <w:basedOn w:val="1"/>
    <w:qFormat/>
    <w:uiPriority w:val="0"/>
    <w:pPr>
      <w:widowControl/>
      <w:adjustRightInd w:val="0"/>
      <w:snapToGrid w:val="0"/>
      <w:spacing w:line="560" w:lineRule="exact"/>
      <w:jc w:val="center"/>
    </w:pPr>
    <w:rPr>
      <w:rFonts w:ascii="仿宋_GB2312" w:hAnsi="Times New Roman" w:eastAsia="仿宋_GB2312" w:cs="Times New Roman"/>
      <w:b/>
      <w:bCs/>
      <w:color w:val="auto"/>
      <w:sz w:val="28"/>
      <w:szCs w:val="28"/>
    </w:rPr>
  </w:style>
  <w:style w:type="paragraph" w:customStyle="1" w:styleId="55">
    <w:name w:val="标题3-附表标题"/>
    <w:basedOn w:val="4"/>
    <w:qFormat/>
    <w:uiPriority w:val="0"/>
  </w:style>
  <w:style w:type="paragraph" w:customStyle="1" w:styleId="56">
    <w:name w:val="附表-1表头"/>
    <w:basedOn w:val="1"/>
    <w:qFormat/>
    <w:uiPriority w:val="0"/>
    <w:pPr>
      <w:widowControl/>
      <w:spacing w:line="560" w:lineRule="atLeast"/>
      <w:jc w:val="center"/>
    </w:pPr>
    <w:rPr>
      <w:rFonts w:ascii="仿宋_GB2312" w:hAnsi="等线" w:eastAsia="仿宋_GB2312" w:cs="宋体"/>
      <w:b/>
      <w:bCs/>
      <w:color w:val="auto"/>
      <w:sz w:val="28"/>
      <w:szCs w:val="28"/>
    </w:rPr>
  </w:style>
  <w:style w:type="paragraph" w:customStyle="1" w:styleId="57">
    <w:name w:val="附表-2左侧标题"/>
    <w:basedOn w:val="1"/>
    <w:qFormat/>
    <w:uiPriority w:val="0"/>
    <w:pPr>
      <w:widowControl/>
      <w:spacing w:line="560" w:lineRule="atLeast"/>
      <w:jc w:val="center"/>
    </w:pPr>
    <w:rPr>
      <w:rFonts w:ascii="仿宋_GB2312" w:hAnsi="等线" w:eastAsia="仿宋_GB2312" w:cs="宋体"/>
      <w:color w:val="auto"/>
      <w:sz w:val="28"/>
      <w:szCs w:val="28"/>
    </w:rPr>
  </w:style>
  <w:style w:type="paragraph" w:customStyle="1" w:styleId="58">
    <w:name w:val="附表-3数据"/>
    <w:basedOn w:val="37"/>
    <w:qFormat/>
    <w:uiPriority w:val="0"/>
    <w:pPr>
      <w:spacing w:line="560" w:lineRule="atLeast"/>
      <w:ind w:right="630" w:rightChars="300" w:firstLine="0" w:firstLineChars="0"/>
      <w:jc w:val="right"/>
    </w:pPr>
    <w:rPr>
      <w:sz w:val="28"/>
      <w:szCs w:val="28"/>
    </w:rPr>
  </w:style>
  <w:style w:type="paragraph" w:customStyle="1" w:styleId="59">
    <w:name w:val="附表-4单位"/>
    <w:basedOn w:val="1"/>
    <w:qFormat/>
    <w:uiPriority w:val="0"/>
    <w:pPr>
      <w:ind w:firstLine="400" w:firstLineChars="200"/>
      <w:jc w:val="right"/>
    </w:pPr>
    <w:rPr>
      <w:rFonts w:ascii="方正仿宋_GBK" w:eastAsia="方正仿宋_GBK"/>
      <w:color w:val="auto"/>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4558</Words>
  <Characters>25985</Characters>
  <Lines>216</Lines>
  <Paragraphs>60</Paragraphs>
  <TotalTime>12</TotalTime>
  <ScaleCrop>false</ScaleCrop>
  <LinksUpToDate>false</LinksUpToDate>
  <CharactersWithSpaces>30483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2024-02-22T18:56:00Z</dcterms:created>
  <dc:creator>admin</dc:creator>
  <cp:lastModifiedBy>孙一珩</cp:lastModifiedBy>
  <cp:lastPrinted>2024-02-22T21:56:00Z</cp:lastPrinted>
  <dcterms:modified xsi:type="dcterms:W3CDTF">2024-02-27T15:20:07Z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KSOProductBuildVer">
    <vt:lpwstr>2052-11.8.2.10587</vt:lpwstr>
  </property>
  <property fmtid="{D5CDD505-2E9C-101B-9397-08002B2CF9AE}" pid="6" name="ICV">
    <vt:lpwstr>062C486679CF45268CE50B069CBC8AC5_13</vt:lpwstr>
  </property>
</Properties>
</file>